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Commissie werkgelegenheid en sociale zaken</w:t>
      </w:r>
      <w:r>
        <w:rPr>
          <w:rStyle w:val="HideTWBExt"/>
        </w:rPr>
        <w:t>&lt;/Commission&gt;</w:t>
      </w:r>
    </w:p>
    <w:p>
      <w:pPr>
        <w:pStyle w:val="LineBottom"/>
      </w:pPr>
      <w:r>
        <w:t xml:space="preserve"> </w:t>
      </w:r>
    </w:p>
    <w:p>
      <w:pPr>
        <w:pStyle w:val="CoverReference"/>
      </w:pPr>
      <w:r>
        <w:rPr>
          <w:rStyle w:val="HideTWBExt"/>
        </w:rPr>
        <w:t>&lt;RefProc&gt;</w:t>
      </w:r>
      <w:r>
        <w:t>2024/2084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{10/01/2025}</w:t>
      </w:r>
      <w:r>
        <w:t>10.1.2025</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1</w:t>
      </w:r>
      <w:r>
        <w:t xml:space="preserve"> - </w:t>
      </w:r>
      <w:r>
        <w:t>271</w:t>
      </w:r>
      <w:r>
        <w:rPr>
          <w:rStyle w:val="HideTWBExt"/>
        </w:rPr>
        <w:t>&lt;/RangeAM&gt;</w:t>
      </w:r>
    </w:p>
    <w:p>
      <w:pPr>
        <w:pStyle w:val="CoverBold"/>
      </w:pPr>
      <w:r>
        <w:rPr>
          <w:rStyle w:val="HideTWBExt"/>
        </w:rPr>
        <w:t>&lt;TitreType&gt;</w:t>
      </w:r>
      <w:r>
        <w:t>Ontwerpverslag</w:t>
      </w:r>
      <w:r>
        <w:rPr>
          <w:rStyle w:val="HideTWBExt"/>
        </w:rPr>
        <w:t>&lt;/TitreType&gt;</w:t>
      </w:r>
    </w:p>
    <w:p>
      <w:pPr>
        <w:pStyle w:val="CoverBold"/>
      </w:pPr>
      <w:r>
        <w:rPr>
          <w:rStyle w:val="HideTWBExt"/>
        </w:rPr>
        <w:t>&lt;Rapporteur&gt;</w:t>
      </w:r>
      <w:r>
        <w:t>Maravillas Abadía Jover</w:t>
      </w:r>
      <w:r>
        <w:rPr>
          <w:rStyle w:val="HideTWBExt"/>
        </w:rPr>
        <w:t>&lt;/Rapporteur&gt;</w:t>
      </w:r>
    </w:p>
    <w:p>
      <w:pPr>
        <w:pStyle w:val="CoverNormal24a"/>
      </w:pPr>
      <w:r>
        <w:rPr>
          <w:rStyle w:val="HideTWBExt"/>
        </w:rPr>
        <w:t>&lt;DocRefPE&gt;</w:t>
      </w:r>
      <w:r>
        <w:t>(PE766.649v02-00)</w:t>
      </w:r>
      <w:r>
        <w:rPr>
          <w:rStyle w:val="HideTWBExt"/>
        </w:rPr>
        <w:t>&lt;/DocRefPE&gt;</w:t>
      </w:r>
    </w:p>
    <w:p>
      <w:pPr>
        <w:pStyle w:val="CoverNormal"/>
      </w:pPr>
      <w:r>
        <w:rPr>
          <w:rStyle w:val="HideTWBExt"/>
        </w:rPr>
        <w:t>&lt;Titre&gt;</w:t>
      </w:r>
      <w:r>
        <w:t>Europees Semester voor coördinatie van het economisch beleid: prioriteiten voor 2025 op het vlak van werkgelegenheid en sociaal beleid</w:t>
      </w:r>
      <w:r>
        <w:rPr>
          <w:rStyle w:val="HideTWBExt"/>
        </w:rPr>
        <w:t>&lt;/Titre&gt;</w:t>
      </w:r>
    </w:p>
    <w:p>
      <w:pPr>
        <w:pStyle w:val="CoverNormal24a"/>
      </w:pPr>
      <w:r>
        <w:rPr>
          <w:rStyle w:val="HideTWBExt"/>
        </w:rPr>
        <w:t>&lt;DocRef&gt;</w:t>
      </w:r>
      <w:r>
        <w:t>(2024/2084(INI))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Europese pijler van sociale rechten (EPSR), die op 17 november 2017 door het Parlement, de Raad en de Commissie is afgekondigd en ondertekend,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artikelen 121 en 148 van het Verdrag betreffende de werking van de Europese Unie (VWEU),</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grondbeginselen van de Europese pijler van sociale rechten, met name beginsel 11 inzake kinderopvang en hulp aan kinderen,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sociaal scorebord van de EU en de daarin opgenomen kern- en secundaire indicatoren,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mededeling van de Commissie van 4 maart 2021 getiteld “Het actieplan voor de Europese pijler van sociale rechten” (COM (2021) 0102) en de daarin voorgestelde kerndoelen voor 2030 inzake vaardigheden en armoedebestrijding,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actieplan voor de Europese pijler van sociale rechten van 2021 ter bevordering van opwaartse sociale convergentie tegen 2030, en met name doelstelling 3,</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Verklaring van Terhulpen over de toekomst van de Europese pijler van sociale rechten, die op 16 april 2024 door het Parlement, de Commissie, het Europees Economisch en Sociaal Comité en de Raad is ondertekend,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Verordening (EU) 2023/955 van het Europees Parlement en de Raad van 10 mei 2023 tot oprichting van een sociaal klimaatfonds en tot wijziging van Verordening (EU) 2021/1060</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PB L 130 van 16.5.2023, blz.</w:t>
            </w:r>
            <w:r>
              <w:t xml:space="preserve"> </w:t>
            </w:r>
            <w:r>
              <w:rPr>
                <w:b/>
                <w:i/>
              </w:rPr>
              <w:t>1–51.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 septies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Verordening (EU) 2024/1263 van het Europees Parlement en de Raad van 29 april 2024 betreffende de doeltreffende coördinatie van het economisch beleid en betreffende het multilaterale begrotingstoezicht en tot intrekking van Verordening (EG) nr. 1466/97 van de Raad, en met name de artikelen 3, 4, 13 en 27</w:t>
            </w:r>
            <w:r>
              <w:rPr>
                <w:b/>
                <w:i/>
                <w:vertAlign w:val="superscript"/>
              </w:rPr>
              <w:t>2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bis</w:t>
            </w:r>
            <w:r>
              <w:t xml:space="preserve"> </w:t>
            </w:r>
            <w:r>
              <w:rPr>
                <w:b/>
                <w:i/>
              </w:rPr>
              <w:t>PB L, 2024/1263, 30.4.2024.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 octies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mededeling van de Commissie van 7 oktober 2020 getiteld “Een Unie van gelijkheid: strategisch EU-kader voor gelijkheid, integratie en participatie van de Roma voor 2020-2040” (COM(2020)0620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 nonies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mededeling van de Commissie van 3 maart 2021, getiteld “Een Unie van gelijkheid: Strategie inzake de rechten van personen met een handicap 2021-2030” (COM(2021) 101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 decies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mededeling van de Commissie van 17 januari 2023 getiteld “Het benutten van talent in Europa’s regio’s” (COM(2023) 32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 undecies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mededeling van de Commissie van 20 maart 2023 getiteld “Tekorten aan arbeidskrachten en vaardigheden in de EU: een actieplan” (COM(2024) 131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 duodecies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verslag van de Commissie van 19 september 2024 getiteld "Employment and Social Developments in Europe (ESDE): upward social convergence in the EU and the role of social investment",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mededeling van de Commissie van 26 november 2024 getiteld "Europees Semester 2025: het nieuwe kader voor economische governance gaat van start" (COM(2024) 705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mededeling van de Commissie van 17 december 2024 getiteld “Europees Semester 2025 – Najaarspakket” (COM(2024) 700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gezien het voorstel van de Commissie van </w:t>
            </w:r>
            <w:r>
              <w:rPr>
                <w:b/>
                <w:i/>
              </w:rPr>
              <w:t>XXX</w:t>
            </w:r>
            <w:r>
              <w:t xml:space="preserve"> 2024 voor een gezamenlijk verslag over de werkgelegenheid van de Commissie en de Raad (COM(2024)</w:t>
            </w:r>
            <w:r>
              <w:rPr>
                <w:b/>
                <w:i/>
              </w:rPr>
              <w:t>XXX</w:t>
            </w:r>
            <w:r>
              <w:t>),</w:t>
            </w:r>
          </w:p>
        </w:tc>
        <w:tc>
          <w:tcPr>
            <w:tcW w:w="4876" w:type="dxa"/>
            <w:tcBorders>
              <w:top w:val="nil"/>
              <w:left w:val="nil"/>
              <w:bottom w:val="nil"/>
              <w:right w:val="nil"/>
            </w:tcBorders>
          </w:tcPr>
          <w:p>
            <w:pPr>
              <w:pStyle w:val="Normal6a"/>
            </w:pPr>
            <w:r>
              <w:rPr>
                <w:b/>
                <w:i/>
              </w:rPr>
              <w:t>–</w:t>
            </w:r>
            <w:r>
              <w:tab/>
            </w:r>
            <w:r>
              <w:t xml:space="preserve">gezien het voorstel van de Commissie van </w:t>
            </w:r>
            <w:r>
              <w:rPr>
                <w:b/>
                <w:i/>
              </w:rPr>
              <w:t>17 december</w:t>
            </w:r>
            <w:r>
              <w:t xml:space="preserve"> 2024 voor een gezamenlijk verslag over de werkgelegenheid van de Commissie en de Raad (COM(2024) </w:t>
            </w:r>
            <w:r>
              <w:rPr>
                <w:b/>
                <w:i/>
              </w:rPr>
              <w:t>701 final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gezien de aanbeveling van de Commissie van </w:t>
            </w:r>
            <w:r>
              <w:rPr>
                <w:b/>
                <w:i/>
              </w:rPr>
              <w:t>XXX</w:t>
            </w:r>
            <w:r>
              <w:t xml:space="preserve"> 2024 voor een aanbeveling van de Raad over het economisch beleid van de eurozone (COM(2024)</w:t>
            </w:r>
            <w:r>
              <w:rPr>
                <w:b/>
                <w:i/>
              </w:rPr>
              <w:t>XXX</w:t>
            </w:r>
            <w:r>
              <w:t>),</w:t>
            </w:r>
          </w:p>
        </w:tc>
        <w:tc>
          <w:tcPr>
            <w:tcW w:w="4876" w:type="dxa"/>
            <w:tcBorders>
              <w:top w:val="nil"/>
              <w:left w:val="nil"/>
              <w:bottom w:val="nil"/>
              <w:right w:val="nil"/>
            </w:tcBorders>
          </w:tcPr>
          <w:p>
            <w:pPr>
              <w:pStyle w:val="Normal6a"/>
            </w:pPr>
            <w:r>
              <w:rPr>
                <w:b/>
                <w:i/>
              </w:rPr>
              <w:t>–</w:t>
            </w:r>
            <w:r>
              <w:tab/>
            </w:r>
            <w:r>
              <w:t xml:space="preserve">gezien de aanbeveling van de Commissie van </w:t>
            </w:r>
            <w:r>
              <w:rPr>
                <w:b/>
                <w:i/>
              </w:rPr>
              <w:t>17 december</w:t>
            </w:r>
            <w:r>
              <w:t xml:space="preserve"> 2024 voor een aanbeveling van de Raad over het economisch beleid van de eurozone (COM(2024) </w:t>
            </w:r>
            <w:r>
              <w:rPr>
                <w:b/>
                <w:i/>
              </w:rPr>
              <w:t>704 final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gezien het verslag van de Commissie van </w:t>
            </w:r>
            <w:r>
              <w:rPr>
                <w:b/>
                <w:i/>
              </w:rPr>
              <w:t>XXX 2024</w:t>
            </w:r>
            <w:r>
              <w:t xml:space="preserve"> getiteld “Waarschuwingsmechanismeverslag 2025”,</w:t>
            </w:r>
          </w:p>
        </w:tc>
        <w:tc>
          <w:tcPr>
            <w:tcW w:w="4876" w:type="dxa"/>
            <w:tcBorders>
              <w:top w:val="nil"/>
              <w:left w:val="nil"/>
              <w:bottom w:val="nil"/>
              <w:right w:val="nil"/>
            </w:tcBorders>
          </w:tcPr>
          <w:p>
            <w:pPr>
              <w:pStyle w:val="Normal6a"/>
            </w:pPr>
            <w:r>
              <w:rPr>
                <w:b/>
                <w:i/>
              </w:rPr>
              <w:t>–</w:t>
            </w:r>
            <w:r>
              <w:tab/>
            </w:r>
            <w:r>
              <w:t xml:space="preserve">gezien het verslag van de Commissie van </w:t>
            </w:r>
            <w:r>
              <w:rPr>
                <w:b/>
                <w:i/>
              </w:rPr>
              <w:t>17 december 2024,</w:t>
            </w:r>
            <w:r>
              <w:t xml:space="preserve"> getiteld “Waarschuwingsmechanismeverslag 2025” </w:t>
            </w:r>
            <w:r>
              <w:rPr>
                <w:b/>
                <w:i/>
              </w:rPr>
              <w:t>(COM(2024) 702 final)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gezien het ontwerpwerkdocument van de diensten van de Commissie over de </w:t>
            </w:r>
            <w:r>
              <w:rPr>
                <w:b/>
                <w:i/>
              </w:rPr>
              <w:t>geplande herzieningen van</w:t>
            </w:r>
            <w:r>
              <w:t xml:space="preserve"> het scorebord van de procedure voor macro-economische onevenwichtigheden </w:t>
            </w:r>
            <w:r>
              <w:rPr>
                <w:b/>
                <w:i/>
              </w:rPr>
              <w:t>in het kader van het reguliere evaluatieproces (SWD(2024)XXX</w:t>
            </w:r>
            <w:r>
              <w:t>),</w:t>
            </w:r>
          </w:p>
        </w:tc>
        <w:tc>
          <w:tcPr>
            <w:tcW w:w="4876" w:type="dxa"/>
            <w:tcBorders>
              <w:top w:val="nil"/>
              <w:left w:val="nil"/>
              <w:bottom w:val="nil"/>
              <w:right w:val="nil"/>
            </w:tcBorders>
          </w:tcPr>
          <w:p>
            <w:pPr>
              <w:pStyle w:val="Normal6a"/>
            </w:pPr>
            <w:r>
              <w:rPr>
                <w:b/>
                <w:i/>
              </w:rPr>
              <w:t>–</w:t>
            </w:r>
            <w:r>
              <w:tab/>
            </w:r>
            <w:r>
              <w:t xml:space="preserve">gezien het ontwerpwerkdocument van de diensten van de Commissie over de </w:t>
            </w:r>
            <w:r>
              <w:rPr>
                <w:b/>
                <w:i/>
              </w:rPr>
              <w:t>wijzigingen in</w:t>
            </w:r>
            <w:r>
              <w:t xml:space="preserve"> het scorebord van de procedure voor macro-economische onevenwichtigheden </w:t>
            </w:r>
            <w:r>
              <w:rPr>
                <w:b/>
                <w:i/>
              </w:rPr>
              <w:t>(SWD (2024) 702 final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interinstitutionele verklaring van Terhulpen over de toekomst van de Europese pijler van sociale rechten, ondertekend door de EU-instellingen, de sociale partners en het maatschappelijk middenveld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Verordening (EU) 2024/1263 van het Europees Parlement en de Raad van 29 april 2024 betreffende de doeltreffende coördinatie van het economisch beleid en betreffende het multilaterale begrotingstoezicht en tot intrekking van Verordening (EG) nr. 1466/97 van de Raad,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Verklaring van Boedapest over de nieuwe deal voor het Europees concurrentie­vermogen van 8 november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besluit van de Raad betreffende richtsnoeren voor de werkgelegenheid, aangenomen door de Raad EPSCO op 2 december 2024, waarin werkgelegenheids- en sociale prioriteiten worden vastgesteld die zijn afgestemd op de beginselen van de Europese pijler van sociale rechten,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in september 2024 gepubliceerde verslag van de Commissie over de werkgelegenheids- en sociale ontwikkelingen in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13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verklaring van Terhulpen over de toekomst van de Europese pijler van sociale rechten</w:t>
            </w:r>
            <w:r>
              <w:rPr>
                <w:b/>
                <w:i/>
                <w:vertAlign w:val="superscript"/>
              </w:rPr>
              <w:t>2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bis</w:t>
            </w:r>
            <w:r>
              <w:t xml:space="preserve"> </w:t>
            </w:r>
            <w:r>
              <w:rPr>
                <w:b/>
                <w:i/>
              </w:rPr>
              <w:t>https://wayback.archive-it.org/12710/20240718201828/https://belgian-presidency.consilium.europa.eu/media/bj0adazv/declaration-finale.pdf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13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Tripartiete verklaring voor een bloeiende Europese sociale dialoog en gezien het komende pact voor de sociale dialoog,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13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Europese vaardighedenagenda 2020,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13 septies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mededeling van de Commissie van 7 september 2022 over de Europese zorgstrategie (COM(2022) 440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13 octies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Europese pijler van sociale rechten (EPSR), die in november 2017 door de Raad, het Parlement en de Commissie is afgekondigd, en het bijbehorende actieplan dat in 2021 is goedgekeurd,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13 nonies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mededeling van de Commissie van 17 december 2024 getiteld “Europees Semester 2025 – Najaarspakket” (COM(2024) 700),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13 decies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voorstel van de Commissie van 17 december 2025 voor een gezamenlijk verslag over de werkgelegenheid 2025 (COM (2024) 701),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13 undecies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Richtlijn (EU) 2022/2041 van het Europees Parlement en de Raad van 19 oktober 2022 betreffende toereikende minimumlonen in de Europese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13 duodecies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Europees Sociaal Handvest (ESH), waarnaar wordt verwezen in de preambule van de Europese pijler van sociale rechten,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13 terdecies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aanbeveling van de Raad over toegang tot betaalbare en hoogwaardige langdurige zorg,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13 quaterdecies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duurzameontwikkelingsdoelstellingen van de Verenigde Naties,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13 quindecies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strategie voor gendergelijkheid 2020-2025,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13 sexdecies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EU-actieplan tegen racisme 2020-2025,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13 septdecies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strategisch EU-kader voor gelijkheid, integratie en participatie van de Roma voor 2020-2030,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13 octodecies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strategie voor gelijkheid van lhbtiq’ers 2020-2025,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13 novodecies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strategie inzake de rechten van personen met een handicap 2021-2030,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13 vicies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Verordening (EU) 2024/1263 van het Europees Parlement en de Raad van 29 april 2024 betreffende de doeltreffende coördinatie van het economisch beleid en betreffende het multilaterale begrotingstoezicht en tot intrekking van Verordening (EG) nr. 1466/97 van de Raad,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overwegende dat </w:t>
            </w:r>
            <w:r>
              <w:rPr>
                <w:b/>
                <w:i/>
              </w:rPr>
              <w:t>er vooruitgang is geboekt met de verwezenlijking</w:t>
            </w:r>
            <w:r>
              <w:t xml:space="preserve"> van de </w:t>
            </w:r>
            <w:r>
              <w:rPr>
                <w:b/>
                <w:i/>
              </w:rPr>
              <w:t>werkgelegenheidsdoelstellingen</w:t>
            </w:r>
            <w:r>
              <w:t xml:space="preserve"> van de </w:t>
            </w:r>
            <w:r>
              <w:rPr>
                <w:b/>
                <w:i/>
              </w:rPr>
              <w:t>EU</w:t>
            </w:r>
            <w:r>
              <w:t>, ondanks de onzekerheid als gevolg van de Russische aanvalsoorlog tegen Oekraïne en de gevolgen van de hoge inflatie</w:t>
            </w:r>
            <w:r>
              <w:rPr>
                <w:b/>
                <w:i/>
              </w:rPr>
              <w:t>, en overwegende dat de groei van de werkgelegenheid</w:t>
            </w:r>
            <w:r>
              <w:t xml:space="preserve"> in de EU </w:t>
            </w:r>
            <w:r>
              <w:rPr>
                <w:b/>
                <w:i/>
              </w:rPr>
              <w:t>in 2023 krachtig is gebleven, hoewel er in sommige lidstaten nog steeds sprake is van hoge werkloosheidscijfers, met name onder jongeren, en van aanzienlijke ongelijkheden</w:t>
            </w:r>
            <w:r>
              <w:t xml:space="preserve"> tussen sectoren </w:t>
            </w:r>
            <w:r>
              <w:rPr>
                <w:b/>
                <w:i/>
              </w:rPr>
              <w:t>en regio’s</w:t>
            </w:r>
            <w:r>
              <w:t>, die de sociale cohesie en het welzijn van de Europese burgers op de lange termijn negatief zouden kunnen beïnvloeden;</w:t>
            </w:r>
          </w:p>
        </w:tc>
        <w:tc>
          <w:tcPr>
            <w:tcW w:w="4876" w:type="dxa"/>
            <w:tcBorders>
              <w:top w:val="nil"/>
              <w:left w:val="nil"/>
              <w:bottom w:val="nil"/>
              <w:right w:val="nil"/>
            </w:tcBorders>
          </w:tcPr>
          <w:p>
            <w:pPr>
              <w:pStyle w:val="Normal6a"/>
            </w:pPr>
            <w:r>
              <w:t>A.</w:t>
            </w:r>
            <w:r>
              <w:tab/>
            </w:r>
            <w:r>
              <w:t xml:space="preserve">overwegende dat </w:t>
            </w:r>
            <w:r>
              <w:rPr>
                <w:b/>
                <w:i/>
              </w:rPr>
              <w:t>de arbeidsparticipatie in de EU volgens de economische najaarsprognose 2025</w:t>
            </w:r>
            <w:r>
              <w:t xml:space="preserve"> van de </w:t>
            </w:r>
            <w:r>
              <w:rPr>
                <w:b/>
                <w:i/>
              </w:rPr>
              <w:t>Commissie 75,3 % bedraagt;</w:t>
            </w:r>
            <w:r>
              <w:t xml:space="preserve"> </w:t>
            </w:r>
            <w:r>
              <w:rPr>
                <w:b/>
                <w:i/>
              </w:rPr>
              <w:t>overwegende dat waarde moet worden gehecht aan het economisch rendement van investeringen in sociale voorzieningen die niet alleen leiden tot een verbetering van de levensstandaard, maar ook tot economische groei en een hogere arbeidsparticipatie;</w:t>
            </w:r>
            <w:r>
              <w:t xml:space="preserve"> </w:t>
            </w:r>
            <w:r>
              <w:rPr>
                <w:b/>
                <w:i/>
              </w:rPr>
              <w:t>overwegende dat sommige lidstaten ongekende niveaus van werkgelegenheid bereiken en te maken hebben met een toename</w:t>
            </w:r>
            <w:r>
              <w:t xml:space="preserve"> van de </w:t>
            </w:r>
            <w:r>
              <w:rPr>
                <w:b/>
                <w:i/>
              </w:rPr>
              <w:t>arbeidsparticipatie</w:t>
            </w:r>
            <w:r>
              <w:t>, ondanks de onzekerheid als gevolg van de Russische aanvalsoorlog tegen Oekraïne en de gevolgen van de hoge inflatie</w:t>
            </w:r>
            <w:r>
              <w:rPr>
                <w:b/>
                <w:i/>
              </w:rPr>
              <w:t>;</w:t>
            </w:r>
            <w:r>
              <w:t xml:space="preserve"> </w:t>
            </w:r>
            <w:r>
              <w:rPr>
                <w:b/>
                <w:i/>
              </w:rPr>
              <w:t>er zijn echter nog steeds aanzienlijke uitdagingen</w:t>
            </w:r>
            <w:r>
              <w:t xml:space="preserve"> in de EU</w:t>
            </w:r>
            <w:r>
              <w:rPr>
                <w:b/>
                <w:i/>
              </w:rPr>
              <w:t>, waaronder de hoge werkloosheid onder jongeren, vrouwen, ouderen, laag- en middelhoogopgeleiden, migranten en personen met een handicap, in combinatie met onzekere arbeidsomstandigheden, structurele ongelijkheden en lacunes op het gebied van sociale bescherming</w:t>
            </w:r>
            <w:r>
              <w:t xml:space="preserve"> tussen sectoren</w:t>
            </w:r>
            <w:r>
              <w:rPr>
                <w:b/>
                <w:i/>
              </w:rPr>
              <w:t>, regio’s en sociale groepen</w:t>
            </w:r>
            <w:r>
              <w:t>, die de sociale cohesie en het welzijn van de Europese burgers op de lange termijn negatief zouden kunnen beïnvloeden;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overwegende dat er vooruitgang is geboekt </w:t>
            </w:r>
            <w:r>
              <w:rPr>
                <w:b/>
                <w:i/>
              </w:rPr>
              <w:t>met</w:t>
            </w:r>
            <w:r>
              <w:t xml:space="preserve"> de verwezenlijking van de werkgelegenheidsdoelstellingen van de EU, ondanks de onzekerheid als gevolg van de Russische aanvalsoorlog tegen Oekraïne en de gevolgen van de hoge inflatie, en overwegende dat de groei van de werkgelegenheid in de EU in 2023 krachtig is gebleven</w:t>
            </w:r>
            <w:r>
              <w:rPr>
                <w:b/>
                <w:i/>
              </w:rPr>
              <w:t>, hoewel</w:t>
            </w:r>
            <w:r>
              <w:t xml:space="preserve"> er in sommige lidstaten nog steeds sprake is van hoge werkloosheidscijfers, met name onder jongeren, en van aanzienlijke </w:t>
            </w:r>
            <w:r>
              <w:rPr>
                <w:b/>
                <w:i/>
              </w:rPr>
              <w:t>ongelijkheden</w:t>
            </w:r>
            <w:r>
              <w:t xml:space="preserve"> tussen sectoren en regio’s, die de sociale cohesie en het welzijn van de Europese burgers op de lange termijn negatief </w:t>
            </w:r>
            <w:r>
              <w:rPr>
                <w:b/>
                <w:i/>
              </w:rPr>
              <w:t>zouden</w:t>
            </w:r>
            <w:r>
              <w:t xml:space="preserve"> kunnen beïnvloeden;</w:t>
            </w:r>
          </w:p>
        </w:tc>
        <w:tc>
          <w:tcPr>
            <w:tcW w:w="4876" w:type="dxa"/>
            <w:tcBorders>
              <w:top w:val="nil"/>
              <w:left w:val="nil"/>
              <w:bottom w:val="nil"/>
              <w:right w:val="nil"/>
            </w:tcBorders>
          </w:tcPr>
          <w:p>
            <w:pPr>
              <w:pStyle w:val="Normal6a"/>
            </w:pPr>
            <w:r>
              <w:t>A.</w:t>
            </w:r>
            <w:r>
              <w:tab/>
            </w:r>
            <w:r>
              <w:t xml:space="preserve">overwegende dat er vooruitgang is geboekt </w:t>
            </w:r>
            <w:r>
              <w:rPr>
                <w:b/>
                <w:i/>
              </w:rPr>
              <w:t>bij</w:t>
            </w:r>
            <w:r>
              <w:t xml:space="preserve"> de verwezenlijking van de werkgelegenheidsdoelstellingen van de EU, </w:t>
            </w:r>
            <w:r>
              <w:rPr>
                <w:b/>
                <w:i/>
              </w:rPr>
              <w:t>namelijk dat ten minste 78 % van de mensen tussen 20 en 64 jaar tegen 2030 een baan moet hebben,</w:t>
            </w:r>
            <w:r>
              <w:t xml:space="preserve"> ondanks de onzekerheid als gevolg van de Russische aanvalsoorlog tegen Oekraïne</w:t>
            </w:r>
            <w:r>
              <w:rPr>
                <w:b/>
                <w:i/>
              </w:rPr>
              <w:t>, de economische stagnatie</w:t>
            </w:r>
            <w:r>
              <w:t xml:space="preserve"> en de gevolgen van de hoge inflatie, en overwegende dat de groei van de werkgelegenheid in de EU in 2023 krachtig is gebleven </w:t>
            </w:r>
            <w:r>
              <w:rPr>
                <w:b/>
                <w:i/>
              </w:rPr>
              <w:t>en een recordhoogte van 75,3 % heeft bereikt;</w:t>
            </w:r>
            <w:r>
              <w:t xml:space="preserve"> </w:t>
            </w:r>
            <w:r>
              <w:rPr>
                <w:b/>
                <w:i/>
              </w:rPr>
              <w:t>overwegende dat de lidstaten zich hebben verbonden tot nationale doelstellingen om dit hoofddoel te bereiken en dat in twee derde van de lidstaten de werkgelegenheidsgroei in 2023 op schema lag om de nationale doelstelling voor 2030 te halen;</w:t>
            </w:r>
            <w:r>
              <w:t xml:space="preserve"> </w:t>
            </w:r>
            <w:r>
              <w:rPr>
                <w:b/>
                <w:i/>
              </w:rPr>
              <w:t>overwegende dat</w:t>
            </w:r>
            <w:r>
              <w:t xml:space="preserve"> er in sommige lidstaten </w:t>
            </w:r>
            <w:r>
              <w:rPr>
                <w:b/>
                <w:i/>
              </w:rPr>
              <w:t>echter</w:t>
            </w:r>
            <w:r>
              <w:t xml:space="preserve"> nog steeds sprake is van hoge werkloosheidscijfers, met name onder jongeren, </w:t>
            </w:r>
            <w:r>
              <w:rPr>
                <w:b/>
                <w:i/>
              </w:rPr>
              <w:t>personen met een handicap, oudere werknemers en vrouwen,</w:t>
            </w:r>
            <w:r>
              <w:t xml:space="preserve"> en van aanzienlijke </w:t>
            </w:r>
            <w:r>
              <w:rPr>
                <w:b/>
                <w:i/>
              </w:rPr>
              <w:t>verschillen</w:t>
            </w:r>
            <w:r>
              <w:t xml:space="preserve"> tussen sectoren en regio’s, die de sociale cohesie en het welzijn van de Europese burgers op de lange termijn negatief kunnen beïnvloeden;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overwegende dat er vooruitgang is geboekt met de verwezenlijking van de werkgelegenheidsdoelstellingen van de EU, ondanks de onzekerheid als gevolg van de Russische aanvalsoorlog tegen Oekraïne en de gevolgen van de hoge inflatie, en overwegende dat de groei van de werkgelegenheid in de EU in 2023 krachtig is gebleven</w:t>
            </w:r>
            <w:r>
              <w:rPr>
                <w:b/>
                <w:i/>
              </w:rPr>
              <w:t>, hoewel er in sommige lidstaten nog steeds sprake is van hoge werkloosheidscijfers, met name</w:t>
            </w:r>
            <w:r>
              <w:t xml:space="preserve"> onder jongeren</w:t>
            </w:r>
            <w:r>
              <w:rPr>
                <w:b/>
                <w:i/>
              </w:rPr>
              <w:t>, en van</w:t>
            </w:r>
            <w:r>
              <w:t xml:space="preserve"> aanzienlijke ongelijkheden tussen sectoren en regio’s, die de sociale cohesie en het welzijn van de Europese burgers op de lange termijn negatief zouden kunnen beïnvloeden;</w:t>
            </w:r>
          </w:p>
        </w:tc>
        <w:tc>
          <w:tcPr>
            <w:tcW w:w="4876" w:type="dxa"/>
            <w:tcBorders>
              <w:top w:val="nil"/>
              <w:left w:val="nil"/>
              <w:bottom w:val="nil"/>
              <w:right w:val="nil"/>
            </w:tcBorders>
          </w:tcPr>
          <w:p>
            <w:pPr>
              <w:pStyle w:val="Normal6a"/>
            </w:pPr>
            <w:r>
              <w:t>A.</w:t>
            </w:r>
            <w:r>
              <w:tab/>
            </w:r>
            <w:r>
              <w:t xml:space="preserve">overwegende dat er vooruitgang is geboekt met de verwezenlijking van de werkgelegenheidsdoelstellingen van de EU, ondanks de onzekerheid als gevolg van de Russische aanvalsoorlog tegen Oekraïne en de gevolgen van de hoge inflatie, en overwegende dat de groei van de werkgelegenheid in de EU in 2023 krachtig is gebleven </w:t>
            </w:r>
            <w:r>
              <w:rPr>
                <w:b/>
                <w:i/>
              </w:rPr>
              <w:t>en volgens Eurostat nu meer dan 75 % bedraagt;</w:t>
            </w:r>
            <w:r>
              <w:t xml:space="preserve"> </w:t>
            </w:r>
            <w:r>
              <w:rPr>
                <w:b/>
                <w:i/>
              </w:rPr>
              <w:t>overwegende dat het percentage langdurig werklozen in de EU sinds 2009 een historisch dieptepunt heeft bereikt, te weten 2,1 % in 2023, en dat het werkloosheidspercentage</w:t>
            </w:r>
            <w:r>
              <w:t xml:space="preserve"> onder jongeren </w:t>
            </w:r>
            <w:r>
              <w:rPr>
                <w:b/>
                <w:i/>
              </w:rPr>
              <w:t>in de EU 6,3 % bedroeg, d.w.z. het laagste percentage ooit gemeten;</w:t>
            </w:r>
            <w:r>
              <w:t xml:space="preserve"> </w:t>
            </w:r>
            <w:r>
              <w:rPr>
                <w:b/>
                <w:i/>
              </w:rPr>
              <w:t>overwegende dat de arbeidsmarkten nog steeds opmerkelijk veerkrachtig zijn en dat de sociale resultaten enige tekenen van verbetering vertoonden, dat de economische groei in de EU in 2024 achterbleef bij andere geavanceerde economieën en dat er nog steeds</w:t>
            </w:r>
            <w:r>
              <w:t xml:space="preserve"> aanzienlijke ongelijkheden </w:t>
            </w:r>
            <w:r>
              <w:rPr>
                <w:b/>
                <w:i/>
              </w:rPr>
              <w:t>bestonden</w:t>
            </w:r>
            <w:r>
              <w:t xml:space="preserve"> tussen sectoren en regio’s, die de sociale cohesie en het welzijn van de Europese burgers op de lange termijn negatief zouden kunnen beïnvloeden;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overwegende dat er vooruitgang is geboekt met de verwezenlijking van de werkgelegenheidsdoelstellingen van de EU, ondanks de onzekerheid als gevolg van de Russische aanvalsoorlog tegen Oekraïne en de gevolgen van de hoge inflatie, en overwegende dat de groei van de werkgelegenheid in de EU in 2023 krachtig is gebleven, hoewel er in sommige lidstaten nog steeds sprake is van hoge werkloosheidscijfers, met name onder jongeren, en van aanzienlijke ongelijkheden tussen sectoren en regio’s, die de sociale cohesie en het welzijn van de Europese burgers op de lange termijn negatief zouden kunnen beïnvloeden;</w:t>
            </w:r>
          </w:p>
        </w:tc>
        <w:tc>
          <w:tcPr>
            <w:tcW w:w="4876" w:type="dxa"/>
            <w:tcBorders>
              <w:top w:val="nil"/>
              <w:left w:val="nil"/>
              <w:bottom w:val="nil"/>
              <w:right w:val="nil"/>
            </w:tcBorders>
          </w:tcPr>
          <w:p>
            <w:pPr>
              <w:pStyle w:val="Normal6a"/>
            </w:pPr>
            <w:r>
              <w:t>A.</w:t>
            </w:r>
            <w:r>
              <w:tab/>
            </w:r>
            <w:r>
              <w:t xml:space="preserve">overwegende dat er vooruitgang is geboekt met de verwezenlijking van de werkgelegenheidsdoelstellingen van de EU, ondanks de onzekerheid als gevolg van de Russische aanvalsoorlog tegen Oekraïne en de gevolgen van de hoge inflatie, en overwegende dat de groei van de werkgelegenheid in de EU in 2023 krachtig is gebleven, hoewel er in sommige lidstaten nog steeds sprake is van hoge werkloosheidscijfers, met name onder jongeren </w:t>
            </w:r>
            <w:r>
              <w:rPr>
                <w:b/>
                <w:i/>
              </w:rPr>
              <w:t>en personen met een handicap</w:t>
            </w:r>
            <w:r>
              <w:t>, en van aanzienlijke ongelijkheden tussen sectoren en regio’s, die de sociale cohesie en het welzijn van de Europese burgers op de lange termijn negatief zouden kunnen beïnvloeden;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overwegende dat er vooruitgang is geboekt met de verwezenlijking van de werkgelegenheidsdoelstellingen van de EU, ondanks de onzekerheid als gevolg van de Russische aanvalsoorlog tegen Oekraïne en de gevolgen van de hoge inflatie, en overwegende dat de groei van de werkgelegenheid in de EU in 2023 krachtig is gebleven, hoewel er in sommige lidstaten nog steeds sprake is van hoge werkloosheidscijfers, met name onder jongeren, en van aanzienlijke ongelijkheden tussen sectoren en regio’s, die de sociale cohesie en het welzijn van de Europese burgers op de lange termijn negatief zouden kunnen beïnvloeden;</w:t>
            </w:r>
          </w:p>
        </w:tc>
        <w:tc>
          <w:tcPr>
            <w:tcW w:w="4876" w:type="dxa"/>
            <w:tcBorders>
              <w:top w:val="nil"/>
              <w:left w:val="nil"/>
              <w:bottom w:val="nil"/>
              <w:right w:val="nil"/>
            </w:tcBorders>
          </w:tcPr>
          <w:p>
            <w:pPr>
              <w:pStyle w:val="Normal6a"/>
            </w:pPr>
            <w:r>
              <w:t>A.</w:t>
            </w:r>
            <w:r>
              <w:tab/>
            </w:r>
            <w:r>
              <w:t xml:space="preserve">overwegende dat er </w:t>
            </w:r>
            <w:r>
              <w:rPr>
                <w:b/>
                <w:i/>
              </w:rPr>
              <w:t>enige</w:t>
            </w:r>
            <w:r>
              <w:t xml:space="preserve"> vooruitgang is geboekt met de verwezenlijking van de werkgelegenheidsdoelstellingen van de EU, ondanks de onzekerheid als gevolg van de Russische aanvalsoorlog tegen Oekraïne en de gevolgen van de hoge inflatie, en overwegende dat de groei van de werkgelegenheid in de EU in 2023 krachtig is gebleven, hoewel er in sommige lidstaten nog steeds sprake is van hoge werkloosheidscijfers, met name onder jongeren, en van aanzienlijke ongelijkheden tussen sectoren en regio’s, die de sociale cohesie en het welzijn van de Europese burgers op de lange termijn negatief zouden kunnen beïnvloeden;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overwegende dat er vooruitgang is geboekt met de verwezenlijking van de werkgelegenheidsdoelstellingen van de EU, ondanks </w:t>
            </w:r>
            <w:r>
              <w:rPr>
                <w:b/>
                <w:i/>
              </w:rPr>
              <w:t>de onzekerheid als gevolg van</w:t>
            </w:r>
            <w:r>
              <w:t xml:space="preserve"> de Russische aanvalsoorlog tegen Oekraïne </w:t>
            </w:r>
            <w:r>
              <w:rPr>
                <w:b/>
                <w:i/>
              </w:rPr>
              <w:t>en de gevolgen van de hoge inflatie</w:t>
            </w:r>
            <w:r>
              <w:t>, en overwegende dat de groei van de werkgelegenheid in de EU in 2023 krachtig is gebleven, hoewel er in sommige lidstaten nog steeds sprake is van hoge werkloosheidscijfers, met name onder jongeren, en van aanzienlijke ongelijkheden tussen sectoren en regio’s, die de sociale cohesie en het welzijn van de Europese burgers op de lange termijn negatief zouden kunnen beïnvloeden;</w:t>
            </w:r>
          </w:p>
        </w:tc>
        <w:tc>
          <w:tcPr>
            <w:tcW w:w="4876" w:type="dxa"/>
            <w:tcBorders>
              <w:top w:val="nil"/>
              <w:left w:val="nil"/>
              <w:bottom w:val="nil"/>
              <w:right w:val="nil"/>
            </w:tcBorders>
          </w:tcPr>
          <w:p>
            <w:pPr>
              <w:pStyle w:val="Normal6a"/>
            </w:pPr>
            <w:r>
              <w:t>A.</w:t>
            </w:r>
            <w:r>
              <w:tab/>
            </w:r>
            <w:r>
              <w:t xml:space="preserve">overwegende dat er vooruitgang is geboekt met de verwezenlijking van de werkgelegenheidsdoelstellingen van de EU, ondanks </w:t>
            </w:r>
            <w:r>
              <w:rPr>
                <w:b/>
                <w:i/>
              </w:rPr>
              <w:t>een ernstige inflatiecrisis veroorzaakt door onder andere</w:t>
            </w:r>
            <w:r>
              <w:t> de Russische aanvalsoorlog tegen Oekraïne, en overwegende dat de groei van de werkgelegenheid in de EU in 2023 krachtig is gebleven, hoewel er in sommige lidstaten nog steeds sprake is van hoge werkloosheidscijfers, met name onder jongeren, en van aanzienlijke ongelijkheden tussen sectoren en regio’s, die de sociale cohesie en het welzijn van de Europese burgers op de lange termijn negatief zouden kunnen beïnvloeden;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overwegende dat het Europees semester verschillende instrumenten combineert in een geïntegreerd kader voor multilaterale coördinatie van en toezicht op het economisch, werkgelegenheids-, sociaal en milieubeleid binnen de EU en dat het een belangrijk instrument moet worden om opwaartse sociale convergentie te bevorderen, waarbij ervoor wordt gezorgd dat het economisch en begrotingsbeleid niet alleen de groei stimuleert, maar ook bijdraagt tot een sociale en duurzame EU;</w:t>
            </w:r>
            <w:r>
              <w:t xml:space="preserve"> </w:t>
            </w:r>
            <w:r>
              <w:rPr>
                <w:b/>
                <w:i/>
              </w:rPr>
              <w:t>overwegende dat als onderdeel van de geïntegreerde analyse van de ontwikkelingen op sociaal en werkgelegenheidsgebied in het kader van het Europees Semester de obstakels voor opwaartse sociale convergentie in de lidstaten moeten worden beoordeeld en de vooruitgang bij de uitvoering van de beginselen van de Europese pijler van sociale rechten moet worden gemonitord, op basis van het sociaal scorebord en de beginselen van het kader voor sociale convergentie;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overwegende dat de Europese Unie zich ten doel heeft gesteld dat in 2030 ten minste 60 % van de volwassenen jaarlijks aan scholing deelneemt;</w:t>
            </w:r>
            <w:r>
              <w:t xml:space="preserve"> </w:t>
            </w:r>
            <w:r>
              <w:rPr>
                <w:b/>
                <w:i/>
              </w:rPr>
              <w:t>overwegende dat de lidstaten zich hebben verbonden tot nationale streefdoelen om dit hoofddoel te bereiken en dat de meeste lidstaten achterlopen bij het bereiken van deze nationale streefdoelen;</w:t>
            </w:r>
            <w:r>
              <w:t xml:space="preserve"> </w:t>
            </w:r>
            <w:r>
              <w:rPr>
                <w:b/>
                <w:i/>
              </w:rPr>
              <w:t>overwegende dat in 2022 het percentage volwassenen dat deelneemt aan scholing 39,5 % bedroeg, nog steeds ruim onder de EU-doelstelling voor 2030;</w:t>
            </w:r>
            <w:r>
              <w:t xml:space="preserve"> </w:t>
            </w:r>
            <w:r>
              <w:rPr>
                <w:b/>
                <w:i/>
              </w:rPr>
              <w:t>overwegende dat verdere aanzienlijke inspanningen nodig zijn om het aanbod van en de toegang tot hoogwaardige opleidingen te waarborgen, teneinde een leven lang leren te bevorderen en het concurrentievermogen, de veerkracht en de inclusiviteit van de beroepsbevolking van de EU in de EU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overwegende dat de Europese Unie voor 2030 de doelstelling heeft aangenomen om het aantal mensen dat in armoede en sociale uitsluiting dreigt te vervallen ten opzichte van 2019 met ten minste 15 miljoen te verminderen, waaronder ten minste 5 miljoen kinderen;</w:t>
            </w:r>
            <w:r>
              <w:t xml:space="preserve"> </w:t>
            </w:r>
            <w:r>
              <w:rPr>
                <w:b/>
                <w:i/>
              </w:rPr>
              <w:t>overwegende dat de lidstaten nationale streefcijfers hebben vastgelegd om deze hoofddoelstelling te verwezenlijken en dat de trend voor bijna de helft van de lidstaten de andere kant op wijst;</w:t>
            </w:r>
            <w:r>
              <w:t xml:space="preserve"> </w:t>
            </w:r>
            <w:r>
              <w:rPr>
                <w:b/>
                <w:i/>
              </w:rPr>
              <w:t>overwegende dat in 2023 94,6 miljoen mensen in de EU (21,4 % van de bevolking)</w:t>
            </w:r>
            <w:r>
              <w:rPr>
                <w:b/>
                <w:i/>
                <w:vertAlign w:val="superscript"/>
              </w:rPr>
              <w:t>3 bis</w:t>
            </w:r>
            <w:r>
              <w:t xml:space="preserve"> </w:t>
            </w:r>
            <w:r>
              <w:rPr>
                <w:b/>
                <w:i/>
              </w:rPr>
              <w:t>het risico liepen op armoede of sociale uitsluiting, wat slechts iets lager was dan het niveau van 2019;</w:t>
            </w:r>
            <w:r>
              <w:t xml:space="preserve"> </w:t>
            </w:r>
            <w:r>
              <w:rPr>
                <w:b/>
                <w:i/>
              </w:rPr>
              <w:t>overwegende dat het zonder een andere aanpak van armoedebestrijding op Europees niveau niet mogelijk zal zijn deze trend te keren en ervoor te zorgen dat elke burger gelijke kansen heeft om deel te nemen aan de samenleving;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bis</w:t>
            </w:r>
            <w:r>
              <w:t xml:space="preserve"> </w:t>
            </w:r>
            <w:r>
              <w:rPr>
                <w:b/>
                <w:i/>
              </w:rPr>
              <w:t>People at risk of poverty or social exclusion in 2023, Eurostat, https://ec.europa.eu/eurostat/web/products-eurostat-news/w/ddn-20240612-1#:~:text=In%202023%2C%2094.6%20million%20people,household%20with%20very%20low%20work.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overwegende dat de Europese pijler van sociale rechten (EPSR) de leidraad moet zijn voor het sociale en economische beleid van de EU, om ervoor te zorgen dat de Unie een leidende rol speelt bij het bevorderen van sociale vooruitgang;</w:t>
            </w:r>
            <w:r>
              <w:t xml:space="preserve"> </w:t>
            </w:r>
            <w:r>
              <w:rPr>
                <w:b/>
                <w:i/>
              </w:rPr>
              <w:t>overwegende dat de Europese Commissie de risico’s voor opwaartse sociale convergentie in de lidstaten moet beoordelen en de vooruitgang bij de uitvoering van de EPSR moet monitoren aan de hand van het sociaal scorebord en het kader voor sociale convergentie;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quater.</w:t>
            </w:r>
            <w:r>
              <w:tab/>
            </w:r>
            <w:r>
              <w:rPr>
                <w:b/>
                <w:i/>
              </w:rPr>
              <w:t>overwegende dat een op de vier kinderen in de Europese Unie nog steeds het risico loopt op armoede en sociale uitsluiting, en overwegende dat de huidige trend niet zal leiden tot het behalen van de doelstelling om het aantal kinderen in armoede tegen 2030 met ten minste 5 miljoen te verminderen;</w:t>
            </w:r>
            <w:r>
              <w:t xml:space="preserve"> </w:t>
            </w:r>
            <w:r>
              <w:rPr>
                <w:b/>
                <w:i/>
              </w:rPr>
              <w:t>overwegende dat er aanzienlijke verschillen worden waargenomen tussen kinderen met een etnische of migrantenachtergrond en kinderen met een handicap;</w:t>
            </w:r>
            <w:r>
              <w:t xml:space="preserve"> </w:t>
            </w:r>
            <w:r>
              <w:rPr>
                <w:b/>
                <w:i/>
              </w:rPr>
              <w:t>overwegende dat 83 % van de Romakinderen woonde in huishoudens die met armoede worden bedreigd;</w:t>
            </w:r>
            <w:r>
              <w:t xml:space="preserve"> </w:t>
            </w:r>
            <w:r>
              <w:rPr>
                <w:b/>
                <w:i/>
              </w:rPr>
              <w:t>overwegende dat de Europese en nationale middelen die momenteel worden ingezet op geen enkele manier volstaan om de uitdaging van kinderarmoede in de EU aan te pakken en dat daarom zowel in het huidige als in het volgende meerjarig financieel kader een specifiek financieringsinstrument voor de Europese kindergarantie en synergieën met andere Europese en nationale fondsen van het grootste belang zijn;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quater.</w:t>
            </w:r>
            <w:r>
              <w:tab/>
            </w:r>
            <w:r>
              <w:rPr>
                <w:b/>
                <w:i/>
              </w:rPr>
              <w:t>overwegende dat het kader voor sociale convergentie een belangrijk instrument is voor het beoordelen van sociale uitdagingen en opwaartse convergentie binnen het Europees Semester en voor het monitoren van sociale verschillen tussen de lidstaten;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quinquies.</w:t>
            </w:r>
            <w:r>
              <w:tab/>
            </w:r>
            <w:r>
              <w:rPr>
                <w:b/>
                <w:i/>
              </w:rPr>
              <w:t>overwegende dat overheidsuitgaven voor kinderen en jongeren niet alleen als sociale uitgaven moeten worden beschouwd, maar ook als een investering in de toekomst;</w:t>
            </w:r>
            <w:r>
              <w:t xml:space="preserve"> </w:t>
            </w:r>
            <w:r>
              <w:rPr>
                <w:b/>
                <w:i/>
              </w:rPr>
              <w:t>overwegende dat sociale investeringen ten behoeve van kinderen leiden tot beter onderwijs en betere vooruitzichten op werk, wat weer een positieve uitwerking heeft op economische indicatoren;</w:t>
            </w:r>
            <w:r>
              <w:t xml:space="preserve"> </w:t>
            </w:r>
            <w:r>
              <w:rPr>
                <w:b/>
                <w:i/>
              </w:rPr>
              <w:t>overwegende dat kinderen die het meest baat hebben bij het volgen van voor- en vroegschoolse educatie en opvang (ECEC), zoals kinderen uit kansarme milieus, er het minst aan deelnemen en nog steeds belemmeringen ondervinden bij de toegang daartoe;</w:t>
            </w:r>
            <w:r>
              <w:t xml:space="preserve"> </w:t>
            </w:r>
            <w:r>
              <w:rPr>
                <w:b/>
                <w:i/>
              </w:rPr>
              <w:t>overwegende dat de EU, om de Barcelona-doelstellingen voor ECEC van 2030 te halen, nog eens 11 miljard EUR per jaar</w:t>
            </w:r>
            <w:r>
              <w:rPr>
                <w:b/>
                <w:i/>
                <w:vertAlign w:val="superscript"/>
              </w:rPr>
              <w:t>4 bis</w:t>
            </w:r>
            <w:r>
              <w:t xml:space="preserve"> </w:t>
            </w:r>
            <w:r>
              <w:rPr>
                <w:b/>
                <w:i/>
              </w:rPr>
              <w:t>moet investeren;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 bis</w:t>
            </w:r>
            <w:r>
              <w:t xml:space="preserve"> </w:t>
            </w:r>
            <w:r>
              <w:rPr>
                <w:b/>
                <w:i/>
              </w:rPr>
              <w:t>Employment and Social Developments in Europe (ESDE) 2024, Europese Commissie, September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quinquies.</w:t>
            </w:r>
            <w:r>
              <w:tab/>
            </w:r>
            <w:r>
              <w:rPr>
                <w:b/>
                <w:i/>
              </w:rPr>
              <w:t>overwegende dat het aanpakken van de uitdagingen die in het gezamenlijk verslag over de werkgelegenheid zijn vastgesteld, zal bijdragen tot de verwezenlijking van opwaartse sociale convergentie, eerlijke groene en digitale transities zal ondersteunen, demografische verandering zal opvangen en zal bijdragen tot de verwezenlijking van de duurzameontwikkelingsdoelstellingen;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sexies.</w:t>
            </w:r>
            <w:r>
              <w:tab/>
            </w:r>
            <w:r>
              <w:rPr>
                <w:b/>
                <w:i/>
              </w:rPr>
              <w:t>overwegende dat in de EU nog altijd 1,4 miljoen mensen in instellingen verblijven;</w:t>
            </w:r>
            <w:r>
              <w:t xml:space="preserve"> </w:t>
            </w:r>
            <w:r>
              <w:rPr>
                <w:b/>
                <w:i/>
              </w:rPr>
              <w:t>overwegende dat bewoners van instellingen geïsoleerd zijn van de bredere gemeenschap en onvoldoende controle hebben over hun leven en de beslissingen die hen aangaan;</w:t>
            </w:r>
            <w:r>
              <w:t xml:space="preserve"> </w:t>
            </w:r>
            <w:r>
              <w:rPr>
                <w:b/>
                <w:i/>
              </w:rPr>
              <w:t>overwegende dat de Europese Unie zich al geruime tijd inzet voor het proces van de-institutionalisering, maar dat er zowel op Europees als op nationaal niveau nog steeds inspanningen nodig zijn om kwetsbare groepen in staat te stellen zelfstandig in een gemeenschapsomgeving te leven;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sexies.</w:t>
            </w:r>
            <w:r>
              <w:tab/>
            </w:r>
            <w:r>
              <w:rPr>
                <w:b/>
                <w:i/>
              </w:rPr>
              <w:t>overwegende dat het percentage zelfstandigen afneemt, ook onder jongeren, en dat laagwaardige banen onder zelfstandigen onevenredig wijdverbreid zijn;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overwegende dat demografische uitdagingen, waaronder vergrijzing, lage geboortecijfers en ontvolking van het platteland, </w:t>
            </w:r>
            <w:r>
              <w:rPr>
                <w:b/>
                <w:i/>
              </w:rPr>
              <w:t>de houdbaarheid</w:t>
            </w:r>
            <w:r>
              <w:t xml:space="preserve"> van de </w:t>
            </w:r>
            <w:r>
              <w:rPr>
                <w:b/>
                <w:i/>
              </w:rPr>
              <w:t>socialezekerheidsstelsels ernstig in gevaar brengen en daarom</w:t>
            </w:r>
            <w:r>
              <w:t xml:space="preserve"> een structurele uitdaging </w:t>
            </w:r>
            <w:r>
              <w:rPr>
                <w:b/>
                <w:i/>
              </w:rPr>
              <w:t>vormen</w:t>
            </w:r>
            <w:r>
              <w:t xml:space="preserve"> voor de economie van de EU</w:t>
            </w:r>
            <w:r>
              <w:rPr>
                <w:b/>
                <w:i/>
              </w:rPr>
              <w:t>, en</w:t>
            </w:r>
            <w:r>
              <w:t xml:space="preserve"> overwegende dat, zoals in het rapport Draghi wordt benadrukt, duurzame groei in Europa </w:t>
            </w:r>
            <w:r>
              <w:rPr>
                <w:b/>
                <w:i/>
              </w:rPr>
              <w:t>alleen mogelijk is als</w:t>
            </w:r>
            <w:r>
              <w:t xml:space="preserve"> de actieve bevolking </w:t>
            </w:r>
            <w:r>
              <w:rPr>
                <w:b/>
                <w:i/>
              </w:rPr>
              <w:t>deelneemt</w:t>
            </w:r>
            <w:r>
              <w:t xml:space="preserve"> aan de arbeidsmarkt en </w:t>
            </w:r>
            <w:r>
              <w:rPr>
                <w:b/>
                <w:i/>
              </w:rPr>
              <w:t>als er</w:t>
            </w:r>
            <w:r>
              <w:t xml:space="preserve"> een degelijk socialezekerheidsstelsel </w:t>
            </w:r>
            <w:r>
              <w:rPr>
                <w:b/>
                <w:i/>
              </w:rPr>
              <w:t>is</w:t>
            </w:r>
            <w:r>
              <w:t>;</w:t>
            </w:r>
          </w:p>
        </w:tc>
        <w:tc>
          <w:tcPr>
            <w:tcW w:w="4876" w:type="dxa"/>
            <w:tcBorders>
              <w:top w:val="nil"/>
              <w:left w:val="nil"/>
              <w:bottom w:val="nil"/>
              <w:right w:val="nil"/>
            </w:tcBorders>
          </w:tcPr>
          <w:p>
            <w:pPr>
              <w:pStyle w:val="Normal6a"/>
            </w:pPr>
            <w:r>
              <w:t>B.</w:t>
            </w:r>
            <w:r>
              <w:tab/>
            </w:r>
            <w:r>
              <w:t xml:space="preserve">overwegende dat demografische uitdagingen, waaronder vergrijzing, lage geboortecijfers en ontvolking van het platteland, </w:t>
            </w:r>
            <w:r>
              <w:rPr>
                <w:b/>
                <w:i/>
              </w:rPr>
              <w:t>grote gevolgen hebben voor de omvang van de beroepsbevolking, de productiviteit</w:t>
            </w:r>
            <w:r>
              <w:t xml:space="preserve"> van de </w:t>
            </w:r>
            <w:r>
              <w:rPr>
                <w:b/>
                <w:i/>
              </w:rPr>
              <w:t>EU, de arbeidsmarkten, die een historisch hoog tekort aan arbeidskrachten en vaardigheden vertonen, en de daaruit voortvloeiende houdbaarheid, hetgeen</w:t>
            </w:r>
            <w:r>
              <w:t xml:space="preserve"> een structurele uitdaging </w:t>
            </w:r>
            <w:r>
              <w:rPr>
                <w:b/>
                <w:i/>
              </w:rPr>
              <w:t>vormt</w:t>
            </w:r>
            <w:r>
              <w:t xml:space="preserve"> voor de economie van de EU</w:t>
            </w:r>
            <w:r>
              <w:rPr>
                <w:b/>
                <w:i/>
              </w:rPr>
              <w:t>;</w:t>
            </w:r>
            <w:r>
              <w:t xml:space="preserve"> overwegende dat, zoals in het rapport Draghi wordt benadrukt, duurzame groei </w:t>
            </w:r>
            <w:r>
              <w:rPr>
                <w:b/>
                <w:i/>
              </w:rPr>
              <w:t>en concurrentievermogen</w:t>
            </w:r>
            <w:r>
              <w:t xml:space="preserve"> in Europa </w:t>
            </w:r>
            <w:r>
              <w:rPr>
                <w:b/>
                <w:i/>
              </w:rPr>
              <w:t>in grote mate afhankelijk zijn van de aanpassing van de onderwijs- en opleidingsstelsels aan de veranderende behoeften aan vaardigheden, waarbij prioriteit wordt gegeven aan volwasseneneducatie en beroepsonderwijs en -opleiding, de deelname van</w:t>
            </w:r>
            <w:r>
              <w:t xml:space="preserve"> de actieve bevolking aan de arbeidsmarkt en een degelijk socialezekerheidsstelsel </w:t>
            </w:r>
            <w:r>
              <w:rPr>
                <w:b/>
                <w:i/>
              </w:rPr>
              <w:t>dat sterke openbare diensten biedt;</w:t>
            </w:r>
            <w:r>
              <w:t xml:space="preserve"> </w:t>
            </w:r>
            <w:r>
              <w:rPr>
                <w:b/>
                <w:i/>
              </w:rPr>
              <w:t>overwegende dat investeringen uit het ESF + in actief arbeidsmarktbeleid naar verwachting de werkgelegenheid na de investeringsperiode zullen doen toenemen, met name voor lagere inkomensgroepen</w:t>
            </w:r>
            <w:r>
              <w:rPr>
                <w:b/>
                <w:i/>
                <w:vertAlign w:val="superscript"/>
              </w:rPr>
              <w:t>5 bis</w:t>
            </w:r>
            <w:r>
              <w:rPr>
                <w:b/>
                <w:i/>
              </w:rPr>
              <w:t>;</w:t>
            </w:r>
            <w:r>
              <w:t xml:space="preserve"> </w:t>
            </w:r>
            <w:r>
              <w:rPr>
                <w:b/>
                <w:i/>
              </w:rPr>
              <w:t>overwegende dat de beroepsbevolking van de EU tegen 2030 naar verwachting met 7 miljoen werknemers</w:t>
            </w:r>
            <w:r>
              <w:rPr>
                <w:b/>
                <w:i/>
                <w:vertAlign w:val="superscript"/>
              </w:rPr>
              <w:t>6 bis</w:t>
            </w:r>
            <w:r>
              <w:t xml:space="preserve"> </w:t>
            </w:r>
            <w:r>
              <w:rPr>
                <w:b/>
                <w:i/>
              </w:rPr>
              <w:t>zal krimpen en tegen 2050 naar verwachting nog verder zal afnemen met 35 miljoen mensen</w:t>
            </w:r>
            <w:r>
              <w:rPr>
                <w:b/>
                <w:i/>
                <w:vertAlign w:val="superscript"/>
              </w:rPr>
              <w:t>7 bis</w:t>
            </w:r>
            <w:r>
              <w:rPr>
                <w:b/>
                <w:i/>
              </w:rPr>
              <w:t>, wat erop wijst dat legale arbeidsmigratie nodig zal zijn om de Europese beroepsbevolking aan te vullen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 bis</w:t>
            </w:r>
            <w:r>
              <w:t xml:space="preserve"> </w:t>
            </w:r>
            <w:r>
              <w:rPr>
                <w:b/>
                <w:i/>
              </w:rPr>
              <w:t>Employment and Social Developments in Europe (ESDE) 2024, Europese Commissie, september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 bis</w:t>
            </w:r>
            <w:r>
              <w:t xml:space="preserve"> </w:t>
            </w:r>
            <w:r>
              <w:rPr>
                <w:b/>
                <w:i/>
              </w:rPr>
              <w:t>Employment and Social Developments in Europe (ESDE) 2023, Europese Commissie, juli 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 bis</w:t>
            </w:r>
            <w:r>
              <w:t xml:space="preserve"> </w:t>
            </w:r>
            <w:r>
              <w:rPr>
                <w:b/>
                <w:i/>
              </w:rPr>
              <w:t>Mededeling van de Commissie “Het benutten van talent in Europa’s regio’s” (COM (2023) 32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overwegende dat demografische uitdagingen, waaronder vergrijzing, lage geboortecijfers en ontvolking van het platteland, </w:t>
            </w:r>
            <w:r>
              <w:rPr>
                <w:b/>
                <w:i/>
              </w:rPr>
              <w:t>de houdbaarheid van de socialezekerheidsstelsels</w:t>
            </w:r>
            <w:r>
              <w:t xml:space="preserve"> ernstig in gevaar brengen en daarom een structurele uitdaging vormen voor de economie van de EU, en overwegende dat, zoals in het rapport Draghi wordt benadrukt, duurzame groei in Europa alleen mogelijk is als de actieve bevolking deelneemt aan de arbeidsmarkt en als er een degelijk socialezekerheidsstelsel is;</w:t>
            </w:r>
          </w:p>
        </w:tc>
        <w:tc>
          <w:tcPr>
            <w:tcW w:w="4876" w:type="dxa"/>
            <w:tcBorders>
              <w:top w:val="nil"/>
              <w:left w:val="nil"/>
              <w:bottom w:val="nil"/>
              <w:right w:val="nil"/>
            </w:tcBorders>
          </w:tcPr>
          <w:p>
            <w:pPr>
              <w:pStyle w:val="Normal6a"/>
            </w:pPr>
            <w:r>
              <w:t>B.</w:t>
            </w:r>
            <w:r>
              <w:tab/>
            </w:r>
            <w:r>
              <w:t xml:space="preserve">overwegende dat demografische uitdagingen, waaronder vergrijzing, lage geboortecijfers en ontvolking van het platteland, </w:t>
            </w:r>
            <w:r>
              <w:rPr>
                <w:b/>
                <w:i/>
              </w:rPr>
              <w:t>met name van jongeren die naar steden trekken, de economische levendigheid en aantrekkelijkheid van gebieden in de EU</w:t>
            </w:r>
            <w:r>
              <w:t xml:space="preserve"> ernstig in gevaar brengen en daarom een structurele uitdaging vormen voor de economie van de EU, en overwegende dat, zoals in het rapport Draghi wordt benadrukt, duurzame groei in Europa alleen mogelijk is </w:t>
            </w:r>
            <w:r>
              <w:rPr>
                <w:b/>
                <w:i/>
              </w:rPr>
              <w:t>als er sprake is van een sterk stelsel van sociale bescherming en toegankelijkheid van publieke diensten,</w:t>
            </w:r>
            <w:r>
              <w:t xml:space="preserve"> als de actieve bevolking deelneemt aan de arbeidsmarkt en als er een degelijk socialezekerheidsstelsel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overwegende dat demografische uitdagingen, waaronder vergrijzing, lage geboortecijfers en ontvolking van het platteland, de houdbaarheid van de socialezekerheidsstelsels ernstig in gevaar brengen en daarom een structurele uitdaging vormen voor de economie van de EU, en overwegende dat, zoals in het rapport Draghi wordt benadrukt, duurzame groei in Europa alleen mogelijk is als de actieve bevolking deelneemt aan de arbeidsmarkt en als er een degelijk socialezekerheidsstelsel is;</w:t>
            </w:r>
          </w:p>
        </w:tc>
        <w:tc>
          <w:tcPr>
            <w:tcW w:w="4876" w:type="dxa"/>
            <w:tcBorders>
              <w:top w:val="nil"/>
              <w:left w:val="nil"/>
              <w:bottom w:val="nil"/>
              <w:right w:val="nil"/>
            </w:tcBorders>
          </w:tcPr>
          <w:p>
            <w:pPr>
              <w:pStyle w:val="Normal6a"/>
            </w:pPr>
            <w:r>
              <w:t>B.</w:t>
            </w:r>
            <w:r>
              <w:tab/>
            </w:r>
            <w:r>
              <w:t xml:space="preserve">overwegende dat demografische uitdagingen, waaronder vergrijzing, lage geboortecijfers en ontvolking van het platteland, de houdbaarheid van de socialezekerheidsstelsels ernstig in gevaar brengen en daarom een structurele uitdaging vormen voor de economie van de EU, en overwegende dat, zoals in het rapport Draghi wordt benadrukt, duurzame groei in Europa alleen mogelijk is als de actieve bevolking deelneemt aan de arbeidsmarkt en als er een degelijk socialezekerheidsstelsel is; </w:t>
            </w:r>
            <w:r>
              <w:rPr>
                <w:b/>
                <w:i/>
              </w:rPr>
              <w:t>overwegende dat in bepaalde sectoren sneller automatisering en robotisering moet worden toegepast om een drastische daling van de productiviteit als gevolg van een gebrek aan werknemers te voorkomen;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overwegende dat demografische uitdagingen, waaronder vergrijzing, lage geboortecijfers en ontvolking van het platteland, de houdbaarheid van de socialezekerheidsstelsels ernstig in gevaar brengen en daarom een structurele uitdaging vormen voor de economie van de EU</w:t>
            </w:r>
            <w:r>
              <w:rPr>
                <w:b/>
                <w:i/>
              </w:rPr>
              <w:t>, en</w:t>
            </w:r>
            <w:r>
              <w:t xml:space="preserve"> overwegende dat, zoals in het rapport Draghi wordt benadrukt, duurzame groei in Europa alleen mogelijk is als </w:t>
            </w:r>
            <w:r>
              <w:rPr>
                <w:b/>
                <w:i/>
              </w:rPr>
              <w:t>de</w:t>
            </w:r>
            <w:r>
              <w:t xml:space="preserve"> actieve bevolking deelneemt aan de arbeidsmarkt en als er een degelijk socialezekerheidsstelsel is;</w:t>
            </w:r>
          </w:p>
        </w:tc>
        <w:tc>
          <w:tcPr>
            <w:tcW w:w="4876" w:type="dxa"/>
            <w:tcBorders>
              <w:top w:val="nil"/>
              <w:left w:val="nil"/>
              <w:bottom w:val="nil"/>
              <w:right w:val="nil"/>
            </w:tcBorders>
          </w:tcPr>
          <w:p>
            <w:pPr>
              <w:pStyle w:val="Normal6a"/>
            </w:pPr>
            <w:r>
              <w:t>B.</w:t>
            </w:r>
            <w:r>
              <w:tab/>
            </w:r>
            <w:r>
              <w:t>overwegende dat demografische uitdagingen, waaronder vergrijzing, lage geboortecijfers en ontvolking van het platteland, de houdbaarheid van de socialezekerheidsstelsels ernstig in gevaar brengen en daarom een structurele uitdaging vormen voor de economie van de EU</w:t>
            </w:r>
            <w:r>
              <w:rPr>
                <w:b/>
                <w:i/>
              </w:rPr>
              <w:t>;</w:t>
            </w:r>
            <w:r>
              <w:t xml:space="preserve"> overwegende dat, zoals in het rapport Draghi wordt benadrukt, duurzame groei in Europa alleen mogelijk is als </w:t>
            </w:r>
            <w:r>
              <w:rPr>
                <w:b/>
                <w:i/>
              </w:rPr>
              <w:t>eerst de nationale</w:t>
            </w:r>
            <w:r>
              <w:t xml:space="preserve"> actieve bevolking </w:t>
            </w:r>
            <w:r>
              <w:rPr>
                <w:b/>
                <w:i/>
              </w:rPr>
              <w:t>en vervolgens de Europese bevolking</w:t>
            </w:r>
            <w:r>
              <w:t xml:space="preserve"> deelneemt aan de arbeidsmarkt en als er een degelijk socialezekerheidsstelsel is </w:t>
            </w:r>
            <w:r>
              <w:rPr>
                <w:b/>
                <w:i/>
              </w:rPr>
              <w:t>dat op geen enkele wijze in de plaats komt van nationale specifieke kenmerken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overwegende dat demografische uitdagingen, waaronder vergrijzing, lage geboortecijfers en ontvolking van het platteland, de houdbaarheid van de socialezekerheidsstelsels ernstig in gevaar brengen en daarom een structurele uitdaging vormen voor de economie van de EU, en overwegende dat, zoals in het rapport Draghi wordt benadrukt, duurzame groei in Europa alleen mogelijk is als de actieve bevolking deelneemt aan de arbeidsmarkt en als er een degelijk socialezekerheidsstelsel is;</w:t>
            </w:r>
          </w:p>
        </w:tc>
        <w:tc>
          <w:tcPr>
            <w:tcW w:w="4876" w:type="dxa"/>
            <w:tcBorders>
              <w:top w:val="nil"/>
              <w:left w:val="nil"/>
              <w:bottom w:val="nil"/>
              <w:right w:val="nil"/>
            </w:tcBorders>
          </w:tcPr>
          <w:p>
            <w:pPr>
              <w:pStyle w:val="Normal6a"/>
            </w:pPr>
            <w:r>
              <w:t>B.</w:t>
            </w:r>
            <w:r>
              <w:tab/>
            </w:r>
            <w:r>
              <w:t xml:space="preserve">overwegende dat demografische uitdagingen, waaronder vergrijzing, lage geboortecijfers en ontvolking van het platteland, de houdbaarheid van de socialezekerheidsstelsels ernstig in gevaar brengen en </w:t>
            </w:r>
            <w:r>
              <w:rPr>
                <w:b/>
                <w:i/>
              </w:rPr>
              <w:t>de regionale verschillen in de EU verder verergeren, en</w:t>
            </w:r>
            <w:r>
              <w:t xml:space="preserve"> daarom een structurele uitdaging vormen voor de economie van de EU, en overwegende dat, zoals in het rapport Draghi wordt benadrukt, duurzame groei in Europa alleen mogelijk is als de actieve bevolking deelneemt aan de arbeidsmarkt en als er een degelijk socialezekerheidsstelsel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overwegende dat demografische </w:t>
            </w:r>
            <w:r>
              <w:rPr>
                <w:b/>
                <w:i/>
              </w:rPr>
              <w:t>uitdagingen, waaronder vergrijzing, lage geboortecijfers</w:t>
            </w:r>
            <w:r>
              <w:t xml:space="preserve"> en ontvolking van het platteland</w:t>
            </w:r>
            <w:r>
              <w:rPr>
                <w:b/>
                <w:i/>
              </w:rPr>
              <w:t>,</w:t>
            </w:r>
            <w:r>
              <w:t xml:space="preserve"> de houdbaarheid van </w:t>
            </w:r>
            <w:r>
              <w:rPr>
                <w:b/>
                <w:i/>
              </w:rPr>
              <w:t>de</w:t>
            </w:r>
            <w:r>
              <w:t xml:space="preserve"> socialezekerheidsstelsels </w:t>
            </w:r>
            <w:r>
              <w:rPr>
                <w:b/>
                <w:i/>
              </w:rPr>
              <w:t>ernstig in gevaar brengen</w:t>
            </w:r>
            <w:r>
              <w:t xml:space="preserve"> en daarom een structurele uitdaging vormen voor de </w:t>
            </w:r>
            <w:r>
              <w:rPr>
                <w:b/>
                <w:i/>
              </w:rPr>
              <w:t>economie</w:t>
            </w:r>
            <w:r>
              <w:t xml:space="preserve"> van de </w:t>
            </w:r>
            <w:r>
              <w:rPr>
                <w:b/>
                <w:i/>
              </w:rPr>
              <w:t>EU</w:t>
            </w:r>
            <w:r>
              <w:t xml:space="preserve">, en overwegende dat, zoals in het rapport Draghi wordt benadrukt, duurzame groei in Europa alleen mogelijk is als </w:t>
            </w:r>
            <w:r>
              <w:rPr>
                <w:b/>
                <w:i/>
              </w:rPr>
              <w:t>de actieve bevolking deelneemt aan</w:t>
            </w:r>
            <w:r>
              <w:t xml:space="preserve"> de arbeidsmarkt en </w:t>
            </w:r>
            <w:r>
              <w:rPr>
                <w:b/>
                <w:i/>
              </w:rPr>
              <w:t>als er</w:t>
            </w:r>
            <w:r>
              <w:t xml:space="preserve"> een degelijk socialezekerheidsstelsel </w:t>
            </w:r>
            <w:r>
              <w:rPr>
                <w:b/>
                <w:i/>
              </w:rPr>
              <w:t>is</w:t>
            </w:r>
            <w:r>
              <w:t>;</w:t>
            </w:r>
          </w:p>
        </w:tc>
        <w:tc>
          <w:tcPr>
            <w:tcW w:w="4876" w:type="dxa"/>
            <w:tcBorders>
              <w:top w:val="nil"/>
              <w:left w:val="nil"/>
              <w:bottom w:val="nil"/>
              <w:right w:val="nil"/>
            </w:tcBorders>
          </w:tcPr>
          <w:p>
            <w:pPr>
              <w:pStyle w:val="Normal6a"/>
            </w:pPr>
            <w:r>
              <w:t>B.</w:t>
            </w:r>
            <w:r>
              <w:tab/>
            </w:r>
            <w:r>
              <w:t xml:space="preserve">overwegende dat demografische </w:t>
            </w:r>
            <w:r>
              <w:rPr>
                <w:b/>
                <w:i/>
              </w:rPr>
              <w:t>ontwikkelingen, een toegenomen levensduur</w:t>
            </w:r>
            <w:r>
              <w:t xml:space="preserve"> en ontvolking van het platteland </w:t>
            </w:r>
            <w:r>
              <w:rPr>
                <w:b/>
                <w:i/>
              </w:rPr>
              <w:t>van invloed zijn op</w:t>
            </w:r>
            <w:r>
              <w:t xml:space="preserve"> de houdbaarheid van socialezekerheidsstelsels </w:t>
            </w:r>
            <w:r>
              <w:rPr>
                <w:b/>
                <w:i/>
              </w:rPr>
              <w:t>en sociale diensten</w:t>
            </w:r>
            <w:r>
              <w:t xml:space="preserve"> en daarom een structurele uitdaging vormen voor de </w:t>
            </w:r>
            <w:r>
              <w:rPr>
                <w:b/>
                <w:i/>
              </w:rPr>
              <w:t>EU op het gebied</w:t>
            </w:r>
            <w:r>
              <w:t xml:space="preserve"> van de </w:t>
            </w:r>
            <w:r>
              <w:rPr>
                <w:b/>
                <w:i/>
              </w:rPr>
              <w:t>economie</w:t>
            </w:r>
            <w:r>
              <w:t xml:space="preserve">, en overwegende dat, zoals in het rapport Draghi wordt benadrukt, duurzame groei in Europa alleen mogelijk is als </w:t>
            </w:r>
            <w:r>
              <w:rPr>
                <w:b/>
                <w:i/>
              </w:rPr>
              <w:t>er sprake is van een daadwerkelijke en eerlijke integratie op</w:t>
            </w:r>
            <w:r>
              <w:t xml:space="preserve"> de arbeidsmarkt en </w:t>
            </w:r>
            <w:r>
              <w:rPr>
                <w:b/>
                <w:i/>
              </w:rPr>
              <w:t>van</w:t>
            </w:r>
            <w:r>
              <w:t xml:space="preserve"> een degelijk socialezekerheidsstelsel;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overwegende dat, zoals in het rapport Draghi wordt benadrukt, migrerende werknemers een belangrijke factor zijn geweest bij het verminderen van het tekort aan arbeidskrachten en vaker werken in beroepen met aanhoudende tekorten dan werknemers die in de EU zijn geboren;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overwegende dat 70 % van de werknemers in Europa hoogwaardige banen heeft, terwijl 30 % onder druk staat in banen waar de vraag groter is dan de middelen die beschikbaar zijn om de tekorten op te vangen, wat leidt tot een over het algemeen slechte kwaliteit van de banen.</w:t>
            </w:r>
            <w:r>
              <w:t xml:space="preserve"> </w:t>
            </w:r>
            <w:r>
              <w:rPr>
                <w:b/>
                <w:i/>
              </w:rPr>
              <w:t>In veel beroepen die kampen met een aanhoudend tekort aan arbeidskrachten is het aandeel banen van lage kwaliteit hoger dan 30 %;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overwegende dat in het rapport Letta wordt gewezen op het dalende geboortecijfer en op het belang van het creëren van een kader ter ondersteuning van alle </w:t>
            </w:r>
            <w:r>
              <w:rPr>
                <w:b/>
                <w:i/>
              </w:rPr>
              <w:t>gezinnen</w:t>
            </w:r>
            <w:r>
              <w:t xml:space="preserve"> als onderdeel van een strategie voor inclusieve groei, en dat de noodzaak wordt benadrukt om een beleid na te streven dat het mogelijk maakt om gezin, werk en privéleven met elkaar in evenwicht te brengen;</w:t>
            </w:r>
          </w:p>
        </w:tc>
        <w:tc>
          <w:tcPr>
            <w:tcW w:w="4876" w:type="dxa"/>
            <w:tcBorders>
              <w:top w:val="nil"/>
              <w:left w:val="nil"/>
              <w:bottom w:val="nil"/>
              <w:right w:val="nil"/>
            </w:tcBorders>
          </w:tcPr>
          <w:p>
            <w:pPr>
              <w:pStyle w:val="Normal6a"/>
            </w:pPr>
            <w:r>
              <w:t>C.</w:t>
            </w:r>
            <w:r>
              <w:tab/>
            </w:r>
            <w:r>
              <w:t xml:space="preserve">overwegende dat in het rapport Letta wordt gewezen op het dalende geboortecijfer en op het belang van het creëren van een kader ter </w:t>
            </w:r>
            <w:r>
              <w:rPr>
                <w:b/>
                <w:i/>
              </w:rPr>
              <w:t>bevordering van gendergelijkheid en ter</w:t>
            </w:r>
            <w:r>
              <w:t xml:space="preserve"> ondersteuning van alle </w:t>
            </w:r>
            <w:r>
              <w:rPr>
                <w:b/>
                <w:i/>
              </w:rPr>
              <w:t>gezinsvormen en personen, waaronder alleenstaande ouders,</w:t>
            </w:r>
            <w:r>
              <w:t xml:space="preserve"> als onderdeel van een strategie voor inclusieve groei, en dat de noodzaak wordt benadrukt om een beleid na te streven dat het mogelijk maakt om gezin, werk en privéleven met elkaar in evenwicht te brengen </w:t>
            </w:r>
            <w:r>
              <w:rPr>
                <w:b/>
                <w:i/>
              </w:rPr>
              <w:t>en dat toegankelijke en professionele zorgstelsels waarborgt, evenals hoogwaardig openbaar onderwijs, verlof om gezinsredenen en flexibele werkregelingen in overeenstemming met de Europese zorgstrategie;</w:t>
            </w:r>
            <w:r>
              <w:t xml:space="preserve"> </w:t>
            </w:r>
            <w:r>
              <w:rPr>
                <w:b/>
                <w:i/>
              </w:rPr>
              <w:t>overwegende dat Eurostat wijst op de toename van de EU-bevolking als gevolg van migratie en de noodzaak om meer inspanningen te leveren voor de integratie van migranten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overwegende dat in het rapport Letta wordt gewezen op </w:t>
            </w:r>
            <w:r>
              <w:rPr>
                <w:b/>
                <w:i/>
              </w:rPr>
              <w:t>het dalende geboortecijfer en op het belang van het creëren van een kader ter ondersteuning van alle gezinnen als onderdeel van een strategie voor</w:t>
            </w:r>
            <w:r>
              <w:t xml:space="preserve"> inclusieve groei</w:t>
            </w:r>
            <w:r>
              <w:rPr>
                <w:b/>
                <w:i/>
              </w:rPr>
              <w:t>, en dat de noodzaak wordt benadrukt om een beleid na te streven</w:t>
            </w:r>
            <w:r>
              <w:t xml:space="preserve"> dat het </w:t>
            </w:r>
            <w:r>
              <w:rPr>
                <w:b/>
                <w:i/>
              </w:rPr>
              <w:t>mogelijk maakt om gezin, werk en privéleven met elkaar in evenwicht te brengen</w:t>
            </w:r>
            <w:r>
              <w:t>;</w:t>
            </w:r>
          </w:p>
        </w:tc>
        <w:tc>
          <w:tcPr>
            <w:tcW w:w="4876" w:type="dxa"/>
            <w:tcBorders>
              <w:top w:val="nil"/>
              <w:left w:val="nil"/>
              <w:bottom w:val="nil"/>
              <w:right w:val="nil"/>
            </w:tcBorders>
          </w:tcPr>
          <w:p>
            <w:pPr>
              <w:pStyle w:val="Normal6a"/>
            </w:pPr>
            <w:r>
              <w:t>C.</w:t>
            </w:r>
            <w:r>
              <w:tab/>
            </w:r>
            <w:r>
              <w:t xml:space="preserve">overwegende dat in het rapport Letta wordt gewezen op </w:t>
            </w:r>
            <w:r>
              <w:rPr>
                <w:b/>
                <w:i/>
              </w:rPr>
              <w:t>de noodzaak van een sterke sociale dimensie van de interne markt van de EU om grote economische en sociale onevenwichtigheden te voorkomen, welvaart te bevorderen, eerlijke kansen, werknemersrechten en sociale bescherming voor iedereen te waarborgen en tegelijkertijd bij te dragen tot</w:t>
            </w:r>
            <w:r>
              <w:t xml:space="preserve"> inclusieve groei </w:t>
            </w:r>
            <w:r>
              <w:rPr>
                <w:b/>
                <w:i/>
              </w:rPr>
              <w:t>en concurrentievermogen in overeenstemming met de pijler van sociale rechten;</w:t>
            </w:r>
            <w:r>
              <w:t xml:space="preserve"> </w:t>
            </w:r>
            <w:r>
              <w:rPr>
                <w:b/>
                <w:i/>
              </w:rPr>
              <w:t>overwegende dat in het rapport wordt opgemerkt</w:t>
            </w:r>
            <w:r>
              <w:t xml:space="preserve"> dat het </w:t>
            </w:r>
            <w:r>
              <w:rPr>
                <w:b/>
                <w:i/>
              </w:rPr>
              <w:t>vrije verkeer van personen de minst ontwikkelde van de vier vrijheden blijft en dat wordt gepleit voor het verminderen van belemmeringen voor beroepsmobiliteit binnen de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overwegende dat in het rapport Letta wordt gewezen op het dalende geboortecijfer </w:t>
            </w:r>
            <w:r>
              <w:rPr>
                <w:b/>
                <w:i/>
              </w:rPr>
              <w:t>en op</w:t>
            </w:r>
            <w:r>
              <w:t xml:space="preserve"> het belang van het creëren van een kader ter ondersteuning van </w:t>
            </w:r>
            <w:r>
              <w:rPr>
                <w:b/>
                <w:i/>
              </w:rPr>
              <w:t>alle gezinnen</w:t>
            </w:r>
            <w:r>
              <w:t xml:space="preserve"> als onderdeel van een strategie voor inclusieve groei, en </w:t>
            </w:r>
            <w:r>
              <w:rPr>
                <w:b/>
                <w:i/>
              </w:rPr>
              <w:t>dat de noodzaak</w:t>
            </w:r>
            <w:r>
              <w:t xml:space="preserve"> wordt benadrukt </w:t>
            </w:r>
            <w:r>
              <w:rPr>
                <w:b/>
                <w:i/>
              </w:rPr>
              <w:t>om een</w:t>
            </w:r>
            <w:r>
              <w:t xml:space="preserve"> beleid </w:t>
            </w:r>
            <w:r>
              <w:rPr>
                <w:b/>
                <w:i/>
              </w:rPr>
              <w:t>na te streven dat het mogelijk maakt om gezin,</w:t>
            </w:r>
            <w:r>
              <w:t xml:space="preserve"> werk en privéleven </w:t>
            </w:r>
            <w:r>
              <w:rPr>
                <w:b/>
                <w:i/>
              </w:rPr>
              <w:t>met elkaar in evenwicht te brengen</w:t>
            </w:r>
            <w:r>
              <w:t>;</w:t>
            </w:r>
          </w:p>
        </w:tc>
        <w:tc>
          <w:tcPr>
            <w:tcW w:w="4876" w:type="dxa"/>
            <w:tcBorders>
              <w:top w:val="nil"/>
              <w:left w:val="nil"/>
              <w:bottom w:val="nil"/>
              <w:right w:val="nil"/>
            </w:tcBorders>
          </w:tcPr>
          <w:p>
            <w:pPr>
              <w:pStyle w:val="Normal6a"/>
            </w:pPr>
            <w:r>
              <w:t>C.</w:t>
            </w:r>
            <w:r>
              <w:tab/>
            </w:r>
            <w:r>
              <w:t>overwegende dat in het rapport Letta wordt gewezen op het dalende geboortecijfer</w:t>
            </w:r>
            <w:r>
              <w:rPr>
                <w:b/>
                <w:i/>
              </w:rPr>
              <w:t>, waarbij</w:t>
            </w:r>
            <w:r>
              <w:t xml:space="preserve"> het belang </w:t>
            </w:r>
            <w:r>
              <w:rPr>
                <w:b/>
                <w:i/>
              </w:rPr>
              <w:t>wordt benadrukt</w:t>
            </w:r>
            <w:r>
              <w:t xml:space="preserve"> van het creëren van een kader ter ondersteuning van </w:t>
            </w:r>
            <w:r>
              <w:rPr>
                <w:b/>
                <w:i/>
              </w:rPr>
              <w:t>iedereen in onze samenlevingen tijdens deze ongekende crisis in verband met de kosten van levensonderhoud</w:t>
            </w:r>
            <w:r>
              <w:t xml:space="preserve"> als onderdeel van een strategie voor inclusieve groei, en wordt benadrukt </w:t>
            </w:r>
            <w:r>
              <w:rPr>
                <w:b/>
                <w:i/>
              </w:rPr>
              <w:t>dat</w:t>
            </w:r>
            <w:r>
              <w:t xml:space="preserve"> beleid </w:t>
            </w:r>
            <w:r>
              <w:rPr>
                <w:b/>
                <w:i/>
              </w:rPr>
              <w:t>inzake het evenwicht tussen</w:t>
            </w:r>
            <w:r>
              <w:t xml:space="preserve"> werk en privéleven </w:t>
            </w:r>
            <w:r>
              <w:rPr>
                <w:b/>
                <w:i/>
              </w:rPr>
              <w:t>voor iedereen moet worden bevorderd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overwegende dat in het rapport Letta wordt gewezen op het dalende geboortecijfer en op het belang van het creëren van een kader ter ondersteuning van alle gezinnen als onderdeel van een strategie voor inclusieve groei, en dat de noodzaak wordt benadrukt om een beleid na te streven dat het mogelijk maakt om gezin, werk en privéleven met elkaar in evenwicht te brengen;</w:t>
            </w:r>
          </w:p>
        </w:tc>
        <w:tc>
          <w:tcPr>
            <w:tcW w:w="4876" w:type="dxa"/>
            <w:tcBorders>
              <w:top w:val="nil"/>
              <w:left w:val="nil"/>
              <w:bottom w:val="nil"/>
              <w:right w:val="nil"/>
            </w:tcBorders>
          </w:tcPr>
          <w:p>
            <w:pPr>
              <w:pStyle w:val="Normal6a"/>
            </w:pPr>
            <w:r>
              <w:t>C.</w:t>
            </w:r>
            <w:r>
              <w:tab/>
            </w:r>
            <w:r>
              <w:t xml:space="preserve">overwegende dat in het rapport Letta wordt gewezen op het dalende geboortecijfer en op het belang van het creëren van een </w:t>
            </w:r>
            <w:r>
              <w:rPr>
                <w:b/>
                <w:i/>
              </w:rPr>
              <w:t>omvattend</w:t>
            </w:r>
            <w:r>
              <w:t xml:space="preserve"> kader ter ondersteuning van alle gezinnen als onderdeel van een strategie voor inclusieve groei, en dat de noodzaak wordt benadrukt om een beleid na te streven dat het mogelijk maakt om gezin, werk en privéleven met elkaar in evenwicht te brengen;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overwegende dat in het rapport Letta wordt gewezen op het dalende geboortecijfer en op het belang van het creëren van een kader ter ondersteuning van alle gezinnen als onderdeel van een strategie voor inclusieve groei, en dat de noodzaak wordt benadrukt om een beleid na te streven dat </w:t>
            </w:r>
            <w:r>
              <w:rPr>
                <w:b/>
                <w:i/>
              </w:rPr>
              <w:t>het mogelijk maakt om gezin, werk en privéleven met elkaar in evenwicht te brengen</w:t>
            </w:r>
            <w:r>
              <w:t>;</w:t>
            </w:r>
          </w:p>
        </w:tc>
        <w:tc>
          <w:tcPr>
            <w:tcW w:w="4876" w:type="dxa"/>
            <w:tcBorders>
              <w:top w:val="nil"/>
              <w:left w:val="nil"/>
              <w:bottom w:val="nil"/>
              <w:right w:val="nil"/>
            </w:tcBorders>
          </w:tcPr>
          <w:p>
            <w:pPr>
              <w:pStyle w:val="Normal6a"/>
            </w:pPr>
            <w:r>
              <w:t>C.</w:t>
            </w:r>
            <w:r>
              <w:tab/>
            </w:r>
            <w:r>
              <w:t xml:space="preserve">overwegende dat in het rapport Letta wordt gewezen op het dalende geboortecijfer en op het belang van het creëren van een kader ter ondersteuning van alle gezinnen </w:t>
            </w:r>
            <w:r>
              <w:rPr>
                <w:b/>
                <w:i/>
              </w:rPr>
              <w:t>van Europese burgers</w:t>
            </w:r>
            <w:r>
              <w:t xml:space="preserve"> als onderdeel van een strategie voor inclusieve groei, en dat de noodzaak wordt benadrukt om een beleid na te streven dat </w:t>
            </w:r>
            <w:r>
              <w:rPr>
                <w:b/>
                <w:i/>
              </w:rPr>
              <w:t>gezinsvriendelijk is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overwegende dat de bevordering van sterke, duurzame en inclusieve economische groei met het scheppen van banen, in overeenstemming met de aanbevelingen van het Europees Semester, alleen kan slagen als kinderen zelf kunnen bepalen hoe zij zich ontwikkelen en hun volledige (onderwijs)potentieel kunnen benutten om voorbereid te zijn op de toekomstige markt voor geschoolde arbeidskrachten, terwijl gelijke kansen en sociale cohesie worden bevorderd, en tegelijkertijd de gezondheids- en sociale ongelijkheden worden verminderd en de sociale inclusie en het welzijn van kinderen worden versterkt;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ter.</w:t>
            </w:r>
            <w:r>
              <w:tab/>
            </w:r>
            <w:r>
              <w:rPr>
                <w:b/>
                <w:i/>
              </w:rPr>
              <w:t>overwegende dat kinderen daartoe effectieve toegang moeten hebben tot basiszorgdiensten, zoals voor- en vroegschoolse educatie en opvang, onderwijs- en schoolactiviteiten en met name basisgezondheidszorg, door effectieve toegang tot gezonde voeding, waaronder ten minste één gezonde maaltijd per schooldag, om hun veerkracht op te bouwen;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quater.</w:t>
            </w:r>
            <w:r>
              <w:tab/>
            </w:r>
            <w:r>
              <w:rPr>
                <w:b/>
                <w:i/>
              </w:rPr>
              <w:t>overwegende dat gezinnen gericht moeten worden versterkt om te zorgen voor een betere ontwikkeling van toekomstige generaties;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quinquies.</w:t>
            </w:r>
            <w:r>
              <w:tab/>
            </w:r>
            <w:r>
              <w:rPr>
                <w:b/>
                <w:i/>
              </w:rPr>
              <w:t>overwegende dat aanzienlijke vooruitgang nodig is om armoede onder kinderen en hun gezinnen aan te pakken en bij te dragen tot de doelstelling om het aantal mensen dat aan armoede lijdt tegen 2030 met ten minste 15 miljoen te verminderen, waaronder ten minste 5 miljoen kinderen in alle lidstaten;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overwegende dat de lasten voor huishoudens </w:t>
            </w:r>
            <w:r>
              <w:rPr>
                <w:b/>
                <w:i/>
              </w:rPr>
              <w:t>zijn gestegen vanwege de inflatie</w:t>
            </w:r>
            <w:r>
              <w:t xml:space="preserve">, </w:t>
            </w:r>
            <w:r>
              <w:rPr>
                <w:b/>
                <w:i/>
              </w:rPr>
              <w:t>en</w:t>
            </w:r>
            <w:r>
              <w:t xml:space="preserve"> overwegende dat de huisvestingskosten </w:t>
            </w:r>
            <w:r>
              <w:rPr>
                <w:b/>
                <w:i/>
              </w:rPr>
              <w:t>en energiearmoede voor veel gezinnen nog steeds grote problemen zijn</w:t>
            </w:r>
            <w:r>
              <w:t>;</w:t>
            </w:r>
          </w:p>
        </w:tc>
        <w:tc>
          <w:tcPr>
            <w:tcW w:w="4876" w:type="dxa"/>
            <w:tcBorders>
              <w:top w:val="nil"/>
              <w:left w:val="nil"/>
              <w:bottom w:val="nil"/>
              <w:right w:val="nil"/>
            </w:tcBorders>
          </w:tcPr>
          <w:p>
            <w:pPr>
              <w:pStyle w:val="Normal6a"/>
            </w:pPr>
            <w:r>
              <w:t>D.</w:t>
            </w:r>
            <w:r>
              <w:tab/>
            </w:r>
            <w:r>
              <w:t xml:space="preserve">overwegende dat de </w:t>
            </w:r>
            <w:r>
              <w:rPr>
                <w:b/>
                <w:i/>
              </w:rPr>
              <w:t>hoge inflatiecijfers de kosten van levensonderhoud hebben doen toenemen en dat de</w:t>
            </w:r>
            <w:r>
              <w:t xml:space="preserve"> lasten voor huishoudens</w:t>
            </w:r>
            <w:r>
              <w:rPr>
                <w:b/>
                <w:i/>
              </w:rPr>
              <w:t>, huisvestingskosten, energiearmoede en sociale uitsluiting kritieke uitdagingen blijven in de EU</w:t>
            </w:r>
            <w:r>
              <w:t xml:space="preserve">, </w:t>
            </w:r>
            <w:r>
              <w:rPr>
                <w:b/>
                <w:i/>
              </w:rPr>
              <w:t>met name voor vrouwen, jongeren, kinderen, personen met een handicap, lhbti’ers, mensen met een migratieachtergrond en Roma, met aanzienlijke verschillen tussen en binnen de lidstaten en bevolkingsgroepen;</w:t>
            </w:r>
            <w:r>
              <w:t xml:space="preserve"> overwegende dat </w:t>
            </w:r>
            <w:r>
              <w:rPr>
                <w:b/>
                <w:i/>
              </w:rPr>
              <w:t>huisvesting onbetaalbaar wordt voor veel Europeanen in huishoudens waar</w:t>
            </w:r>
            <w:r>
              <w:t xml:space="preserve"> de huisvestingskosten </w:t>
            </w:r>
            <w:r>
              <w:rPr>
                <w:b/>
                <w:i/>
              </w:rPr>
              <w:t>40 % van het totale beschikbare inkomen uitmaken;</w:t>
            </w:r>
            <w:r>
              <w:t xml:space="preserve"> </w:t>
            </w:r>
            <w:r>
              <w:rPr>
                <w:b/>
                <w:i/>
              </w:rPr>
              <w:t>overwegende dat fatsoenlijke, hoogwaardige en betaalbare huisvesting, onder meer in de vorm van sociale huisvesting, een fundamentele voorwaarde is om gelijke kansen te waarborgen en armoede en/of sociale uitsluiting te bestrijden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overwegende dat de lasten voor huishoudens zijn gestegen vanwege de inflatie, </w:t>
            </w:r>
            <w:r>
              <w:rPr>
                <w:b/>
                <w:i/>
              </w:rPr>
              <w:t>en</w:t>
            </w:r>
            <w:r>
              <w:t xml:space="preserve"> overwegende dat de </w:t>
            </w:r>
            <w:r>
              <w:rPr>
                <w:b/>
                <w:i/>
              </w:rPr>
              <w:t>huisvestingskosten en energiearmoede voor veel gezinnen nog steeds</w:t>
            </w:r>
            <w:r>
              <w:t xml:space="preserve"> grote problemen </w:t>
            </w:r>
            <w:r>
              <w:rPr>
                <w:b/>
                <w:i/>
              </w:rPr>
              <w:t>zijn</w:t>
            </w:r>
            <w:r>
              <w:t>;</w:t>
            </w:r>
          </w:p>
        </w:tc>
        <w:tc>
          <w:tcPr>
            <w:tcW w:w="4876" w:type="dxa"/>
            <w:tcBorders>
              <w:top w:val="nil"/>
              <w:left w:val="nil"/>
              <w:bottom w:val="nil"/>
              <w:right w:val="nil"/>
            </w:tcBorders>
          </w:tcPr>
          <w:p>
            <w:pPr>
              <w:pStyle w:val="Normal6a"/>
            </w:pPr>
            <w:r>
              <w:t>D.</w:t>
            </w:r>
            <w:r>
              <w:tab/>
            </w:r>
            <w:r>
              <w:t xml:space="preserve">overwegende dat de lasten voor huishoudens </w:t>
            </w:r>
            <w:r>
              <w:rPr>
                <w:b/>
                <w:i/>
              </w:rPr>
              <w:t>en kmo's</w:t>
            </w:r>
            <w:r>
              <w:t xml:space="preserve"> zijn gestegen vanwege de inflatie, </w:t>
            </w:r>
            <w:r>
              <w:rPr>
                <w:b/>
                <w:i/>
              </w:rPr>
              <w:t>waardoor het risico op armoede en sociale uitsluiting is toegenomen;</w:t>
            </w:r>
            <w:r>
              <w:t xml:space="preserve"> overwegende dat de </w:t>
            </w:r>
            <w:r>
              <w:rPr>
                <w:b/>
                <w:i/>
              </w:rPr>
              <w:t>kosten van levensonderhoud, de beschikbaarheid en betaalbaarheid van huisvesting en energie- en vervoersarmoede</w:t>
            </w:r>
            <w:r>
              <w:t xml:space="preserve"> grote problemen </w:t>
            </w:r>
            <w:r>
              <w:rPr>
                <w:b/>
                <w:i/>
              </w:rPr>
              <w:t>blijven;</w:t>
            </w:r>
            <w:r>
              <w:t xml:space="preserve"> </w:t>
            </w:r>
            <w:r>
              <w:rPr>
                <w:b/>
                <w:i/>
              </w:rPr>
              <w:t>overwegende dat investeringen in sociale diensten en een groter woningaanbod, met inbegrip van sociale huisvesting, alsook huisvestingstoelagen, een belangrijke rol spelen bij het terugdringen van de armoede onder kwetsbare huishoudens en het verbeteren van de betaalbaarheid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overwegende dat de lasten voor huishoudens zijn gestegen vanwege de inflatie, en overwegende dat de huisvestingskosten en energiearmoede </w:t>
            </w:r>
            <w:r>
              <w:rPr>
                <w:b/>
                <w:i/>
              </w:rPr>
              <w:t>voor veel gezinnen nog steeds grote problemen zijn</w:t>
            </w:r>
            <w:r>
              <w:t>;</w:t>
            </w:r>
          </w:p>
        </w:tc>
        <w:tc>
          <w:tcPr>
            <w:tcW w:w="4876" w:type="dxa"/>
            <w:tcBorders>
              <w:top w:val="nil"/>
              <w:left w:val="nil"/>
              <w:bottom w:val="nil"/>
              <w:right w:val="nil"/>
            </w:tcBorders>
          </w:tcPr>
          <w:p>
            <w:pPr>
              <w:pStyle w:val="Normal6a"/>
            </w:pPr>
            <w:r>
              <w:t>D.</w:t>
            </w:r>
            <w:r>
              <w:tab/>
            </w:r>
            <w:r>
              <w:t xml:space="preserve">overwegende dat de lasten voor huishoudens zijn gestegen vanwege de inflatie, en overwegende dat de huisvestingskosten en energiearmoede </w:t>
            </w:r>
            <w:r>
              <w:rPr>
                <w:b/>
                <w:i/>
              </w:rPr>
              <w:t>in 2023 in de EU voor het tweede opeenvolgende jaar zijn toegenomen als gevolg van de hoge energiekosten, hetgeen actieve maatregelen van de lidstaten vereist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overwegende dat de lasten voor huishoudens zijn gestegen vanwege de inflatie, en overwegende dat de huisvestingskosten en energiearmoede voor veel gezinnen nog steeds grote problemen zijn;</w:t>
            </w:r>
          </w:p>
        </w:tc>
        <w:tc>
          <w:tcPr>
            <w:tcW w:w="4876" w:type="dxa"/>
            <w:tcBorders>
              <w:top w:val="nil"/>
              <w:left w:val="nil"/>
              <w:bottom w:val="nil"/>
              <w:right w:val="nil"/>
            </w:tcBorders>
          </w:tcPr>
          <w:p>
            <w:pPr>
              <w:pStyle w:val="Normal6a"/>
            </w:pPr>
            <w:r>
              <w:t>D.</w:t>
            </w:r>
            <w:r>
              <w:tab/>
            </w:r>
            <w:r>
              <w:t xml:space="preserve">overwegende dat de lasten voor huishoudens zijn gestegen vanwege de inflatie, </w:t>
            </w:r>
            <w:r>
              <w:rPr>
                <w:b/>
                <w:i/>
              </w:rPr>
              <w:t>met bijzonder negatieve gevolgen voor alleenstaande ouders, grote gezinnen, ouderen of personen met een handicap,</w:t>
            </w:r>
            <w:r>
              <w:t xml:space="preserve"> en overwegende dat de huisvestingskosten en energiearmoede voor veel gezinnen nog steeds grote problemen zijn;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overwegende dat de lasten voor huishoudens zijn gestegen vanwege de inflatie</w:t>
            </w:r>
            <w:r>
              <w:rPr>
                <w:b/>
                <w:i/>
              </w:rPr>
              <w:t>,</w:t>
            </w:r>
            <w:r>
              <w:t xml:space="preserve"> en overwegende dat </w:t>
            </w:r>
            <w:r>
              <w:rPr>
                <w:b/>
                <w:i/>
              </w:rPr>
              <w:t>de</w:t>
            </w:r>
            <w:r>
              <w:t xml:space="preserve"> huisvestingskosten en energiearmoede </w:t>
            </w:r>
            <w:r>
              <w:rPr>
                <w:b/>
                <w:i/>
              </w:rPr>
              <w:t>voor veel gezinnen</w:t>
            </w:r>
            <w:r>
              <w:t xml:space="preserve"> nog steeds grote problemen zijn;</w:t>
            </w:r>
          </w:p>
        </w:tc>
        <w:tc>
          <w:tcPr>
            <w:tcW w:w="4876" w:type="dxa"/>
            <w:tcBorders>
              <w:top w:val="nil"/>
              <w:left w:val="nil"/>
              <w:bottom w:val="nil"/>
              <w:right w:val="nil"/>
            </w:tcBorders>
          </w:tcPr>
          <w:p>
            <w:pPr>
              <w:pStyle w:val="Normal6a"/>
            </w:pPr>
            <w:r>
              <w:t>D.</w:t>
            </w:r>
            <w:r>
              <w:tab/>
            </w:r>
            <w:r>
              <w:t xml:space="preserve">overwegende dat de </w:t>
            </w:r>
            <w:r>
              <w:rPr>
                <w:b/>
                <w:i/>
              </w:rPr>
              <w:t>financiële</w:t>
            </w:r>
            <w:r>
              <w:t xml:space="preserve"> lasten voor huishoudens</w:t>
            </w:r>
            <w:r>
              <w:rPr>
                <w:b/>
                <w:i/>
              </w:rPr>
              <w:t>, met name de meest kwetsbare huishoudens,</w:t>
            </w:r>
            <w:r>
              <w:t xml:space="preserve"> zijn gestegen vanwege de inflatie en </w:t>
            </w:r>
            <w:r>
              <w:rPr>
                <w:b/>
                <w:i/>
              </w:rPr>
              <w:t>het gebrek aan herverdelingsbeleid;</w:t>
            </w:r>
            <w:r>
              <w:t xml:space="preserve"> overwegende dat huisvestingskosten en energiearmoede </w:t>
            </w:r>
            <w:r>
              <w:rPr>
                <w:b/>
                <w:i/>
              </w:rPr>
              <w:t>in de hele EU</w:t>
            </w:r>
            <w:r>
              <w:t xml:space="preserve"> nog steeds grote problemen zijn;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overwegende dat de lasten voor huishoudens zijn gestegen vanwege de inflatie, en overwegende dat de huisvestingskosten en energiearmoede voor veel gezinnen nog steeds grote problemen zijn;</w:t>
            </w:r>
          </w:p>
        </w:tc>
        <w:tc>
          <w:tcPr>
            <w:tcW w:w="4876" w:type="dxa"/>
            <w:tcBorders>
              <w:top w:val="nil"/>
              <w:left w:val="nil"/>
              <w:bottom w:val="nil"/>
              <w:right w:val="nil"/>
            </w:tcBorders>
          </w:tcPr>
          <w:p>
            <w:pPr>
              <w:pStyle w:val="Normal6a"/>
            </w:pPr>
            <w:r>
              <w:t>D.</w:t>
            </w:r>
            <w:r>
              <w:tab/>
            </w:r>
            <w:r>
              <w:t xml:space="preserve">overwegende dat de lasten voor huishoudens zijn gestegen vanwege de inflatie, en overwegende dat de huisvestingskosten en energiearmoede voor veel gezinnen nog steeds grote problemen zijn </w:t>
            </w:r>
            <w:r>
              <w:rPr>
                <w:b/>
                <w:i/>
              </w:rPr>
              <w:t>wanneer zij gepaard gaan met buitensporige normen op het gebied van huisvesting en energie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overwegende dat de structurele begrotingsplannen voor de middellange termijn begrotingstrajecten bevatten die bevestigen dat er een compromis aan het ontstaan is tussen een toename van de investeringen en een adequaat niveau van sociale uitgaven;</w:t>
            </w:r>
            <w:r>
              <w:t xml:space="preserve"> </w:t>
            </w:r>
            <w:r>
              <w:rPr>
                <w:b/>
                <w:i/>
              </w:rPr>
              <w:t>ze vertonen weinig samenhang tussen hervormingen en investeringen en overheidsinvesteringen en doelstellingen op het gebied van overheidsfinanciën;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overwegende dat ondanks een minimale vermindering van het aantal mensen dat het risico loopt op armoede of sociale uitsluiting in de EU in 2023, ongeveer 1 op de 5 nog steeds met deze uitdaging wordt geconfronteerd, met opvallende verschillen voor kinderen, jongeren en ouderen, personen met een handicap, lhbti, niet in de EU geboren personen en Romagemeenschappen;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ter.</w:t>
            </w:r>
            <w:r>
              <w:tab/>
            </w:r>
            <w:r>
              <w:rPr>
                <w:b/>
                <w:i/>
              </w:rPr>
              <w:t>overwegende dat Europese micro-, kleine en middelgrote ondernemingen voor specifieke uitdagingen staan, zoals concurrerend blijven met spelers uit derde landen, de productieniveaus handhaven met steeds hogere energiekosten en de nodige vaardigheden verwerven voor de groene en digitale transities;</w:t>
            </w:r>
            <w:r>
              <w:t xml:space="preserve"> </w:t>
            </w:r>
            <w:r>
              <w:rPr>
                <w:b/>
                <w:i/>
              </w:rPr>
              <w:t>overwegende dat zij financiële en technische ondersteuning nodig hebben om te voldoen aan de regelgevingsvereisten die verband houden met de kansen die de dubbele transitie biedt;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overwegende dat </w:t>
            </w:r>
            <w:r>
              <w:rPr>
                <w:b/>
                <w:i/>
              </w:rPr>
              <w:t>tekorten aan arbeidskrachten en vaardigheden</w:t>
            </w:r>
            <w:r>
              <w:t xml:space="preserve"> een probleem blijven op alle niveaus, dat nog verergerd wordt door een gebrek aan kandidaten voor cruciale functies in belangrijke sectoren zoals </w:t>
            </w:r>
            <w:r>
              <w:rPr>
                <w:b/>
                <w:i/>
              </w:rPr>
              <w:t>onderwijs, gezondheidszorg en de bouw</w:t>
            </w:r>
            <w:r>
              <w:t>, vooral in gebieden die getroffen zijn door ontvolking;</w:t>
            </w:r>
          </w:p>
        </w:tc>
        <w:tc>
          <w:tcPr>
            <w:tcW w:w="4876" w:type="dxa"/>
            <w:tcBorders>
              <w:top w:val="nil"/>
              <w:left w:val="nil"/>
              <w:bottom w:val="nil"/>
              <w:right w:val="nil"/>
            </w:tcBorders>
          </w:tcPr>
          <w:p>
            <w:pPr>
              <w:pStyle w:val="Normal6a"/>
            </w:pPr>
            <w:r>
              <w:t>E.</w:t>
            </w:r>
            <w:r>
              <w:tab/>
            </w:r>
            <w:r>
              <w:t xml:space="preserve">overwegende dat </w:t>
            </w:r>
            <w:r>
              <w:rPr>
                <w:b/>
                <w:i/>
              </w:rPr>
              <w:t>het gebrek aan aantrekkelijkheid en investeringen in hoogwaardige openbare diensten, slechte arbeidsomstandigheden en lage lonen</w:t>
            </w:r>
            <w:r>
              <w:t xml:space="preserve"> een probleem blijven op alle niveaus, dat nog verergerd wordt door een gebrek aan kandidaten voor cruciale functies in belangrijke sectoren zoals </w:t>
            </w:r>
            <w:r>
              <w:rPr>
                <w:b/>
                <w:i/>
              </w:rPr>
              <w:t>wetenschap en technologie</w:t>
            </w:r>
            <w:r>
              <w:t xml:space="preserve">, vooral in gebieden die getroffen zijn door ontvolking; </w:t>
            </w:r>
            <w:r>
              <w:rPr>
                <w:b/>
                <w:i/>
              </w:rPr>
              <w:t>overwegende dat het vermogen van de EU om toekomstige schokken, crises en meervoudige crises het hoofd te bieden en tegelijk de demografische, de digitale en de groene transitie in goede banen te leiden, in belangrijke mate zal afhangen van de omstandigheden waaronder essentiële werknemers hun werk kunnen verrichten;</w:t>
            </w:r>
            <w:r>
              <w:t xml:space="preserve"> </w:t>
            </w:r>
            <w:r>
              <w:rPr>
                <w:b/>
                <w:i/>
              </w:rPr>
              <w:t>overwegende dat het aanpakken van de tekorten en het behoud van alle soorten talenten fatsoenlijke arbeidsomstandigheden, toegang tot socialebeschermingsstelsels en mogelijkheden voor de ontwikkeling van vaardigheden die op de behoeften zijn afgestemd, vereisen;</w:t>
            </w:r>
            <w:r>
              <w:t xml:space="preserve"> </w:t>
            </w:r>
            <w:r>
              <w:rPr>
                <w:b/>
                <w:i/>
              </w:rPr>
              <w:t>overwegende dat het aanpakken van tekorten aan vaardigheden van cruciaal belang is om de digitale en groene transitie en inclusieve en duurzame groei te verwezenlijken en het concurrentievermogen van de EU te stimuleren;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overwegende dat tekorten aan arbeidskrachten en vaardigheden </w:t>
            </w:r>
            <w:r>
              <w:rPr>
                <w:b/>
                <w:i/>
              </w:rPr>
              <w:t>een probleem blijven op alle niveaus, dat</w:t>
            </w:r>
            <w:r>
              <w:t xml:space="preserve"> nog verergerd wordt door een gebrek aan kandidaten voor cruciale functies in belangrijke sectoren zoals onderwijs, gezondheidszorg </w:t>
            </w:r>
            <w:r>
              <w:rPr>
                <w:b/>
                <w:i/>
              </w:rPr>
              <w:t>en de bouw,</w:t>
            </w:r>
            <w:r>
              <w:t xml:space="preserve"> vooral in gebieden die getroffen zijn door ontvolking;</w:t>
            </w:r>
          </w:p>
        </w:tc>
        <w:tc>
          <w:tcPr>
            <w:tcW w:w="4876" w:type="dxa"/>
            <w:tcBorders>
              <w:top w:val="nil"/>
              <w:left w:val="nil"/>
              <w:bottom w:val="nil"/>
              <w:right w:val="nil"/>
            </w:tcBorders>
          </w:tcPr>
          <w:p>
            <w:pPr>
              <w:pStyle w:val="Normal6a"/>
            </w:pPr>
            <w:r>
              <w:t>E.</w:t>
            </w:r>
            <w:r>
              <w:tab/>
            </w:r>
            <w:r>
              <w:t xml:space="preserve">overwegende dat tekorten aan arbeidskrachten en vaardigheden </w:t>
            </w:r>
            <w:r>
              <w:rPr>
                <w:b/>
                <w:i/>
              </w:rPr>
              <w:t>worden gemeld door bedrijven van elke omvang en in alle sectoren, hetgeen</w:t>
            </w:r>
            <w:r>
              <w:t xml:space="preserve"> nog verergerd wordt door een gebrek aan kandidaten voor cruciale functies in belangrijke sectoren zoals onderwijs, gezondheidszorg</w:t>
            </w:r>
            <w:r>
              <w:rPr>
                <w:b/>
                <w:i/>
              </w:rPr>
              <w:t>, bouw, horeca, zorg, vervoer, wetenschapstechnologie en techniek,</w:t>
            </w:r>
            <w:r>
              <w:t xml:space="preserve">vooral in gebieden die getroffen zijn door ontvolking; </w:t>
            </w:r>
            <w:r>
              <w:rPr>
                <w:b/>
                <w:i/>
              </w:rPr>
              <w:t>overwegende dat de EU verschillende initiatieven heeft gelanceerd om de tekorten aan vaardigheden aan te pakken, zoals de Europese vaardighedenagenda, het pact voor vaardigheden, ALMA en de academies voor nettonultechnologie;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overwegende dat tekorten aan arbeidskrachten en vaardigheden een probleem blijven op alle niveaus, </w:t>
            </w:r>
            <w:r>
              <w:rPr>
                <w:b/>
                <w:i/>
              </w:rPr>
              <w:t>dat nog verergerd wordt door</w:t>
            </w:r>
            <w:r>
              <w:t xml:space="preserve"> een gebrek aan kandidaten voor cruciale functies in belangrijke sectoren zoals onderwijs, gezondheidszorg en de bouw, vooral in gebieden die getroffen zijn door ontvolking;</w:t>
            </w:r>
          </w:p>
        </w:tc>
        <w:tc>
          <w:tcPr>
            <w:tcW w:w="4876" w:type="dxa"/>
            <w:tcBorders>
              <w:top w:val="nil"/>
              <w:left w:val="nil"/>
              <w:bottom w:val="nil"/>
              <w:right w:val="nil"/>
            </w:tcBorders>
          </w:tcPr>
          <w:p>
            <w:pPr>
              <w:pStyle w:val="Normal6a"/>
            </w:pPr>
            <w:r>
              <w:t>E.</w:t>
            </w:r>
            <w:r>
              <w:tab/>
            </w:r>
            <w:r>
              <w:t xml:space="preserve">overwegende dat tekorten aan arbeidskrachten en vaardigheden </w:t>
            </w:r>
            <w:r>
              <w:rPr>
                <w:b/>
                <w:i/>
              </w:rPr>
              <w:t>als gevolg van moeilijke arbeidsomstandigheden, onaantrekkelijke lonen, een te beperkt aanbod van opleidingen, belemmeringen voor de toegang tot middelbaar en hoger onderwijs en het gebrek aan erkenning van vaardigheden en onderwijs</w:t>
            </w:r>
            <w:r>
              <w:t xml:space="preserve"> een probleem blijven op alle niveaus, </w:t>
            </w:r>
            <w:r>
              <w:rPr>
                <w:b/>
                <w:i/>
              </w:rPr>
              <w:t>met als gevolg</w:t>
            </w:r>
            <w:r>
              <w:t xml:space="preserve"> een gebrek aan kandidaten voor cruciale functies in belangrijke sectoren zoals onderwijs, gezondheidszorg en de bouw, vooral in gebieden die getroffen zijn door ontvolking;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overwegende dat tekorten aan arbeidskrachten en vaardigheden een probleem blijven op alle niveaus, </w:t>
            </w:r>
            <w:r>
              <w:rPr>
                <w:b/>
                <w:i/>
              </w:rPr>
              <w:t>dat nog verergerd wordt door</w:t>
            </w:r>
            <w:r>
              <w:t xml:space="preserve"> een gebrek aan kandidaten voor cruciale functies </w:t>
            </w:r>
            <w:r>
              <w:rPr>
                <w:b/>
                <w:i/>
              </w:rPr>
              <w:t>in belangrijke sectoren</w:t>
            </w:r>
            <w:r>
              <w:t xml:space="preserve"> zoals onderwijs, gezondheidszorg en de bouw, vooral in gebieden die getroffen zijn door ontvolking;</w:t>
            </w:r>
          </w:p>
        </w:tc>
        <w:tc>
          <w:tcPr>
            <w:tcW w:w="4876" w:type="dxa"/>
            <w:tcBorders>
              <w:top w:val="nil"/>
              <w:left w:val="nil"/>
              <w:bottom w:val="nil"/>
              <w:right w:val="nil"/>
            </w:tcBorders>
          </w:tcPr>
          <w:p>
            <w:pPr>
              <w:pStyle w:val="Normal6a"/>
            </w:pPr>
            <w:r>
              <w:t>E.</w:t>
            </w:r>
            <w:r>
              <w:tab/>
            </w:r>
            <w:r>
              <w:t xml:space="preserve">overwegende dat tekorten aan arbeidskrachten en vaardigheden een probleem blijven op alle niveaus, </w:t>
            </w:r>
            <w:r>
              <w:rPr>
                <w:b/>
                <w:i/>
              </w:rPr>
              <w:t>maar dat de deelname van volwassenen aan onderwijs en opleiding ver onder de EU-doelstelling bleef, met als gevolg</w:t>
            </w:r>
            <w:r>
              <w:t xml:space="preserve"> een gebrek aan kandidaten voor cruciale functies</w:t>
            </w:r>
            <w:r>
              <w:rPr>
                <w:b/>
                <w:i/>
              </w:rPr>
              <w:t>, met name in sectoren waar het moeilijk is om fysiek werk te vervangen,</w:t>
            </w:r>
            <w:r>
              <w:t xml:space="preserve"> zoals onderwijs, gezondheidszorg en de bouw, vooral in gebieden die getroffen zijn door ontvolking;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overwegende dat tekorten aan arbeidskrachten en vaardigheden een probleem blijven op alle niveaus, dat nog verergerd wordt door een gebrek aan kandidaten voor cruciale functies in belangrijke sectoren zoals onderwijs, gezondheidszorg en de bouw, vooral in gebieden die getroffen zijn door ontvolking;</w:t>
            </w:r>
          </w:p>
        </w:tc>
        <w:tc>
          <w:tcPr>
            <w:tcW w:w="4876" w:type="dxa"/>
            <w:tcBorders>
              <w:top w:val="nil"/>
              <w:left w:val="nil"/>
              <w:bottom w:val="nil"/>
              <w:right w:val="nil"/>
            </w:tcBorders>
          </w:tcPr>
          <w:p>
            <w:pPr>
              <w:pStyle w:val="Normal6a"/>
            </w:pPr>
            <w:r>
              <w:t>E.</w:t>
            </w:r>
            <w:r>
              <w:tab/>
            </w:r>
            <w:r>
              <w:t>overwegende dat tekorten aan arbeidskrachten en vaardigheden een probleem blijven op alle niveaus, dat nog verergerd wordt door een gebrek aan kandidaten voor cruciale functies in belangrijke sectoren zoals onderwijs, gezondheidszorg</w:t>
            </w:r>
            <w:r>
              <w:rPr>
                <w:b/>
                <w:i/>
              </w:rPr>
              <w:t>, zorg</w:t>
            </w:r>
            <w:r>
              <w:t xml:space="preserve"> en de bouw, vooral in gebieden die getroffen zijn door ontvolking;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overwegende dat </w:t>
            </w:r>
            <w:r>
              <w:rPr>
                <w:b/>
                <w:i/>
              </w:rPr>
              <w:t>tekorten aan arbeidskrachten en vaardigheden een probleem blijven op alle niveaus, dat nog verergerd wordt door een gebrek aan kandidaten voor</w:t>
            </w:r>
            <w:r>
              <w:t xml:space="preserve"> cruciale functies in belangrijke sectoren zoals onderwijs, gezondheidszorg en de bouw, vooral in gebieden die getroffen zijn door ontvolking;</w:t>
            </w:r>
          </w:p>
        </w:tc>
        <w:tc>
          <w:tcPr>
            <w:tcW w:w="4876" w:type="dxa"/>
            <w:tcBorders>
              <w:top w:val="nil"/>
              <w:left w:val="nil"/>
              <w:bottom w:val="nil"/>
              <w:right w:val="nil"/>
            </w:tcBorders>
          </w:tcPr>
          <w:p>
            <w:pPr>
              <w:pStyle w:val="Normal6a"/>
            </w:pPr>
            <w:r>
              <w:t>E.</w:t>
            </w:r>
            <w:r>
              <w:tab/>
            </w:r>
            <w:r>
              <w:t xml:space="preserve">overwegende dat </w:t>
            </w:r>
            <w:r>
              <w:rPr>
                <w:b/>
                <w:i/>
              </w:rPr>
              <w:t>een gebrek aan toereikende beloning en fatsoenlijke arbeidsomstandigheden aanzienlijk bijdragen tot tekorten aan arbeidskrachten en vaardigheden in</w:t>
            </w:r>
            <w:r>
              <w:t xml:space="preserve"> cruciale functies in belangrijke sectoren zoals onderwijs, gezondheidszorg en de bouw, vooral in gebieden die getroffen zijn door ontvolking;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overwegende dat het bevorderen van mobiliteit binnen de EU en het aantrekken van geschoolde werknemers uit derde landen tevens de eerbiediging en handhaving van arbeids- en sociale rechten waarborgen en onderdanen van derde landen die via legale migratieroutes de EU binnenkomen terecht laten komen in beroepen die te kampen hebben met tekorten, en dat dit ondersteund moet worden door een doeltreffend integratiebeleid, waarbij ernaar gestreefd moet worden om talenten uit de Unie te benutten;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overwegende dat geschoolde werknemers en toegang tot hoogwaardig onderwijs, beroepsonderwijs en -opleiding en een leven lang leren van cruciaal belang zijn om een duurzame en rechtvaardige dubbele transitie van de Europese economie te waarborgen;</w:t>
            </w:r>
            <w:r>
              <w:t xml:space="preserve"> </w:t>
            </w:r>
            <w:r>
              <w:rPr>
                <w:b/>
                <w:i/>
              </w:rPr>
              <w:t>overwegende dat alle werknemers, ook werknemers met een handicap, toegang moeten hebben tot programma’s voor bijscholing, omscholing en opleidingen, die bovendien op de behoeften en vaardigheden van de werknemers moeten worden afgestemd;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ter.</w:t>
            </w:r>
            <w:r>
              <w:tab/>
            </w:r>
            <w:r>
              <w:rPr>
                <w:b/>
                <w:i/>
              </w:rPr>
              <w:t>overwegende dat de gemiddelde score van het programma voor internationale studentenbeoordeling (PISA) voor de meting van basisvaardigheden (lezen, wiskunde en wetenschappen) van 15-jarigen in 2022 met 10 punten is gedaald ten opzichte van de laatste meting in 2018;</w:t>
            </w:r>
            <w:r>
              <w:t xml:space="preserve"> </w:t>
            </w:r>
            <w:r>
              <w:rPr>
                <w:b/>
                <w:i/>
              </w:rPr>
              <w:t>overwegende dat er vooral onder kansarme lerenden sprake is van ondermaatse prestaties, waaruit blijkt dat de ongelijkheid in het onderwijs toeneemt;</w:t>
            </w:r>
            <w:r>
              <w:t xml:space="preserve"> </w:t>
            </w:r>
            <w:r>
              <w:rPr>
                <w:b/>
                <w:i/>
              </w:rPr>
              <w:t>overwegende dat deze zorgwekkende verslechtering vraagt om hervormingen en investeringen in onderwijs en opleiding;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ter.</w:t>
            </w:r>
            <w:r>
              <w:tab/>
            </w:r>
            <w:r>
              <w:rPr>
                <w:b/>
                <w:i/>
              </w:rPr>
              <w:t>overwegende dat de loonkloof tussen mannen en vrouwen in de meeste EU-lidstaten nog steeds aanzienlijk is en dat zorgtaken een belangrijke factor zijn die vrouwen in deeltijd blijft belemmeren of tot uitsluiting van de arbeidsmarkt leidt, wat leidt tot een grotere arbeidsparticipatiekloof tussen mannen en vrouwen;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quater.</w:t>
            </w:r>
            <w:r>
              <w:tab/>
            </w:r>
            <w:r>
              <w:rPr>
                <w:b/>
                <w:i/>
              </w:rPr>
              <w:t>overwegende dat de groene en digitale transities sociaal rechtvaardig en inclusief voor iedereen moeten zijn en dat daarbij de kans moet worden gegrepen om hoogwaardige banen te scheppen, discriminatie op het werk aan te pakken, de rechten van werknemers te beschermen en de arbeidsnormen te verhogen;</w:t>
            </w:r>
            <w:r>
              <w:t xml:space="preserve"> </w:t>
            </w:r>
            <w:r>
              <w:rPr>
                <w:b/>
                <w:i/>
              </w:rPr>
              <w:t>overwegende dat het van essentieel belang is om het creëren van banen van goede kwaliteit, een degelijke sociale bescherming en gerichte investeringen in vaardigheden die aansluiten bij de opkomende arbeidsmogelijkheden in de groene en digitale sectoren te bevorderen, in combinatie met toelagen voor volwasseneneducatie om de toegang tot bijscholing en omscholing van goede kwaliteit voor iedereen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quinquies.</w:t>
            </w:r>
            <w:r>
              <w:tab/>
            </w:r>
            <w:r>
              <w:rPr>
                <w:b/>
                <w:i/>
              </w:rPr>
              <w:t>overwegende dat in het gezamenlijk verslag over de werkgelegenheid (JER) wordt gewezen op het recht om offline te zijn, met name in verband met telewerk, en wordt erkend dat dit recht een cruciale rol speelt bij het waarborgen van het evenwicht tussen werk en privéleven in een context van toenemende digitalisering en werken op afstand;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sexies.</w:t>
            </w:r>
            <w:r>
              <w:tab/>
            </w:r>
            <w:r>
              <w:rPr>
                <w:b/>
                <w:i/>
              </w:rPr>
              <w:t>overwegende dat verschillende sectoren, zoals de autoproductie en energie-intensieve industrieën, in 2024 voor uitdagingen kwamen te staan en dat bedrijven grootschalige herstructureringen hebben aangekondigd;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septies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septies.</w:t>
            </w:r>
            <w:r>
              <w:tab/>
            </w:r>
            <w:r>
              <w:rPr>
                <w:b/>
                <w:i/>
              </w:rPr>
              <w:t>overwegende dat er momenteel geen regelmatige gegevensverzameling op EU-niveau plaatsvindt met betrekking tot investeringen in en dekking van sociale diensten.</w:t>
            </w:r>
            <w:r>
              <w:t xml:space="preserve"> </w:t>
            </w:r>
            <w:r>
              <w:rPr>
                <w:b/>
                <w:i/>
              </w:rPr>
              <w:t>Het verzamelen van dergelijke gegevens is van cruciaal belang voor een empirisch onderbouwde analyse van nationaal sociaal beleid in het kader de analyse van het Europees Semester.</w:t>
            </w:r>
            <w:r>
              <w:t xml:space="preserve"> </w:t>
            </w:r>
            <w:r>
              <w:rPr>
                <w:b/>
                <w:i/>
              </w:rPr>
              <w:t>Dit moet worden uitgevoerd met behulp van gezamenlijk overeengekomen criteria en normen voor gegevensverzameling voor investeringen in en dekking van sociale diensten in de EU-lidstaten.</w:t>
            </w:r>
            <w:r>
              <w:t xml:space="preserve"> </w:t>
            </w:r>
            <w:r>
              <w:rPr>
                <w:b/>
                <w:i/>
              </w:rPr>
              <w:t>De index inzake sociale diensten van het Europees sociaal netwerk is een voorbeeld van hoe een dergelijke gegevensverzameling kan bijdragen aan de analyse van het Europees Semester.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octies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octies.</w:t>
            </w:r>
            <w:r>
              <w:tab/>
            </w:r>
            <w:r>
              <w:rPr>
                <w:b/>
                <w:i/>
              </w:rPr>
              <w:t>overwegende dat er verschillen zijn in de dekking van sociale diensten, waaronder langdurige zorg, kinderbescherming, steun voor slachtoffers van huiselijk geweld en dakloosheid, die via het Europees Semester moeten worden aangepakt;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Idoia Mendia, Alicia Homs Ginel, Isilda Gomes,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overwegende dat </w:t>
            </w:r>
            <w:r>
              <w:rPr>
                <w:b/>
                <w:i/>
              </w:rPr>
              <w:t>de crisis op het gebied van generatievernieuwing en de slechte</w:t>
            </w:r>
            <w:r>
              <w:t xml:space="preserve"> toegang tot </w:t>
            </w:r>
            <w:r>
              <w:rPr>
                <w:b/>
                <w:i/>
              </w:rPr>
              <w:t>openbare diensten hebben geleid tot een verhoogd</w:t>
            </w:r>
            <w:r>
              <w:t xml:space="preserve"> risico op armoede en sociale uitsluiting, met name onder kinderen en ouderen;</w:t>
            </w:r>
          </w:p>
        </w:tc>
        <w:tc>
          <w:tcPr>
            <w:tcW w:w="4876" w:type="dxa"/>
            <w:tcBorders>
              <w:top w:val="nil"/>
              <w:left w:val="nil"/>
              <w:bottom w:val="nil"/>
              <w:right w:val="nil"/>
            </w:tcBorders>
          </w:tcPr>
          <w:p>
            <w:pPr>
              <w:pStyle w:val="Normal6a"/>
            </w:pPr>
            <w:r>
              <w:t>F.</w:t>
            </w:r>
            <w:r>
              <w:tab/>
            </w:r>
            <w:r>
              <w:t xml:space="preserve">overwegende dat </w:t>
            </w:r>
            <w:r>
              <w:rPr>
                <w:b/>
                <w:i/>
              </w:rPr>
              <w:t>economische en sociale ongelijkheden en beperkte</w:t>
            </w:r>
            <w:r>
              <w:t xml:space="preserve"> toegang tot </w:t>
            </w:r>
            <w:r>
              <w:rPr>
                <w:b/>
                <w:i/>
              </w:rPr>
              <w:t>financiering en openbare diensten het</w:t>
            </w:r>
            <w:r>
              <w:t xml:space="preserve"> risico op armoede en sociale uitsluiting </w:t>
            </w:r>
            <w:r>
              <w:rPr>
                <w:b/>
                <w:i/>
              </w:rPr>
              <w:t>hebben vergroot</w:t>
            </w:r>
            <w:r>
              <w:t>, met name onder kinderen</w:t>
            </w:r>
            <w:r>
              <w:rPr>
                <w:b/>
                <w:i/>
              </w:rPr>
              <w:t>, eenoudergezinnen, jongeren</w:t>
            </w:r>
            <w:r>
              <w:t xml:space="preserve"> en ouderen </w:t>
            </w:r>
            <w:r>
              <w:rPr>
                <w:b/>
                <w:i/>
              </w:rPr>
              <w:t>en andere kwetsbare groepen zoals migranten, Roma, mensen die in ontvolkte gebieden wonen en personen met een handicap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overwegende dat </w:t>
            </w:r>
            <w:r>
              <w:rPr>
                <w:b/>
                <w:i/>
              </w:rPr>
              <w:t>de crisis op het gebied van generatievernieuwing en de slechte toegang tot openbare diensten hebben geleid tot een verhoogd risico op armoede en sociale uitsluiting, met name onder kinderen en ouderen</w:t>
            </w:r>
            <w:r>
              <w:t>;</w:t>
            </w:r>
          </w:p>
        </w:tc>
        <w:tc>
          <w:tcPr>
            <w:tcW w:w="4876" w:type="dxa"/>
            <w:tcBorders>
              <w:top w:val="nil"/>
              <w:left w:val="nil"/>
              <w:bottom w:val="nil"/>
              <w:right w:val="nil"/>
            </w:tcBorders>
          </w:tcPr>
          <w:p>
            <w:pPr>
              <w:pStyle w:val="Normal6a"/>
            </w:pPr>
            <w:r>
              <w:t>F.</w:t>
            </w:r>
            <w:r>
              <w:tab/>
            </w:r>
            <w:r>
              <w:t xml:space="preserve">overwegende dat </w:t>
            </w:r>
            <w:r>
              <w:rPr>
                <w:b/>
                <w:i/>
              </w:rPr>
              <w:t>een gebrek aan sociale investeringen het risico op armoede en sociale uitsluiting heeft vergroot, met name onder kinderen, eenoudergezinnen en ouderen;</w:t>
            </w:r>
            <w:r>
              <w:t xml:space="preserve"> </w:t>
            </w:r>
            <w:r>
              <w:rPr>
                <w:b/>
                <w:i/>
              </w:rPr>
              <w:t>overwegende dat dit fenomeen ook een deel van de beroepsbevolking treft, waarbij 1 op de 12 werknemers in 2023 in huishoudens woont die met armoede worden bedreigd;</w:t>
            </w:r>
            <w:r>
              <w:t xml:space="preserve"> </w:t>
            </w:r>
            <w:r>
              <w:rPr>
                <w:b/>
                <w:i/>
              </w:rPr>
              <w:t>overwegende dat een ambitieuze armoedebestrijdingsstrategie van de EU van essentieel belang zal zijn om deze trend om te buigen en antwoorden te bieden op het multidimensionale verschijnsel armoede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overwegende dat de crisis op het gebied van generatievernieuwing en de slechte toegang tot openbare diensten hebben geleid tot een verhoogd risico op armoede en sociale uitsluiting, met name onder kinderen </w:t>
            </w:r>
            <w:r>
              <w:rPr>
                <w:b/>
                <w:i/>
              </w:rPr>
              <w:t>en ouderen</w:t>
            </w:r>
            <w:r>
              <w:t>;</w:t>
            </w:r>
          </w:p>
        </w:tc>
        <w:tc>
          <w:tcPr>
            <w:tcW w:w="4876" w:type="dxa"/>
            <w:tcBorders>
              <w:top w:val="nil"/>
              <w:left w:val="nil"/>
              <w:bottom w:val="nil"/>
              <w:right w:val="nil"/>
            </w:tcBorders>
          </w:tcPr>
          <w:p>
            <w:pPr>
              <w:pStyle w:val="Normal6a"/>
            </w:pPr>
            <w:r>
              <w:t>F.</w:t>
            </w:r>
            <w:r>
              <w:tab/>
            </w:r>
            <w:r>
              <w:t xml:space="preserve">overwegende dat de crisis op het gebied van generatievernieuwing en de slechte toegang tot openbare diensten </w:t>
            </w:r>
            <w:r>
              <w:rPr>
                <w:b/>
                <w:i/>
              </w:rPr>
              <w:t>als gevolg van een gebrek aan duurzame langetermijnplanning op het gebied van huisvesting, infrastructuur en gemeenschapsontwikkeling,</w:t>
            </w:r>
            <w:r>
              <w:t xml:space="preserve"> hebben geleid tot een verhoogd risico op armoede en sociale uitsluiting, met name onder kinderen</w:t>
            </w:r>
            <w:r>
              <w:rPr>
                <w:b/>
                <w:i/>
              </w:rPr>
              <w:t>, ouderen en personen met een gemarginaliseerde achtergrond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overwegende dat de crisis op het gebied van generatievernieuwing en de slechte toegang tot openbare diensten hebben geleid tot een verhoogd risico op armoede en sociale uitsluiting, met name onder kinderen en ouderen;</w:t>
            </w:r>
          </w:p>
        </w:tc>
        <w:tc>
          <w:tcPr>
            <w:tcW w:w="4876" w:type="dxa"/>
            <w:tcBorders>
              <w:top w:val="nil"/>
              <w:left w:val="nil"/>
              <w:bottom w:val="nil"/>
              <w:right w:val="nil"/>
            </w:tcBorders>
          </w:tcPr>
          <w:p>
            <w:pPr>
              <w:pStyle w:val="Normal6a"/>
            </w:pPr>
            <w:r>
              <w:t>F.</w:t>
            </w:r>
            <w:r>
              <w:tab/>
            </w:r>
            <w:r>
              <w:t>overwegende dat de crisis op het gebied van generatievernieuwing en de slechte toegang tot openbare diensten hebben geleid tot een verhoogd risico op armoede en sociale uitsluiting, met name onder kinderen en ouderen</w:t>
            </w:r>
            <w:r>
              <w:rPr>
                <w:b/>
                <w:i/>
              </w:rPr>
              <w:t>, eenoudergezinnen en grote gezinnen, alsmede personen met een handicap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overwegende dat de </w:t>
            </w:r>
            <w:r>
              <w:rPr>
                <w:b/>
                <w:i/>
              </w:rPr>
              <w:t>crisis op het gebied van generatievernieuwing</w:t>
            </w:r>
            <w:r>
              <w:t xml:space="preserve"> en de </w:t>
            </w:r>
            <w:r>
              <w:rPr>
                <w:b/>
                <w:i/>
              </w:rPr>
              <w:t>slechte toegang tot</w:t>
            </w:r>
            <w:r>
              <w:t xml:space="preserve"> openbare diensten hebben geleid tot een verhoogd risico op armoede en sociale uitsluiting, met name onder kinderen </w:t>
            </w:r>
            <w:r>
              <w:rPr>
                <w:b/>
                <w:i/>
              </w:rPr>
              <w:t>en ouderen</w:t>
            </w:r>
            <w:r>
              <w:t>;</w:t>
            </w:r>
          </w:p>
        </w:tc>
        <w:tc>
          <w:tcPr>
            <w:tcW w:w="4876" w:type="dxa"/>
            <w:tcBorders>
              <w:top w:val="nil"/>
              <w:left w:val="nil"/>
              <w:bottom w:val="nil"/>
              <w:right w:val="nil"/>
            </w:tcBorders>
          </w:tcPr>
          <w:p>
            <w:pPr>
              <w:pStyle w:val="Normal6a"/>
            </w:pPr>
            <w:r>
              <w:t>F.</w:t>
            </w:r>
            <w:r>
              <w:tab/>
            </w:r>
            <w:r>
              <w:t xml:space="preserve">overwegende dat de </w:t>
            </w:r>
            <w:r>
              <w:rPr>
                <w:b/>
                <w:i/>
              </w:rPr>
              <w:t>demografische veranderingen, de slechte toegang tot</w:t>
            </w:r>
            <w:r>
              <w:t xml:space="preserve"> en de </w:t>
            </w:r>
            <w:r>
              <w:rPr>
                <w:b/>
                <w:i/>
              </w:rPr>
              <w:t>onderinvestering in</w:t>
            </w:r>
            <w:r>
              <w:t xml:space="preserve"> openbare diensten hebben geleid tot een verhoogd risico op armoede en sociale uitsluiting, met name onder kinderen</w:t>
            </w:r>
            <w:r>
              <w:rPr>
                <w:b/>
                <w:i/>
              </w:rPr>
              <w:t>, ouderen en kwetsbare groepen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overwegende dat in de Eurobarometer van april 2024 wordt benadrukt dat 88 % van de Europese burgers van mening is dat een sociaal Europa voor hen persoonlijk belangrijk is</w:t>
            </w:r>
            <w:r>
              <w:rPr>
                <w:b/>
                <w:i/>
                <w:vertAlign w:val="superscript"/>
              </w:rPr>
              <w:t>8 bis</w:t>
            </w:r>
            <w:r>
              <w:rPr>
                <w:b/>
                <w:i/>
              </w:rPr>
              <w:t>;</w:t>
            </w:r>
            <w:r>
              <w:t xml:space="preserve"> </w:t>
            </w:r>
            <w:r>
              <w:rPr>
                <w:b/>
                <w:i/>
              </w:rPr>
              <w:t>overwegende dat dit resultaat werd bevestigd door de Post-Electoral Survey 2024 van de EU, waarin de Europese burgers de stijgende prijzen en de kosten van levensonderhoud (42 %) en de economische situatie (41 %) als de belangrijkste thema’s noemden die hen ertoe hebben aangezet bij de laatste Europese verkiezingen te stemmen</w:t>
            </w:r>
            <w:r>
              <w:rPr>
                <w:b/>
                <w:i/>
                <w:vertAlign w:val="superscript"/>
              </w:rPr>
              <w:t>9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 bis</w:t>
            </w:r>
            <w:r>
              <w:t xml:space="preserve"> </w:t>
            </w:r>
            <w:r>
              <w:rPr>
                <w:b/>
                <w:i/>
              </w:rPr>
              <w:t>https://europa.eu/eurobarometer/surveys/detail/3187.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 bis</w:t>
            </w:r>
            <w:r>
              <w:t xml:space="preserve"> </w:t>
            </w:r>
            <w:r>
              <w:rPr>
                <w:b/>
                <w:i/>
              </w:rPr>
              <w:t>https://europa.eu/eurobarometer/surveys/detail/3292.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overwegende dat </w:t>
            </w:r>
            <w:r>
              <w:rPr>
                <w:b/>
                <w:i/>
              </w:rPr>
              <w:t>de</w:t>
            </w:r>
            <w:r>
              <w:t xml:space="preserve"> sociale vooruitgang in de EU </w:t>
            </w:r>
            <w:r>
              <w:rPr>
                <w:b/>
                <w:i/>
              </w:rPr>
              <w:t>moet worden bevorderd op een wijze die in overeenstemming is met de stabiliteitsdoelstellingen</w:t>
            </w:r>
            <w:r>
              <w:t xml:space="preserve"> van de </w:t>
            </w:r>
            <w:r>
              <w:rPr>
                <w:b/>
                <w:i/>
              </w:rPr>
              <w:t>criteria van Maastricht, waarbij ervoor moet worden gezorgd dat economische integratie de ongelijkheden</w:t>
            </w:r>
            <w:r>
              <w:t xml:space="preserve"> tussen generaties en </w:t>
            </w:r>
            <w:r>
              <w:rPr>
                <w:b/>
                <w:i/>
              </w:rPr>
              <w:t>regio’s niet verergert</w:t>
            </w:r>
            <w:r>
              <w:t>;</w:t>
            </w:r>
          </w:p>
        </w:tc>
        <w:tc>
          <w:tcPr>
            <w:tcW w:w="4876" w:type="dxa"/>
            <w:tcBorders>
              <w:top w:val="nil"/>
              <w:left w:val="nil"/>
              <w:bottom w:val="nil"/>
              <w:right w:val="nil"/>
            </w:tcBorders>
          </w:tcPr>
          <w:p>
            <w:pPr>
              <w:pStyle w:val="Normal6a"/>
            </w:pPr>
            <w:r>
              <w:t>G.</w:t>
            </w:r>
            <w:r>
              <w:tab/>
            </w:r>
            <w:r>
              <w:t xml:space="preserve">overwegende dat sociale vooruitgang in de EU </w:t>
            </w:r>
            <w:r>
              <w:rPr>
                <w:b/>
                <w:i/>
              </w:rPr>
              <w:t>overeenkomstig artikel 3 VEU een van de doelstellingen is van een sociale markteconomie met een groot concurrentievermogen, volledige werkgelegenheid, een hoog niveau van bescherming en verbetering</w:t>
            </w:r>
            <w:r>
              <w:t xml:space="preserve"> van de </w:t>
            </w:r>
            <w:r>
              <w:rPr>
                <w:b/>
                <w:i/>
              </w:rPr>
              <w:t>kwaliteit van het milieu;</w:t>
            </w:r>
            <w:r>
              <w:t xml:space="preserve"> </w:t>
            </w:r>
            <w:r>
              <w:rPr>
                <w:b/>
                <w:i/>
              </w:rPr>
              <w:t>overwegende dat in artikel 3 ook wordt bepaald dat de EU sociale uitsluiting en discriminatie bestrijdt en sociale rechtvaardigheid en bescherming bevordert, evenals de gelijkheid van vrouwen en mannen, de solidariteit</w:t>
            </w:r>
            <w:r>
              <w:t xml:space="preserve"> tussen generaties en </w:t>
            </w:r>
            <w:r>
              <w:rPr>
                <w:b/>
                <w:i/>
              </w:rPr>
              <w:t>de bescherming van de rechten van het kind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overwegende dat de sociale vooruitgang in de EU </w:t>
            </w:r>
            <w:r>
              <w:rPr>
                <w:b/>
                <w:i/>
              </w:rPr>
              <w:t>moet worden bevorderd op een wijze die in overeenstemming is met de stabiliteitsdoelstellingen van de criteria van Maastricht, waarbij</w:t>
            </w:r>
            <w:r>
              <w:t xml:space="preserve"> ervoor moet </w:t>
            </w:r>
            <w:r>
              <w:rPr>
                <w:b/>
                <w:i/>
              </w:rPr>
              <w:t>worden gezorgd</w:t>
            </w:r>
            <w:r>
              <w:t xml:space="preserve"> dat economische integratie de ongelijkheden tussen generaties en regio’s niet verergert;</w:t>
            </w:r>
          </w:p>
        </w:tc>
        <w:tc>
          <w:tcPr>
            <w:tcW w:w="4876" w:type="dxa"/>
            <w:tcBorders>
              <w:top w:val="nil"/>
              <w:left w:val="nil"/>
              <w:bottom w:val="nil"/>
              <w:right w:val="nil"/>
            </w:tcBorders>
          </w:tcPr>
          <w:p>
            <w:pPr>
              <w:pStyle w:val="Normal6a"/>
            </w:pPr>
            <w:r>
              <w:t>G.</w:t>
            </w:r>
            <w:r>
              <w:tab/>
            </w:r>
            <w:r>
              <w:t xml:space="preserve">overwegende dat de sociale vooruitgang in de EU ervoor moet </w:t>
            </w:r>
            <w:r>
              <w:rPr>
                <w:b/>
                <w:i/>
              </w:rPr>
              <w:t>zorgen</w:t>
            </w:r>
            <w:r>
              <w:t xml:space="preserve"> dat economische integratie de ongelijkheden tussen generaties en regio’s niet verergert;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overwegende dat de sociale vooruitgang in de EU </w:t>
            </w:r>
            <w:r>
              <w:rPr>
                <w:b/>
                <w:i/>
              </w:rPr>
              <w:t>moet worden bevorderd op een wijze die in overeenstemming is met de stabiliteitsdoelstellingen van de criteria van Maastricht,</w:t>
            </w:r>
            <w:r>
              <w:t xml:space="preserve"> waarbij ervoor moet worden gezorgd dat economische integratie de ongelijkheden tussen generaties en regio’s niet verergert;</w:t>
            </w:r>
          </w:p>
        </w:tc>
        <w:tc>
          <w:tcPr>
            <w:tcW w:w="4876" w:type="dxa"/>
            <w:tcBorders>
              <w:top w:val="nil"/>
              <w:left w:val="nil"/>
              <w:bottom w:val="nil"/>
              <w:right w:val="nil"/>
            </w:tcBorders>
          </w:tcPr>
          <w:p>
            <w:pPr>
              <w:pStyle w:val="Normal6a"/>
            </w:pPr>
            <w:r>
              <w:t>G.</w:t>
            </w:r>
            <w:r>
              <w:tab/>
            </w:r>
            <w:r>
              <w:t xml:space="preserve">overwegende dat de sociale vooruitgang in de EU </w:t>
            </w:r>
            <w:r>
              <w:rPr>
                <w:b/>
                <w:i/>
              </w:rPr>
              <w:t>de meest concrete en efficiënte investering is in de veerkracht en duurzaamheid op lange termijn van onze samenlevingen;</w:t>
            </w:r>
            <w:r>
              <w:t xml:space="preserve"> waarbij ervoor moet worden gezorgd dat </w:t>
            </w:r>
            <w:r>
              <w:rPr>
                <w:b/>
                <w:i/>
              </w:rPr>
              <w:t>verdere</w:t>
            </w:r>
            <w:r>
              <w:t xml:space="preserve"> economische integratie de </w:t>
            </w:r>
            <w:r>
              <w:rPr>
                <w:b/>
                <w:i/>
              </w:rPr>
              <w:t>sociale</w:t>
            </w:r>
            <w:r>
              <w:t xml:space="preserve"> ongelijkheden tussen generaties en regio’s niet verergert;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overwegende dat de sociale vooruitgang in de EU moet worden </w:t>
            </w:r>
            <w:r>
              <w:rPr>
                <w:b/>
                <w:i/>
              </w:rPr>
              <w:t>bevorderd op een wijze die in overeenstemming is met</w:t>
            </w:r>
            <w:r>
              <w:t xml:space="preserve"> de stabiliteitsdoelstellingen van de criteria van Maastricht, waarbij ervoor moet worden gezorgd dat economische integratie de ongelijkheden tussen generaties en regio’s niet verergert;</w:t>
            </w:r>
          </w:p>
        </w:tc>
        <w:tc>
          <w:tcPr>
            <w:tcW w:w="4876" w:type="dxa"/>
            <w:tcBorders>
              <w:top w:val="nil"/>
              <w:left w:val="nil"/>
              <w:bottom w:val="nil"/>
              <w:right w:val="nil"/>
            </w:tcBorders>
          </w:tcPr>
          <w:p>
            <w:pPr>
              <w:pStyle w:val="Normal6a"/>
            </w:pPr>
            <w:r>
              <w:t>G.</w:t>
            </w:r>
            <w:r>
              <w:tab/>
            </w:r>
            <w:r>
              <w:t xml:space="preserve">overwegende dat de sociale vooruitgang in de EU </w:t>
            </w:r>
            <w:r>
              <w:rPr>
                <w:b/>
                <w:i/>
              </w:rPr>
              <w:t>niet</w:t>
            </w:r>
            <w:r>
              <w:t xml:space="preserve"> moet worden </w:t>
            </w:r>
            <w:r>
              <w:rPr>
                <w:b/>
                <w:i/>
              </w:rPr>
              <w:t>belemmerd door</w:t>
            </w:r>
            <w:r>
              <w:t xml:space="preserve"> de stabiliteitsdoelstellingen van de criteria van Maastricht, waarbij ervoor moet worden gezorgd dat economische integratie de ongelijkheden tussen generaties en regio’s niet verergert;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overwegende dat het nieuwe EU-kader voor economische governance in april 2024 in werking is getreden en tot doel heeft duurzame en inclusieve groei te bevorderen en meer ruimte te bieden voor sociale investeringen en de verwezenlijking van de doelstellingen van de Europese pijler van sociale rechten;</w:t>
            </w:r>
            <w:r>
              <w:t xml:space="preserve"> </w:t>
            </w:r>
            <w:r>
              <w:rPr>
                <w:b/>
                <w:i/>
              </w:rPr>
              <w:t>overwegende dat bij de herziening voor het eerst een kader voor sociale convergentie is ingevoerd als integraal onderdeel van het Europees semester;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overwegende dat de Europese sociale partners tijdens de macro-economische dialoog het feit aan de kaak hebben gesteld dat de sociale partners nauwelijks betrokken zijn bij het opstellen van de fiscale structuurplannen voor de middellange termijn en dat het EVV, SMEUnited en SGIEurope een gezamenlijke verklaring hebben ondertekend waarin zij pleiten voor een materiële en feitelijke betrokkenheid van de sociale partners bij de economische governance en het EU-semester;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overwegende dat vrouwen, jongvolwassenen, laaggeschoolde jongeren en werklozen een groter risico op armoede of sociale uitsluiting lopen;</w:t>
            </w:r>
            <w:r>
              <w:t xml:space="preserve"> </w:t>
            </w:r>
            <w:r>
              <w:rPr>
                <w:b/>
                <w:i/>
              </w:rPr>
              <w:t>overwegende dat er nog steeds veel obstakels zijn voor de toegang tot werkloosheidsuitkeringen, en dat 66 % van de werklozen aangeeft geen uitkering of bijstand te ontvangen</w:t>
            </w:r>
            <w:r>
              <w:rPr>
                <w:b/>
                <w:i/>
                <w:vertAlign w:val="superscript"/>
              </w:rPr>
              <w:t>1bis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1bis</w:t>
            </w:r>
            <w:r>
              <w:t xml:space="preserve"> </w:t>
            </w:r>
            <w:r>
              <w:rPr>
                <w:b/>
                <w:i/>
              </w:rPr>
              <w:t>Social protection 2.0:</w:t>
            </w:r>
            <w:r>
              <w:t xml:space="preserve"> </w:t>
            </w:r>
            <w:r>
              <w:rPr>
                <w:b/>
                <w:i/>
              </w:rPr>
              <w:t>Unemployment and minimum income benefits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overwegende dat bij structurele hervormingen prioriteit moet worden gegeven aan sociale vooruitgang, waarbij moet worden gezorgd voor toegang tot adequate sociale bescherming, betaalbare en fatsoenlijke huisvesting en essentiële diensten voor alle gezinsvormen, met inbegrip van kwetsbare groepen zoals eenoudergezinnen en personen met een handicap;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overwegende dat we de Unie concurrerender, productiever, innovatiever en duurzamer zullen maken, waarbij wordt voortgebouwd op economische, sociale en territoriale cohesie en wordt gezorgd voor convergentie en een gelijk speelveld, zowel binnen de Unie als wereldwijd;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ter.</w:t>
            </w:r>
            <w:r>
              <w:tab/>
            </w:r>
            <w:r>
              <w:rPr>
                <w:b/>
                <w:i/>
              </w:rPr>
              <w:t>overwegende dat volgens de OESO beroepen met het hoogste risico op automatisering gemiddeld in alle OESO-landen goed zijn voor ongeveer 28 % van de werkgelegenheid</w:t>
            </w:r>
            <w:r>
              <w:rPr>
                <w:b/>
                <w:i/>
                <w:vertAlign w:val="superscript"/>
              </w:rPr>
              <w:t>2 bis</w:t>
            </w:r>
            <w:r>
              <w:rPr>
                <w:b/>
                <w:i/>
              </w:rPr>
              <w:t>;</w:t>
            </w:r>
            <w:r>
              <w:t xml:space="preserve"> </w:t>
            </w:r>
            <w:r>
              <w:rPr>
                <w:b/>
                <w:i/>
              </w:rPr>
              <w:t>overwegende dat sociale dialoog en collectieve onderhandelingen in dit verband essentieel zijn om een op participatie gerichte aanpak te waarborgen bij het beheersen van de veranderingen als gevolg van technologische ontwikkelingen en het aanpakken van potentiële problemen, en de aanpassing van werknemers aan te moedigen (onder meer door vaardigheden bij te brengen);</w:t>
            </w:r>
            <w:r>
              <w:t xml:space="preserve"> </w:t>
            </w:r>
            <w:r>
              <w:rPr>
                <w:b/>
                <w:i/>
              </w:rPr>
              <w:t>overwegende dat digitalisering, robotisering, automatisering en artificiële intelligentie werknemers en de samenleving ten goede moeten komen door de arbeidsomstandigheden en levenskwaliteit te verbeteren, een goed evenwicht tussen werk en privéleven te garanderen, hoogwaardigere werkgelegenheid te scheppen en bij te dragen tot sociaal-economische convergentie;</w:t>
            </w:r>
            <w:r>
              <w:t xml:space="preserve"> </w:t>
            </w:r>
            <w:r>
              <w:rPr>
                <w:b/>
                <w:i/>
              </w:rPr>
              <w:t>overwegende dat werknemers en hun vakbonden een essentiële rol zullen vervullen bij het onderkennen en aanpakken van de risico’s die uit die uitdagingen voortvloeien;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bis</w:t>
            </w:r>
            <w:r>
              <w:t xml:space="preserve"> </w:t>
            </w:r>
            <w:r>
              <w:rPr>
                <w:b/>
                <w:i/>
              </w:rPr>
              <w:t>OECD Social, Employment and Migration Working Papers No. 282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ter.</w:t>
            </w:r>
            <w:r>
              <w:tab/>
            </w:r>
            <w:r>
              <w:rPr>
                <w:b/>
                <w:i/>
              </w:rPr>
              <w:t>overwegende dat alle lidstaten in het kader van het nieuwe EU-kader voor economische governance hervormingen en investeringen moeten opnemen in hun plannen voor de middellange termijn om gemeenschappelijke EU-prioriteiten en uitdagingen aan te pakken die zijn vastgesteld in de landspecifieke aanbevelingen in het kader van het Europees Semester;</w:t>
            </w:r>
            <w:r>
              <w:t xml:space="preserve"> </w:t>
            </w:r>
            <w:r>
              <w:rPr>
                <w:b/>
                <w:i/>
              </w:rPr>
              <w:t>overwegende dat de gemeenschappelijke prioriteiten van de EU onder meer sociale en economische veerkracht omvatten, met inbegrip van de Europese pijler van sociale rechten;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ter.</w:t>
            </w:r>
            <w:r>
              <w:tab/>
            </w:r>
            <w:r>
              <w:rPr>
                <w:b/>
                <w:i/>
              </w:rPr>
              <w:t>overwegende dat EU-beleidsmaatregelen zoals NextGenerationEU en SURE groei en economische veerkracht hebben gewaarborgd en ongelijkheden hebben verminderd;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ter.</w:t>
            </w:r>
            <w:r>
              <w:tab/>
            </w:r>
            <w:r>
              <w:rPr>
                <w:b/>
                <w:i/>
              </w:rPr>
              <w:t>overwegende dat wij eensgezind en solidair te werk zullen gaan, ten bate van alle burgers, bedrijven en lidstaten van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quater.</w:t>
            </w:r>
            <w:r>
              <w:tab/>
            </w:r>
            <w:r>
              <w:rPr>
                <w:b/>
                <w:i/>
              </w:rPr>
              <w:t>overwegende dat er in 2021 nog steeds meer dan 3 300 dodelijke ongevallen en bijna 3 miljoen niet-dodelijke ongevallen waren in de EU-27;</w:t>
            </w:r>
            <w:r>
              <w:t xml:space="preserve"> </w:t>
            </w:r>
            <w:r>
              <w:rPr>
                <w:b/>
                <w:i/>
              </w:rPr>
              <w:t>overwegende dat elk jaar meer dan 200 000 werknemers sterven aan werkgerelateerde ziekten;</w:t>
            </w:r>
            <w:r>
              <w:t xml:space="preserve"> </w:t>
            </w:r>
            <w:r>
              <w:rPr>
                <w:b/>
                <w:i/>
              </w:rPr>
              <w:t>overwegende dat in deze gegevens niet alle ongevallen in het kader van zwartwerk zijn meegenomen, waardoor de daadwerkelijke cijfers waarschijnlijk veel hoger liggen dan de officiële statistieken;</w:t>
            </w:r>
            <w:r>
              <w:t xml:space="preserve"> </w:t>
            </w:r>
            <w:r>
              <w:rPr>
                <w:b/>
                <w:i/>
              </w:rPr>
              <w:t>overwegende dat volgens Eurofound een op de vijf banen in Europa in 2017 van “slechte kwaliteit” was en de werknemers een vergroot risico voor hun lichamelijke of geestelijke gezondheid opleverde;</w:t>
            </w:r>
            <w:r>
              <w:t xml:space="preserve"> </w:t>
            </w:r>
            <w:r>
              <w:rPr>
                <w:b/>
                <w:i/>
              </w:rPr>
              <w:t>overwegende dat 14 % van de werknemers op enig moment aan een verhoogd niveau van psychosociale risico’s wordt blootgesteld;</w:t>
            </w:r>
            <w:r>
              <w:t xml:space="preserve"> </w:t>
            </w:r>
            <w:r>
              <w:rPr>
                <w:b/>
                <w:i/>
              </w:rPr>
              <w:t>overwegende dat 23 % van de werknemers in Europa van oordeel is dat hun gezondheid of veiligheid gevaar loopt vanwege hun werk;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quater.</w:t>
            </w:r>
            <w:r>
              <w:tab/>
            </w:r>
            <w:r>
              <w:rPr>
                <w:b/>
                <w:i/>
              </w:rPr>
              <w:t>overwegende dat de overheidsinvesteringen in 2025 naar verwachting in bijna alle lidstaten zullen toenemen, waarbij de herstel- en veerkrachtfaciliteit (RFF) van NextGenerationEU en de EU-fondsen in verschillende lidstaten een aanzienlijke bijdrage zullen leveren;</w:t>
            </w:r>
            <w:r>
              <w:t xml:space="preserve"> </w:t>
            </w:r>
            <w:r>
              <w:rPr>
                <w:b/>
                <w:i/>
              </w:rPr>
              <w:t>overwegende dat ongeveer 162,5 miljard EUR die in het kader van de RFF aan de lidstaten is toegewezen, bijdraagt aan sociale uitgaven, wat neerkomt op ongeveer 25 % van de totale geraamde uitgaven</w:t>
            </w:r>
            <w:r>
              <w:rPr>
                <w:b/>
                <w:i/>
                <w:vertAlign w:val="superscript"/>
              </w:rPr>
              <w:t>10 bis</w:t>
            </w:r>
            <w:r>
              <w:rPr>
                <w:b/>
                <w:i/>
              </w:rPr>
              <w:t>;</w:t>
            </w:r>
            <w:r>
              <w:t xml:space="preserve"> </w:t>
            </w:r>
            <w:r>
              <w:rPr>
                <w:b/>
                <w:i/>
              </w:rPr>
              <w:t>overwegende dat sociale investeringen en hervormingen op belangrijke gebieden de werkgelegenheid, de sociale inclusie, het concurrentievermogen en de economische groei kunnen stimuleren</w:t>
            </w:r>
            <w:r>
              <w:rPr>
                <w:b/>
                <w:i/>
                <w:vertAlign w:val="superscript"/>
              </w:rPr>
              <w:t>11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 bis</w:t>
            </w:r>
            <w:r>
              <w:t xml:space="preserve"> </w:t>
            </w:r>
            <w:r>
              <w:rPr>
                <w:b/>
                <w:i/>
              </w:rPr>
              <w:t>Europees Semester 2022:</w:t>
            </w:r>
            <w:r>
              <w:t xml:space="preserve"> </w:t>
            </w:r>
            <w:r>
              <w:rPr>
                <w:b/>
                <w:i/>
              </w:rPr>
              <w:t>Voorstel voor een gezamenlijk verslag over de werkgelegenheid.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11 bis</w:t>
            </w:r>
            <w:r>
              <w:t xml:space="preserve"> </w:t>
            </w:r>
            <w:r>
              <w:rPr>
                <w:b/>
                <w:i/>
              </w:rPr>
              <w:t>Employment and Social Developments in Europe (ESDE) 2024, Europese Commissie, september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quater.</w:t>
            </w:r>
            <w:r>
              <w:tab/>
            </w:r>
            <w:r>
              <w:rPr>
                <w:b/>
                <w:i/>
              </w:rPr>
              <w:t>overwegende dat de sociale dialoog en collectieve onderhandelingen essentieel zijn voor het concurrentievermogen, de arbeidsproductiviteit en de sociale cohesie van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quater.</w:t>
            </w:r>
            <w:r>
              <w:tab/>
            </w:r>
            <w:r>
              <w:rPr>
                <w:b/>
                <w:i/>
              </w:rPr>
              <w:t>overwegende dat we het tweeledige doel van strategische energie­soevereiniteit en klimaat­neutraliteit in 2050 zullen nastreven;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quinquies.</w:t>
            </w:r>
            <w:r>
              <w:tab/>
            </w:r>
            <w:r>
              <w:rPr>
                <w:b/>
                <w:i/>
              </w:rPr>
              <w:t>overwegende dat de sociale partners van essentieel belang zijn voor het ontwerpen en uitvoeren van beleid ter bevordering van duurzame en inclusieve groei, fatsoenlijk en hoogwaardig werk en eerlijke transities, en dat zij overeenkomstig het VWEU op alle bestuursniveaus bij de beleidsvorming moeten worden betrokken;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sexies.</w:t>
            </w:r>
            <w:r>
              <w:tab/>
            </w:r>
            <w:r>
              <w:rPr>
                <w:b/>
                <w:i/>
              </w:rPr>
              <w:t>overwegende dat de lidstaten onverwijld uitvoering moeten geven aan de richtlijn betreffende toereikende minimumlonen en overeenkomstig de richtlijn in voorkomend geval actieplannen moeten opstellen om de dekkingsgraad van collectieve onderhandelingen te vergroten;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 septies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septies.</w:t>
            </w:r>
            <w:r>
              <w:tab/>
            </w:r>
            <w:r>
              <w:rPr>
                <w:b/>
                <w:i/>
              </w:rPr>
              <w:t>overwegende dat uit onderzoek van Eurofound blijkt dat het aantal zelfmoorden sinds 2021 weer langzaam stijgt, na tientallen jaren van daling, wat betekent dat er meer moet worden gedaan om de oorzaken van geestelijke gezondheidsproblemen in werk- en leefomstandigheden aan te pakken (met name sociale inclusie), en dat de toegang tot ondersteuning voor mensen met een slechte geestelijke gezondheid een probleem blijft;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is van mening dat</w:t>
            </w:r>
            <w:r>
              <w:t xml:space="preserve"> de Commissie en de </w:t>
            </w:r>
            <w:r>
              <w:rPr>
                <w:b/>
                <w:i/>
              </w:rPr>
              <w:t>Raad</w:t>
            </w:r>
            <w:r>
              <w:t xml:space="preserve"> de Europese pijler van sociale rechten </w:t>
            </w:r>
            <w:r>
              <w:rPr>
                <w:b/>
                <w:i/>
              </w:rPr>
              <w:t>moeten</w:t>
            </w:r>
            <w:r>
              <w:t xml:space="preserve"> blijven doorvoeren, in overeenstemming met het actieplan van maart 2021;</w:t>
            </w:r>
          </w:p>
        </w:tc>
        <w:tc>
          <w:tcPr>
            <w:tcW w:w="4876" w:type="dxa"/>
            <w:tcBorders>
              <w:top w:val="nil"/>
              <w:left w:val="nil"/>
              <w:bottom w:val="nil"/>
              <w:right w:val="nil"/>
            </w:tcBorders>
          </w:tcPr>
          <w:p>
            <w:pPr>
              <w:pStyle w:val="Normal6a"/>
            </w:pPr>
            <w:r>
              <w:t>1.</w:t>
            </w:r>
            <w:r>
              <w:tab/>
            </w:r>
            <w:r>
              <w:rPr>
                <w:b/>
                <w:i/>
              </w:rPr>
              <w:t>roept</w:t>
            </w:r>
            <w:r>
              <w:t xml:space="preserve"> de Commissie en de </w:t>
            </w:r>
            <w:r>
              <w:rPr>
                <w:b/>
                <w:i/>
              </w:rPr>
              <w:t>lidstaten ertoe op</w:t>
            </w:r>
            <w:r>
              <w:t xml:space="preserve"> de Europese pijler van sociale rechten </w:t>
            </w:r>
            <w:r>
              <w:rPr>
                <w:b/>
                <w:i/>
              </w:rPr>
              <w:t>(EPSR) te</w:t>
            </w:r>
            <w:r>
              <w:t xml:space="preserve"> blijven doorvoeren, in overeenstemming met het actieplan van maart 2021 </w:t>
            </w:r>
            <w:r>
              <w:rPr>
                <w:b/>
                <w:i/>
              </w:rPr>
              <w:t>en de Verklaring van Terhulpen om de kerndoelen voor 2030 te verwezenlijken;</w:t>
            </w:r>
            <w:r>
              <w:t xml:space="preserve"> </w:t>
            </w:r>
            <w:r>
              <w:rPr>
                <w:b/>
                <w:i/>
              </w:rPr>
              <w:t>is in dit verband ingenomen met de aankondiging van een nieuw actieplan voor de uitvoering van de EPSR</w:t>
            </w:r>
            <w:r>
              <w:rPr>
                <w:b/>
                <w:i/>
                <w:vertAlign w:val="superscript"/>
              </w:rPr>
              <w:t>12 bis</w:t>
            </w:r>
            <w:r>
              <w:t xml:space="preserve"> </w:t>
            </w:r>
            <w:r>
              <w:rPr>
                <w:b/>
                <w:i/>
              </w:rPr>
              <w:t>voor 2025 om een nieuwe impuls te geven aan sociale vooruitgang;</w:t>
            </w:r>
            <w:r>
              <w:t xml:space="preserve"> </w:t>
            </w:r>
            <w:r>
              <w:rPr>
                <w:b/>
                <w:i/>
              </w:rPr>
              <w:t>benadrukt dat het geactualiseerde actieplan ambitieuze voorstellen moet bevatten om armoede en sociale uitsluiting aan te pakken, alsook ondersteunende maatregelen voor werknemers om de dubbele transitie in goede banen te leiden, met name op het gebied van vaardigheden, beroepsonderwijs en -opleiding en een leven lang leren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12 bis</w:t>
            </w:r>
            <w:r>
              <w:t xml:space="preserve"> </w:t>
            </w:r>
            <w:r>
              <w:rPr>
                <w:b/>
                <w:i/>
              </w:rPr>
              <w:t>Europe’s Choice, Political Guidelines for the Next European Commission 2024-2029, Ursula von der Leyen (juli 2024)</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 van mening dat de Commissie en de Raad de Europese pijler van sociale rechten </w:t>
            </w:r>
            <w:r>
              <w:rPr>
                <w:b/>
                <w:i/>
              </w:rPr>
              <w:t>moeten blijven</w:t>
            </w:r>
            <w:r>
              <w:t xml:space="preserve"> doorvoeren, in overeenstemming met het actieplan van maart 2021;</w:t>
            </w:r>
          </w:p>
        </w:tc>
        <w:tc>
          <w:tcPr>
            <w:tcW w:w="4876" w:type="dxa"/>
            <w:tcBorders>
              <w:top w:val="nil"/>
              <w:left w:val="nil"/>
              <w:bottom w:val="nil"/>
              <w:right w:val="nil"/>
            </w:tcBorders>
          </w:tcPr>
          <w:p>
            <w:pPr>
              <w:pStyle w:val="Normal6a"/>
            </w:pPr>
            <w:r>
              <w:t>1.</w:t>
            </w:r>
            <w:r>
              <w:tab/>
            </w:r>
            <w:r>
              <w:t xml:space="preserve">is van mening dat de Commissie en de Raad de Europese pijler van sociale rechten </w:t>
            </w:r>
            <w:r>
              <w:rPr>
                <w:b/>
                <w:i/>
              </w:rPr>
              <w:t>versneld volledig moeten</w:t>
            </w:r>
            <w:r>
              <w:t xml:space="preserve"> doorvoeren, in overeenstemming met het actieplan van maart 2021; </w:t>
            </w:r>
            <w:r>
              <w:rPr>
                <w:b/>
                <w:i/>
              </w:rPr>
              <w:t>verzoekt de Commissie een geactualiseerd plan voor de Europese pijler van sociale rechten voor de periode 2025-2029 voor te leggen en daarbij de integratie van nieuwe prioriteiten te waarborgen;</w:t>
            </w:r>
            <w:r>
              <w:t xml:space="preserve"> </w:t>
            </w:r>
            <w:r>
              <w:rPr>
                <w:b/>
                <w:i/>
              </w:rPr>
              <w:t>benadrukt dat het belangrijk is het sociaal scorebord en het kader voor sociale convergentie te gebruiken om risico’s in kaart te brengen en de vooruitgang bij het verminderen van ongelijkheden, het versterken van socialebeschermingsstelsels en het bevorderen van goede arbeidsomstandigheden te monitoren;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is van mening dat de Commissie en de Raad de Europese pijler van sociale rechten moeten blijven doorvoeren, in overeenstemming met het actieplan van maart 2021;</w:t>
            </w:r>
          </w:p>
        </w:tc>
        <w:tc>
          <w:tcPr>
            <w:tcW w:w="4876" w:type="dxa"/>
            <w:tcBorders>
              <w:top w:val="nil"/>
              <w:left w:val="nil"/>
              <w:bottom w:val="nil"/>
              <w:right w:val="nil"/>
            </w:tcBorders>
          </w:tcPr>
          <w:p>
            <w:pPr>
              <w:pStyle w:val="Normal6a"/>
            </w:pPr>
            <w:r>
              <w:t>1.</w:t>
            </w:r>
            <w:r>
              <w:tab/>
            </w:r>
            <w:r>
              <w:t xml:space="preserve">is van mening dat de Commissie en de Raad de Europese pijler van sociale rechten moeten blijven doorvoeren, in overeenstemming met het actieplan van maart 2021; </w:t>
            </w:r>
            <w:r>
              <w:rPr>
                <w:b/>
                <w:i/>
              </w:rPr>
              <w:t>dringt aan op versterking van de sociale dialoog, met aandacht voor gelijke kansen en vermindering van ongelijkheden, in overeenstemming met de Europese pijler van sociale rechten, en met inachtneming van de bevoegdheden van de lidstaten;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 van mening dat de Commissie en de Raad de Europese pijler van sociale rechten moeten blijven doorvoeren, </w:t>
            </w:r>
            <w:r>
              <w:rPr>
                <w:b/>
                <w:i/>
              </w:rPr>
              <w:t>in overeenstemming met het actieplan van maart 2021</w:t>
            </w:r>
            <w:r>
              <w:t>;</w:t>
            </w:r>
          </w:p>
        </w:tc>
        <w:tc>
          <w:tcPr>
            <w:tcW w:w="4876" w:type="dxa"/>
            <w:tcBorders>
              <w:top w:val="nil"/>
              <w:left w:val="nil"/>
              <w:bottom w:val="nil"/>
              <w:right w:val="nil"/>
            </w:tcBorders>
          </w:tcPr>
          <w:p>
            <w:pPr>
              <w:pStyle w:val="Normal6a"/>
            </w:pPr>
            <w:r>
              <w:t>1.</w:t>
            </w:r>
            <w:r>
              <w:tab/>
            </w:r>
            <w:r>
              <w:t xml:space="preserve">is van mening dat de Commissie en de Raad de Europese pijler van sociale rechten moeten blijven doorvoeren, </w:t>
            </w:r>
            <w:r>
              <w:rPr>
                <w:b/>
                <w:i/>
              </w:rPr>
              <w:t>met zo strikt mogelijke inachtneming van het nationale recht en op een complementaire en ongedwongen wijze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 van mening dat de Commissie en de Raad de Europese pijler van sociale rechten moeten </w:t>
            </w:r>
            <w:r>
              <w:rPr>
                <w:b/>
                <w:i/>
              </w:rPr>
              <w:t>blijven doorvoeren, in overeenstemming</w:t>
            </w:r>
            <w:r>
              <w:t xml:space="preserve"> met het </w:t>
            </w:r>
            <w:r>
              <w:rPr>
                <w:b/>
                <w:i/>
              </w:rPr>
              <w:t>actieplan van maart 2021</w:t>
            </w:r>
            <w:r>
              <w:t>;</w:t>
            </w:r>
          </w:p>
        </w:tc>
        <w:tc>
          <w:tcPr>
            <w:tcW w:w="4876" w:type="dxa"/>
            <w:tcBorders>
              <w:top w:val="nil"/>
              <w:left w:val="nil"/>
              <w:bottom w:val="nil"/>
              <w:right w:val="nil"/>
            </w:tcBorders>
          </w:tcPr>
          <w:p>
            <w:pPr>
              <w:pStyle w:val="Normal6a"/>
            </w:pPr>
            <w:r>
              <w:t>1.</w:t>
            </w:r>
            <w:r>
              <w:tab/>
            </w:r>
            <w:r>
              <w:t xml:space="preserve">Is van mening dat de Commissie en de Raad </w:t>
            </w:r>
            <w:r>
              <w:rPr>
                <w:b/>
                <w:i/>
              </w:rPr>
              <w:t>hun inspanningen voor het doorvoeren van</w:t>
            </w:r>
            <w:r>
              <w:t xml:space="preserve"> de Europese pijler van sociale rechten moeten </w:t>
            </w:r>
            <w:r>
              <w:rPr>
                <w:b/>
                <w:i/>
              </w:rPr>
              <w:t>intensiveren,</w:t>
            </w:r>
            <w:r>
              <w:t xml:space="preserve"> met het </w:t>
            </w:r>
            <w:r>
              <w:rPr>
                <w:b/>
                <w:i/>
              </w:rPr>
              <w:t>oog op de komende herziening van het actieplan in 2025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wijst erop dat de doelstellingen van een sociaal Europa door de Europese burgers vaak als prioriteiten worden aangemerkt;</w:t>
            </w:r>
            <w:r>
              <w:t xml:space="preserve"> </w:t>
            </w:r>
            <w:r>
              <w:rPr>
                <w:b/>
                <w:i/>
              </w:rPr>
              <w:t>benadrukt dat, om een sociaal Europa te verwezenlijken en te zorgen voor een hoog niveau van sociale bescherming bij de transities, moet worden gezorgd voor een duurzaam, eerlijk en inclusief Europa, waar sociale rechten volledig worden beschermd en gewaarborgd op hetzelfde niveau als de economische vrijheden, en moet worden nagedacht over methoden om het Europees sociale contract te waarborgen;</w:t>
            </w:r>
            <w:r>
              <w:t xml:space="preserve"> </w:t>
            </w:r>
            <w:r>
              <w:rPr>
                <w:b/>
                <w:i/>
              </w:rPr>
              <w:t>herhaalt in dit verband zijn oproep om een protocol inzake sociale vooruitgang bij de Verdragen te voegen</w:t>
            </w:r>
            <w:r>
              <w:rPr>
                <w:b/>
                <w:i/>
                <w:vertAlign w:val="superscript"/>
              </w:rPr>
              <w:t>13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 bis</w:t>
            </w:r>
            <w:r>
              <w:t xml:space="preserve"> </w:t>
            </w:r>
            <w:r>
              <w:rPr>
                <w:b/>
                <w:i/>
              </w:rPr>
              <w:t>Resolutie van het Europees Parlement van 22 november 2023 over de voorstellen van het Europees Parlement tot wijziging van de Verdragen (2022/2051 (INL)).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dringt aan op de tenuitvoerlegging van opwaartse convergentie door middel van onmiddellijke maatregelen om te zorgen voor hoogwaardige openbare zorg, onderwijs en vaardigheden voor de volgende generatie, en met name door verdere investeringen in effectieve toegang tot gezonde voeding in de vorm van ten minste één gratis warme maaltijd per dag voor elk kind in de EU in alle kinderopvangfaciliteiten en scholen;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verzoekt de Commissie ervoor te zorgen dat in het gezamenlijk verslag over de werkgelegenheid 2026 de uitvoering van alle beginselen van de EPSR in overeenstemming met Verordening (EU) 2024/1263 wordt geanalyseerd en de analyse van de sociale dimensie van de nationale budgettair-structurele plannen voor de middellange termijn met betrekking tot sociale veerkracht, met inbegrip van de Europese pijler van sociale rechten, in het gezamenlijk verslag over de werkgelegenheid op te nemen;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is bezorgd over het feit dat 94,6 miljoen mensen in de EU in 2023 nog steeds het risico liepen op armoede of sociale uitsluiting;</w:t>
            </w:r>
            <w:r>
              <w:t xml:space="preserve"> </w:t>
            </w:r>
            <w:r>
              <w:rPr>
                <w:b/>
                <w:i/>
              </w:rPr>
              <w:t>benadrukt dat de Europese Unie en haar lidstaten zonder een paradigmaverschuiving bij de aanpak van armoedebestrijding hun doelstellingen inzake armoedebestrijding niet zullen verwezenlijken;</w:t>
            </w:r>
            <w:r>
              <w:t xml:space="preserve"> </w:t>
            </w:r>
            <w:r>
              <w:rPr>
                <w:b/>
                <w:i/>
              </w:rPr>
              <w:t>is van mening dat de aankondiging van de allereerste EU-strategie ter bestrijding van armoede een stap in de goede richting is om de trend keren, maar dat daarbij moet worden voorzien in een alomvattende aanpak van de multidimensionale aspecten van armoede en sociale uitsluiting door middel van concrete maatregelen, een krachtige uitvoering en monitoring;</w:t>
            </w:r>
            <w:r>
              <w:t xml:space="preserve"> </w:t>
            </w:r>
            <w:r>
              <w:rPr>
                <w:b/>
                <w:i/>
              </w:rPr>
              <w:t>dringt erop aan om deze strategie van toepassing te laten zijn op alle mensen die met armoede en sociale uitsluiting te kampen hebben, in de eerste plaats de meest achtergestelde personen, maar ook specifieke maatregelen te treffen voor andere groepen, zoals mensen die met armoede onder werkenden te maken hebben, daklozen, mensen met een handicap, eenoudergezinnen en vooral kinderen, teneinde de armoedecyclus duurzaam te doorbreken;</w:t>
            </w:r>
            <w:r>
              <w:t xml:space="preserve"> </w:t>
            </w:r>
            <w:r>
              <w:rPr>
                <w:b/>
                <w:i/>
              </w:rPr>
              <w:t>benadrukt dat de omzetting van de richtlijn betreffende toereikende minimumlonen van cruciaal belang zal zijn voor het voorkomen en bestrijden van armoederisico’s onder werknemers en tegelijkertijd de stimulans om te werken zal versterken, en is ingenomen met het feit dat verschillende lidstaten hun kaders voor minimumlonen hebben gewijzigd of voornemens zijn te wijzigen;</w:t>
            </w:r>
            <w:r>
              <w:t xml:space="preserve"> </w:t>
            </w:r>
            <w:r>
              <w:rPr>
                <w:b/>
                <w:i/>
              </w:rPr>
              <w:t>benadrukt dat een EU-kaderrichtlijn inzake een toereikend minimuminkomen en actieve inclusie, met toepassing van het subsidiariteitsbeginsel, zou bijdragen tot de doelstellingen om armoede terug te dringen en de integratie van mensen die niet deelnemen aan de arbeidsmarkt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betreurt het gebrek aan gegevens en analyses van welvaartsongelijkheid en vermogensconcentratie in de EU, aangezien dit een van de belangrijkste determinanten van armoede is;</w:t>
            </w:r>
            <w:r>
              <w:t xml:space="preserve"> </w:t>
            </w:r>
            <w:r>
              <w:rPr>
                <w:b/>
                <w:i/>
              </w:rPr>
              <w:t>wijst erop dat volgens de Distributional Wealth Accounts (DWA), een door het Europees Stelsel van centrale banken (ESCB) ontwikkelde dataset, het aandeel van de rijkste 10 % in het vermogen 56 % bedroeg in het vierde kwartaal van 2023, terwijl de armste 50 % slechts 5 % bezat;</w:t>
            </w:r>
            <w:r>
              <w:t xml:space="preserve"> </w:t>
            </w:r>
            <w:r>
              <w:rPr>
                <w:b/>
                <w:i/>
              </w:rPr>
              <w:t>verzoekt de Commissie en de lidstaten de sociaaleconomische gevolgen van welvaartsongelijkheid te beoordelen en dringend maatregelen voor te stellen die zorgen voor een eerlijkere verdeling van rijkdom en middelen, zodat vooruitgang kan worden geboekt bij het terugdringen van de armoede met 15 miljoen personen in 2030 en het verbreden van de middenklasse;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quater.</w:t>
            </w:r>
            <w:r>
              <w:tab/>
            </w:r>
            <w:r>
              <w:rPr>
                <w:b/>
                <w:i/>
              </w:rPr>
              <w:t>herhaalt zijn verzoek aan de Commissie om in het kader van het Europees Semester en de landspecifieke aanbevelingen nauwlettend toe te zien op de uitvoering van de kindergarantie in alle lidstaten;</w:t>
            </w:r>
            <w:r>
              <w:t xml:space="preserve"> </w:t>
            </w:r>
            <w:r>
              <w:rPr>
                <w:b/>
                <w:i/>
              </w:rPr>
              <w:t>herhaalt zijn oproep om de financiering van de Europese kindergarantie te verhogen met een specifieke begroting van ten minste 20 miljard EUR en herhaalt zijn verzoek aan de lidstaten om ten minste 5 % van de hun toegewezen ESF+-middelen toe te wijzen aan de bestrijding van kinderarmoede en de bevordering van het kinderwelzijn;</w:t>
            </w:r>
            <w:r>
              <w:t xml:space="preserve"> </w:t>
            </w:r>
            <w:r>
              <w:rPr>
                <w:b/>
                <w:i/>
              </w:rPr>
              <w:t>is van mening dat in de landspecifieke aanbevelingen rekening moet worden gehouden met de naleving door de lidstaten van de in de ESF+-verordening</w:t>
            </w:r>
            <w:r>
              <w:rPr>
                <w:b/>
                <w:i/>
                <w:vertAlign w:val="superscript"/>
              </w:rPr>
              <w:t>14 bis</w:t>
            </w:r>
            <w:r>
              <w:t xml:space="preserve"> </w:t>
            </w:r>
            <w:r>
              <w:rPr>
                <w:b/>
                <w:i/>
              </w:rPr>
              <w:t>vastgestelde minimumvereiste voor toewijzing van middelen aan de bestrijding van kinderarmoede;</w:t>
            </w:r>
            <w:r>
              <w:t xml:space="preserve"> </w:t>
            </w:r>
            <w:r>
              <w:rPr>
                <w:b/>
                <w:i/>
              </w:rPr>
              <w:t>verzoekt de Commissie in het volgende meerjarig financieel kader te voorzien in een ambitieus budget voor de kindergarantie om het hoofd te bieden aan de toenemende uitdaging van kinderarmoede en sociale uitsluiting;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 bis</w:t>
            </w:r>
            <w:r>
              <w:t xml:space="preserve"> </w:t>
            </w:r>
            <w:r>
              <w:rPr>
                <w:b/>
                <w:i/>
              </w:rPr>
              <w:t>Verordening (EU) 2021/1057 tot oprichting van het Europees Sociaal Fonds Plus, artikel 7, lid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quater.</w:t>
            </w:r>
            <w:r>
              <w:tab/>
            </w:r>
            <w:r>
              <w:rPr>
                <w:b/>
                <w:i/>
              </w:rPr>
              <w:t>verwelkomt de opname van een analyse van de positieve bijdrage van de SDG’s en de Europese gelijkheidsstrategieën in het gezamenlijk verslag over de werkgelegenheid 2025 en verzoekt de Commissie ervoor te zorgen dat het gezamenlijk verslag 2026 zowel een hoofdstuk bevat waarin de vooruitgang in de richting van de SDG’s met betrekking tot werkgelegenheid en sociaal beleid wordt geanalyseerd, als een hoofdstuk over vooruitgang bij de uitbanning van sociale en arbeidsdiscriminatie in overeenstemming met de strategie voor gendergelijkheid 2020-2025, het EU-actieplan tegen racisme 2020-2025, het strategisch EU-kader voor gelijkheid, inclusie en participatie van de Roma 2020-2030, de strategie voor gelijkheid van lhbtiq’ers 2020-2025 en de strategie voor de rechten van personen met een handicap 2021-2030;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quinquies.</w:t>
            </w:r>
            <w:r>
              <w:tab/>
            </w:r>
            <w:r>
              <w:rPr>
                <w:b/>
                <w:i/>
              </w:rPr>
              <w:t>is bezorgd over de frequente sluiting van fabrieken in verschillende sectoren in de Europese Unie en de gevolgen voor werknemers die hun baan verliezen;</w:t>
            </w:r>
            <w:r>
              <w:t xml:space="preserve"> </w:t>
            </w:r>
            <w:r>
              <w:rPr>
                <w:b/>
                <w:i/>
              </w:rPr>
              <w:t>verzoekt de Commissie ervoor te zorgen dat het scholings- en opleidingsbeleid voor werknemers en het scheppen van hoogwaardige banen worden geïntegreerd in de komende “Clean Industrial Deal”, in overeenstemming met het rapport Draghi;</w:t>
            </w:r>
            <w:r>
              <w:t xml:space="preserve"> </w:t>
            </w:r>
            <w:r>
              <w:rPr>
                <w:b/>
                <w:i/>
              </w:rPr>
              <w:t>herinnert aan de belangrijke rol die het Europees Fonds voor aanpassing aan de globalisering voor ontslagen werknemers (EFG) kan spelen bij de ondersteuning en omscholing van werknemers die zijn ontslagen als gevolg van grote herstructureringen in verband met bijvoorbeeld de globalisering, de overgang naar een koolstofarme economie, of als gevolg van digitalisering of automatisering;</w:t>
            </w:r>
            <w:r>
              <w:t xml:space="preserve"> </w:t>
            </w:r>
            <w:r>
              <w:rPr>
                <w:b/>
                <w:i/>
              </w:rPr>
              <w:t>verzoekt de lidstaten gebruik te maken van het fonds en op grote schaal informatie te verspreiden over de mogelijkheden om werknemers te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quinquies.</w:t>
            </w:r>
            <w:r>
              <w:tab/>
            </w:r>
            <w:r>
              <w:rPr>
                <w:b/>
                <w:i/>
              </w:rPr>
              <w:t>verzoekt de lidstaten de geactualiseerde werkgelegenheidsrichtsnoeren uit te voeren, met de nadruk op onderwijs en opleiding voor iedereen, nieuwe technologieën zoals artificiële intelligentie en recente beleidsinitiatieven inzake platformwerk, betaalbare en fatsoenlijke huisvesting en het aanpakken van tekorten aan arbeidskrachten en vaardigheden;</w:t>
            </w:r>
            <w:r>
              <w:t xml:space="preserve"> </w:t>
            </w:r>
            <w:r>
              <w:rPr>
                <w:b/>
                <w:i/>
              </w:rPr>
              <w:t>met het oog op de versterking van de democratische besluitvorming;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sexies.</w:t>
            </w:r>
            <w:r>
              <w:tab/>
            </w:r>
            <w:r>
              <w:rPr>
                <w:b/>
                <w:i/>
              </w:rPr>
              <w:t>benadrukt dat er aanzienlijk moet worden geïnvesteerd in de vaardigheden van werknemers en dat een individueel recht op opleiding en een leven lang leren moet worden ingevoerd;</w:t>
            </w:r>
            <w:r>
              <w:t xml:space="preserve"> </w:t>
            </w:r>
            <w:r>
              <w:rPr>
                <w:b/>
                <w:i/>
              </w:rPr>
              <w:t>verzoekt de lidstaten in samenwerking met lokale belanghebbenden, waaronder onderwijs- en opleidingsorganen en de sociale partners, bij- en omscholingsmaatregelen te ontwikkelen om de koppeling tussen de onderwijs- en opleidingsstelsels en de arbeidsmarkt te versterken en te anticiperen op de behoeften van de arbeidsmarkt;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septies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septies.</w:t>
            </w:r>
            <w:r>
              <w:tab/>
            </w:r>
            <w:r>
              <w:rPr>
                <w:b/>
                <w:i/>
              </w:rPr>
              <w:t>is ingenomen met de aankondiging van een routekaart voor hoogwaardige banen om een rechtvaardige transitie voor iedereen te waarborgen, door middel van steun voor eerlijke lonen, goede arbeidsomstandigheden, opleiding en eerlijke transities voor werknemers en zelfstandigen, met name door de dekkingsgraad van collectieve onderhandelingen te vergroten;</w:t>
            </w:r>
            <w:r>
              <w:t xml:space="preserve"> </w:t>
            </w:r>
            <w:r>
              <w:rPr>
                <w:b/>
                <w:i/>
              </w:rPr>
              <w:t>verzoekt de Commissie deze routekaart in samenwerking met de sociale partners te ontwikkelen;</w:t>
            </w:r>
            <w:r>
              <w:t xml:space="preserve"> </w:t>
            </w:r>
            <w:r>
              <w:rPr>
                <w:b/>
                <w:i/>
              </w:rPr>
              <w:t>verzoekt de Commissie voorts in deze routekaart overwegingen op te nemen met betrekking tot maatregelen, met inbegrip van wetgevingsvoorstellen, in verband met het gebruik van artificiële intelligentie en algoritmisch beheer in de arbeidswereld, zodat nieuwe technologieën kunnen worden ingezet om de arbeidsomstandigheden en productiviteit te verbeteren, met inachtneming van de rechten van werknemers en het evenwicht tussen werk en privéleven;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octies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octies.</w:t>
            </w:r>
            <w:r>
              <w:tab/>
            </w:r>
            <w:r>
              <w:rPr>
                <w:b/>
                <w:i/>
              </w:rPr>
              <w:t>verwelkomt het feit dat naar verwachting bijna alle lidstaten de overheidsinvesteringen in 2025 zullen verhogen</w:t>
            </w:r>
            <w:r>
              <w:rPr>
                <w:b/>
                <w:i/>
                <w:vertAlign w:val="superscript"/>
              </w:rPr>
              <w:t>15 bis</w:t>
            </w:r>
            <w:r>
              <w:rPr>
                <w:b/>
                <w:i/>
              </w:rPr>
              <w:t>, hetgeen noodzakelijk is om de toegang tot hoogwaardige openbare diensten te waarborgen en de doelstellingen van de EPSR te verwezenlijken;</w:t>
            </w:r>
            <w:r>
              <w:t xml:space="preserve"> </w:t>
            </w:r>
            <w:r>
              <w:rPr>
                <w:b/>
                <w:i/>
              </w:rPr>
              <w:t>herinnert eraan dat de lidstaten tot en met 31 december 2026 gebruik kunnen maken van de herstel- en veerkrachtfaciliteit (RRF) en verzoekt hen deze middelen volledig en doelgericht te benutten om de uitdagingen aan te pakken die in de landspecifieke aanbevelingen in het kader van het Europees Semester zijn vastgesteld, en beleid te ontwikkelen voor slimme, duurzame en inclusieve groei en voor de volgende generatie, kinderen en jongeren, zoals bepaald in de RRF-verordening</w:t>
            </w:r>
            <w:r>
              <w:rPr>
                <w:b/>
                <w:i/>
                <w:vertAlign w:val="superscript"/>
              </w:rPr>
              <w:t>16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 bis</w:t>
            </w:r>
            <w:r>
              <w:t xml:space="preserve"> </w:t>
            </w:r>
            <w:r>
              <w:rPr>
                <w:b/>
                <w:i/>
              </w:rPr>
              <w:t>Mededeling van de Commissie getiteld "Europees Semester 2025: het nieuwe kader voor economische governance gaat van start" (COM(2024) 705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 bis</w:t>
            </w:r>
            <w:r>
              <w:t xml:space="preserve"> </w:t>
            </w:r>
            <w:r>
              <w:rPr>
                <w:b/>
                <w:i/>
              </w:rPr>
              <w:t>Verordening (EU) 2021/241 tot instelling van de herstel- en veerkrachtfaciliteit, artikel 3, pijlers c) en 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nonies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nonies.</w:t>
            </w:r>
            <w:r>
              <w:tab/>
            </w:r>
            <w:r>
              <w:rPr>
                <w:b/>
                <w:i/>
              </w:rPr>
              <w:t>is verheugd over de aankondiging van de Commissie dat in januari 2025 een kompas voor het concurrentievermogen zal worden gepubliceerd;</w:t>
            </w:r>
            <w:r>
              <w:t xml:space="preserve"> </w:t>
            </w:r>
            <w:r>
              <w:rPr>
                <w:b/>
                <w:i/>
              </w:rPr>
              <w:t>is van mening dat de doelstelling van de Europese Unie inzake concurrentievermogen niet kan worden verwezenlijkt zonder dat de Europese werknemers over voldoende vaardigheden beschikken;</w:t>
            </w:r>
            <w:r>
              <w:t xml:space="preserve"> </w:t>
            </w:r>
            <w:r>
              <w:rPr>
                <w:b/>
                <w:i/>
              </w:rPr>
              <w:t>verzoekt de Commissie in dit kompas voor het concurrentievermogen maatregelen op te nemen met betrekking tot de ontwikkeling van vaardigheden van de Europese beroepsbevolking;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wijst erop dat het belangrijk is de ontwikkeling van vaardigheden </w:t>
            </w:r>
            <w:r>
              <w:rPr>
                <w:b/>
                <w:i/>
              </w:rPr>
              <w:t>bij de beroepsbevolking</w:t>
            </w:r>
            <w:r>
              <w:t xml:space="preserve"> te ondersteunen om het concurrentievermogen te verbeteren en hoogwaardige werkgelegenheid te waarborgen; dringt er bij de lidstaten op aan </w:t>
            </w:r>
            <w:r>
              <w:rPr>
                <w:b/>
                <w:i/>
              </w:rPr>
              <w:t>de</w:t>
            </w:r>
            <w:r>
              <w:t xml:space="preserve"> beroeps- en digitale opleiding te versterken en tegelijkertijd de integratie van personen met een handicap in de beroepsbevolking te bevorderen, om tekorten aan arbeidskrachten aan te pakken en gelijke kansen op de arbeidsmarkt te ondersteunen</w:t>
            </w:r>
            <w:r>
              <w:rPr>
                <w:b/>
                <w:i/>
              </w:rPr>
              <w:t>, aangezien personen met een handicap, ondanks dat er</w:t>
            </w:r>
            <w:r>
              <w:t xml:space="preserve"> sprake is van verbetering, nog steeds te maken hebben met aanzienlijke obstakels op de arbeidsmarkt;</w:t>
            </w:r>
          </w:p>
        </w:tc>
        <w:tc>
          <w:tcPr>
            <w:tcW w:w="4876" w:type="dxa"/>
            <w:tcBorders>
              <w:top w:val="nil"/>
              <w:left w:val="nil"/>
              <w:bottom w:val="nil"/>
              <w:right w:val="nil"/>
            </w:tcBorders>
          </w:tcPr>
          <w:p>
            <w:pPr>
              <w:pStyle w:val="Normal6a"/>
            </w:pPr>
            <w:r>
              <w:t>2.</w:t>
            </w:r>
            <w:r>
              <w:tab/>
            </w:r>
            <w:r>
              <w:t xml:space="preserve">wijst erop dat het belangrijk is de ontwikkeling van vaardigheden </w:t>
            </w:r>
            <w:r>
              <w:rPr>
                <w:b/>
                <w:i/>
              </w:rPr>
              <w:t>en hoogwaardige en beroepsgerelateerde opleidingen die tijdens werkuren worden aangeboden en door de werkgever worden gefinancierd,</w:t>
            </w:r>
            <w:r>
              <w:t xml:space="preserve"> te ondersteunen om het concurrentievermogen te verbeteren en </w:t>
            </w:r>
            <w:r>
              <w:rPr>
                <w:b/>
                <w:i/>
              </w:rPr>
              <w:t>inclusieve en eerlijke,</w:t>
            </w:r>
            <w:r>
              <w:t xml:space="preserve"> hoogwaardige werkgelegenheid te waarborgen; dringt er bij </w:t>
            </w:r>
            <w:r>
              <w:rPr>
                <w:b/>
                <w:i/>
              </w:rPr>
              <w:t>de Commissie en</w:t>
            </w:r>
            <w:r>
              <w:t xml:space="preserve"> de lidstaten op aan </w:t>
            </w:r>
            <w:r>
              <w:rPr>
                <w:b/>
                <w:i/>
              </w:rPr>
              <w:t>het recht op hoogwaardige en inclusieve</w:t>
            </w:r>
            <w:r>
              <w:t xml:space="preserve"> beroeps- en digitale opleiding </w:t>
            </w:r>
            <w:r>
              <w:rPr>
                <w:b/>
                <w:i/>
              </w:rPr>
              <w:t>voor iedereen</w:t>
            </w:r>
            <w:r>
              <w:t xml:space="preserve"> te versterken en tegelijkertijd de integratie van personen met een handicap </w:t>
            </w:r>
            <w:r>
              <w:rPr>
                <w:b/>
                <w:i/>
              </w:rPr>
              <w:t>en jonge en oudere werknemers</w:t>
            </w:r>
            <w:r>
              <w:t xml:space="preserve"> in de beroepsbevolking te bevorderen, om tekorten aan arbeidskrachten aan te pakken en gelijke kansen op de arbeidsmarkt te ondersteunen</w:t>
            </w:r>
            <w:r>
              <w:rPr>
                <w:b/>
                <w:i/>
              </w:rPr>
              <w:t>;</w:t>
            </w:r>
            <w:r>
              <w:t xml:space="preserve"> </w:t>
            </w:r>
            <w:r>
              <w:rPr>
                <w:b/>
                <w:i/>
              </w:rPr>
              <w:t>dit houdt onder meer in dat jongeren toegang moeten krijgen tot betaalde, hoogwaardige en inclusieve stages en leerlingplaatsen, zodat zij zinvolle werkervaring kunnen opdoen, hun overgang van onderwijs naar werk wordt vergemakkelijkt en arbeidsomstandigheden worden gecreëerd die een vergrijzende beroepsbevolking in staat stellen gezond en vrijwillig op de arbeidsmarkt te blijven;</w:t>
            </w:r>
            <w:r>
              <w:t xml:space="preserve"> </w:t>
            </w:r>
            <w:r>
              <w:rPr>
                <w:b/>
                <w:i/>
              </w:rPr>
              <w:t>benadrukt dat de mogelijkheden voor de ontwikkeling van levenslange vaardigheden moeten worden verbeterd, aangezien er weliswaar</w:t>
            </w:r>
            <w:r>
              <w:t xml:space="preserve"> sprake is van verbetering</w:t>
            </w:r>
            <w:r>
              <w:rPr>
                <w:b/>
                <w:i/>
              </w:rPr>
              <w:t>, maar dat personen met een handicap, met name vrouwen met een handicap</w:t>
            </w:r>
            <w:r>
              <w:t>, nog steeds te maken hebben met aanzienlijke obstakels op de arbeidsmarkt;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wijst erop dat het belangrijk is de ontwikkeling van vaardigheden bij de beroepsbevolking te ondersteunen om het concurrentievermogen te verbeteren en hoogwaardige werkgelegenheid te waarborgen; dringt er bij de lidstaten op aan de beroeps- en digitale opleiding te versterken en tegelijkertijd de integratie van personen met een handicap in de beroepsbevolking te bevorderen, om tekorten aan arbeidskrachten aan te pakken en gelijke kansen op de arbeidsmarkt te ondersteunen</w:t>
            </w:r>
            <w:r>
              <w:rPr>
                <w:b/>
                <w:i/>
              </w:rPr>
              <w:t>, aangezien</w:t>
            </w:r>
            <w:r>
              <w:t xml:space="preserve"> personen met een handicap, </w:t>
            </w:r>
            <w:r>
              <w:rPr>
                <w:b/>
                <w:i/>
              </w:rPr>
              <w:t>ondanks dat er sprake is van verbetering, nog steeds te maken hebben met aanzienlijke obstakels</w:t>
            </w:r>
            <w:r>
              <w:t xml:space="preserve"> op de arbeidsmarkt;</w:t>
            </w:r>
          </w:p>
        </w:tc>
        <w:tc>
          <w:tcPr>
            <w:tcW w:w="4876" w:type="dxa"/>
            <w:tcBorders>
              <w:top w:val="nil"/>
              <w:left w:val="nil"/>
              <w:bottom w:val="nil"/>
              <w:right w:val="nil"/>
            </w:tcBorders>
          </w:tcPr>
          <w:p>
            <w:pPr>
              <w:pStyle w:val="Normal6a"/>
            </w:pPr>
            <w:r>
              <w:t>2.</w:t>
            </w:r>
            <w:r>
              <w:tab/>
            </w:r>
            <w:r>
              <w:t xml:space="preserve">wijst erop dat het belangrijk is de ontwikkeling van vaardigheden bij de beroepsbevolking te ondersteunen om het concurrentievermogen te verbeteren en hoogwaardige werkgelegenheid te waarborgen; dringt er bij de lidstaten op aan de beroeps- en digitale opleiding te versterken en tegelijkertijd de integratie van personen </w:t>
            </w:r>
            <w:r>
              <w:rPr>
                <w:b/>
                <w:i/>
              </w:rPr>
              <w:t>uit kansarme groepen, zoals personen</w:t>
            </w:r>
            <w:r>
              <w:t xml:space="preserve"> met een handicap</w:t>
            </w:r>
            <w:r>
              <w:rPr>
                <w:b/>
                <w:i/>
              </w:rPr>
              <w:t>,</w:t>
            </w:r>
            <w:r>
              <w:t xml:space="preserve"> in de beroepsbevolking te bevorderen, om tekorten aan arbeidskrachten aan te pakken en gelijke kansen op de arbeidsmarkt te ondersteunen</w:t>
            </w:r>
            <w:r>
              <w:rPr>
                <w:b/>
                <w:i/>
              </w:rPr>
              <w:t>;</w:t>
            </w:r>
            <w:r>
              <w:t xml:space="preserve"> </w:t>
            </w:r>
            <w:r>
              <w:rPr>
                <w:b/>
                <w:i/>
              </w:rPr>
              <w:t>verzoekt de lidstaten de maatregelen op het gebied van opleiding, bij- en omscholing en een actief arbeidsmarktbeleid te versterken, en zich daarbij te richten op de inactieve beroepsbevolking en groepen met een lage arbeidsparticipatie, waaronder vrouwen,</w:t>
            </w:r>
            <w:r>
              <w:t xml:space="preserve"> personen met een handicap, </w:t>
            </w:r>
            <w:r>
              <w:rPr>
                <w:b/>
                <w:i/>
              </w:rPr>
              <w:t>mensen met een lager opleidingsniveau, jongeren en NEET’s, oudere werknemers en mensen met een migranten- of etnische minderheidsachtergrond, zoals Roma;</w:t>
            </w:r>
            <w:r>
              <w:t xml:space="preserve"> </w:t>
            </w:r>
            <w:r>
              <w:rPr>
                <w:b/>
                <w:i/>
              </w:rPr>
              <w:t>benadrukt dat de bestrijding van alle vormen van discriminatie en stereotypen van cruciaal belang is om de integratie van deze groepen</w:t>
            </w:r>
            <w:r>
              <w:t xml:space="preserve"> op de arbeidsmarkt </w:t>
            </w:r>
            <w:r>
              <w:rPr>
                <w:b/>
                <w:i/>
              </w:rPr>
              <w:t>te waarborgen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wijst erop dat het belangrijk is de ontwikkeling van vaardigheden </w:t>
            </w:r>
            <w:r>
              <w:rPr>
                <w:b/>
                <w:i/>
              </w:rPr>
              <w:t>bij</w:t>
            </w:r>
            <w:r>
              <w:t xml:space="preserve"> de beroepsbevolking te ondersteunen om het concurrentievermogen te verbeteren en hoogwaardige werkgelegenheid te waarborgen; dringt er bij de lidstaten op aan de beroeps- en digitale opleiding te versterken en tegelijkertijd de integratie </w:t>
            </w:r>
            <w:r>
              <w:rPr>
                <w:b/>
                <w:i/>
              </w:rPr>
              <w:t>van personen met een handicap in de beroepsbevolking te bevorderen</w:t>
            </w:r>
            <w:r>
              <w:t xml:space="preserve">, om tekorten aan arbeidskrachten aan te pakken en gelijke kansen op de arbeidsmarkt te ondersteunen, </w:t>
            </w:r>
            <w:r>
              <w:rPr>
                <w:b/>
                <w:i/>
              </w:rPr>
              <w:t>aangezien personen met een handicap, ondanks dat er sprake is van verbetering,</w:t>
            </w:r>
            <w:r>
              <w:t xml:space="preserve"> nog steeds </w:t>
            </w:r>
            <w:r>
              <w:rPr>
                <w:b/>
                <w:i/>
              </w:rPr>
              <w:t>te maken hebben met aanzienlijke obstakels</w:t>
            </w:r>
            <w:r>
              <w:t xml:space="preserve"> op de arbeidsmarkt;</w:t>
            </w:r>
          </w:p>
        </w:tc>
        <w:tc>
          <w:tcPr>
            <w:tcW w:w="4876" w:type="dxa"/>
            <w:tcBorders>
              <w:top w:val="nil"/>
              <w:left w:val="nil"/>
              <w:bottom w:val="nil"/>
              <w:right w:val="nil"/>
            </w:tcBorders>
          </w:tcPr>
          <w:p>
            <w:pPr>
              <w:pStyle w:val="Normal6a"/>
            </w:pPr>
            <w:r>
              <w:t>2.</w:t>
            </w:r>
            <w:r>
              <w:tab/>
            </w:r>
            <w:r>
              <w:t xml:space="preserve">wijst erop dat het belangrijk is de ontwikkeling van vaardigheden </w:t>
            </w:r>
            <w:r>
              <w:rPr>
                <w:b/>
                <w:i/>
              </w:rPr>
              <w:t>en de om- en bijscholing van</w:t>
            </w:r>
            <w:r>
              <w:t xml:space="preserve"> de beroepsbevolking te ondersteunen om het concurrentievermogen </w:t>
            </w:r>
            <w:r>
              <w:rPr>
                <w:b/>
                <w:i/>
              </w:rPr>
              <w:t>en de duurzaamheid op lange termijn van de Europese industrie en kleine en middelgrote ondernemingen</w:t>
            </w:r>
            <w:r>
              <w:t xml:space="preserve"> te verbeteren en hoogwaardige werkgelegenheid </w:t>
            </w:r>
            <w:r>
              <w:rPr>
                <w:b/>
                <w:i/>
              </w:rPr>
              <w:t>voor werknemers</w:t>
            </w:r>
            <w:r>
              <w:t xml:space="preserve"> te waarborgen</w:t>
            </w:r>
            <w:r>
              <w:rPr>
                <w:b/>
                <w:i/>
              </w:rPr>
              <w:t>, met name werknemers die met de transitie te maken hebben</w:t>
            </w:r>
            <w:r>
              <w:t xml:space="preserve">; dringt er bij de lidstaten op aan de beroeps- en digitale opleiding te versterken en tegelijkertijd de integratie </w:t>
            </w:r>
            <w:r>
              <w:rPr>
                <w:b/>
                <w:i/>
              </w:rPr>
              <w:t>in de beroepsbevolking te bevorderen van alle groepen die momenteel moeite hebben om toegang te krijgen tot de arbeidsmarkt, met inbegrip van personen met een handicap</w:t>
            </w:r>
            <w:r>
              <w:t xml:space="preserve">, om tekorten aan arbeidskrachten aan te pakken en gelijke kansen op de arbeidsmarkt te ondersteunen, </w:t>
            </w:r>
            <w:r>
              <w:rPr>
                <w:b/>
                <w:i/>
              </w:rPr>
              <w:t>gezien de aanzienlijke belemmeringen waarmee personen met een handicap</w:t>
            </w:r>
            <w:r>
              <w:t xml:space="preserve"> nog steeds </w:t>
            </w:r>
            <w:r>
              <w:rPr>
                <w:b/>
                <w:i/>
              </w:rPr>
              <w:t>worden geconfronteerd</w:t>
            </w:r>
            <w:r>
              <w:t xml:space="preserve"> op de arbeidsmarkt;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wijst erop dat het belangrijk is de ontwikkeling van vaardigheden bij de beroepsbevolking te ondersteunen om het concurrentievermogen te verbeteren en hoogwaardige werkgelegenheid te waarborgen; dringt er bij de lidstaten op aan de beroeps- en digitale opleiding te versterken en tegelijkertijd de integratie van personen met een handicap in de beroepsbevolking te bevorderen, om tekorten aan arbeidskrachten aan te pakken en gelijke kansen op de arbeidsmarkt te ondersteunen, aangezien personen met een handicap, ondanks dat er sprake is van verbetering, nog steeds te maken hebben met aanzienlijke obstakels op de arbeidsmarkt;</w:t>
            </w:r>
          </w:p>
        </w:tc>
        <w:tc>
          <w:tcPr>
            <w:tcW w:w="4876" w:type="dxa"/>
            <w:tcBorders>
              <w:top w:val="nil"/>
              <w:left w:val="nil"/>
              <w:bottom w:val="nil"/>
              <w:right w:val="nil"/>
            </w:tcBorders>
          </w:tcPr>
          <w:p>
            <w:pPr>
              <w:pStyle w:val="Normal6a"/>
            </w:pPr>
            <w:r>
              <w:t>2.</w:t>
            </w:r>
            <w:r>
              <w:tab/>
            </w:r>
            <w:r>
              <w:t>wijst erop dat het belangrijk is de ontwikkeling van vaardigheden bij de beroepsbevolking te ondersteunen om het concurrentievermogen te verbeteren en hoogwaardige werkgelegenheid te waarborgen</w:t>
            </w:r>
            <w:r>
              <w:rPr>
                <w:b/>
                <w:i/>
              </w:rPr>
              <w:t>, en daarbij tegemoet te komen aan de individuele wensen van werknemers</w:t>
            </w:r>
            <w:r>
              <w:t xml:space="preserve">; dringt er bij de lidstaten op aan de beroeps- en digitale opleiding te versterken en tegelijkertijd de integratie van personen met een handicap </w:t>
            </w:r>
            <w:r>
              <w:rPr>
                <w:b/>
                <w:i/>
              </w:rPr>
              <w:t>en personen met een chronische aandoening</w:t>
            </w:r>
            <w:r>
              <w:t xml:space="preserve"> in de beroepsbevolking </w:t>
            </w:r>
            <w:r>
              <w:rPr>
                <w:b/>
                <w:i/>
              </w:rPr>
              <w:t>en de integratie van werknemers na een lange periode van afwezigheid</w:t>
            </w:r>
            <w:r>
              <w:t xml:space="preserve"> te bevorderen, om tekorten aan arbeidskrachten aan te pakken en gelijke kansen op de arbeidsmarkt te ondersteunen, aangezien personen met een handicap, ondanks dat er sprake is van verbetering, nog steeds te maken hebben met aanzienlijke obstakels op de arbeidsmarkt;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wijst erop dat het belangrijk is de ontwikkeling van vaardigheden bij de beroepsbevolking te ondersteunen om het concurrentievermogen te verbeteren en hoogwaardige werkgelegenheid te waarborgen; dringt er bij de lidstaten op aan de beroeps- en digitale opleiding te versterken en tegelijkertijd de integratie van personen met een handicap in de beroepsbevolking te bevorderen, om tekorten aan arbeidskrachten aan te pakken en gelijke kansen op de arbeidsmarkt te ondersteunen, aangezien personen met een handicap, ondanks dat er sprake is van verbetering, nog steeds te maken hebben met aanzienlijke obstakels op de arbeidsmarkt;</w:t>
            </w:r>
          </w:p>
        </w:tc>
        <w:tc>
          <w:tcPr>
            <w:tcW w:w="4876" w:type="dxa"/>
            <w:tcBorders>
              <w:top w:val="nil"/>
              <w:left w:val="nil"/>
              <w:bottom w:val="nil"/>
              <w:right w:val="nil"/>
            </w:tcBorders>
          </w:tcPr>
          <w:p>
            <w:pPr>
              <w:pStyle w:val="Normal6a"/>
            </w:pPr>
            <w:r>
              <w:t>2.</w:t>
            </w:r>
            <w:r>
              <w:tab/>
            </w:r>
            <w:r>
              <w:t xml:space="preserve">wijst erop dat het belangrijk is de ontwikkeling van vaardigheden bij de beroepsbevolking te ondersteunen om het concurrentievermogen te verbeteren en hoogwaardige werkgelegenheid te waarborgen; dringt er bij de lidstaten op aan de beroeps- en digitale opleiding te versterken en tegelijkertijd de integratie van personen met een handicap </w:t>
            </w:r>
            <w:r>
              <w:rPr>
                <w:b/>
                <w:i/>
              </w:rPr>
              <w:t>en personen van achtergestelde of gemarginaliseerde groepen</w:t>
            </w:r>
            <w:r>
              <w:t xml:space="preserve"> in de beroepsbevolking te bevorderen, om tekorten aan arbeidskrachten aan te pakken en gelijke kansen op de arbeidsmarkt te ondersteunen, aangezien personen met een handicap, ondanks dat er sprake is van verbetering, nog steeds te maken hebben met aanzienlijke obstakels op de arbeidsmarkt;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wijst erop dat het belangrijk is de ontwikkeling van vaardigheden bij de beroepsbevolking </w:t>
            </w:r>
            <w:r>
              <w:rPr>
                <w:b/>
                <w:i/>
              </w:rPr>
              <w:t>te ondersteunen</w:t>
            </w:r>
            <w:r>
              <w:t xml:space="preserve"> om het concurrentievermogen te verbeteren en hoogwaardige werkgelegenheid te waarborgen; dringt er bij de lidstaten op aan de beroeps- en digitale opleiding te versterken en tegelijkertijd de integratie van personen met een handicap in de beroepsbevolking te bevorderen, om tekorten aan arbeidskrachten aan te pakken en gelijke kansen op de arbeidsmarkt te ondersteunen, aangezien personen met een handicap, ondanks dat er sprake is van verbetering, nog steeds te maken hebben met aanzienlijke obstakels op de arbeidsmarkt;</w:t>
            </w:r>
          </w:p>
        </w:tc>
        <w:tc>
          <w:tcPr>
            <w:tcW w:w="4876" w:type="dxa"/>
            <w:tcBorders>
              <w:top w:val="nil"/>
              <w:left w:val="nil"/>
              <w:bottom w:val="nil"/>
              <w:right w:val="nil"/>
            </w:tcBorders>
          </w:tcPr>
          <w:p>
            <w:pPr>
              <w:pStyle w:val="Normal6a"/>
            </w:pPr>
            <w:r>
              <w:t>2.</w:t>
            </w:r>
            <w:r>
              <w:tab/>
            </w:r>
            <w:r>
              <w:t xml:space="preserve">wijst erop dat het belangrijk is </w:t>
            </w:r>
            <w:r>
              <w:rPr>
                <w:b/>
                <w:i/>
              </w:rPr>
              <w:t>dat de kosten van</w:t>
            </w:r>
            <w:r>
              <w:t xml:space="preserve"> de ontwikkeling van vaardigheden bij de beroepsbevolking om het concurrentievermogen te verbeteren en hoogwaardige werkgelegenheid te waarborgen </w:t>
            </w:r>
            <w:r>
              <w:rPr>
                <w:b/>
                <w:i/>
              </w:rPr>
              <w:t>worden gedeeld door overheids- en particuliere actoren</w:t>
            </w:r>
            <w:r>
              <w:t>; dringt er bij de lidstaten op aan de beroeps- en digitale opleiding te versterken en tegelijkertijd de integratie van personen met een handicap in de beroepsbevolking te bevorderen, om tekorten aan arbeidskrachten aan te pakken en gelijke kansen op de arbeidsmarkt te ondersteunen, aangezien personen met een handicap, ondanks dat er sprake is van verbetering, nog steeds te maken hebben met aanzienlijke obstakels op de arbeidsmarkt;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wijst erop dat het belangrijk is de ontwikkeling van</w:t>
            </w:r>
            <w:r>
              <w:t xml:space="preserve"> vaardigheden </w:t>
            </w:r>
            <w:r>
              <w:rPr>
                <w:b/>
                <w:i/>
              </w:rPr>
              <w:t>bij de beroepsbevolking te ondersteunen</w:t>
            </w:r>
            <w:r>
              <w:t xml:space="preserve"> om het concurrentievermogen te verbeteren en hoogwaardige werkgelegenheid te waarborgen; dringt er bij de lidstaten op aan de beroeps- en digitale opleiding te versterken en tegelijkertijd de integratie van personen met een handicap in de beroepsbevolking te bevorderen, om tekorten aan arbeidskrachten aan te pakken en gelijke kansen op de arbeidsmarkt te ondersteunen, aangezien personen met een handicap, ondanks dat er sprake is van verbetering, nog steeds te maken hebben met aanzienlijke obstakels op de arbeidsmarkt;</w:t>
            </w:r>
          </w:p>
        </w:tc>
        <w:tc>
          <w:tcPr>
            <w:tcW w:w="4876" w:type="dxa"/>
            <w:tcBorders>
              <w:top w:val="nil"/>
              <w:left w:val="nil"/>
              <w:bottom w:val="nil"/>
              <w:right w:val="nil"/>
            </w:tcBorders>
          </w:tcPr>
          <w:p>
            <w:pPr>
              <w:pStyle w:val="Normal6a"/>
            </w:pPr>
            <w:r>
              <w:t>2.</w:t>
            </w:r>
            <w:r>
              <w:tab/>
            </w:r>
            <w:r>
              <w:rPr>
                <w:b/>
                <w:i/>
              </w:rPr>
              <w:t>dringt erop aan het talent dat in Europa aanwezig is te benutten en te investeren in</w:t>
            </w:r>
            <w:r>
              <w:t xml:space="preserve"> vaardigheden </w:t>
            </w:r>
            <w:r>
              <w:rPr>
                <w:b/>
                <w:i/>
              </w:rPr>
              <w:t>om hoogwaardige banen in de hele Unie te bevorderen</w:t>
            </w:r>
            <w:r>
              <w:t xml:space="preserve"> om het concurrentievermogen te verbeteren en hoogwaardige werkgelegenheid te waarborgen; dringt er bij de lidstaten op aan de beroeps- en digitale opleiding te versterken en tegelijkertijd de integratie van personen met een handicap in de beroepsbevolking te bevorderen, om tekorten aan arbeidskrachten aan te pakken en gelijke kansen op de arbeidsmarkt te ondersteunen, aangezien personen met een handicap, ondanks dat er sprake is van verbetering, nog steeds te maken hebben met aanzienlijke obstakels op de arbeidsmarkt;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wijst erop dat het belangrijk is de ontwikkeling van vaardigheden bij de beroepsbevolking te ondersteunen om het concurrentievermogen te verbeteren en hoogwaardige werkgelegenheid te waarborgen; dringt er bij de lidstaten op aan de beroeps- en digitale opleiding te versterken en tegelijkertijd de integratie van personen met een handicap in de beroepsbevolking te bevorderen, om tekorten aan arbeidskrachten aan te pakken en gelijke kansen op de arbeidsmarkt te ondersteunen, aangezien personen met een handicap, ondanks dat er sprake is van verbetering, nog steeds te maken hebben met aanzienlijke obstakels op de arbeidsmarkt;</w:t>
            </w:r>
          </w:p>
        </w:tc>
        <w:tc>
          <w:tcPr>
            <w:tcW w:w="4876" w:type="dxa"/>
            <w:tcBorders>
              <w:top w:val="nil"/>
              <w:left w:val="nil"/>
              <w:bottom w:val="nil"/>
              <w:right w:val="nil"/>
            </w:tcBorders>
          </w:tcPr>
          <w:p>
            <w:pPr>
              <w:pStyle w:val="Normal6a"/>
            </w:pPr>
            <w:r>
              <w:t>2.</w:t>
            </w:r>
            <w:r>
              <w:tab/>
            </w:r>
            <w:r>
              <w:t xml:space="preserve">wijst erop dat het belangrijk is de ontwikkeling van vaardigheden bij de </w:t>
            </w:r>
            <w:r>
              <w:rPr>
                <w:b/>
                <w:i/>
              </w:rPr>
              <w:t>Europese</w:t>
            </w:r>
            <w:r>
              <w:t xml:space="preserve"> beroepsbevolking te ondersteunen om het concurrentievermogen te verbeteren en hoogwaardige werkgelegenheid te waarborgen; dringt er bij de lidstaten op aan de beroeps- en digitale opleiding te versterken en tegelijkertijd de integratie van personen met een handicap in de beroepsbevolking te bevorderen, om tekorten aan arbeidskrachten aan te pakken en gelijke kansen op de arbeidsmarkt te ondersteunen, aangezien personen met een handicap, ondanks dat er sprake is van verbetering, nog steeds te maken hebben met aanzienlijke obstakels op de arbeidsmarkt;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wijst op de hardnekkige arbeidsparticipatiekloof ten nadele van personen met een handicap, waarbij slechts 51,3 % van de actieve personen met een handicap in de werkende leeftijd in de EU betaald werk heeft;</w:t>
            </w:r>
            <w:r>
              <w:t xml:space="preserve"> </w:t>
            </w:r>
            <w:r>
              <w:rPr>
                <w:b/>
                <w:i/>
              </w:rPr>
              <w:t>verzoekt de Commissie de EU-strategie inzake handicaps vanaf 2025 te actualiseren met nieuwe vlaggenschipinitiatieven en -acties;</w:t>
            </w:r>
            <w:r>
              <w:t xml:space="preserve"> </w:t>
            </w:r>
            <w:r>
              <w:rPr>
                <w:b/>
                <w:i/>
              </w:rPr>
              <w:t>benadrukt dat de Commissie voorstellen moet indienen om ervoor te zorgen dat de EU en de lidstaten het Verdrag van de Verenigde Naties inzake de rechten van personen met een handicap (UNCRPD) naleven en met name aandacht besteden aan de sociale inclusie, het zelfstandig wonen van personen met een handicap, de resterende belemmeringen voor hun vrije verkeer en hun toegang tot hoogwaardig onderwijs, opleiding en werk, door richtsnoeren vast te stellen voor het behoud van invaliditeitsuitkeringen en de invoering van een Europese garantie voor werkgelegenheid en vaardigheden voor personen met een handicap;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maakt zich zorgen over de toename van atypische arbeidsovereenkomsten, waarbij werknemers in armoede verkeren hoewel zij werk hebben en geen adequate wettelijke bescherming genieten;</w:t>
            </w:r>
            <w:r>
              <w:t xml:space="preserve"> </w:t>
            </w:r>
            <w:r>
              <w:rPr>
                <w:b/>
                <w:i/>
              </w:rPr>
              <w:t>wijst erop dat een dergelijke daling van de arbeidsnormen niet alleen gevolgen heeft voor de financiële stabiliteit van personen, maar ook het bredere sociale weefsel ondermijnt, aangezien steeds meer werknemers problemen ondervinden bij de toegang tot essentiële diensten zoals gezondheidszorg, pensioenplannen en werkgerelateerde opleidingen;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benadrukt dat aandacht moet worden besteed aan de sociale en milieuaspecten van het concurrentievermogen, waarbij de nadruk moet worden gelegd op de noodzaak van investeringen in onderwijs en opleiding voor iedereen om te zorgen voor universele toegang tot hoogwaardige openbare onderwijs- en beroepsopleidingsprogramma’s, alsook tot duurzame praktijken ter bevordering van inclusieve groei; onderstreept dat de sociale partners een sleutelrol moeten spelen bij het vaststellen van en het tegemoetkomen aan de behoeften aan vaardigheden in de hele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wijst op de rol van sociale investeringen en het belang van hervormingen en investeringen op sleutelgebieden zoals bij- en omscholing, een leven lang leren, actief arbeidsmarktbeleid, voor- en vroegschoolse educatie en zorgbeleid, die kunnen worden aangevuld met hogere investeringen in betaalbare huisvesting en sociale zekerheid;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uit zijn bezorgdheid over het feit dat de Roma nog steeds te maken hebben met aanzienlijke belemmeringen op het gebied van werkgelegenheid, en geconfronteerd worden met hardnekkige vooroordelen die hun vooruitzichten beperken;</w:t>
            </w:r>
            <w:r>
              <w:t xml:space="preserve"> </w:t>
            </w:r>
            <w:r>
              <w:rPr>
                <w:b/>
                <w:i/>
              </w:rPr>
              <w:t>merkt op dat in het strategisch EU-kader voor gelijkheid, integratie en participatie van de Roma wordt gewezen op een gebrek aan vooruitgang op het gebied van toegang tot werk en een groeiend aandeel van Roma-jongeren die geen werk hebben en geen onderwijs of opleiding volgen;</w:t>
            </w:r>
            <w:r>
              <w:t xml:space="preserve"> </w:t>
            </w:r>
            <w:r>
              <w:rPr>
                <w:b/>
                <w:i/>
              </w:rPr>
              <w:t>benadrukt de doelstelling van het kader om de arbeidsparticipatiekloof tussen de Roma en de algemene bevolking te halveren en ervoor te zorgen dat ten minste 60 % van de Roma tegen 2030 betaald werk heeft;</w:t>
            </w:r>
            <w:r>
              <w:t xml:space="preserve"> </w:t>
            </w:r>
            <w:r>
              <w:rPr>
                <w:b/>
                <w:i/>
              </w:rPr>
              <w:t>dringt er bij de lidstaten op aan een geïntegreerde, op gelijkheid gerichte aanpak te hanteren en ervoor te zorgen dat overheidsbeleid en -diensten alle Roma daadwerkelijk bereiken, ook in afgelegen plattelandsgebieden;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quater.</w:t>
            </w:r>
            <w:r>
              <w:tab/>
            </w:r>
            <w:r>
              <w:rPr>
                <w:b/>
                <w:i/>
              </w:rPr>
              <w:t>benadrukt dat beleid om de tekorten aan arbeidskrachten in de Europese Unie aan te pakken ook moet inhouden dat de arbeidsmobiliteit binnen de Unie wordt verbeterd en vergemakkelijkt;</w:t>
            </w:r>
            <w:r>
              <w:t xml:space="preserve"> </w:t>
            </w:r>
            <w:r>
              <w:rPr>
                <w:b/>
                <w:i/>
              </w:rPr>
              <w:t>verzoekt de lidstaten de erkenning van vaardigheden en kwalificaties in de Unie te versterken en te vergemakkelijken, ook voor onderdanen van derde landen;</w:t>
            </w:r>
            <w:r>
              <w:t xml:space="preserve"> </w:t>
            </w:r>
            <w:r>
              <w:rPr>
                <w:b/>
                <w:i/>
              </w:rPr>
              <w:t>verzoekt de Commissie de doeltreffendheid van het Eures-platform te analyseren met het oog op een mogelijke herziening van de werking ervan;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quinquies.</w:t>
            </w:r>
            <w:r>
              <w:tab/>
            </w:r>
            <w:r>
              <w:rPr>
                <w:b/>
                <w:i/>
              </w:rPr>
              <w:t>is bezorgd over de dalende onderwijsprestaties van jongeren, met name op het gebied van basisvaardigheden</w:t>
            </w:r>
            <w:r>
              <w:rPr>
                <w:b/>
                <w:i/>
                <w:vertAlign w:val="superscript"/>
              </w:rPr>
              <w:t>17 bis</w:t>
            </w:r>
            <w:r>
              <w:rPr>
                <w:b/>
                <w:i/>
              </w:rPr>
              <w:t>;</w:t>
            </w:r>
            <w:r>
              <w:t xml:space="preserve"> </w:t>
            </w:r>
            <w:r>
              <w:rPr>
                <w:b/>
                <w:i/>
              </w:rPr>
              <w:t>is in dit verband verheugd over de aankondiging van een actieplan voor basisvaardigheden en een strategisch plan voor STEM-onderwijs</w:t>
            </w:r>
            <w:r>
              <w:rPr>
                <w:b/>
                <w:i/>
                <w:vertAlign w:val="superscript"/>
              </w:rPr>
              <w:t>18 bis</w:t>
            </w:r>
            <w:r>
              <w:rPr>
                <w:b/>
                <w:i/>
              </w:rPr>
              <w:t>;</w:t>
            </w:r>
            <w:r>
              <w:t xml:space="preserve"> </w:t>
            </w:r>
            <w:r>
              <w:rPr>
                <w:b/>
                <w:i/>
              </w:rPr>
              <w:t>verzoekt de lidstaten te investeren in programma’s om lerenden uit te rusten met de basis-, digitale en transversale vaardigheden die nodig zijn voor de arbeidswereld en de digitalisering ervan, en hen in staat te stellen een zinvolle bijdrage te leveren aan de samenleving;</w:t>
            </w:r>
            <w:r>
              <w:t xml:space="preserve"> </w:t>
            </w:r>
            <w:r>
              <w:rPr>
                <w:b/>
                <w:i/>
              </w:rPr>
              <w:t>is van mening dat digitale en transversale vaardigheden een component kritisch denken en mediageletterdheid moeten omvatten om de dreiging van misinformatie tegen te gaan;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 bis</w:t>
            </w:r>
            <w:r>
              <w:t xml:space="preserve"> </w:t>
            </w:r>
            <w:r>
              <w:rPr>
                <w:b/>
                <w:i/>
              </w:rPr>
              <w:t>Directoraat-generaal Onderwijs, Jongerenzaken, Sport en Cultuur: Education and training monitor 2024 – Comparative report, Publicatiebureau van de Europese Unie,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18 bis</w:t>
            </w:r>
            <w:r>
              <w:t xml:space="preserve"> </w:t>
            </w:r>
            <w:r>
              <w:rPr>
                <w:b/>
                <w:i/>
              </w:rPr>
              <w:t>Opdrachtbrief aan de uitvoerend vicevoorzitter voor Sociale Rechten, Vaardigheden, Hoogwaardige Banen en Paraatheid, december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sexies.</w:t>
            </w:r>
            <w:r>
              <w:tab/>
            </w:r>
            <w:r>
              <w:rPr>
                <w:b/>
                <w:i/>
              </w:rPr>
              <w:t>merkt op dat het aantal voortijdige verlaters van onderwijs en opleiding in verschillende lidstaten nog steeds hoog is, ondanks een neerwaartse trend in de Europese Unie;</w:t>
            </w:r>
            <w:r>
              <w:t xml:space="preserve"> </w:t>
            </w:r>
            <w:r>
              <w:rPr>
                <w:b/>
                <w:i/>
              </w:rPr>
              <w:t>merkt op dat dit verschijnsel met name jonge mannen betreft, aangezien 11,3 % van de jonge mannen en 7,7 % van de jonge vrouwen in de Unie in 2023 onderwijs en opleiding voortijdig heeft verlaten;</w:t>
            </w:r>
            <w:r>
              <w:t xml:space="preserve"> </w:t>
            </w:r>
            <w:r>
              <w:rPr>
                <w:b/>
                <w:i/>
              </w:rPr>
              <w:t>is bezorgd over de gevolgen van deze trend voor de toekomst van deze jongeren, aangezien slechts 1 op de 2 voormalige voortijdige verlaters een baan heeft, bijna 1 op de 3 voormalige voortijdige verlaters geen baan kan vinden en 1 op de 5 besluit inactief te blijven;</w:t>
            </w:r>
            <w:r>
              <w:t xml:space="preserve"> </w:t>
            </w:r>
            <w:r>
              <w:rPr>
                <w:b/>
                <w:i/>
              </w:rPr>
              <w:t>verzoekt de lidstaten deze situatie aan te pakken en gepersonaliseerde oplossingen te ontwikkelen om kinderen en jongeren op school te houden;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septies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septies.</w:t>
            </w:r>
            <w:r>
              <w:tab/>
            </w:r>
            <w:r>
              <w:rPr>
                <w:b/>
                <w:i/>
              </w:rPr>
              <w:t>maakt zich zorgen over het percentage jeugdwerkloosheid, dat in verschillende lidstaten zeer hoog blijft en meer dan twee keer zo hoog als het algehele werkloosheidspercentage in de EU;</w:t>
            </w:r>
            <w:r>
              <w:t xml:space="preserve"> </w:t>
            </w:r>
            <w:r>
              <w:rPr>
                <w:b/>
                <w:i/>
              </w:rPr>
              <w:t>herinnert eraan dat de jongerengarantie gebaseerd is op de toezegging van de lidstaten aan jongeren onder de dertig jaar dat zij binnen vier maanden nadat zij werkloos zijn geworden of het onderwijs hebben verlaten, een deugdelijk aanbod krijgen voor een baan, aanvullend onderwijs of een plaats in het leerlingstelsel of een stage;</w:t>
            </w:r>
            <w:r>
              <w:t xml:space="preserve"> </w:t>
            </w:r>
            <w:r>
              <w:rPr>
                <w:b/>
                <w:i/>
              </w:rPr>
              <w:t>meent dat er meer synergieën nodig zijn tussen de kindergarantie en de jongerengarantie om passende steun te waarborgen voor jongeren die daar met het oog op hun persoonlijke en beroepsontwikkeling behoefte aan hebben;</w:t>
            </w:r>
            <w:r>
              <w:t xml:space="preserve"> </w:t>
            </w:r>
            <w:r>
              <w:rPr>
                <w:b/>
                <w:i/>
              </w:rPr>
              <w:t>juicht toe dat de resultaten op het vlak van werkgelegenheid voor pas afgestudeerden van beroepsonderwijs en -opleiding in de hele EU blijven verbeteren;</w:t>
            </w:r>
            <w:r>
              <w:t xml:space="preserve"> </w:t>
            </w:r>
            <w:r>
              <w:rPr>
                <w:b/>
                <w:i/>
              </w:rPr>
              <w:t>herhaalt dat beroepsonderwijs en -opleiding een essentiële rol spelen voor de verwerving van de kennis en de vaardigheden die jongeren nodig hebben om de arbeidsmarkt te betreden;</w:t>
            </w:r>
            <w:r>
              <w:t xml:space="preserve"> </w:t>
            </w:r>
            <w:r>
              <w:rPr>
                <w:b/>
                <w:i/>
              </w:rPr>
              <w:t>benadrukt dat moet worden geïnvesteerd in de kwaliteit en aantrekkelijkheid van beroepsonderwijs en -opleiding via het ESF+ en de versterkte jongerengarantie;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verzoekt de Commissie specifieke aanbevelingen over </w:t>
            </w:r>
            <w:r>
              <w:rPr>
                <w:b/>
                <w:i/>
              </w:rPr>
              <w:t>de betaalbaarheid van huisvesting</w:t>
            </w:r>
            <w:r>
              <w:t xml:space="preserve"> op te nemen in het Europees semester en investeringen in huisvesting te bevorderen, onder meer via financiële instrumenten van de Europese Investeringsbank; is van mening dat de herziening van het EU-regelgevingskader voor de huisvestingssector de bouw van </w:t>
            </w:r>
            <w:r>
              <w:rPr>
                <w:b/>
                <w:i/>
              </w:rPr>
              <w:t>toegankelijke</w:t>
            </w:r>
            <w:r>
              <w:t xml:space="preserve"> en energie-efficiënte huisvesting </w:t>
            </w:r>
            <w:r>
              <w:rPr>
                <w:b/>
                <w:i/>
              </w:rPr>
              <w:t>moet vergemakkelijken</w:t>
            </w:r>
            <w:r>
              <w:t xml:space="preserve"> die tegemoetkomt aan de behoeften van jongeren, mensen met beperkte mobiliteit en gezinnen die risico lopen</w:t>
            </w:r>
            <w:r>
              <w:rPr>
                <w:b/>
                <w:i/>
              </w:rPr>
              <w:t>, en die huiseigenaren moet beschermen tegen een verdere afname van het aanbod</w:t>
            </w:r>
            <w:r>
              <w:t>;</w:t>
            </w:r>
          </w:p>
        </w:tc>
        <w:tc>
          <w:tcPr>
            <w:tcW w:w="4876" w:type="dxa"/>
            <w:tcBorders>
              <w:top w:val="nil"/>
              <w:left w:val="nil"/>
              <w:bottom w:val="nil"/>
              <w:right w:val="nil"/>
            </w:tcBorders>
          </w:tcPr>
          <w:p>
            <w:pPr>
              <w:pStyle w:val="Normal6a"/>
            </w:pPr>
            <w:r>
              <w:t>3.</w:t>
            </w:r>
            <w:r>
              <w:tab/>
            </w:r>
            <w:r>
              <w:rPr>
                <w:b/>
                <w:i/>
              </w:rPr>
              <w:t>roept de Commissie en de lidstaten op huisvesting tot een hoeksteen van het Europees beleid te maken;</w:t>
            </w:r>
            <w:r>
              <w:t xml:space="preserve"> </w:t>
            </w:r>
            <w:r>
              <w:rPr>
                <w:b/>
                <w:i/>
              </w:rPr>
              <w:t>benadrukt dat de EU en de lidstaten het de burgers verplicht zijn ze te verzekeren van de universele toegang tot fatsoenlijke, betaalbare huisvesting overeenkomstig de fundamentele rechten als vastgesteld in de artikelen 16, 30 en 31 van het Europees Sociaal Handvest en de Europese pijler van sociale rechten;</w:t>
            </w:r>
            <w:r>
              <w:t xml:space="preserve"> </w:t>
            </w:r>
            <w:r>
              <w:rPr>
                <w:b/>
                <w:i/>
              </w:rPr>
              <w:t>benadrukt dat investeringen in sociale en betaalbare huisvesting van cruciaal belang zijn om de kwaliteit van het leven van alle EU-burgers te verhogen;</w:t>
            </w:r>
            <w:r>
              <w:t xml:space="preserve"> verzoekt de Commissie </w:t>
            </w:r>
            <w:r>
              <w:rPr>
                <w:b/>
                <w:i/>
              </w:rPr>
              <w:t>een Europees beleid voor sociale huisvesting uit te werken,</w:t>
            </w:r>
            <w:r>
              <w:t xml:space="preserve"> specifieke aanbevelingen over </w:t>
            </w:r>
            <w:r>
              <w:rPr>
                <w:b/>
                <w:i/>
              </w:rPr>
              <w:t>betaalbare huisvesting voor iedereen</w:t>
            </w:r>
            <w:r>
              <w:t xml:space="preserve"> op te nemen in het Europees Semester en </w:t>
            </w:r>
            <w:r>
              <w:rPr>
                <w:b/>
                <w:i/>
              </w:rPr>
              <w:t>openbare</w:t>
            </w:r>
            <w:r>
              <w:t xml:space="preserve"> investeringen in huisvesting te bevorderen, onder meer via </w:t>
            </w:r>
            <w:r>
              <w:rPr>
                <w:b/>
                <w:i/>
              </w:rPr>
              <w:t>EU-financiering en</w:t>
            </w:r>
            <w:r>
              <w:t xml:space="preserve"> financiële instrumenten van de Europese Investeringsbank; is van mening dat de herziening van het EU-regelgevingskader voor de huisvestingssector </w:t>
            </w:r>
            <w:r>
              <w:rPr>
                <w:b/>
                <w:i/>
              </w:rPr>
              <w:t>moet bijdragen tot</w:t>
            </w:r>
            <w:r>
              <w:t xml:space="preserve"> de bouw van </w:t>
            </w:r>
            <w:r>
              <w:rPr>
                <w:b/>
                <w:i/>
              </w:rPr>
              <w:t>openbare, fatsoenlijke</w:t>
            </w:r>
            <w:r>
              <w:t xml:space="preserve"> en energie-efficiënte huisvesting </w:t>
            </w:r>
            <w:r>
              <w:rPr>
                <w:b/>
                <w:i/>
              </w:rPr>
              <w:t>van goede kwaliteit</w:t>
            </w:r>
            <w:r>
              <w:t xml:space="preserve"> die tegemoetkomt aan de behoeften van jongeren, mensen met beperkte mobiliteit </w:t>
            </w:r>
            <w:r>
              <w:rPr>
                <w:b/>
                <w:i/>
              </w:rPr>
              <w:t>of een handicap, ouderen</w:t>
            </w:r>
            <w:r>
              <w:t xml:space="preserve"> en gezinnen die risico lopen</w:t>
            </w:r>
            <w:r>
              <w:rPr>
                <w:b/>
                <w:i/>
              </w:rPr>
              <w:t>;</w:t>
            </w:r>
            <w:r>
              <w:t xml:space="preserve"> </w:t>
            </w:r>
            <w:r>
              <w:rPr>
                <w:b/>
                <w:i/>
              </w:rPr>
              <w:t>roept de Commissie en de lidstaten op doortastende maatregelen te nemen om ervoor te zorgen dat er voor iedereen betaalbare huisvesting beschikbaar is, door zich in te zetten voor een krachtige Europese huisvestingsstrategie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verzoekt de Commissie specifieke aanbevelingen over de betaalbaarheid van huisvesting op te nemen in het Europees semester en investeringen in huisvesting te bevorderen, onder meer via financiële instrumenten van de Europese Investeringsbank; is van mening dat de herziening van het EU-regelgevingskader voor de huisvestingssector de bouw van toegankelijke en energie-efficiënte huisvesting </w:t>
            </w:r>
            <w:r>
              <w:rPr>
                <w:b/>
                <w:i/>
              </w:rPr>
              <w:t>moet vergemakkelijken</w:t>
            </w:r>
            <w:r>
              <w:t xml:space="preserve"> die tegemoetkomt aan de behoeften van jongeren, mensen met beperkte mobiliteit en gezinnen die risico lopen, en </w:t>
            </w:r>
            <w:r>
              <w:rPr>
                <w:b/>
                <w:i/>
              </w:rPr>
              <w:t>die</w:t>
            </w:r>
            <w:r>
              <w:t xml:space="preserve"> huiseigenaren moet beschermen tegen een verdere afname van het aanbod;</w:t>
            </w:r>
          </w:p>
        </w:tc>
        <w:tc>
          <w:tcPr>
            <w:tcW w:w="4876" w:type="dxa"/>
            <w:tcBorders>
              <w:top w:val="nil"/>
              <w:left w:val="nil"/>
              <w:bottom w:val="nil"/>
              <w:right w:val="nil"/>
            </w:tcBorders>
          </w:tcPr>
          <w:p>
            <w:pPr>
              <w:pStyle w:val="Normal6a"/>
            </w:pPr>
            <w:r>
              <w:t>3.</w:t>
            </w:r>
            <w:r>
              <w:tab/>
            </w:r>
            <w:r>
              <w:t xml:space="preserve">verzoekt de Commissie </w:t>
            </w:r>
            <w:r>
              <w:rPr>
                <w:b/>
                <w:i/>
              </w:rPr>
              <w:t>de optimale werkwijzen van de lidstaten in de strijd tegen energiearmoede, zoals subsidies voor huishoudelijke verbruikers, te onderschrijven;</w:t>
            </w:r>
            <w:r>
              <w:t xml:space="preserve"> </w:t>
            </w:r>
            <w:r>
              <w:rPr>
                <w:b/>
                <w:i/>
              </w:rPr>
              <w:t>dringt er bij de Commissie op aan</w:t>
            </w:r>
            <w:r>
              <w:t xml:space="preserve"> specifieke aanbevelingen over de betaalbaarheid van huisvesting op te nemen in het Europees Semester en investeringen in huisvesting te bevorderen, onder meer via financiële instrumenten van de Europese Investeringsbank; is van mening dat de herziening van het EU-regelgevingskader voor de huisvestingssector </w:t>
            </w:r>
            <w:r>
              <w:rPr>
                <w:b/>
                <w:i/>
              </w:rPr>
              <w:t>geen afbreuk mag doen aan de bevoegdheden van de lidstaten en tegelijkertijd moet bijdragen tot</w:t>
            </w:r>
            <w:r>
              <w:t xml:space="preserve"> de bouw van toegankelijke en energie-efficiënte huisvesting die tegemoetkomt aan de behoeften van jongeren, mensen met beperkte mobiliteit en gezinnen die risico lopen, en huiseigenaren moet beschermen tegen een verdere afname van het aanbod; </w:t>
            </w:r>
            <w:r>
              <w:rPr>
                <w:b/>
                <w:i/>
              </w:rPr>
              <w:t>verzoekt de Commissie ervoor te waken dat de last van het energie-efficiënt maken van huizen niet op de schouders van gezinnen terechtkomt;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verzoekt de Commissie specifieke aanbevelingen over de betaalbaarheid van huisvesting op te nemen in het Europees semester en investeringen in huisvesting te bevorderen, onder meer via financiële instrumenten van de Europese Investeringsbank; is van mening dat </w:t>
            </w:r>
            <w:r>
              <w:rPr>
                <w:b/>
                <w:i/>
              </w:rPr>
              <w:t>de herziening van</w:t>
            </w:r>
            <w:r>
              <w:t xml:space="preserve"> het EU-regelgevingskader voor de huisvestingssector de bouw van toegankelijke en energie-efficiënte huisvesting </w:t>
            </w:r>
            <w:r>
              <w:rPr>
                <w:b/>
                <w:i/>
              </w:rPr>
              <w:t>moet vergemakkelijken</w:t>
            </w:r>
            <w:r>
              <w:t xml:space="preserve"> die tegemoetkomt aan de behoeften van jongeren, mensen met beperkte mobiliteit en gezinnen die risico lopen, en </w:t>
            </w:r>
            <w:r>
              <w:rPr>
                <w:b/>
                <w:i/>
              </w:rPr>
              <w:t>die</w:t>
            </w:r>
            <w:r>
              <w:t xml:space="preserve"> huiseigenaren moet beschermen tegen een verdere afname van het aanbod;</w:t>
            </w:r>
          </w:p>
        </w:tc>
        <w:tc>
          <w:tcPr>
            <w:tcW w:w="4876" w:type="dxa"/>
            <w:tcBorders>
              <w:top w:val="nil"/>
              <w:left w:val="nil"/>
              <w:bottom w:val="nil"/>
              <w:right w:val="nil"/>
            </w:tcBorders>
          </w:tcPr>
          <w:p>
            <w:pPr>
              <w:pStyle w:val="Normal6a"/>
            </w:pPr>
            <w:r>
              <w:t>3.</w:t>
            </w:r>
            <w:r>
              <w:tab/>
            </w:r>
            <w:r>
              <w:t xml:space="preserve">verzoekt de Commissie specifieke aanbevelingen over de </w:t>
            </w:r>
            <w:r>
              <w:rPr>
                <w:b/>
                <w:i/>
              </w:rPr>
              <w:t>beschikbaarheid en</w:t>
            </w:r>
            <w:r>
              <w:t xml:space="preserve"> betaalbaarheid van huisvesting op te nemen in het Europees Semester en investeringen in huisvesting te bevorderen, onder meer via financiële instrumenten van de Europese Investeringsbank; is van mening dat </w:t>
            </w:r>
            <w:r>
              <w:rPr>
                <w:b/>
                <w:i/>
              </w:rPr>
              <w:t>een evaluatie van het beleid en de fondsen van de EU, met inbegrip van de knelpunten in</w:t>
            </w:r>
            <w:r>
              <w:t xml:space="preserve"> het EU-regelgevingskader voor de huisvestingssector</w:t>
            </w:r>
            <w:r>
              <w:rPr>
                <w:b/>
                <w:i/>
              </w:rPr>
              <w:t>, en met name de staatssteunregels, moet bijdragen tot</w:t>
            </w:r>
            <w:r>
              <w:t xml:space="preserve"> de bouw</w:t>
            </w:r>
            <w:r>
              <w:rPr>
                <w:b/>
                <w:i/>
              </w:rPr>
              <w:t>, verbouwing en renovatie</w:t>
            </w:r>
            <w:r>
              <w:t xml:space="preserve"> van toegankelijke en energie-efficiënte huisvesting</w:t>
            </w:r>
            <w:r>
              <w:rPr>
                <w:b/>
                <w:i/>
              </w:rPr>
              <w:t>, waaronder sociale huisvesting,</w:t>
            </w:r>
            <w:r>
              <w:t xml:space="preserve"> die tegemoetkomt aan de behoeften van </w:t>
            </w:r>
            <w:r>
              <w:rPr>
                <w:b/>
                <w:i/>
              </w:rPr>
              <w:t>lage- en middeninkomensgroepen,</w:t>
            </w:r>
            <w:r>
              <w:t xml:space="preserve"> jongeren, mensen met </w:t>
            </w:r>
            <w:r>
              <w:rPr>
                <w:b/>
                <w:i/>
              </w:rPr>
              <w:t>een handicap of</w:t>
            </w:r>
            <w:r>
              <w:t xml:space="preserve"> beperkte mobiliteit en gezinnen die risico lopen, en </w:t>
            </w:r>
            <w:r>
              <w:rPr>
                <w:b/>
                <w:i/>
              </w:rPr>
              <w:t>toekomstige</w:t>
            </w:r>
            <w:r>
              <w:t xml:space="preserve"> huiseigenaren moet beschermen tegen een verdere afname van het aanbod;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verzoekt de Commissie specifieke aanbevelingen over de betaalbaarheid van huisvesting op te nemen in het Europees semester en investeringen in huisvesting te bevorderen, onder meer via financiële instrumenten van de Europese Investeringsbank; is van mening dat de herziening van het EU-regelgevingskader voor de huisvestingssector de bouw van toegankelijke en energie-efficiënte huisvesting moet vergemakkelijken die tegemoetkomt aan de behoeften van jongeren, mensen met beperkte mobiliteit en gezinnen die risico lopen, en die huiseigenaren moet beschermen tegen een verdere afname van het aanbod;</w:t>
            </w:r>
          </w:p>
        </w:tc>
        <w:tc>
          <w:tcPr>
            <w:tcW w:w="4876" w:type="dxa"/>
            <w:tcBorders>
              <w:top w:val="nil"/>
              <w:left w:val="nil"/>
              <w:bottom w:val="nil"/>
              <w:right w:val="nil"/>
            </w:tcBorders>
          </w:tcPr>
          <w:p>
            <w:pPr>
              <w:pStyle w:val="Normal6a"/>
            </w:pPr>
            <w:r>
              <w:t>3.</w:t>
            </w:r>
            <w:r>
              <w:tab/>
            </w:r>
            <w:r>
              <w:t>verzoekt de Commissie specifieke aanbevelingen over de betaalbaarheid van huisvesting op te nemen in het Europees Semester en investeringen in huisvesting te bevorderen, onder meer via financiële instrumenten van de Europese Investeringsbank; is van mening dat de herziening van het EU-regelgevingskader voor de huisvestingssector de bouw van toegankelijke en energie-efficiënte huisvesting moet vergemakkelijken die tegemoetkomt aan de behoeften van jongeren, mensen met beperkte mobiliteit en gezinnen die risico lopen, en die huiseigenaren moet beschermen tegen een verdere afname van het aanbod</w:t>
            </w:r>
            <w:r>
              <w:rPr>
                <w:b/>
                <w:i/>
              </w:rPr>
              <w:t>,</w:t>
            </w:r>
            <w:r>
              <w:t xml:space="preserve"> </w:t>
            </w:r>
            <w:r>
              <w:rPr>
                <w:b/>
                <w:i/>
              </w:rPr>
              <w:t>wat zal leiden tot vertragingen bij de uitvoering van het tijdschema voor slecht geïsoleerde huizen, die een belangrijke bron van onzekerheid en blokkering op de huurmarkt vormen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verzoekt de Commissie specifieke aanbevelingen over de betaalbaarheid van huisvesting op te nemen in het Europees semester en investeringen in huisvesting te bevorderen, onder meer via financiële instrumenten van de Europese Investeringsbank; is van mening dat de herziening van het EU-regelgevingskader voor de huisvestingssector de bouw van toegankelijke en energie-efficiënte huisvesting </w:t>
            </w:r>
            <w:r>
              <w:rPr>
                <w:b/>
                <w:i/>
              </w:rPr>
              <w:t>moet vergemakkelijken</w:t>
            </w:r>
            <w:r>
              <w:t xml:space="preserve"> die tegemoetkomt aan de behoeften van jongeren, mensen met beperkte mobiliteit en gezinnen die risico lopen, en </w:t>
            </w:r>
            <w:r>
              <w:rPr>
                <w:b/>
                <w:i/>
              </w:rPr>
              <w:t>die huiseigenaren</w:t>
            </w:r>
            <w:r>
              <w:t xml:space="preserve"> moet beschermen tegen een verdere afname van het aanbod;</w:t>
            </w:r>
          </w:p>
        </w:tc>
        <w:tc>
          <w:tcPr>
            <w:tcW w:w="4876" w:type="dxa"/>
            <w:tcBorders>
              <w:top w:val="nil"/>
              <w:left w:val="nil"/>
              <w:bottom w:val="nil"/>
              <w:right w:val="nil"/>
            </w:tcBorders>
          </w:tcPr>
          <w:p>
            <w:pPr>
              <w:pStyle w:val="Normal6a"/>
            </w:pPr>
            <w:r>
              <w:t>3.</w:t>
            </w:r>
            <w:r>
              <w:tab/>
            </w:r>
            <w:r>
              <w:t>verzoekt de Commissie specifieke aanbevelingen over de betaalbaarheid van huisvesting op te nemen in het Europees Semester en investeringen in huisvesting te bevorderen, onder meer via financiële instrumenten van de Europese Investeringsbank; is van mening dat de herziening van het EU-regelgevingskader voor de huisvestingssector </w:t>
            </w:r>
            <w:r>
              <w:rPr>
                <w:b/>
                <w:i/>
              </w:rPr>
              <w:t>moet bijdragen tot </w:t>
            </w:r>
            <w:r>
              <w:t>de bouw van toegankelijke</w:t>
            </w:r>
            <w:r>
              <w:rPr>
                <w:b/>
                <w:i/>
              </w:rPr>
              <w:t>, betaalbare</w:t>
            </w:r>
            <w:r>
              <w:t xml:space="preserve"> en energie-efficiënte huisvesting die tegemoetkomt aan de behoeften van jongeren, mensen met beperkte mobiliteit en gezinnen die risico lopen, en </w:t>
            </w:r>
            <w:r>
              <w:rPr>
                <w:b/>
                <w:i/>
              </w:rPr>
              <w:t>mensen die op zoek zijn naar een koopwoning</w:t>
            </w:r>
            <w:r>
              <w:t xml:space="preserve"> moet beschermen tegen een verdere afname van het aanbod; </w:t>
            </w:r>
            <w:r>
              <w:rPr>
                <w:b/>
                <w:i/>
              </w:rPr>
              <w:t>verzoekt de lidstaten en de Commissie passende huisvesting te erkennen als een recht;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verzoekt de Commissie specifieke aanbevelingen over de betaalbaarheid van huisvesting op te nemen in het Europees semester </w:t>
            </w:r>
            <w:r>
              <w:rPr>
                <w:b/>
                <w:i/>
              </w:rPr>
              <w:t>en investeringen in huisvesting te bevorderen, onder meer via financiële instrumenten van de Europese Investeringsbank;</w:t>
            </w:r>
            <w:r>
              <w:t xml:space="preserve"> </w:t>
            </w:r>
            <w:r>
              <w:rPr>
                <w:b/>
                <w:i/>
              </w:rPr>
              <w:t>is van mening dat de herziening van het EU-regelgevingskader voor de huisvestingssector de bouw van toegankelijke en energie-efficiënte</w:t>
            </w:r>
            <w:r>
              <w:t xml:space="preserve"> huisvesting </w:t>
            </w:r>
            <w:r>
              <w:rPr>
                <w:b/>
                <w:i/>
              </w:rPr>
              <w:t>moet vergemakkelijken die tegemoetkomt aan de behoeften van jongeren, mensen met beperkte mobiliteit en gezinnen die risico lopen, en die huiseigenaren moet beschermen tegen een verdere afname van het aanbod</w:t>
            </w:r>
            <w:r>
              <w:t>;</w:t>
            </w:r>
          </w:p>
        </w:tc>
        <w:tc>
          <w:tcPr>
            <w:tcW w:w="4876" w:type="dxa"/>
            <w:tcBorders>
              <w:top w:val="nil"/>
              <w:left w:val="nil"/>
              <w:bottom w:val="nil"/>
              <w:right w:val="nil"/>
            </w:tcBorders>
          </w:tcPr>
          <w:p>
            <w:pPr>
              <w:pStyle w:val="Normal6a"/>
            </w:pPr>
            <w:r>
              <w:t>3.</w:t>
            </w:r>
            <w:r>
              <w:tab/>
            </w:r>
            <w:r>
              <w:t>verzoekt de Commissie specifieke aanbevelingen over de betaalbaarheid van huisvesting op te nemen in het Europees Semester</w:t>
            </w:r>
            <w:r>
              <w:rPr>
                <w:b/>
                <w:i/>
              </w:rPr>
              <w:t>;</w:t>
            </w:r>
            <w:r>
              <w:t xml:space="preserve"> </w:t>
            </w:r>
            <w:r>
              <w:rPr>
                <w:b/>
                <w:i/>
              </w:rPr>
              <w:t>herinnert eraan dat de jaarlijkse investeringskloof op het gebied van sociale en betaalbare huisvesting van 57 miljard euro moet worden gedicht en wijst erop dat het aangekondigde pan-Europees investeringsplatform een belangrijke rol zal spelen bij de bevordering van investeringen in</w:t>
            </w:r>
            <w:r>
              <w:t xml:space="preserve"> huisvesting</w:t>
            </w:r>
            <w:r>
              <w:rPr>
                <w:b/>
                <w:i/>
              </w:rPr>
              <w:t>, onder meer via EU-fondsen en financiële instrumenten van de Europese Investeringsbank;</w:t>
            </w:r>
            <w:r>
              <w:t xml:space="preserve"> </w:t>
            </w:r>
            <w:r>
              <w:rPr>
                <w:b/>
                <w:i/>
              </w:rPr>
              <w:t>wijst op de kansen die ontstaan door het voor sociale en betaalbare huisvesting bestemde bedrag van de cohesiefondsen te verdubbelen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verzoekt de Commissie specifieke aanbevelingen over de betaalbaarheid van huisvesting op te nemen in het Europees semester en investeringen in huisvesting te bevorderen, onder meer via financiële instrumenten van de Europese Investeringsbank; is van mening dat de herziening van het EU-regelgevingskader voor de huisvestingssector de bouw van toegankelijke en energie-efficiënte huisvesting </w:t>
            </w:r>
            <w:r>
              <w:rPr>
                <w:b/>
                <w:i/>
              </w:rPr>
              <w:t>moet vergemakkelijken</w:t>
            </w:r>
            <w:r>
              <w:t xml:space="preserve"> die tegemoetkomt aan de behoeften van jongeren, mensen met beperkte mobiliteit en gezinnen die risico lopen, en </w:t>
            </w:r>
            <w:r>
              <w:rPr>
                <w:b/>
                <w:i/>
              </w:rPr>
              <w:t>die</w:t>
            </w:r>
            <w:r>
              <w:t xml:space="preserve"> huiseigenaren moet beschermen tegen een verdere afname van het aanbod;</w:t>
            </w:r>
          </w:p>
        </w:tc>
        <w:tc>
          <w:tcPr>
            <w:tcW w:w="4876" w:type="dxa"/>
            <w:tcBorders>
              <w:top w:val="nil"/>
              <w:left w:val="nil"/>
              <w:bottom w:val="nil"/>
              <w:right w:val="nil"/>
            </w:tcBorders>
          </w:tcPr>
          <w:p>
            <w:pPr>
              <w:pStyle w:val="Normal6a"/>
            </w:pPr>
            <w:r>
              <w:t>3.</w:t>
            </w:r>
            <w:r>
              <w:tab/>
            </w:r>
            <w:r>
              <w:t xml:space="preserve">verzoekt de Commissie specifieke aanbevelingen over de betaalbaarheid van huisvesting op te nemen in het Europees Semester en investeringen in huisvesting te bevorderen, onder meer via financiële instrumenten van de Europese Investeringsbank; is van mening dat de herziening van het EU-regelgevingskader voor de huisvestingssector </w:t>
            </w:r>
            <w:r>
              <w:rPr>
                <w:b/>
                <w:i/>
              </w:rPr>
              <w:t>moet bijdragen tot</w:t>
            </w:r>
            <w:r>
              <w:t xml:space="preserve"> de bouw van toegankelijke en energie-efficiënte huisvesting die tegemoetkomt aan de behoeften van jongeren, mensen met beperkte mobiliteit </w:t>
            </w:r>
            <w:r>
              <w:rPr>
                <w:b/>
                <w:i/>
              </w:rPr>
              <w:t>of een handicap</w:t>
            </w:r>
            <w:r>
              <w:t xml:space="preserve"> en gezinnen die risico lopen, en huiseigenaren moet beschermen tegen een verdere afname van het aanbod;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 punt 1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betreurt dat bepaalde EU-regels en -richtlijnen, zoals de richtlijn inzake niet-renderende leningen en de EU-begrotings- en staatssteunregels, een rol hebben gespeeld bij de stijging van de huizenprijzen en de dakloosheid in de Unie, aangezien ze vaak een belemmering kunnen vormen voor de lidstaten om op grote schaal te investeren in de aanpak van de stijgende kosten van huisvesting en de toenemende dakloosheid;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verzoekt de lidstaten met klem erop toe te zien dat investeringen in huisvesting oplossingen voor kwalitatieve woningen voor de lange termijn ondersteunen die daadwerkelijk betaalbaar zijn voor huishoudens met lage en middeninkomens door middel van sociale voorwaarden en antispeculatieve waarborgen;</w:t>
            </w:r>
            <w:r>
              <w:t xml:space="preserve"> </w:t>
            </w:r>
            <w:r>
              <w:rPr>
                <w:b/>
                <w:i/>
              </w:rPr>
              <w:t>is van mening dat het aanpakken van speculatieve investeringen en financialisering een centraal onderdeel van het Europees plan voor betaalbare huisvesting moet zijn;</w:t>
            </w:r>
            <w:r>
              <w:t xml:space="preserve"> </w:t>
            </w:r>
            <w:r>
              <w:rPr>
                <w:b/>
                <w:i/>
              </w:rPr>
              <w:t>is in dit verband voorstander van een grondige analyse van de impact van speculatie met woningen en de economische gevolgen daarvan, om waar nodig snel te kunnen reageren en vervolgmaatregelen te kunnen nemen;</w:t>
            </w:r>
            <w:r>
              <w:t xml:space="preserve"> </w:t>
            </w:r>
            <w:r>
              <w:rPr>
                <w:b/>
                <w:i/>
              </w:rPr>
              <w:t>is van mening dat de herziening van het EU-regelgevingskader voor de huisvestingssector moet bijdragen tot de renovatie en bouw van toegankelijke, betaalbare en energie-efficiënte huisvesting die tegemoetkomt aan de behoeften van jongeren en mensen met beperkte mobiliteit of in een kwetsbare situatie, waardoor meer landgebruik wordt vermeden;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 xml:space="preserve">beschouwt dakloosheid als een dramatisch sociaal probleem in de EU en als een van de meest extreme vormen van sociale uitsluiting, waardoor mensen de mogelijkheid wordt ontnomen een waardig leven te leiden en deel te nemen aan de arbeidsmarkt; roept de Commissie op een actieplan te ontwikkelen om een einde te maken aan dakloosheid in de EU door de toegang tot betaalbare en fatsoenlijke huisvesting te bevorderen; </w:t>
            </w:r>
            <w:r>
              <w:t xml:space="preserve"> </w:t>
            </w:r>
            <w:r>
              <w:rPr>
                <w:b/>
                <w:i/>
              </w:rPr>
              <w:t>pleit voor een eenduidige definitie van dakloosheid in de EU die het mogelijk moet maken de omvang van de dakloosheid in de verschillende EU-landen op systematische wijze te vergelijken en te beoordelen, en de dakloosheidspercentages systematisch te monitoren op EU-niveau via instellingen als Eurostat;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is verheugd over het aangekondigde Europees plan voor betaalbare huisvesting om de lidstaten te ondersteunen bij het aanpakken van de huisvestingscrisis en de snel stijgende huur- en huizenprijzen;</w:t>
            </w:r>
            <w:r>
              <w:t xml:space="preserve"> </w:t>
            </w:r>
            <w:r>
              <w:rPr>
                <w:b/>
                <w:i/>
              </w:rPr>
              <w:t>verzoekt de Commissie de staatssteunregels te herzien om steunmaatregelen voor huisvesting en sociale huisvesting mogelijk te maken;</w:t>
            </w:r>
            <w:r>
              <w:t xml:space="preserve"> </w:t>
            </w:r>
            <w:r>
              <w:rPr>
                <w:b/>
                <w:i/>
              </w:rPr>
              <w:t>herinnert eraan dat het sociaal klimaatfonds vanaf 2026 financiële steun zal verlenen aan de lidstaten om kwetsbare gezinnen te ondersteunen met tijdelijke directe inkomenssteun en maatregelen en investeringen om de energie-efficiëntie van gebouwen te vergroten, de verwarming en koeling van gebouwen koolstofvrij te maken en de opwekking en opslag van hernieuwbare energie in gebouwen te integreren;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verzoekt de Commissie voorstellen te doen voor de versterking van de technologische capaciteiten van de EU, de versnelling van de digitale transformatie in alle sectoren, het benutten van de kansen van de data-economie met waarborging van privacy en veiligheid, en de bevordering van de ontwikkeling van innovatieve technologieën;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ter.</w:t>
            </w:r>
            <w:r>
              <w:tab/>
            </w:r>
            <w:r>
              <w:rPr>
                <w:b/>
                <w:i/>
              </w:rPr>
              <w:t>herinnert aan de doelstelling van de Unie om te zorgen voor een verschuiving van institutionele zorg naar zorg in gezins- en gemeenschapsverband;</w:t>
            </w:r>
            <w:r>
              <w:t xml:space="preserve"> </w:t>
            </w:r>
            <w:r>
              <w:rPr>
                <w:b/>
                <w:i/>
              </w:rPr>
              <w:t>verzoekt de Commissie met een actieplan voor de-institutionalisering te komen;</w:t>
            </w:r>
            <w:r>
              <w:t xml:space="preserve"> </w:t>
            </w:r>
            <w:r>
              <w:rPr>
                <w:b/>
                <w:i/>
              </w:rPr>
              <w:t>benadrukt dat dit actieplan betrekking moet hebben op alle groepen die nog in een instelling wonen, zoals kinderen, mensen met een handicap, mensen met geestelijkegezondheidsproblemen, daklozen en ouderen;</w:t>
            </w:r>
            <w:r>
              <w:t xml:space="preserve"> </w:t>
            </w:r>
            <w:r>
              <w:rPr>
                <w:b/>
                <w:i/>
              </w:rPr>
              <w:t>verzoekt de lidstaten ten volle gebruik te maken van de ESF+-fondsen en andere relevante Europese en nationale fondsen om het de-institutionaliseringsproces af te ronden, zodat elke EU-burger in een gezins- of gemeenschapsomgeving kan wonen;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ter.</w:t>
            </w:r>
            <w:r>
              <w:tab/>
            </w:r>
            <w:r>
              <w:rPr>
                <w:b/>
                <w:i/>
              </w:rPr>
              <w:t>is van oordeel dat de EU dringend moet optreden om het aanhoudend hoge niveau van armoede en sociale uitsluiting in de EU aan te pakken, met name onder kinderen, jongeren en ouderen, mensen met een handicap, leden van de lgbti-gemeenschap en de Roma;</w:t>
            </w:r>
            <w:r>
              <w:t xml:space="preserve"> </w:t>
            </w:r>
            <w:r>
              <w:rPr>
                <w:b/>
                <w:i/>
              </w:rPr>
              <w:t>meent dat de toegang tot hoogwaardige sociale diensten een prioriteit moet vormen, met bindende streefcijfers om dakloosheid terug te dringen en energiezekerheid te waarborgen voor kwetsbare huishoudens;</w:t>
            </w:r>
            <w:r>
              <w:t xml:space="preserve"> </w:t>
            </w:r>
            <w:r>
              <w:rPr>
                <w:b/>
                <w:i/>
              </w:rPr>
              <w:t>verzoekt de Commissie de eerste armoedebestrijdingsstrategie van de EU ooit aan te nemen;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ter.</w:t>
            </w:r>
            <w:r>
              <w:tab/>
            </w:r>
            <w:r>
              <w:rPr>
                <w:b/>
                <w:i/>
              </w:rPr>
              <w:t>herinnert aan de doelstelling om uiterlijk in 2030 een einde te maken aan dakloosheid;</w:t>
            </w:r>
            <w:r>
              <w:t xml:space="preserve"> </w:t>
            </w:r>
            <w:r>
              <w:rPr>
                <w:b/>
                <w:i/>
              </w:rPr>
              <w:t>verzoekt de lidstaten met het oog op deze doelstelling nationale dakloosheidsstrategieën uit te werken waarin op huisvesting gebaseerde oplossingen centraal staan;</w:t>
            </w:r>
            <w:r>
              <w:t xml:space="preserve"> </w:t>
            </w:r>
            <w:r>
              <w:rPr>
                <w:b/>
                <w:i/>
              </w:rPr>
              <w:t>is ingenomen met het voornemen om een aanbeveling van de Raad over dakloosheid te formuleren;</w:t>
            </w:r>
            <w:r>
              <w:t xml:space="preserve"> </w:t>
            </w:r>
            <w:r>
              <w:rPr>
                <w:b/>
                <w:i/>
              </w:rPr>
              <w:t>dringt er bij de Commissie op aan om het Europees platform voor de bestrijding van dakloosheid nog ambitieuzer te maken, met name door het van een eigen begroting te voorzien;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dringt aan op de tenuitvoerlegging van een Europees actieplan voor geestelijke gezondheid, in overeenstemming met de recente aanbevelingen van de Commissie</w:t>
            </w:r>
            <w:r>
              <w:rPr>
                <w:vertAlign w:val="superscript"/>
              </w:rPr>
              <w:t>2</w:t>
            </w:r>
            <w:r>
              <w:t xml:space="preserve">; dringt erop aan dat in het Europees Semester de sociaaleconomische gevolgen van eenzaamheid voor de productiviteit en het welzijn worden aangepakt door een EU-strategie voor de aanpak van </w:t>
            </w:r>
            <w:r>
              <w:rPr>
                <w:b/>
                <w:i/>
              </w:rPr>
              <w:t>ongewenste</w:t>
            </w:r>
            <w:r>
              <w:t xml:space="preserve"> eenzaamheid </w:t>
            </w:r>
            <w:r>
              <w:rPr>
                <w:b/>
                <w:i/>
              </w:rPr>
              <w:t>te bevorderen die op zijn beurt de solidariteit tussen de generaties kan bevorderen</w:t>
            </w:r>
            <w:r>
              <w:t xml:space="preserve"> en programma’s voor emotionele steun aan jongeren en </w:t>
            </w:r>
            <w:r>
              <w:rPr>
                <w:b/>
                <w:i/>
              </w:rPr>
              <w:t>oudere</w:t>
            </w:r>
            <w:r>
              <w:t xml:space="preserve"> volwassenen </w:t>
            </w:r>
            <w:r>
              <w:rPr>
                <w:b/>
                <w:i/>
              </w:rPr>
              <w:t>kan versterken</w:t>
            </w:r>
            <w:r>
              <w:t>;</w:t>
            </w:r>
          </w:p>
        </w:tc>
        <w:tc>
          <w:tcPr>
            <w:tcW w:w="4876" w:type="dxa"/>
            <w:tcBorders>
              <w:top w:val="nil"/>
              <w:left w:val="nil"/>
              <w:bottom w:val="nil"/>
              <w:right w:val="nil"/>
            </w:tcBorders>
          </w:tcPr>
          <w:p>
            <w:pPr>
              <w:pStyle w:val="Normal6a"/>
            </w:pPr>
            <w:r>
              <w:t>4.</w:t>
            </w:r>
            <w:r>
              <w:tab/>
            </w:r>
            <w:r>
              <w:t xml:space="preserve">dringt aan op de tenuitvoerlegging van een </w:t>
            </w:r>
            <w:r>
              <w:rPr>
                <w:b/>
                <w:i/>
              </w:rPr>
              <w:t>alomvattend</w:t>
            </w:r>
            <w:r>
              <w:t xml:space="preserve"> Europees actieplan voor geestelijke gezondheid, in overeenstemming met de recente aanbevelingen van de Commissie</w:t>
            </w:r>
            <w:r>
              <w:rPr>
                <w:vertAlign w:val="superscript"/>
              </w:rPr>
              <w:t>2</w:t>
            </w:r>
            <w:r>
              <w:t xml:space="preserve">; dringt erop aan dat in het Europees Semester de sociaaleconomische gevolgen van eenzaamheid voor de productiviteit en het welzijn worden aangepakt door een EU-strategie voor de aanpak van eenzaamheid </w:t>
            </w:r>
            <w:r>
              <w:rPr>
                <w:b/>
                <w:i/>
              </w:rPr>
              <w:t>en solidariteit tussen de generaties te bevorderen;</w:t>
            </w:r>
            <w:r>
              <w:t xml:space="preserve"> </w:t>
            </w:r>
            <w:r>
              <w:rPr>
                <w:b/>
                <w:i/>
              </w:rPr>
              <w:t>verzoekt de lidstaten de toegang tot geestelijkegezondheidsdiensten</w:t>
            </w:r>
            <w:r>
              <w:t xml:space="preserve"> en programma’s voor emotionele steun aan </w:t>
            </w:r>
            <w:r>
              <w:rPr>
                <w:b/>
                <w:i/>
              </w:rPr>
              <w:t>kinderen,</w:t>
            </w:r>
            <w:r>
              <w:t xml:space="preserve"> jongeren en volwassenen </w:t>
            </w:r>
            <w:r>
              <w:rPr>
                <w:b/>
                <w:i/>
              </w:rPr>
              <w:t>te verbeteren, met name in afgelegen en minder ontwikkelde regio’s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Mededeling van de Commissie van 7 juni 2023 betreffende een alomvattende aanpak van geestelijke gezondheid (COM(2023)0298).</w:t>
            </w:r>
          </w:p>
        </w:tc>
        <w:tc>
          <w:tcPr>
            <w:tcW w:w="4876" w:type="dxa"/>
            <w:tcBorders>
              <w:top w:val="nil"/>
              <w:left w:val="nil"/>
              <w:bottom w:val="nil"/>
              <w:right w:val="nil"/>
            </w:tcBorders>
          </w:tcPr>
          <w:p>
            <w:pPr>
              <w:pStyle w:val="Normal6a"/>
            </w:pPr>
            <w:r>
              <w:rPr>
                <w:vertAlign w:val="superscript"/>
              </w:rPr>
              <w:t>2</w:t>
            </w:r>
            <w:r>
              <w:t xml:space="preserve"> </w:t>
            </w:r>
            <w:r>
              <w:t>Mededeling van de Commissie van 7 juni 2023 betreffende een alomvattende aanpak van geestelijke gezondheid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dringt aan op de tenuitvoerlegging van een Europees actieplan voor geestelijke gezondheid, in overeenstemming met de recente aanbevelingen van de Commissie</w:t>
            </w:r>
            <w:r>
              <w:rPr>
                <w:vertAlign w:val="superscript"/>
              </w:rPr>
              <w:t>2</w:t>
            </w:r>
            <w:r>
              <w:t xml:space="preserve">; dringt erop aan dat in het Europees Semester de </w:t>
            </w:r>
            <w:r>
              <w:rPr>
                <w:b/>
                <w:i/>
              </w:rPr>
              <w:t>sociaaleconomische gevolgen van eenzaamheid voor de productiviteit en het welzijn worden aangepakt door een EU-strategie voor de aanpak van ongewenste</w:t>
            </w:r>
            <w:r>
              <w:t xml:space="preserve"> eenzaamheid </w:t>
            </w:r>
            <w:r>
              <w:rPr>
                <w:b/>
                <w:i/>
              </w:rPr>
              <w:t>te bevorderen die op zijn beurt de solidariteit tussen de generaties kan bevorderen en programma’s voor emotionele steun aan jongeren en oudere volwassenen kan versterken</w:t>
            </w:r>
            <w:r>
              <w:t>;</w:t>
            </w:r>
          </w:p>
        </w:tc>
        <w:tc>
          <w:tcPr>
            <w:tcW w:w="4876" w:type="dxa"/>
            <w:tcBorders>
              <w:top w:val="nil"/>
              <w:left w:val="nil"/>
              <w:bottom w:val="nil"/>
              <w:right w:val="nil"/>
            </w:tcBorders>
          </w:tcPr>
          <w:p>
            <w:pPr>
              <w:pStyle w:val="Normal6a"/>
            </w:pPr>
            <w:r>
              <w:t>4.</w:t>
            </w:r>
            <w:r>
              <w:tab/>
            </w:r>
            <w:r>
              <w:t>dringt aan op de tenuitvoerlegging van een Europees actieplan voor geestelijke gezondheid, in overeenstemming met de recente aanbevelingen van de Commissie</w:t>
            </w:r>
            <w:r>
              <w:rPr>
                <w:vertAlign w:val="superscript"/>
              </w:rPr>
              <w:t>2</w:t>
            </w:r>
            <w:r>
              <w:t xml:space="preserve">; dringt erop aan dat in het Europees Semester de </w:t>
            </w:r>
            <w:r>
              <w:rPr>
                <w:b/>
                <w:i/>
              </w:rPr>
              <w:t>indicatoren van het sociale scorebord worden gebruikt om het hoofd te bieden aan de sociaaleconomische gevolgen van</w:t>
            </w:r>
            <w:r>
              <w:t xml:space="preserve"> eenzaamheid </w:t>
            </w:r>
            <w:r>
              <w:rPr>
                <w:b/>
                <w:i/>
              </w:rPr>
              <w:t>en onzekere woonomstandigheden voor het welzijn, de geestelijke gezondheid en de participatie in de samenleving en de arbeidsmarkt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Mededeling van de Commissie van 7 juni 2023 betreffende een alomvattende aanpak van geestelijke gezondheid (COM(2023)0298).</w:t>
            </w:r>
          </w:p>
        </w:tc>
        <w:tc>
          <w:tcPr>
            <w:tcW w:w="4876" w:type="dxa"/>
            <w:tcBorders>
              <w:top w:val="nil"/>
              <w:left w:val="nil"/>
              <w:bottom w:val="nil"/>
              <w:right w:val="nil"/>
            </w:tcBorders>
          </w:tcPr>
          <w:p>
            <w:pPr>
              <w:pStyle w:val="Normal6a"/>
            </w:pPr>
            <w:r>
              <w:rPr>
                <w:vertAlign w:val="superscript"/>
              </w:rPr>
              <w:t>2</w:t>
            </w:r>
            <w:r>
              <w:t xml:space="preserve"> </w:t>
            </w:r>
            <w:r>
              <w:t>Mededeling van de Commissie van 7 juni 2023 betreffende een alomvattende aanpak van geestelijke gezondheid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 Chiara Gemma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dringt aan op de tenuitvoerlegging van een Europees actieplan voor geestelijke gezondheid, in overeenstemming met de recente aanbevelingen van de Commissie</w:t>
            </w:r>
            <w:r>
              <w:rPr>
                <w:vertAlign w:val="superscript"/>
              </w:rPr>
              <w:t>2</w:t>
            </w:r>
            <w:r>
              <w:t>; dringt erop aan dat in het Europees Semester de sociaaleconomische gevolgen van eenzaamheid voor de productiviteit en het welzijn worden aangepakt door een EU-strategie voor de aanpak van ongewenste eenzaamheid te bevorderen die op zijn beurt de solidariteit tussen de generaties kan bevorderen en programma’s voor emotionele steun aan jongeren en oudere volwassenen kan versterken;</w:t>
            </w:r>
          </w:p>
        </w:tc>
        <w:tc>
          <w:tcPr>
            <w:tcW w:w="4876" w:type="dxa"/>
            <w:tcBorders>
              <w:top w:val="nil"/>
              <w:left w:val="nil"/>
              <w:bottom w:val="nil"/>
              <w:right w:val="nil"/>
            </w:tcBorders>
          </w:tcPr>
          <w:p>
            <w:pPr>
              <w:pStyle w:val="Normal6a"/>
            </w:pPr>
            <w:r>
              <w:t>4.</w:t>
            </w:r>
            <w:r>
              <w:tab/>
            </w:r>
            <w:r>
              <w:t>dringt aan op de tenuitvoerlegging van een Europees actieplan voor geestelijke gezondheid, in overeenstemming met de recente aanbevelingen van de Commissie</w:t>
            </w:r>
            <w:r>
              <w:rPr>
                <w:vertAlign w:val="superscript"/>
              </w:rPr>
              <w:t>2</w:t>
            </w:r>
            <w:r>
              <w:t xml:space="preserve">; dringt erop aan dat in het Europees Semester de sociaaleconomische gevolgen van eenzaamheid voor de productiviteit en het welzijn worden aangepakt door een EU-strategie voor de aanpak van ongewenste eenzaamheid te bevorderen die op zijn beurt de solidariteit tussen de generaties </w:t>
            </w:r>
            <w:r>
              <w:rPr>
                <w:b/>
                <w:i/>
              </w:rPr>
              <w:t>en de zilveren economie</w:t>
            </w:r>
            <w:r>
              <w:t xml:space="preserve"> kan bevorderen en programma’s voor emotionele steun aan jongeren en oudere volwassenen kan versterken;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Mededeling van de Commissie van 7 juni 2023 betreffende een alomvattende aanpak van geestelijke gezondheid (COM(2023)0298).</w:t>
            </w:r>
          </w:p>
        </w:tc>
        <w:tc>
          <w:tcPr>
            <w:tcW w:w="4876" w:type="dxa"/>
            <w:tcBorders>
              <w:top w:val="nil"/>
              <w:left w:val="nil"/>
              <w:bottom w:val="nil"/>
              <w:right w:val="nil"/>
            </w:tcBorders>
          </w:tcPr>
          <w:p>
            <w:pPr>
              <w:pStyle w:val="Normal6a"/>
            </w:pPr>
            <w:r>
              <w:rPr>
                <w:vertAlign w:val="superscript"/>
              </w:rPr>
              <w:t>2</w:t>
            </w:r>
            <w:r>
              <w:t xml:space="preserve"> </w:t>
            </w:r>
            <w:r>
              <w:t>Mededeling van de Commissie van 7 juni 2023 betreffende een alomvattende aanpak van geestelijke gezondheid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dringt aan op de tenuitvoerlegging van een Europees actieplan voor geestelijke gezondheid, in overeenstemming met de recente aanbevelingen van de Commissie</w:t>
            </w:r>
            <w:r>
              <w:rPr>
                <w:vertAlign w:val="superscript"/>
              </w:rPr>
              <w:t>2</w:t>
            </w:r>
            <w:r>
              <w:rPr>
                <w:b/>
                <w:i/>
              </w:rPr>
              <w:t>;</w:t>
            </w:r>
            <w:r>
              <w:t xml:space="preserve"> </w:t>
            </w:r>
            <w:r>
              <w:rPr>
                <w:b/>
                <w:i/>
              </w:rPr>
              <w:t>dringt erop aan dat in het Europees Semester de sociaaleconomische gevolgen van eenzaamheid voor de productiviteit en het welzijn worden aangepakt door een EU-strategie voor de aanpak van ongewenste</w:t>
            </w:r>
            <w:r>
              <w:t xml:space="preserve"> eenzaamheid </w:t>
            </w:r>
            <w:r>
              <w:rPr>
                <w:b/>
                <w:i/>
              </w:rPr>
              <w:t>te bevorderen die op zijn beurt</w:t>
            </w:r>
            <w:r>
              <w:t xml:space="preserve"> de solidariteit tussen de generaties </w:t>
            </w:r>
            <w:r>
              <w:rPr>
                <w:b/>
                <w:i/>
              </w:rPr>
              <w:t>kan</w:t>
            </w:r>
            <w:r>
              <w:t xml:space="preserve"> bevorderen en programma’s voor emotionele steun aan jongeren en oudere volwassenen </w:t>
            </w:r>
            <w:r>
              <w:rPr>
                <w:b/>
                <w:i/>
              </w:rPr>
              <w:t>kan</w:t>
            </w:r>
            <w:r>
              <w:t xml:space="preserve"> versterken;</w:t>
            </w:r>
          </w:p>
        </w:tc>
        <w:tc>
          <w:tcPr>
            <w:tcW w:w="4876" w:type="dxa"/>
            <w:tcBorders>
              <w:top w:val="nil"/>
              <w:left w:val="nil"/>
              <w:bottom w:val="nil"/>
              <w:right w:val="nil"/>
            </w:tcBorders>
          </w:tcPr>
          <w:p>
            <w:pPr>
              <w:pStyle w:val="Normal6a"/>
            </w:pPr>
            <w:r>
              <w:t>4.</w:t>
            </w:r>
            <w:r>
              <w:tab/>
            </w:r>
            <w:r>
              <w:t>dringt aan op de tenuitvoerlegging van een Europees actieplan voor geestelijke gezondheid, in overeenstemming met de recente aanbevelingen van de Commissie</w:t>
            </w:r>
            <w:r>
              <w:rPr>
                <w:vertAlign w:val="superscript"/>
              </w:rPr>
              <w:t>2</w:t>
            </w:r>
            <w:r>
              <w:rPr>
                <w:b/>
                <w:i/>
              </w:rPr>
              <w:t>, en op het bevorderen van sociale voorschriften als een eerste stap in de richting van geestelijke gezondheid;</w:t>
            </w:r>
            <w:r>
              <w:t xml:space="preserve"> </w:t>
            </w:r>
            <w:r>
              <w:rPr>
                <w:b/>
                <w:i/>
              </w:rPr>
              <w:t>dringt erop aan dat de lidstaten de sociaaleconomische gevolgen van</w:t>
            </w:r>
            <w:r>
              <w:t xml:space="preserve"> eenzaamheid </w:t>
            </w:r>
            <w:r>
              <w:rPr>
                <w:b/>
                <w:i/>
              </w:rPr>
              <w:t>voor de productiviteit en het welzijn aanpakken,</w:t>
            </w:r>
            <w:r>
              <w:t xml:space="preserve"> de solidariteit tussen de generaties bevorderen en programma’s voor emotionele steun aan jongeren en oudere volwassenen versterken;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Mededeling van de Commissie van 7 juni 2023 betreffende een alomvattende aanpak van geestelijke gezondheid (COM(2023)0298).</w:t>
            </w:r>
          </w:p>
        </w:tc>
        <w:tc>
          <w:tcPr>
            <w:tcW w:w="4876" w:type="dxa"/>
            <w:tcBorders>
              <w:top w:val="nil"/>
              <w:left w:val="nil"/>
              <w:bottom w:val="nil"/>
              <w:right w:val="nil"/>
            </w:tcBorders>
          </w:tcPr>
          <w:p>
            <w:pPr>
              <w:pStyle w:val="Normal6a"/>
            </w:pPr>
            <w:r>
              <w:rPr>
                <w:vertAlign w:val="superscript"/>
              </w:rPr>
              <w:t>2</w:t>
            </w:r>
            <w:r>
              <w:t xml:space="preserve"> </w:t>
            </w:r>
            <w:r>
              <w:t>Mededeling van de Commissie van 7 juni 2023 betreffende een alomvattende aanpak van geestelijke gezondheid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dringt aan op de tenuitvoerlegging van een Europees actieplan voor geestelijke gezondheid, in overeenstemming met de recente aanbevelingen van de Commissie</w:t>
            </w:r>
            <w:r>
              <w:rPr>
                <w:vertAlign w:val="superscript"/>
              </w:rPr>
              <w:t>2</w:t>
            </w:r>
            <w:r>
              <w:t xml:space="preserve">; dringt </w:t>
            </w:r>
            <w:r>
              <w:rPr>
                <w:b/>
                <w:i/>
              </w:rPr>
              <w:t>erop aan dat in het Europees Semester de sociaaleconomische gevolgen van eenzaamheid voor de productiviteit en het welzijn worden aangepakt door een EU-strategie voor de aanpak van ongewenste eenzaamheid te bevorderen die op zijn beurt de solidariteit tussen de generaties kan bevorderen en programma’s voor emotionele steun aan jongeren en oudere volwassenen kan versterken</w:t>
            </w:r>
            <w:r>
              <w:t>;</w:t>
            </w:r>
          </w:p>
        </w:tc>
        <w:tc>
          <w:tcPr>
            <w:tcW w:w="4876" w:type="dxa"/>
            <w:tcBorders>
              <w:top w:val="nil"/>
              <w:left w:val="nil"/>
              <w:bottom w:val="nil"/>
              <w:right w:val="nil"/>
            </w:tcBorders>
          </w:tcPr>
          <w:p>
            <w:pPr>
              <w:pStyle w:val="Normal6a"/>
            </w:pPr>
            <w:r>
              <w:t>4.</w:t>
            </w:r>
            <w:r>
              <w:tab/>
            </w:r>
            <w:r>
              <w:t>dringt aan op de tenuitvoerlegging van een Europees actieplan voor geestelijke gezondheid, in overeenstemming met de recente aanbevelingen van de Commissie</w:t>
            </w:r>
            <w:r>
              <w:rPr>
                <w:vertAlign w:val="superscript"/>
              </w:rPr>
              <w:t>2</w:t>
            </w:r>
            <w:r>
              <w:t xml:space="preserve">; dringt </w:t>
            </w:r>
            <w:r>
              <w:rPr>
                <w:b/>
                <w:i/>
              </w:rPr>
              <w:t>aan op een EU-richtlijn betreffende psychosociale risico’s om het hoofd te bieden aan bepaalde steeds vaker voorkomende psychosociale risico’s op werkplekken in de EU, zodat de in de kaderrichtlijn vastgelegde beginselen op het gebied van gezondheid en veiligheid op het werk ook als het gaat om psychosociale risico’s doeltreffend worden toegepast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Mededeling van de Commissie van 7 juni 2023 betreffende een alomvattende aanpak van geestelijke gezondheid (COM(2023)0298).</w:t>
            </w:r>
          </w:p>
        </w:tc>
        <w:tc>
          <w:tcPr>
            <w:tcW w:w="4876" w:type="dxa"/>
            <w:tcBorders>
              <w:top w:val="nil"/>
              <w:left w:val="nil"/>
              <w:bottom w:val="nil"/>
              <w:right w:val="nil"/>
            </w:tcBorders>
          </w:tcPr>
          <w:p>
            <w:pPr>
              <w:pStyle w:val="Normal6a"/>
            </w:pPr>
            <w:r>
              <w:rPr>
                <w:vertAlign w:val="superscript"/>
              </w:rPr>
              <w:t>2</w:t>
            </w:r>
            <w:r>
              <w:t xml:space="preserve"> </w:t>
            </w:r>
            <w:r>
              <w:t>Mededeling van de Commissie van 7 juni 2023 betreffende een alomvattende aanpak van geestelijke gezondheid (COM(2023)0298).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dringt erop aan dat het Europees Semester zich moet richten op de sociaaleconomische uitdagingen en kansen van demografische veranderingen en vergrijzing op het gebied van eenzaamheid, productiviteit, welzijn en sociale cohesie door een holistische EU-vergrijzingsstrategie te bevorderen, waarin aandacht wordt besteed aan ongewenste eenzaamheid, de behoefte aan fatsoenlijke, toegankelijke en aangepaste huisvesting, toegang tot professionele en inclusieve zorg en diensten voor langdurige zorg en de bevordering van actieve inclusie en gelijke kansen voor oudere werknemers op de arbeidsmarkt, die op hun beurt de solidariteit tussen de generaties kunnen bevorderen en de programma’s voor emotionele ondersteuning van jongeren en ouderen kunnen versterken;</w:t>
            </w:r>
            <w:r>
              <w:t xml:space="preserve"> </w:t>
            </w:r>
            <w:r>
              <w:rPr>
                <w:b/>
                <w:i/>
              </w:rPr>
              <w:t>dringt aan op de uitvoering van de Europese zorgstrategie, met name wat betreft de toegankelijkheid van hoogwaardige en betaalbare zorgdiensten voor jonge kinderen en langdurige zorg, en het waarborgen van eerlijke arbeidsomstandigheden en opleiding voor zorgpersoneel, ook als het gaat om informele zorg;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benadrukt dat werkgevers intergenerationele banden binnen het bedrijf en intergenerationeel leren tussen jongeren en ouderen, en vice versa, moeten bevorderen;</w:t>
            </w:r>
            <w:r>
              <w:t xml:space="preserve"> </w:t>
            </w:r>
            <w:r>
              <w:rPr>
                <w:b/>
                <w:i/>
              </w:rPr>
              <w:t>benadrukt dat een vergrijzende beroepsbevolking een bedrijf kan helpen nieuwe producten en diensten te ontwikkelen om zich op een creatievere en productievere manier aan te passen aan de behoeften van een vergrijzende samenleving;</w:t>
            </w:r>
            <w:r>
              <w:t xml:space="preserve"> </w:t>
            </w:r>
            <w:r>
              <w:rPr>
                <w:b/>
                <w:i/>
              </w:rPr>
              <w:t>dringt voorts aan op het creëren van stimulansen voor vrijwilligerswerk en mentorschap, om zo de overdracht van kennis tussen generaties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dringt aan op initiatieven om iets te doen tegen uitsluiting van werknemers als gevolg van langere perioden van ziekteverlof wegens ernstige niet-overdraagbare ziekten, zoals kanker, hart- en vaatziekten, diabetes, chronische ademhalingsziekten, psychische en neurologische aandoeningen en reumatische en musculoskeletale aandoeningen, en met name initiatieven gericht op de aanpassing van de werkplek, flexibele arbeidsomstandigheden en strategieën om de terugkeer van werknemers na langere afwezigheid te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meent dat in het Europees Semester aandacht moet worden besteed aan de sociaaleconomische gevolgen van geestelijkegezondheidsproblemen bij kinderen, tieners en jonge volwassenen voor hun welzijn en levensstandaard op lange termijn;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wijst erop dat de reële lonen volgens ECB-verslagen nog altijd onder het niveau van voor de pandemie liggen, terwijl de productiviteit min of meer gelijk was;</w:t>
            </w:r>
            <w:r>
              <w:t xml:space="preserve"> </w:t>
            </w:r>
            <w:r>
              <w:rPr>
                <w:b/>
                <w:i/>
              </w:rPr>
              <w:t>en waarschuwt ervoor dat als de reële lonen zich niet herstellen, dit zou leiden tot een hoger risico op een aanhoudend zwakke economie, met langdurige negatieve gevolgen en een verdere aantasting van de productiviteit in de eurozone ten aanzien van andere delen van de wereld;</w:t>
            </w:r>
            <w:r>
              <w:t xml:space="preserve"> </w:t>
            </w:r>
            <w:r>
              <w:rPr>
                <w:b/>
                <w:i/>
              </w:rPr>
              <w:t>is van mening dat het verhogen van het minimumloon en het vergroten van de dekkingsgraad van collectieve onderhandelingen een gunstig effect kan hebben op de loonongelijkheid, met name door de meer kwetsbare werknemers onderaan de loonlijst, die steeds meer buiten de boot vallen, te helpen;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verzoekt de lidstaten en de Commissie een actieplan voor de aanpak van isolement in landelijke gebieden en eenzaamheid te overwegen;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quater.</w:t>
            </w:r>
            <w:r>
              <w:tab/>
            </w:r>
            <w:r>
              <w:rPr>
                <w:b/>
                <w:i/>
              </w:rPr>
              <w:t>verzoekt de lidstaten toe te zien op fatsoenlijke arbeidsvoorwaarden, waaronder behoorlijke lonen, toegang tot sociale bescherming, mogelijkheden voor een leven lang leren, gezondheid en veiligheid op het werk, een goed evenwicht tussen werk en privéleven en het recht om onbereikbaar te zijn, redelijke arbeidstijden, werknemersvertegenwoordiging, democratie op het werk en collectieve overeenkomsten;</w:t>
            </w:r>
            <w:r>
              <w:t xml:space="preserve"> </w:t>
            </w:r>
            <w:r>
              <w:rPr>
                <w:b/>
                <w:i/>
              </w:rPr>
              <w:t>benadrukt dat de lidstaten democratie op het werk, sociale dialoog en collectieve onderhandelingen moeten bevorderen en de rechten van werknemers moeten beschermen, met name in het kader van de groene en de digitale transitie;</w:t>
            </w:r>
            <w:r>
              <w:t xml:space="preserve"> </w:t>
            </w:r>
            <w:r>
              <w:rPr>
                <w:b/>
                <w:i/>
              </w:rPr>
              <w:t>onderstreept dat de lidstaten ook moeten toezien op gelijke beloning van mannen en vrouwen voor gelijk werk, de loontransparantie moeten vergroten en gendergerelateerde ongelijkheden moeten aanpakken om de genderloonkloof in de EU te dichten;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quater.</w:t>
            </w:r>
            <w:r>
              <w:tab/>
            </w:r>
            <w:r>
              <w:rPr>
                <w:b/>
                <w:i/>
              </w:rPr>
              <w:t>verzoekt de lidstaten en de Commissie door het werk veroorzaakte stress en psychische aandoeningen te onderkennen;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quinquies.</w:t>
            </w:r>
            <w:r>
              <w:tab/>
            </w:r>
            <w:r>
              <w:rPr>
                <w:b/>
                <w:i/>
              </w:rPr>
              <w:t>benadrukt dat de rol van sociale dialoog en sociale partners systematisch moet worden verwerkt in het ontwerp en de uitvoering van sociaal en werkgelegenheidsbeleid, om zo de betrokkenheid van sociale partners op alle niveaus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sexies.</w:t>
            </w:r>
            <w:r>
              <w:tab/>
            </w:r>
            <w:r>
              <w:rPr>
                <w:b/>
                <w:i/>
              </w:rPr>
              <w:t>onderstreept hoe belangrijk het is specifieke maatregelen in te voeren om regionale ongelijkheden op het gebied van onderwijs en opleiding aan te pakken, en gelijke toegang te waarborgen tot hoogwaardig en betaalbaar onderwijs voor iedereen;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septies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septies.</w:t>
            </w:r>
            <w:r>
              <w:tab/>
            </w:r>
            <w:r>
              <w:rPr>
                <w:b/>
                <w:i/>
              </w:rPr>
              <w:t>wijst erop dat de socialebeschermingsstelsels van de lidstaten moeten waarborgen dat iedereen die over onvoldoende middelen beschikt, toegang heeft tot toereikende voorzieningen voor een minimuminkomen, en sociale inclusie moeten stimuleren door mensen in de werkende leeftijd te ondersteunen en aan te moedigen actief deel te nemen aan de arbeidsmarkt en aan het maatschappelijk leven, onder meer via gerichte sociale diensten;</w:t>
            </w:r>
            <w:r>
              <w:t xml:space="preserve"> </w:t>
            </w:r>
            <w:r>
              <w:rPr>
                <w:b/>
                <w:i/>
              </w:rPr>
              <w:t>beklemtoont dat de lidstaten de EU-richtlijn betreffende toereikende minimumlonen daarom snel en doeltreffend moeten uitvoeren om een fatsoenlijke levensstandaard te bereiken, de armoede onder werkenden te verminderen en de sociale cohesie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roept op tot de tenuitvoerlegging van beleid ter bevordering van het evenwicht tussen werk en privéleven</w:t>
            </w:r>
            <w:r>
              <w:rPr>
                <w:b/>
                <w:i/>
              </w:rPr>
              <w:t>, met als doel</w:t>
            </w:r>
            <w:r>
              <w:t xml:space="preserve"> de levenskwaliteit voor alle gezinnen te verbeteren; verzoekt de Commissie een wetgevingsvoorstel in te dienen voor de invoering van een Europese kaart voor grote gezinnen en een Europees actieplan voor alleenstaande ouders, dat fiscale, educatieve </w:t>
            </w:r>
            <w:r>
              <w:rPr>
                <w:b/>
                <w:i/>
              </w:rPr>
              <w:t>en</w:t>
            </w:r>
            <w:r>
              <w:t xml:space="preserve"> sociale </w:t>
            </w:r>
            <w:r>
              <w:rPr>
                <w:b/>
                <w:i/>
              </w:rPr>
              <w:t>voordelen biedt</w:t>
            </w:r>
            <w:r>
              <w:t>;</w:t>
            </w:r>
          </w:p>
        </w:tc>
        <w:tc>
          <w:tcPr>
            <w:tcW w:w="4876" w:type="dxa"/>
            <w:tcBorders>
              <w:top w:val="nil"/>
              <w:left w:val="nil"/>
              <w:bottom w:val="nil"/>
              <w:right w:val="nil"/>
            </w:tcBorders>
          </w:tcPr>
          <w:p>
            <w:pPr>
              <w:pStyle w:val="Normal6a"/>
            </w:pPr>
            <w:r>
              <w:t>5.</w:t>
            </w:r>
            <w:r>
              <w:tab/>
            </w:r>
            <w:r>
              <w:t xml:space="preserve">roept op tot de tenuitvoerlegging van beleid ter bevordering van het evenwicht tussen werk en privéleven </w:t>
            </w:r>
            <w:r>
              <w:rPr>
                <w:b/>
                <w:i/>
              </w:rPr>
              <w:t>en het recht om onbereikbaar te zijn, met bijzondere aandacht voor arbeidstijdbeleid, waaronder arbeidstijdverkorting, flexibelere werktijden en een gelijkere verdeling van betaalde en onbetaalde arbeidstijd tussen mannen en vrouwen, met het doel om</w:t>
            </w:r>
            <w:r>
              <w:t xml:space="preserve"> de levenskwaliteit voor alle </w:t>
            </w:r>
            <w:r>
              <w:rPr>
                <w:b/>
                <w:i/>
              </w:rPr>
              <w:t>soorten</w:t>
            </w:r>
            <w:r>
              <w:t xml:space="preserve"> gezinnen </w:t>
            </w:r>
            <w:r>
              <w:rPr>
                <w:b/>
                <w:i/>
              </w:rPr>
              <w:t>en individuele personen</w:t>
            </w:r>
            <w:r>
              <w:t xml:space="preserve"> te verbeteren; verzoekt de Commissie een wetgevingsvoorstel in te dienen voor de invoering van een Europese kaart voor </w:t>
            </w:r>
            <w:r>
              <w:rPr>
                <w:b/>
                <w:i/>
              </w:rPr>
              <w:t>alle soorten of</w:t>
            </w:r>
            <w:r>
              <w:t xml:space="preserve"> grote gezinnen en een Europees actieplan voor alleenstaande ouders, dat fiscale, educatieve</w:t>
            </w:r>
            <w:r>
              <w:rPr>
                <w:b/>
                <w:i/>
              </w:rPr>
              <w:t>, sociale en kinderopvangvoordelen biedt;</w:t>
            </w:r>
            <w:r>
              <w:t xml:space="preserve"> </w:t>
            </w:r>
            <w:r>
              <w:rPr>
                <w:b/>
                <w:i/>
              </w:rPr>
              <w:t>benadrukt dat in 2023 24,8 % van de kinderen onder de 18 jaar in de EU met armoede of</w:t>
            </w:r>
            <w:r>
              <w:t xml:space="preserve"> sociale </w:t>
            </w:r>
            <w:r>
              <w:rPr>
                <w:b/>
                <w:i/>
              </w:rPr>
              <w:t>uitsluiting werden bedreigd, wat volgens het gezamenlijk verslag over de werkgelegenheid een stijging vormt;</w:t>
            </w:r>
            <w:r>
              <w:t xml:space="preserve"> </w:t>
            </w:r>
            <w:r>
              <w:rPr>
                <w:b/>
                <w:i/>
              </w:rPr>
              <w:t>onderstreept hoe belangrijk het is uitvoering te geven aan de Europese kindergarantie als hoeksteen voor de aanpak van de hoge niveaus van kinderarmoede in alle lidstaten, met inbegrip van maatregelen om de kindergarantie te versterken door het daarvoor bestemde budget te verhogen tot ten minste 20 miljard EUR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roept op tot de tenuitvoerlegging van beleid ter bevordering van het evenwicht tussen werk en privéleven, met als doel de levenskwaliteit voor alle </w:t>
            </w:r>
            <w:r>
              <w:rPr>
                <w:b/>
                <w:i/>
              </w:rPr>
              <w:t>gezinnen</w:t>
            </w:r>
            <w:r>
              <w:t xml:space="preserve"> te verbeteren; verzoekt de Commissie </w:t>
            </w:r>
            <w:r>
              <w:rPr>
                <w:b/>
                <w:i/>
              </w:rPr>
              <w:t>een wetgevingsvoorstel in te dienen voor de invoering van een Europese kaart voor grote gezinnen en een Europees actieplan voor alleenstaande ouders, dat fiscale, educatieve en sociale voordelen biedt</w:t>
            </w:r>
            <w:r>
              <w:t>;</w:t>
            </w:r>
          </w:p>
        </w:tc>
        <w:tc>
          <w:tcPr>
            <w:tcW w:w="4876" w:type="dxa"/>
            <w:tcBorders>
              <w:top w:val="nil"/>
              <w:left w:val="nil"/>
              <w:bottom w:val="nil"/>
              <w:right w:val="nil"/>
            </w:tcBorders>
          </w:tcPr>
          <w:p>
            <w:pPr>
              <w:pStyle w:val="Normal6a"/>
            </w:pPr>
            <w:r>
              <w:t>5.</w:t>
            </w:r>
            <w:r>
              <w:tab/>
            </w:r>
            <w:r>
              <w:t xml:space="preserve">roept op tot de tenuitvoerlegging van beleid ter bevordering van het evenwicht tussen werk en privéleven, met als doel de levenskwaliteit voor alle </w:t>
            </w:r>
            <w:r>
              <w:rPr>
                <w:b/>
                <w:i/>
              </w:rPr>
              <w:t>werknemers</w:t>
            </w:r>
            <w:r>
              <w:t xml:space="preserve"> te verbeteren; verzoekt de Commissie </w:t>
            </w:r>
            <w:r>
              <w:rPr>
                <w:b/>
                <w:i/>
              </w:rPr>
              <w:t>om toe te zien op de uitvoering van de richtlijn betreffende het evenwicht tussen werk en privéleven en de Europese zorgstrategie, en om een kader voor te stellen voor het aanpakken van de personeelsproblemen in de langdurige zorg, onder meer door de erkenning van vaardigheden en kwalificaties te vergemakkelijken, scholing en loopbaanontwikkeling te ondersteunen en de arbeidsomstandigheden te verbeteren;</w:t>
            </w:r>
            <w:r>
              <w:t xml:space="preserve"> </w:t>
            </w:r>
            <w:r>
              <w:rPr>
                <w:b/>
                <w:i/>
              </w:rPr>
              <w:t>verzoekt de Commissie een richtlijn voor te stellen om de voorwaarden voor telewerken en het recht om onbereikbaar te zijn in de hele EU te reguleren, als essentiële maatregel om het geestelijk welzijn van EU-werknemers te waarborgen en als aanvulling op de richtlijn betreffende het evenwicht tussen werk en privéleven;</w:t>
            </w:r>
            <w:r>
              <w:t xml:space="preserve"> </w:t>
            </w:r>
            <w:r>
              <w:rPr>
                <w:b/>
                <w:i/>
              </w:rPr>
              <w:t>dringt eveneens aan op een richtlijn betreffende psychosociale risico’s en welzijn op het werk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roept op tot de tenuitvoerlegging van beleid ter bevordering van het evenwicht tussen werk en privéleven, met als doel de levenskwaliteit voor alle gezinnen te verbeteren; verzoekt de Commissie een wetgevingsvoorstel in te dienen voor de invoering van een Europese kaart voor grote gezinnen en een Europees actieplan voor alleenstaande ouders, dat fiscale, educatieve en sociale voordelen biedt;</w:t>
            </w:r>
          </w:p>
        </w:tc>
        <w:tc>
          <w:tcPr>
            <w:tcW w:w="4876" w:type="dxa"/>
            <w:tcBorders>
              <w:top w:val="nil"/>
              <w:left w:val="nil"/>
              <w:bottom w:val="nil"/>
              <w:right w:val="nil"/>
            </w:tcBorders>
          </w:tcPr>
          <w:p>
            <w:pPr>
              <w:pStyle w:val="Normal6a"/>
            </w:pPr>
            <w:r>
              <w:t>5.</w:t>
            </w:r>
            <w:r>
              <w:tab/>
            </w:r>
            <w:r>
              <w:t xml:space="preserve">roept op tot de tenuitvoerlegging van beleid ter bevordering van het evenwicht tussen werk en privéleven, met als doel de levenskwaliteit voor alle gezinnen te verbeteren; </w:t>
            </w:r>
            <w:r>
              <w:rPr>
                <w:b/>
                <w:i/>
              </w:rPr>
              <w:t xml:space="preserve">dringt aan op aanvullende initiatieven ter ondersteuning van formele en informele zorgverleners, hun arbeidsomstandigheden en het evenwicht tussen hun werk en privéleven, een passende beloning en de waardigheid van de personen die afhankelijk zijn van hun zorg; </w:t>
            </w:r>
            <w:r>
              <w:t xml:space="preserve"> verzoekt de Commissie een wetgevingsvoorstel in te dienen voor de invoering van een Europese kaart voor grote gezinnen en een Europees actieplan voor alleenstaande ouders, dat fiscale, educatieve en sociale voordelen biedt;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roept op tot de tenuitvoerlegging van beleid ter bevordering van het evenwicht tussen werk en privéleven, met als doel de levenskwaliteit voor </w:t>
            </w:r>
            <w:r>
              <w:rPr>
                <w:b/>
                <w:i/>
              </w:rPr>
              <w:t>alle gezinnen te verbeteren;</w:t>
            </w:r>
            <w:r>
              <w:t xml:space="preserve"> </w:t>
            </w:r>
            <w:r>
              <w:rPr>
                <w:b/>
                <w:i/>
              </w:rPr>
              <w:t>verzoekt de Commissie een wetgevingsvoorstel in te dienen voor de invoering van een Europese kaart voor grote</w:t>
            </w:r>
            <w:r>
              <w:t xml:space="preserve"> gezinnen en </w:t>
            </w:r>
            <w:r>
              <w:rPr>
                <w:b/>
                <w:i/>
              </w:rPr>
              <w:t>een Europees actieplan voor</w:t>
            </w:r>
            <w:r>
              <w:t xml:space="preserve"> alleenstaande ouders, </w:t>
            </w:r>
            <w:r>
              <w:rPr>
                <w:b/>
                <w:i/>
              </w:rPr>
              <w:t>dat</w:t>
            </w:r>
            <w:r>
              <w:t xml:space="preserve"> fiscale, educatieve en sociale voordelen </w:t>
            </w:r>
            <w:r>
              <w:rPr>
                <w:b/>
                <w:i/>
              </w:rPr>
              <w:t>biedt</w:t>
            </w:r>
            <w:r>
              <w:t>;</w:t>
            </w:r>
          </w:p>
        </w:tc>
        <w:tc>
          <w:tcPr>
            <w:tcW w:w="4876" w:type="dxa"/>
            <w:tcBorders>
              <w:top w:val="nil"/>
              <w:left w:val="nil"/>
              <w:bottom w:val="nil"/>
              <w:right w:val="nil"/>
            </w:tcBorders>
          </w:tcPr>
          <w:p>
            <w:pPr>
              <w:pStyle w:val="Normal6a"/>
            </w:pPr>
            <w:r>
              <w:t>5.</w:t>
            </w:r>
            <w:r>
              <w:tab/>
            </w:r>
            <w:r>
              <w:t xml:space="preserve">roept op tot de tenuitvoerlegging van beleid ter bevordering van het evenwicht tussen werk en privéleven, met als doel de levenskwaliteit voor </w:t>
            </w:r>
            <w:r>
              <w:rPr>
                <w:b/>
                <w:i/>
              </w:rPr>
              <w:t>werknemers, met inbegrip van alle</w:t>
            </w:r>
            <w:r>
              <w:t xml:space="preserve"> gezinnen en alleenstaande ouders, </w:t>
            </w:r>
            <w:r>
              <w:rPr>
                <w:b/>
                <w:i/>
              </w:rPr>
              <w:t>te verbeteren door</w:t>
            </w:r>
            <w:r>
              <w:t xml:space="preserve"> fiscale, educatieve en sociale voordelen </w:t>
            </w:r>
            <w:r>
              <w:rPr>
                <w:b/>
                <w:i/>
              </w:rPr>
              <w:t>te bieden voor gezinnen in kwetsbare situaties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roept op tot de tenuitvoerlegging van beleid ter bevordering van het evenwicht tussen werk en privéleven, met als doel de levenskwaliteit voor alle gezinnen te verbeteren; </w:t>
            </w:r>
            <w:r>
              <w:rPr>
                <w:b/>
                <w:i/>
              </w:rPr>
              <w:t>verzoekt de Commissie een wetgevingsvoorstel in te dienen voor de invoering van een Europese kaart voor grote gezinnen en een Europees actieplan voor alleenstaande ouders, dat</w:t>
            </w:r>
            <w:r>
              <w:t xml:space="preserve"> fiscale, educatieve en sociale voordelen </w:t>
            </w:r>
            <w:r>
              <w:rPr>
                <w:b/>
                <w:i/>
              </w:rPr>
              <w:t>biedt</w:t>
            </w:r>
            <w:r>
              <w:t>;</w:t>
            </w:r>
          </w:p>
        </w:tc>
        <w:tc>
          <w:tcPr>
            <w:tcW w:w="4876" w:type="dxa"/>
            <w:tcBorders>
              <w:top w:val="nil"/>
              <w:left w:val="nil"/>
              <w:bottom w:val="nil"/>
              <w:right w:val="nil"/>
            </w:tcBorders>
          </w:tcPr>
          <w:p>
            <w:pPr>
              <w:pStyle w:val="Normal6a"/>
            </w:pPr>
            <w:r>
              <w:t>5.</w:t>
            </w:r>
            <w:r>
              <w:tab/>
            </w:r>
            <w:r>
              <w:t xml:space="preserve">roept op tot de tenuitvoerlegging van beleid ter bevordering van het evenwicht tussen werk en privéleven, met als doel de levenskwaliteit voor alle gezinnen te verbeteren; </w:t>
            </w:r>
            <w:r>
              <w:rPr>
                <w:b/>
                <w:i/>
              </w:rPr>
              <w:t>benadrukt dat gezinsbeleid onder de bevoegdheid van de lidstaten valt;</w:t>
            </w:r>
            <w:r>
              <w:t xml:space="preserve"> </w:t>
            </w:r>
            <w:r>
              <w:rPr>
                <w:b/>
                <w:i/>
              </w:rPr>
              <w:t>benadrukt hoe belangrijk het is dat de lidstaten optimale werkwijzen uitwisselen met betrekking tot de bestaande steunmaatregelen die</w:t>
            </w:r>
            <w:r>
              <w:t xml:space="preserve"> fiscale, educatieve en sociale voordelen </w:t>
            </w:r>
            <w:r>
              <w:rPr>
                <w:b/>
                <w:i/>
              </w:rPr>
              <w:t>bieden voor grote en eenoudergezinnen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roept op tot de tenuitvoerlegging van beleid ter bevordering van het evenwicht tussen werk en privéleven, met als doel de levenskwaliteit voor alle gezinnen te verbeteren; verzoekt de Commissie een wetgevingsvoorstel in te dienen voor de invoering van een Europese kaart voor grote gezinnen en een Europees actieplan voor alleenstaande ouders, dat fiscale, educatieve en sociale voordelen biedt;</w:t>
            </w:r>
          </w:p>
        </w:tc>
        <w:tc>
          <w:tcPr>
            <w:tcW w:w="4876" w:type="dxa"/>
            <w:tcBorders>
              <w:top w:val="nil"/>
              <w:left w:val="nil"/>
              <w:bottom w:val="nil"/>
              <w:right w:val="nil"/>
            </w:tcBorders>
          </w:tcPr>
          <w:p>
            <w:pPr>
              <w:pStyle w:val="Normal6a"/>
            </w:pPr>
            <w:r>
              <w:t>5.</w:t>
            </w:r>
            <w:r>
              <w:tab/>
            </w:r>
            <w:r>
              <w:t xml:space="preserve">roept op tot de tenuitvoerlegging van beleid ter bevordering van het evenwicht tussen werk en privéleven, met als doel de levenskwaliteit voor alle </w:t>
            </w:r>
            <w:r>
              <w:rPr>
                <w:b/>
                <w:i/>
              </w:rPr>
              <w:t>Europese</w:t>
            </w:r>
            <w:r>
              <w:t xml:space="preserve"> gezinnen te verbeteren; verzoekt de Commissie een wetgevingsvoorstel in te dienen voor de invoering van een Europese kaart voor grote gezinnen en een Europees actieplan voor alleenstaande ouders, dat fiscale, educatieve en sociale voordelen biedt;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roept op tot de tenuitvoerlegging van beleid ter bevordering van het evenwicht tussen werk en privéleven, met als doel de levenskwaliteit voor alle gezinnen te verbeteren; verzoekt de Commissie </w:t>
            </w:r>
            <w:r>
              <w:rPr>
                <w:b/>
                <w:i/>
              </w:rPr>
              <w:t>een wetgevingsvoorstel in te dienen voor de invoering van</w:t>
            </w:r>
            <w:r>
              <w:t xml:space="preserve"> een Europese kaart voor grote gezinnen en een Europees actieplan voor alleenstaande ouders, </w:t>
            </w:r>
            <w:r>
              <w:rPr>
                <w:b/>
                <w:i/>
              </w:rPr>
              <w:t>dat fiscale</w:t>
            </w:r>
            <w:r>
              <w:t xml:space="preserve">, educatieve en sociale voordelen </w:t>
            </w:r>
            <w:r>
              <w:rPr>
                <w:b/>
                <w:i/>
              </w:rPr>
              <w:t>biedt</w:t>
            </w:r>
            <w:r>
              <w:t>;</w:t>
            </w:r>
          </w:p>
        </w:tc>
        <w:tc>
          <w:tcPr>
            <w:tcW w:w="4876" w:type="dxa"/>
            <w:tcBorders>
              <w:top w:val="nil"/>
              <w:left w:val="nil"/>
              <w:bottom w:val="nil"/>
              <w:right w:val="nil"/>
            </w:tcBorders>
          </w:tcPr>
          <w:p>
            <w:pPr>
              <w:pStyle w:val="Normal6a"/>
            </w:pPr>
            <w:r>
              <w:t>5.</w:t>
            </w:r>
            <w:r>
              <w:tab/>
            </w:r>
            <w:r>
              <w:t xml:space="preserve">roept op tot de tenuitvoerlegging van beleid ter bevordering van het evenwicht tussen werk en privéleven, met als doel de levenskwaliteit voor alle gezinnen te verbeteren; verzoekt de Commissie </w:t>
            </w:r>
            <w:r>
              <w:rPr>
                <w:b/>
                <w:i/>
              </w:rPr>
              <w:t>na te denken over</w:t>
            </w:r>
            <w:r>
              <w:t xml:space="preserve"> een Europese kaart voor grote gezinnen en een Europees actieplan voor alleenstaande ouders, </w:t>
            </w:r>
            <w:r>
              <w:rPr>
                <w:b/>
                <w:i/>
              </w:rPr>
              <w:t>die economische</w:t>
            </w:r>
            <w:r>
              <w:t xml:space="preserve">, educatieve en sociale voordelen </w:t>
            </w:r>
            <w:r>
              <w:rPr>
                <w:b/>
                <w:i/>
              </w:rPr>
              <w:t>bieden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roept op tot de tenuitvoerlegging van beleid ter bevordering van het evenwicht tussen werk en privéleven, met als doel de levenskwaliteit voor </w:t>
            </w:r>
            <w:r>
              <w:rPr>
                <w:b/>
                <w:i/>
              </w:rPr>
              <w:t>alle gezinnen</w:t>
            </w:r>
            <w:r>
              <w:t xml:space="preserve"> te verbeteren; verzoekt de Commissie een wetgevingsvoorstel in te dienen voor de invoering van een Europese kaart voor grote gezinnen en een Europees actieplan voor alleenstaande ouders, dat fiscale, educatieve en sociale voordelen biedt;</w:t>
            </w:r>
          </w:p>
        </w:tc>
        <w:tc>
          <w:tcPr>
            <w:tcW w:w="4876" w:type="dxa"/>
            <w:tcBorders>
              <w:top w:val="nil"/>
              <w:left w:val="nil"/>
              <w:bottom w:val="nil"/>
              <w:right w:val="nil"/>
            </w:tcBorders>
          </w:tcPr>
          <w:p>
            <w:pPr>
              <w:pStyle w:val="Normal6a"/>
            </w:pPr>
            <w:r>
              <w:t>5.</w:t>
            </w:r>
            <w:r>
              <w:tab/>
            </w:r>
            <w:r>
              <w:t xml:space="preserve">roept op tot de tenuitvoerlegging van beleid ter bevordering van het evenwicht tussen werk en privéleven, met als doel de levenskwaliteit voor </w:t>
            </w:r>
            <w:r>
              <w:rPr>
                <w:b/>
                <w:i/>
              </w:rPr>
              <w:t>iedereen</w:t>
            </w:r>
            <w:r>
              <w:t xml:space="preserve"> te verbeteren; verzoekt de Commissie een wetgevingsvoorstel in te dienen voor de invoering van een Europese kaart voor grote gezinnen en een Europees actieplan voor alleenstaande ouders, dat fiscale, educatieve en sociale voordelen biedt;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 – punt a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neemt kennis van het feit dat 44 miljoen Europeanen, meestal vrouwen, vaak langdurig informele zorg verlenen</w:t>
            </w:r>
            <w:r>
              <w:rPr>
                <w:b/>
                <w:i/>
                <w:vertAlign w:val="superscript"/>
              </w:rPr>
              <w:t>3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bis</w:t>
            </w:r>
            <w:r>
              <w:t xml:space="preserve"> </w:t>
            </w:r>
            <w:r>
              <w:rPr>
                <w:b/>
                <w:i/>
              </w:rPr>
              <w:t>2021 Langdurige zorg in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dringt aan op de invoering van een benadering van duurzame ontwikkeling om specifiek de gevolgen van structurele en demografische veranderingen in afzonderlijke Europese landen aan te pakken (met inbegrip van voorstellen om een gezinsvriendelijke werkomgeving te bevorderen met het oog op het terugdringen van burn-outpercentages en het verlichten van de lasten voor de socialezekerheidsstelsels en het gezinsleven);</w:t>
            </w:r>
            <w:r>
              <w:t xml:space="preserve"> </w:t>
            </w:r>
            <w:r>
              <w:rPr>
                <w:b/>
                <w:i/>
              </w:rPr>
              <w:t>verzoekt de Commissie met name een wetgevingsvoorstel in te dienen voor een concept voor maatregelen om passende minimumnormen vast te stellen voor de gezinsbijslagen die reeds in de EU-lidstaten bestaan, waardoor kinderarmoede en sociale ongelijkheid zullen worden teruggedrongen en Europese gezinnen op lange termijn zullen worden versterkt;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erkent de unieke rol van zorgverleners in de samenleving: hoewel de definitie van zorgverleners niet in de hele EU geharmoniseerd is, werken er in de hele EU 6,4 miljoen mensen in de sector langdurige zorg</w:t>
            </w:r>
            <w:r>
              <w:rPr>
                <w:b/>
                <w:i/>
                <w:vertAlign w:val="superscript"/>
              </w:rPr>
              <w:t>4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 bis</w:t>
            </w:r>
            <w:r>
              <w:t xml:space="preserve"> </w:t>
            </w:r>
            <w:r>
              <w:rPr>
                <w:b/>
                <w:i/>
              </w:rPr>
              <w:t>2021 Langdurige zorg in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dringt erop aan dat </w:t>
            </w:r>
            <w:r>
              <w:rPr>
                <w:b/>
                <w:i/>
              </w:rPr>
              <w:t>demografische uitdagingen prioriteit krijgen in het cohesiebeleid van de EU en dat het belang ervan wordt gelijkgesteld met de Green Deal en de digitale strategie</w:t>
            </w:r>
            <w:r>
              <w:t xml:space="preserve">; verzoekt de Commissie </w:t>
            </w:r>
            <w:r>
              <w:rPr>
                <w:b/>
                <w:i/>
              </w:rPr>
              <w:t>een “Europees jaar van de demografie” uit te roepen</w:t>
            </w:r>
            <w:r>
              <w:t xml:space="preserve"> en meer middelen uit te trekken voor regio’s met een hoge ontvolking, </w:t>
            </w:r>
            <w:r>
              <w:rPr>
                <w:b/>
                <w:i/>
              </w:rPr>
              <w:t>ter ondersteuning van</w:t>
            </w:r>
            <w:r>
              <w:t xml:space="preserve"> lokale ontwikkelingsprojecten en basisinfrastructuur die het “recht om te blijven” van de bevolking ondersteunen;</w:t>
            </w:r>
          </w:p>
        </w:tc>
        <w:tc>
          <w:tcPr>
            <w:tcW w:w="4876" w:type="dxa"/>
            <w:tcBorders>
              <w:top w:val="nil"/>
              <w:left w:val="nil"/>
              <w:bottom w:val="nil"/>
              <w:right w:val="nil"/>
            </w:tcBorders>
          </w:tcPr>
          <w:p>
            <w:pPr>
              <w:pStyle w:val="Normal6a"/>
            </w:pPr>
            <w:r>
              <w:t>6.</w:t>
            </w:r>
            <w:r>
              <w:tab/>
            </w:r>
            <w:r>
              <w:t xml:space="preserve">dringt erop aan dat </w:t>
            </w:r>
            <w:r>
              <w:rPr>
                <w:b/>
                <w:i/>
              </w:rPr>
              <w:t>de sociale doelstellingen van het Europees Semester op gelijke voet worden geplaatst met de economische doelstellingen;</w:t>
            </w:r>
            <w:r>
              <w:t xml:space="preserve"> </w:t>
            </w:r>
            <w:r>
              <w:rPr>
                <w:b/>
                <w:i/>
              </w:rPr>
              <w:t>maakt zich zorgen over de groeiende ongelijkheden tussen stedelijke en plattelandsgebieden door het gebrek aan opleidingsmogelijkheden in minder verstedelijkte regio’s, die evenmin in staat zijn om hoogopgeleide werknemers aan te trekken en te behouden</w:t>
            </w:r>
            <w:r>
              <w:t xml:space="preserve">; verzoekt de Commissie </w:t>
            </w:r>
            <w:r>
              <w:rPr>
                <w:b/>
                <w:i/>
              </w:rPr>
              <w:t>voort te bouwen op de mededeling “Het benutten van talent in Europa’s regio’s” en het “Talent Booster Mechanism” om sociale cohesie te bevorderen</w:t>
            </w:r>
            <w:r>
              <w:t xml:space="preserve"> en meer middelen uit te trekken voor regio’s met een hoge ontvolking, </w:t>
            </w:r>
            <w:r>
              <w:rPr>
                <w:b/>
                <w:i/>
              </w:rPr>
              <w:t>om zo bij te dragen aan het scheppen van hoogwaardige banen, openbare diensten, onderwijs- en opleidingsmogelijkheden,</w:t>
            </w:r>
            <w:r>
              <w:t xml:space="preserve"> lokale ontwikkelingsprojecten en basisinfrastructuur die het “recht om te blijven” van de bevolking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dringt erop aan dat demografische uitdagingen </w:t>
            </w:r>
            <w:r>
              <w:rPr>
                <w:b/>
                <w:i/>
              </w:rPr>
              <w:t>prioriteit krijgen</w:t>
            </w:r>
            <w:r>
              <w:t xml:space="preserve"> in het cohesiebeleid van de EU </w:t>
            </w:r>
            <w:r>
              <w:rPr>
                <w:b/>
                <w:i/>
              </w:rPr>
              <w:t>en dat het belang ervan wordt gelijkgesteld met de Green Deal en de digitale strategie;</w:t>
            </w:r>
            <w:r>
              <w:t xml:space="preserve"> </w:t>
            </w:r>
            <w:r>
              <w:rPr>
                <w:b/>
                <w:i/>
              </w:rPr>
              <w:t>verzoekt de Commissie een “Europees jaar van de demografie” uit te roepen en meer middelen uit te trekken voor regio’s met een hoge ontvolking, ter ondersteuning van lokale ontwikkelingsprojecten en basisinfrastructuur die het “recht om te blijven” van de bevolking ondersteunen</w:t>
            </w:r>
            <w:r>
              <w:t>;</w:t>
            </w:r>
          </w:p>
        </w:tc>
        <w:tc>
          <w:tcPr>
            <w:tcW w:w="4876" w:type="dxa"/>
            <w:tcBorders>
              <w:top w:val="nil"/>
              <w:left w:val="nil"/>
              <w:bottom w:val="nil"/>
              <w:right w:val="nil"/>
            </w:tcBorders>
          </w:tcPr>
          <w:p>
            <w:pPr>
              <w:pStyle w:val="Normal6a"/>
            </w:pPr>
            <w:r>
              <w:t>6.</w:t>
            </w:r>
            <w:r>
              <w:tab/>
            </w:r>
            <w:r>
              <w:t xml:space="preserve">dringt erop aan dat demografische uitdagingen </w:t>
            </w:r>
            <w:r>
              <w:rPr>
                <w:b/>
                <w:i/>
              </w:rPr>
              <w:t>een topprioriteit moeten zijn</w:t>
            </w:r>
            <w:r>
              <w:t xml:space="preserve"> in het cohesiebeleid van de EU </w:t>
            </w:r>
            <w:r>
              <w:rPr>
                <w:b/>
                <w:i/>
              </w:rPr>
              <w:t>die gepaard moet gaan met een verbetering en versterking van het beleid voor de succesvolle integratie van migranten op de arbeidsmarkt en in de samenleving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dringt erop aan dat demografische uitdagingen prioriteit krijgen in het cohesiebeleid van de EU en dat </w:t>
            </w:r>
            <w:r>
              <w:rPr>
                <w:b/>
                <w:i/>
              </w:rPr>
              <w:t>het belang ervan wordt gelijkgesteld met</w:t>
            </w:r>
            <w:r>
              <w:t xml:space="preserve"> de Green Deal en de digitale strategie; verzoekt de Commissie een “Europees jaar van de demografie” uit te roepen en meer middelen uit te trekken voor regio’s met een hoge ontvolking, ter ondersteuning van lokale ontwikkelingsprojecten en basisinfrastructuur die het “recht om te blijven” van de bevolking ondersteunen;</w:t>
            </w:r>
          </w:p>
        </w:tc>
        <w:tc>
          <w:tcPr>
            <w:tcW w:w="4876" w:type="dxa"/>
            <w:tcBorders>
              <w:top w:val="nil"/>
              <w:left w:val="nil"/>
              <w:bottom w:val="nil"/>
              <w:right w:val="nil"/>
            </w:tcBorders>
          </w:tcPr>
          <w:p>
            <w:pPr>
              <w:pStyle w:val="Normal6a"/>
            </w:pPr>
            <w:r>
              <w:t>6.</w:t>
            </w:r>
            <w:r>
              <w:tab/>
            </w:r>
            <w:r>
              <w:t xml:space="preserve">dringt erop aan dat demografische uitdagingen prioriteit krijgen in het cohesiebeleid van de EU en dat </w:t>
            </w:r>
            <w:r>
              <w:rPr>
                <w:b/>
                <w:i/>
              </w:rPr>
              <w:t>concrete maatregelen op nationaal en EU-niveau worden afgestemd op</w:t>
            </w:r>
            <w:r>
              <w:t xml:space="preserve"> de Green Deal en de digitale strategie; verzoekt de Commissie een “Europees jaar van de demografie” uit te roepen en meer middelen uit te trekken voor regio’s met een hoge ontvolking, ter ondersteuning van lokale ontwikkelingsprojecten</w:t>
            </w:r>
            <w:r>
              <w:rPr>
                <w:b/>
                <w:i/>
              </w:rPr>
              <w:t>, betaalbare en toegankelijke openbare diensten</w:t>
            </w:r>
            <w:r>
              <w:t xml:space="preserve"> en basisinfrastructuur die het “recht om te blijven” van de bevolking</w:t>
            </w:r>
            <w:r>
              <w:rPr>
                <w:b/>
                <w:i/>
              </w:rPr>
              <w:t>, en met name jongeren,</w:t>
            </w:r>
            <w:r>
              <w:t xml:space="preserv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dringt erop aan dat </w:t>
            </w:r>
            <w:r>
              <w:rPr>
                <w:b/>
                <w:i/>
              </w:rPr>
              <w:t>demografische uitdagingen</w:t>
            </w:r>
            <w:r>
              <w:t xml:space="preserve"> prioriteit krijgen in het cohesiebeleid van de EU en dat het belang ervan wordt gelijkgesteld met de Green Deal en de digitale strategie; verzoekt de Commissie een “Europees jaar van de </w:t>
            </w:r>
            <w:r>
              <w:rPr>
                <w:b/>
                <w:i/>
              </w:rPr>
              <w:t>demografie</w:t>
            </w:r>
            <w:r>
              <w:t>” uit te roepen en meer middelen uit te trekken voor regio’s met een hoge ontvolking</w:t>
            </w:r>
            <w:r>
              <w:rPr>
                <w:b/>
                <w:i/>
              </w:rPr>
              <w:t>, ter ondersteuning van</w:t>
            </w:r>
            <w:r>
              <w:t xml:space="preserve"> lokale ontwikkelingsprojecten en basisinfrastructuur die het “recht om te blijven” van de bevolking ondersteunen;</w:t>
            </w:r>
          </w:p>
        </w:tc>
        <w:tc>
          <w:tcPr>
            <w:tcW w:w="4876" w:type="dxa"/>
            <w:tcBorders>
              <w:top w:val="nil"/>
              <w:left w:val="nil"/>
              <w:bottom w:val="nil"/>
              <w:right w:val="nil"/>
            </w:tcBorders>
          </w:tcPr>
          <w:p>
            <w:pPr>
              <w:pStyle w:val="Normal6a"/>
            </w:pPr>
            <w:r>
              <w:t>6.</w:t>
            </w:r>
            <w:r>
              <w:tab/>
            </w:r>
            <w:r>
              <w:t xml:space="preserve">dringt erop aan dat </w:t>
            </w:r>
            <w:r>
              <w:rPr>
                <w:b/>
                <w:i/>
              </w:rPr>
              <w:t>regionale onevenwichtigheden worden aangepakt en</w:t>
            </w:r>
            <w:r>
              <w:t xml:space="preserve"> prioriteit krijgen in het cohesiebeleid van de EU en dat het belang ervan wordt gelijkgesteld met de Green Deal en de digitale strategie; verzoekt de Commissie een “Europees jaar van de </w:t>
            </w:r>
            <w:r>
              <w:rPr>
                <w:b/>
                <w:i/>
              </w:rPr>
              <w:t>regio’s en eilanden</w:t>
            </w:r>
            <w:r>
              <w:t xml:space="preserve">” uit te roepen en meer middelen uit te trekken voor regio’s met een hoge ontvolking </w:t>
            </w:r>
            <w:r>
              <w:rPr>
                <w:b/>
                <w:i/>
              </w:rPr>
              <w:t>en economische stagnatie, om zo bij te dragen tot</w:t>
            </w:r>
            <w:r>
              <w:t xml:space="preserve"> lokale ontwikkelingsprojecten en basisinfrastructuur die het “recht om te blijven” van de bevolking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dringt erop aan dat demografische uitdagingen prioriteit krijgen in het cohesiebeleid van de EU en dat het belang ervan </w:t>
            </w:r>
            <w:r>
              <w:rPr>
                <w:b/>
                <w:i/>
              </w:rPr>
              <w:t>wordt gelijkgesteld met</w:t>
            </w:r>
            <w:r>
              <w:t xml:space="preserve"> de Green Deal en de digitale strategie; verzoekt de Commissie een “Europees jaar van de demografie” uit te roepen en meer middelen uit te trekken voor regio’s met een hoge ontvolking, ter ondersteuning van lokale ontwikkelingsprojecten en basisinfrastructuur die het “recht om te blijven” van de bevolking ondersteunen;</w:t>
            </w:r>
          </w:p>
        </w:tc>
        <w:tc>
          <w:tcPr>
            <w:tcW w:w="4876" w:type="dxa"/>
            <w:tcBorders>
              <w:top w:val="nil"/>
              <w:left w:val="nil"/>
              <w:bottom w:val="nil"/>
              <w:right w:val="nil"/>
            </w:tcBorders>
          </w:tcPr>
          <w:p>
            <w:pPr>
              <w:pStyle w:val="Normal6a"/>
            </w:pPr>
            <w:r>
              <w:t>6.</w:t>
            </w:r>
            <w:r>
              <w:tab/>
            </w:r>
            <w:r>
              <w:t xml:space="preserve">dringt erop aan dat demografische uitdagingen prioriteit krijgen in het cohesiebeleid van de EU en dat het belang ervan </w:t>
            </w:r>
            <w:r>
              <w:rPr>
                <w:b/>
                <w:i/>
              </w:rPr>
              <w:t>groter wordt dan</w:t>
            </w:r>
            <w:r>
              <w:t xml:space="preserve"> de Green Deal en de digitale strategie; verzoekt de Commissie een “Europees jaar van de demografie” uit te roepen en meer middelen uit te trekken voor regio’s met een hoge ontvolking, ter ondersteuning van lokale ontwikkelingsprojecten en basisinfrastructuur die het “recht om te blijven” van de bevolking </w:t>
            </w:r>
            <w:r>
              <w:rPr>
                <w:b/>
                <w:i/>
              </w:rPr>
              <w:t>van de lidstaten</w:t>
            </w:r>
            <w:r>
              <w:t xml:space="preserve"> ondersteunen;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dringt erop aan dat demografische uitdagingen prioriteit krijgen in het cohesiebeleid van de EU </w:t>
            </w:r>
            <w:r>
              <w:rPr>
                <w:b/>
                <w:i/>
              </w:rPr>
              <w:t>en dat het belang ervan wordt gelijkgesteld met de Green Deal en de digitale strategie</w:t>
            </w:r>
            <w:r>
              <w:t xml:space="preserve">; verzoekt de Commissie een “Europees jaar van de demografie” uit te roepen en meer middelen uit te trekken voor regio’s met een hoge ontvolking, </w:t>
            </w:r>
            <w:r>
              <w:rPr>
                <w:b/>
                <w:i/>
              </w:rPr>
              <w:t>ter ondersteuning van</w:t>
            </w:r>
            <w:r>
              <w:t xml:space="preserve"> lokale ontwikkelingsprojecten en basisinfrastructuur die het “recht om te blijven” van de bevolking ondersteunen;</w:t>
            </w:r>
          </w:p>
        </w:tc>
        <w:tc>
          <w:tcPr>
            <w:tcW w:w="4876" w:type="dxa"/>
            <w:tcBorders>
              <w:top w:val="nil"/>
              <w:left w:val="nil"/>
              <w:bottom w:val="nil"/>
              <w:right w:val="nil"/>
            </w:tcBorders>
          </w:tcPr>
          <w:p>
            <w:pPr>
              <w:pStyle w:val="Normal6a"/>
            </w:pPr>
            <w:r>
              <w:t>6.</w:t>
            </w:r>
            <w:r>
              <w:tab/>
            </w:r>
            <w:r>
              <w:t xml:space="preserve">dringt erop aan dat demografische uitdagingen prioriteit krijgen in het cohesiebeleid van de EU; verzoekt de Commissie een “Europees jaar van de demografie” uit te roepen en meer middelen uit te trekken voor </w:t>
            </w:r>
            <w:r>
              <w:rPr>
                <w:b/>
                <w:i/>
              </w:rPr>
              <w:t>ultraperifere en plattelandsgebieden en</w:t>
            </w:r>
            <w:r>
              <w:t xml:space="preserve"> regio’s met een hoge ontvolking, </w:t>
            </w:r>
            <w:r>
              <w:rPr>
                <w:b/>
                <w:i/>
              </w:rPr>
              <w:t>om zo bij te dragen tot</w:t>
            </w:r>
            <w:r>
              <w:t xml:space="preserve"> lokale ontwikkelingsprojecten en basisinfrastructuur die het “recht om te blijven” van de bevolking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wijst op de toenemende invloed van artificiële intelligentie (AI) en digitale platforms en de ingrijpende technologische veranderingen die zij teweeg zullen brengen op de arbeidsmarkt, die van invloed zullen zijn op de kwaliteit van het werk en de arbeidsomstandigheden, en als gevolg daarvan op de levenskwaliteit van werknemers, zoals erkend in het gezamenlijk verslag over de werkgelegenheid;</w:t>
            </w:r>
            <w:r>
              <w:t xml:space="preserve"> </w:t>
            </w:r>
            <w:r>
              <w:rPr>
                <w:b/>
                <w:i/>
              </w:rPr>
              <w:t>verzoekt de Commissie met spoed een voorstel in te dienen voor een richtlijn over het gebruik van AI op de werkplek, die ervoor zorgt dat de rechten van werknemers worden beschermd en geëerbiedigd;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roept de Commissie en de lidstaten op om hun steun voor non-profitondernemingen en -organisaties in de sociale economie te versterken met passende financiële en fiscale stimuleringskaders;</w:t>
            </w:r>
            <w:r>
              <w:t xml:space="preserve"> </w:t>
            </w:r>
            <w:r>
              <w:rPr>
                <w:b/>
                <w:i/>
              </w:rPr>
              <w:t>moedigt de lidstaten aan om de toegang tot financiering te vergemakkelijken en de zichtbaarheid van actoren in de sociale economie te vergroten, zoals benadrukt in het actieplan voor de sociale economie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ter.</w:t>
            </w:r>
            <w:r>
              <w:tab/>
            </w:r>
            <w:r>
              <w:rPr>
                <w:b/>
                <w:i/>
              </w:rPr>
              <w:t>verzoekt de Commissie de bescherming van werknemers op de digitale werkplek te waarborgen, door te komen met een wetgevingsvoorstel waarin het recht om onbereikbaar te zijn en om te telewerken wordt geregeld;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quater.</w:t>
            </w:r>
            <w:r>
              <w:tab/>
            </w:r>
            <w:r>
              <w:rPr>
                <w:b/>
                <w:i/>
              </w:rPr>
              <w:t>roept de lidstaten ertoe op het actieplan voor de sociale economie uit te voeren om hoogwaardig, fatsoenlijk en inclusief werk, duurzaamheid en de circulaire economie te bevorderen en om organisaties van de sociale economie te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verzoekt de Commissie en de Raad prioriteit te geven aan het terugdringen van bureaucratische en fiscale belemmeringen voor ondernemerschap, met name voor kleine en middelgrote ondernemingen (kmo’s) en start-ups, die essentieel zijn voor de economische groei en het concurrentievermogen van de EU, en dus voor de financiering van sociaal beleid;</w:t>
            </w:r>
            <w:r>
              <w:t xml:space="preserve"> is van mening dat meer steun voor ondernemers, met name kmo’s en start-ups, het concurrentievermogen van de EU zal verbeteren, innovatie zal stimuleren en hoogwaardige banen zal scheppen; dringt aan op de uitvoering van specifieke aanbevelingen om de interne markt te voltooien en de toegang tot financiering </w:t>
            </w:r>
            <w:r>
              <w:rPr>
                <w:b/>
                <w:i/>
              </w:rPr>
              <w:t>via publiek-private partnerschapsplatforms</w:t>
            </w:r>
            <w:r>
              <w:t xml:space="preserve"> en de sociale economie te vergemakkelijken om een dynamisch ondernemingsklimaat te bevorderen;</w:t>
            </w:r>
          </w:p>
        </w:tc>
        <w:tc>
          <w:tcPr>
            <w:tcW w:w="4876" w:type="dxa"/>
            <w:tcBorders>
              <w:top w:val="nil"/>
              <w:left w:val="nil"/>
              <w:bottom w:val="nil"/>
              <w:right w:val="nil"/>
            </w:tcBorders>
          </w:tcPr>
          <w:p>
            <w:pPr>
              <w:pStyle w:val="Normal6a"/>
            </w:pPr>
            <w:r>
              <w:t>7.</w:t>
            </w:r>
            <w:r>
              <w:tab/>
            </w:r>
            <w:r>
              <w:t>is van mening dat meer steun voor ondernemers, met name kmo’s en start-ups, het concurrentievermogen van de EU zal verbeteren, innovatie zal stimuleren en hoogwaardige banen zal scheppen; dringt aan op de uitvoering van specifieke aanbevelingen om de interne markt te voltooien en de toegang tot financiering en de sociale economie te vergemakkelijken om een dynamisch ondernemingsklimaat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verzoekt de Commissie en de Raad prioriteit te geven aan het terugdringen van bureaucratische en fiscale belemmeringen voor ondernemerschap, met name voor kleine en middelgrote ondernemingen (kmo’s) en start-ups, die essentieel zijn voor de economische groei en het concurrentievermogen van de EU, en dus voor de financiering van sociaal beleid; is van mening dat meer steun voor ondernemers, met name kmo’s en start-ups, het concurrentievermogen van de EU zal verbeteren, innovatie zal stimuleren en hoogwaardige banen zal scheppen; dringt aan op de uitvoering van specifieke aanbevelingen om de interne markt te voltooien en de toegang tot financiering via publiek-private partnerschapsplatforms en de sociale economie te vergemakkelijken om een dynamisch ondernemingsklimaat te bevorderen;</w:t>
            </w:r>
          </w:p>
        </w:tc>
        <w:tc>
          <w:tcPr>
            <w:tcW w:w="4876" w:type="dxa"/>
            <w:tcBorders>
              <w:top w:val="nil"/>
              <w:left w:val="nil"/>
              <w:bottom w:val="nil"/>
              <w:right w:val="nil"/>
            </w:tcBorders>
          </w:tcPr>
          <w:p>
            <w:pPr>
              <w:pStyle w:val="Normal6a"/>
            </w:pPr>
            <w:r>
              <w:t>7.</w:t>
            </w:r>
            <w:r>
              <w:tab/>
            </w:r>
            <w:r>
              <w:t xml:space="preserve">verzoekt de Commissie en de Raad </w:t>
            </w:r>
            <w:r>
              <w:rPr>
                <w:b/>
                <w:i/>
              </w:rPr>
              <w:t>in overeenstemming met de Verklaring van Boedapest over de nieuwe deal voor het Europees concurrentie­vermogen van 8 november 2024</w:t>
            </w:r>
            <w:r>
              <w:t xml:space="preserve"> prioriteit te geven aan het terugdringen van bureaucratische en fiscale belemmeringen voor ondernemerschap, met name voor kleine en middelgrote ondernemingen (kmo’s) en start-ups, die essentieel zijn voor de economische groei en het concurrentievermogen van de EU, en dus voor de financiering van sociaal beleid; is van mening dat meer steun voor ondernemers, met name kmo’s en start-ups, het concurrentievermogen van de EU zal verbeteren, innovatie zal stimuleren en hoogwaardige banen zal scheppen; dringt aan op de uitvoering van specifieke aanbevelingen om de interne markt te voltooien en de toegang tot financiering via publiek-private partnerschapsplatforms en de sociale economie te vergemakkelijken om een dynamisch ondernemingsklimaat te bevorderen; </w:t>
            </w:r>
            <w:r>
              <w:rPr>
                <w:b/>
                <w:i/>
              </w:rPr>
              <w:t>acht het belangrijk dat Europa wereldwijd vooroploopt met onderzoek en innovatie, met name op het gebied van disruptieve technologieën, en dat de O&amp;I-uitgaven­doelstelling van 3% van het bbp uiterlijk in 2030 wordt gerealiseerd;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verzoekt de Commissie en de Raad prioriteit te geven aan het terugdringen van bureaucratische </w:t>
            </w:r>
            <w:r>
              <w:rPr>
                <w:b/>
                <w:i/>
              </w:rPr>
              <w:t>en fiscale</w:t>
            </w:r>
            <w:r>
              <w:t xml:space="preserve"> belemmeringen voor ondernemerschap, </w:t>
            </w:r>
            <w:r>
              <w:rPr>
                <w:b/>
                <w:i/>
              </w:rPr>
              <w:t>met name</w:t>
            </w:r>
            <w:r>
              <w:t xml:space="preserve"> voor kleine en middelgrote ondernemingen (kmo’s) en start-ups, die essentieel zijn voor de economische groei en het concurrentievermogen van de EU, en dus voor de financiering van sociaal beleid; is van mening dat meer steun voor </w:t>
            </w:r>
            <w:r>
              <w:rPr>
                <w:b/>
                <w:i/>
              </w:rPr>
              <w:t>ondernemers, met name</w:t>
            </w:r>
            <w:r>
              <w:t xml:space="preserve"> kmo’s en start-ups</w:t>
            </w:r>
            <w:r>
              <w:rPr>
                <w:b/>
                <w:i/>
              </w:rPr>
              <w:t>, het concurrentievermogen</w:t>
            </w:r>
            <w:r>
              <w:t xml:space="preserve"> van de EU zal verbeteren, innovatie zal stimuleren en hoogwaardige banen zal scheppen; </w:t>
            </w:r>
            <w:r>
              <w:rPr>
                <w:b/>
                <w:i/>
              </w:rPr>
              <w:t>dringt aan op de uitvoering van specifieke aanbevelingen om de interne markt te voltooien en de toegang tot financiering via publiek-private partnerschapsplatforms en de sociale economie te vergemakkelijken om een dynamisch ondernemingsklimaat te bevorderen;</w:t>
            </w:r>
          </w:p>
        </w:tc>
        <w:tc>
          <w:tcPr>
            <w:tcW w:w="4876" w:type="dxa"/>
            <w:tcBorders>
              <w:top w:val="nil"/>
              <w:left w:val="nil"/>
              <w:bottom w:val="nil"/>
              <w:right w:val="nil"/>
            </w:tcBorders>
          </w:tcPr>
          <w:p>
            <w:pPr>
              <w:pStyle w:val="Normal6a"/>
            </w:pPr>
            <w:r>
              <w:t>7.</w:t>
            </w:r>
            <w:r>
              <w:tab/>
            </w:r>
            <w:r>
              <w:t xml:space="preserve">verzoekt de Commissie en de Raad prioriteit te geven aan het terugdringen van bureaucratische belemmeringen voor ondernemerschap, voor kleine en middelgrote ondernemingen (kmo’s) en start-ups, die essentieel zijn voor de economische groei en het concurrentievermogen van de EU, en dus voor de financiering van sociaal beleid; is van mening dat meer steun voor </w:t>
            </w:r>
            <w:r>
              <w:rPr>
                <w:b/>
                <w:i/>
              </w:rPr>
              <w:t>aspirant-ondernemers en aankomende</w:t>
            </w:r>
            <w:r>
              <w:t xml:space="preserve"> kmo’s en start-ups </w:t>
            </w:r>
            <w:r>
              <w:rPr>
                <w:b/>
                <w:i/>
              </w:rPr>
              <w:t>de sociale economie</w:t>
            </w:r>
            <w:r>
              <w:t xml:space="preserve"> van de EU zal verbeteren, innovatie zal stimuleren en hoogwaardige banen zal scheppen;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verzoekt de Commissie en de Raad prioriteit te geven aan het terugdringen van bureaucratische en fiscale belemmeringen voor ondernemerschap, met name voor kleine en middelgrote ondernemingen (kmo’s) en start-ups, die essentieel zijn voor de economische groei en het concurrentievermogen van de EU, en dus voor de financiering van sociaal beleid; is van mening dat meer steun voor ondernemers, met name kmo’s en start-ups, het concurrentievermogen van de EU zal verbeteren, innovatie zal stimuleren en hoogwaardige banen zal scheppen; dringt aan op de uitvoering van specifieke aanbevelingen om de interne markt te </w:t>
            </w:r>
            <w:r>
              <w:rPr>
                <w:b/>
                <w:i/>
              </w:rPr>
              <w:t>voltooien</w:t>
            </w:r>
            <w:r>
              <w:t xml:space="preserve"> en de toegang tot financiering via publiek-private partnerschapsplatforms en de sociale economie te vergemakkelijken om een dynamisch ondernemingsklimaat te bevorderen;</w:t>
            </w:r>
          </w:p>
        </w:tc>
        <w:tc>
          <w:tcPr>
            <w:tcW w:w="4876" w:type="dxa"/>
            <w:tcBorders>
              <w:top w:val="nil"/>
              <w:left w:val="nil"/>
              <w:bottom w:val="nil"/>
              <w:right w:val="nil"/>
            </w:tcBorders>
          </w:tcPr>
          <w:p>
            <w:pPr>
              <w:pStyle w:val="Normal6a"/>
            </w:pPr>
            <w:r>
              <w:t>7.</w:t>
            </w:r>
            <w:r>
              <w:tab/>
            </w:r>
            <w:r>
              <w:t xml:space="preserve">verzoekt de Commissie en de Raad prioriteit te geven aan het terugdringen van bureaucratische en fiscale belemmeringen voor ondernemerschap, met name voor kleine en middelgrote ondernemingen (kmo’s) en start-ups, die essentieel zijn voor de economische groei en het concurrentievermogen van de EU, en dus voor de financiering van sociaal beleid; is van mening dat meer steun voor ondernemers, met name kmo’s en start-ups, het concurrentievermogen van de EU zal verbeteren, innovatie zal stimuleren en hoogwaardige banen zal scheppen; dringt aan op de uitvoering van specifieke aanbevelingen om de </w:t>
            </w:r>
            <w:r>
              <w:rPr>
                <w:b/>
                <w:i/>
              </w:rPr>
              <w:t>ontwikkeling van de</w:t>
            </w:r>
            <w:r>
              <w:t xml:space="preserve"> interne markt te </w:t>
            </w:r>
            <w:r>
              <w:rPr>
                <w:b/>
                <w:i/>
              </w:rPr>
              <w:t>vergemakkelijken</w:t>
            </w:r>
            <w:r>
              <w:t xml:space="preserve"> en de toegang tot financiering via publiek-private partnerschapsplatforms </w:t>
            </w:r>
            <w:r>
              <w:rPr>
                <w:b/>
                <w:i/>
              </w:rPr>
              <w:t>waar synergie tussen publiek en privaat zeer waarschijnlijk en aangetoond is, te vergemakkelijken,</w:t>
            </w:r>
            <w:r>
              <w:t xml:space="preserve"> en de sociale economie te vergemakkelijken om een dynamisch ondernemingsklimaat te bevorderen;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verzoekt de Commissie en de Raad prioriteit te geven aan het terugdringen van bureaucratische en fiscale belemmeringen voor ondernemerschap, met name voor kleine en middelgrote ondernemingen (kmo’s) en start-ups, die essentieel zijn voor de economische groei en het concurrentievermogen van de EU, en dus voor de financiering van sociaal beleid; is van mening dat meer steun voor </w:t>
            </w:r>
            <w:r>
              <w:rPr>
                <w:b/>
                <w:i/>
              </w:rPr>
              <w:t>ondernemers, met name kmo’s en start-ups,</w:t>
            </w:r>
            <w:r>
              <w:t xml:space="preserve"> het concurrentievermogen van de EU zal verbeteren, innovatie zal stimuleren en hoogwaardige banen zal scheppen; dringt aan op de uitvoering van specifieke aanbevelingen om de interne markt te voltooien en de toegang tot financiering via publiek-private partnerschapsplatforms en de sociale economie </w:t>
            </w:r>
            <w:r>
              <w:rPr>
                <w:b/>
                <w:i/>
              </w:rPr>
              <w:t>te vergemakkelijken</w:t>
            </w:r>
            <w:r>
              <w:t xml:space="preserve"> om een dynamisch ondernemingsklimaat te bevorderen;</w:t>
            </w:r>
          </w:p>
        </w:tc>
        <w:tc>
          <w:tcPr>
            <w:tcW w:w="4876" w:type="dxa"/>
            <w:tcBorders>
              <w:top w:val="nil"/>
              <w:left w:val="nil"/>
              <w:bottom w:val="nil"/>
              <w:right w:val="nil"/>
            </w:tcBorders>
          </w:tcPr>
          <w:p>
            <w:pPr>
              <w:pStyle w:val="Normal6a"/>
            </w:pPr>
            <w:r>
              <w:t>7.</w:t>
            </w:r>
            <w:r>
              <w:tab/>
            </w:r>
            <w:r>
              <w:t xml:space="preserve">verzoekt de Commissie en de Raad prioriteit te geven aan het terugdringen van bureaucratische en fiscale belemmeringen voor ondernemerschap, met name voor kleine en middelgrote ondernemingen (kmo’s) en start-ups, die essentieel zijn voor de economische groei en het concurrentievermogen van de EU, en dus voor de financiering van sociaal beleid; is van mening dat meer steun voor </w:t>
            </w:r>
            <w:r>
              <w:rPr>
                <w:b/>
                <w:i/>
              </w:rPr>
              <w:t>kmo’s en start-ups de duurzaamheid op lange termijn en</w:t>
            </w:r>
            <w:r>
              <w:t xml:space="preserve"> het concurrentievermogen van de EU zal verbeteren, innovatie zal stimuleren en hoogwaardige banen zal scheppen; dringt aan op de uitvoering van specifieke aanbevelingen om de interne markt te voltooien</w:t>
            </w:r>
            <w:r>
              <w:rPr>
                <w:b/>
                <w:i/>
              </w:rPr>
              <w:t>, waarbij sociale en duurzaamheidsbeginselen worden geïntegreerd</w:t>
            </w:r>
            <w:r>
              <w:t xml:space="preserve"> en de toegang tot financiering via publiek-private partnerschapsplatforms en de sociale economie </w:t>
            </w:r>
            <w:r>
              <w:rPr>
                <w:b/>
                <w:i/>
              </w:rPr>
              <w:t>wordt vergemakkelijkt</w:t>
            </w:r>
            <w:r>
              <w:t xml:space="preserve"> om een dynamisch </w:t>
            </w:r>
            <w:r>
              <w:rPr>
                <w:b/>
                <w:i/>
              </w:rPr>
              <w:t>en inclusief</w:t>
            </w:r>
            <w:r>
              <w:t xml:space="preserve"> ondernemingsklimaat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verzoekt de Commissie en de Raad prioriteit te geven aan het terugdringen van bureaucratische </w:t>
            </w:r>
            <w:r>
              <w:rPr>
                <w:b/>
                <w:i/>
              </w:rPr>
              <w:t>en fiscale</w:t>
            </w:r>
            <w:r>
              <w:t xml:space="preserve"> belemmeringen voor ondernemerschap, met name voor kleine en middelgrote ondernemingen (kmo’s) en start-ups, die essentieel zijn voor de economische groei en het concurrentievermogen van de EU</w:t>
            </w:r>
            <w:r>
              <w:rPr>
                <w:b/>
                <w:i/>
              </w:rPr>
              <w:t>, en dus voor de financiering van sociaal beleid</w:t>
            </w:r>
            <w:r>
              <w:t>; is van mening dat meer steun voor ondernemers, met name kmo’s en start-ups, het concurrentievermogen van de EU zal verbeteren, innovatie zal stimuleren en hoogwaardige banen zal scheppen; dringt aan op de uitvoering van specifieke aanbevelingen om de interne markt te voltooien en de toegang tot financiering via publiek-private partnerschapsplatforms en de sociale economie te vergemakkelijken om een dynamisch ondernemingsklimaat te bevorderen;</w:t>
            </w:r>
          </w:p>
        </w:tc>
        <w:tc>
          <w:tcPr>
            <w:tcW w:w="4876" w:type="dxa"/>
            <w:tcBorders>
              <w:top w:val="nil"/>
              <w:left w:val="nil"/>
              <w:bottom w:val="nil"/>
              <w:right w:val="nil"/>
            </w:tcBorders>
          </w:tcPr>
          <w:p>
            <w:pPr>
              <w:pStyle w:val="Normal6a"/>
            </w:pPr>
            <w:r>
              <w:t>7.</w:t>
            </w:r>
            <w:r>
              <w:tab/>
            </w:r>
            <w:r>
              <w:t>verzoekt de Commissie en de Raad prioriteit te geven aan het terugdringen van bureaucratische belemmeringen voor ondernemerschap, met name voor kleine en middelgrote ondernemingen (kmo’s) en start-ups, die essentieel zijn voor de economische groei en het concurrentievermogen van de EU; is van mening dat meer steun voor ondernemers, met name kmo’s en start-ups, het concurrentievermogen van de EU zal verbeteren, innovatie zal stimuleren en hoogwaardige banen zal scheppen; dringt aan op de uitvoering van specifieke aanbevelingen om de interne markt te voltooien en de toegang tot financiering via publiek-private partnerschapsplatforms en de sociale economie te vergemakkelijken om een dynamisch ondernemingsklimaat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verzoekt de Commissie en de Raad prioriteit te geven aan het terugdringen van bureaucratische en fiscale belemmeringen voor ondernemerschap, met name voor kleine en middelgrote ondernemingen (kmo’s) en start-ups, die essentieel zijn voor de economische groei en het concurrentievermogen van de EU, en dus voor de financiering van sociaal beleid; is van mening dat meer steun voor ondernemers, met name kmo’s </w:t>
            </w:r>
            <w:r>
              <w:rPr>
                <w:b/>
                <w:i/>
              </w:rPr>
              <w:t>en start-ups</w:t>
            </w:r>
            <w:r>
              <w:t>, het concurrentievermogen van de EU zal verbeteren, innovatie zal stimuleren en hoogwaardige banen zal scheppen; dringt aan op de uitvoering van specifieke aanbevelingen om de interne markt te voltooien en de toegang tot financiering via publiek-private partnerschapsplatforms en de sociale economie te vergemakkelijken om een dynamisch ondernemingsklimaat te bevorderen;</w:t>
            </w:r>
          </w:p>
        </w:tc>
        <w:tc>
          <w:tcPr>
            <w:tcW w:w="4876" w:type="dxa"/>
            <w:tcBorders>
              <w:top w:val="nil"/>
              <w:left w:val="nil"/>
              <w:bottom w:val="nil"/>
              <w:right w:val="nil"/>
            </w:tcBorders>
          </w:tcPr>
          <w:p>
            <w:pPr>
              <w:pStyle w:val="Normal6a"/>
            </w:pPr>
            <w:r>
              <w:t>7.</w:t>
            </w:r>
            <w:r>
              <w:tab/>
            </w:r>
            <w:r>
              <w:t>verzoekt de Commissie en de Raad prioriteit te geven aan het terugdringen van bureaucratische en fiscale belemmeringen voor ondernemerschap, met name voor kleine en middelgrote ondernemingen (kmo’s) en start-ups, die essentieel zijn voor de economische groei en het concurrentievermogen van de EU, en dus voor de financiering van sociaal beleid; is van mening dat meer steun voor ondernemers, met name kmo’s</w:t>
            </w:r>
            <w:r>
              <w:rPr>
                <w:b/>
                <w:i/>
              </w:rPr>
              <w:t>, start-ups en zelfstandigen</w:t>
            </w:r>
            <w:r>
              <w:t>, het concurrentievermogen van de EU zal verbeteren, innovatie zal stimuleren en hoogwaardige banen zal scheppen; dringt aan op de uitvoering van specifieke aanbevelingen om de interne markt te voltooien en de toegang tot financiering via publiek-private partnerschapsplatforms en de sociale economie te vergemakkelijken om een dynamisch ondernemingsklimaat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herinnert eraan dat het belangrijk is de toegang van zelfstandigen tot sociale bescherming te verbeteren en verzoekt de Commissie de nationale uitvoeringsplannen van de lidstaten voor de aanbeveling van de Raad over toegang tot sociale bescherming voor werknemers en zelfstandigen te monitoren als onderdeel van de landenspecifieke aanbevelingen;</w:t>
            </w:r>
            <w:r>
              <w:t xml:space="preserve"> </w:t>
            </w:r>
            <w:r>
              <w:rPr>
                <w:b/>
                <w:i/>
              </w:rPr>
              <w:t>herinnert in dit verband, aangezien het percentage zelfstandigen in de culturele en creatieve sectoren meer dan twee keer zo hoog is als onder de algemene bevolking, aan de 13 initiatieven die zijn opgenomen in het antwoord van de Commissie van 21 februari 2024 op de resolutie van het Europees Parlement van 21 november 2023 over een EU-kader voor de sociale en professionele situatie van kunstenaars en werknemers in de culturele en creatieve sector, en verzoekt de Commissie in samenwerking met de lidstaten te starten met de uitvoering van deze initiatieven;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waarschuwt voor de sociale risico’s die voortvloeien uit de crisis in de automobielsector, die onder ongekende druk staat door zowel externe als interne factoren;</w:t>
            </w:r>
            <w:r>
              <w:t xml:space="preserve"> </w:t>
            </w:r>
            <w:r>
              <w:rPr>
                <w:b/>
                <w:i/>
              </w:rPr>
              <w:t>verzoekt de Europese Commissie aandacht te besteden aan deze sector en de indicatoren van het sociaal scorebord te gebruiken om de bescherming van werknemers te monitoren en de sociale dialoog en de deelname van werknemers aan overgangsprocessen te verbeteren;</w:t>
            </w:r>
            <w:r>
              <w:t xml:space="preserve"> </w:t>
            </w:r>
            <w:r>
              <w:rPr>
                <w:b/>
                <w:i/>
              </w:rPr>
              <w:t>benadrukt dat er dringend behoefte is aan een gecoördineerde reactie van de EU via een taskforce voor noodsituaties van vakbonden en werkgevers om de huidige crisis het hoofd te bieden;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Marlena Maląg, Georgiana Teodorescu, 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verzoekt de Commissie concurrentievermogenstoetsen uit te voeren voor ieder nieuw wetgevingsvoorstel, rekening houdende met het algehele effect van EU-wetgeving op bedrijven en op andere EU-beleidsmaatregelen en -programma’s;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benadrukt dat publiek-private partnerschappen moeten worden bevorderd om de efficiëntie van essentiële sociale diensten, zoals onderwijs, gezondheidszorg en sociale zorg, te verbeteren;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benadrukt dat publiek-private partnerschappen moeten worden bevorderd om de efficiëntie van essentiële sociale diensten, zoals onderwijs, gezondheidszorg en sociale zorg, te verbeteren;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benadrukt dat </w:t>
            </w:r>
            <w:r>
              <w:rPr>
                <w:b/>
                <w:i/>
              </w:rPr>
              <w:t>publiek-private partnerschappen moeten worden bevorderd om de</w:t>
            </w:r>
            <w:r>
              <w:t xml:space="preserve"> efficiëntie van essentiële sociale diensten, zoals onderwijs, gezondheidszorg en sociale zorg, </w:t>
            </w:r>
            <w:r>
              <w:rPr>
                <w:b/>
                <w:i/>
              </w:rPr>
              <w:t>te verbeteren</w:t>
            </w:r>
            <w:r>
              <w:t>;</w:t>
            </w:r>
          </w:p>
        </w:tc>
        <w:tc>
          <w:tcPr>
            <w:tcW w:w="4876" w:type="dxa"/>
            <w:tcBorders>
              <w:top w:val="nil"/>
              <w:left w:val="nil"/>
              <w:bottom w:val="nil"/>
              <w:right w:val="nil"/>
            </w:tcBorders>
          </w:tcPr>
          <w:p>
            <w:pPr>
              <w:pStyle w:val="Normal6a"/>
            </w:pPr>
            <w:r>
              <w:t>8.</w:t>
            </w:r>
            <w:r>
              <w:tab/>
            </w:r>
            <w:r>
              <w:t xml:space="preserve">benadrukt dat </w:t>
            </w:r>
            <w:r>
              <w:rPr>
                <w:b/>
                <w:i/>
              </w:rPr>
              <w:t>de kwaliteit, dekkingsgraad, betaalbaarheid en</w:t>
            </w:r>
            <w:r>
              <w:t xml:space="preserve"> efficiëntie van essentiële sociale diensten, zoals onderwijs, gezondheidszorg en sociale zorg, </w:t>
            </w:r>
            <w:r>
              <w:rPr>
                <w:b/>
                <w:i/>
              </w:rPr>
              <w:t>met inbegrip van kinderopvang en langdurige zorg, moeten worden verbeterd;</w:t>
            </w:r>
            <w:r>
              <w:t xml:space="preserve"> </w:t>
            </w:r>
            <w:r>
              <w:rPr>
                <w:b/>
                <w:i/>
              </w:rPr>
              <w:t>dringt er bij de lidstaten op aan de aanbeveling van de Raad over toegang tot betaalbare en hoogwaardige langdurige zorg te blijven uitvoeren, om de toegang tot hoogwaardige zorg te waarborgen en tegelijkertijd te zorgen voor fatsoenlijke arbeidsomstandigheden voor werknemers in de zorgsector, ook voor informele zorgverleners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benadrukt dat publiek-private partnerschappen moeten </w:t>
            </w:r>
            <w:r>
              <w:rPr>
                <w:b/>
                <w:i/>
              </w:rPr>
              <w:t>worden bevorderd</w:t>
            </w:r>
            <w:r>
              <w:t xml:space="preserve"> om de efficiëntie van </w:t>
            </w:r>
            <w:r>
              <w:rPr>
                <w:b/>
                <w:i/>
              </w:rPr>
              <w:t>essentiële</w:t>
            </w:r>
            <w:r>
              <w:t xml:space="preserve"> sociale diensten, zoals onderwijs, gezondheidszorg </w:t>
            </w:r>
            <w:r>
              <w:rPr>
                <w:b/>
                <w:i/>
              </w:rPr>
              <w:t>en</w:t>
            </w:r>
            <w:r>
              <w:t xml:space="preserve"> sociale zorg, te verbeteren;</w:t>
            </w:r>
          </w:p>
        </w:tc>
        <w:tc>
          <w:tcPr>
            <w:tcW w:w="4876" w:type="dxa"/>
            <w:tcBorders>
              <w:top w:val="nil"/>
              <w:left w:val="nil"/>
              <w:bottom w:val="nil"/>
              <w:right w:val="nil"/>
            </w:tcBorders>
          </w:tcPr>
          <w:p>
            <w:pPr>
              <w:pStyle w:val="Normal6a"/>
            </w:pPr>
            <w:r>
              <w:t>8.</w:t>
            </w:r>
            <w:r>
              <w:tab/>
            </w:r>
            <w:r>
              <w:t xml:space="preserve">benadrukt dat </w:t>
            </w:r>
            <w:r>
              <w:rPr>
                <w:b/>
                <w:i/>
              </w:rPr>
              <w:t>de lidstaten</w:t>
            </w:r>
            <w:r>
              <w:t xml:space="preserve"> publiek-private partnerschappen moeten </w:t>
            </w:r>
            <w:r>
              <w:rPr>
                <w:b/>
                <w:i/>
              </w:rPr>
              <w:t>bevorderen</w:t>
            </w:r>
            <w:r>
              <w:t xml:space="preserve"> om de efficiëntie van </w:t>
            </w:r>
            <w:r>
              <w:rPr>
                <w:b/>
                <w:i/>
              </w:rPr>
              <w:t>openbare</w:t>
            </w:r>
            <w:r>
              <w:t xml:space="preserve"> sociale diensten, zoals onderwijs, gezondheidszorg</w:t>
            </w:r>
            <w:r>
              <w:rPr>
                <w:b/>
                <w:i/>
              </w:rPr>
              <w:t>, huisvesting,</w:t>
            </w:r>
            <w:r>
              <w:t xml:space="preserve"> sociale zorg </w:t>
            </w:r>
            <w:r>
              <w:rPr>
                <w:b/>
                <w:i/>
              </w:rPr>
              <w:t>en kinderbescherming</w:t>
            </w:r>
            <w:r>
              <w:t>, te verbeteren</w:t>
            </w:r>
            <w:r>
              <w:rPr>
                <w:b/>
                <w:i/>
              </w:rPr>
              <w:t>, waarbij de lidstaten verantwoordelijk blijven voor de verlening van en de toegang tot hoogwaardige openbare diensten op deze gebieden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benadrukt dat publiek-private partnerschappen moeten worden bevorderd om de efficiëntie van essentiële sociale diensten, zoals onderwijs, gezondheidszorg en sociale zorg, te verbeteren</w:t>
            </w:r>
            <w:r>
              <w:rPr>
                <w:b/>
                <w:i/>
              </w:rPr>
              <w:t>;</w:t>
            </w:r>
          </w:p>
        </w:tc>
        <w:tc>
          <w:tcPr>
            <w:tcW w:w="4876" w:type="dxa"/>
            <w:tcBorders>
              <w:top w:val="nil"/>
              <w:left w:val="nil"/>
              <w:bottom w:val="nil"/>
              <w:right w:val="nil"/>
            </w:tcBorders>
          </w:tcPr>
          <w:p>
            <w:pPr>
              <w:pStyle w:val="Normal6a"/>
            </w:pPr>
            <w:r>
              <w:t>8.</w:t>
            </w:r>
            <w:r>
              <w:tab/>
            </w:r>
            <w:r>
              <w:t>benadrukt dat publiek-private partnerschappen moeten worden bevorderd om de efficiëntie van essentiële sociale diensten, zoals onderwijs, gezondheidszorg en sociale zorg, te verbeteren</w:t>
            </w:r>
            <w:r>
              <w:rPr>
                <w:b/>
                <w:i/>
              </w:rPr>
              <w:t>, maar alleen indien een synergie tussen de publieke en de particuliere sector waarschijnlijk en aangetoond is en niet neerkomt op ideologische en onredelijke privatisering.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benadrukt </w:t>
            </w:r>
            <w:r>
              <w:rPr>
                <w:b/>
                <w:i/>
              </w:rPr>
              <w:t>dat publiek-private partnerschappen moeten</w:t>
            </w:r>
            <w:r>
              <w:t xml:space="preserve"> worden </w:t>
            </w:r>
            <w:r>
              <w:rPr>
                <w:b/>
                <w:i/>
              </w:rPr>
              <w:t>bevorderd</w:t>
            </w:r>
            <w:r>
              <w:t xml:space="preserve"> om de efficiëntie van essentiële sociale diensten, zoals onderwijs, gezondheidszorg en sociale zorg, te verbeteren;</w:t>
            </w:r>
          </w:p>
        </w:tc>
        <w:tc>
          <w:tcPr>
            <w:tcW w:w="4876" w:type="dxa"/>
            <w:tcBorders>
              <w:top w:val="nil"/>
              <w:left w:val="nil"/>
              <w:bottom w:val="nil"/>
              <w:right w:val="nil"/>
            </w:tcBorders>
          </w:tcPr>
          <w:p>
            <w:pPr>
              <w:pStyle w:val="Normal6a"/>
            </w:pPr>
            <w:r>
              <w:t>8.</w:t>
            </w:r>
            <w:r>
              <w:tab/>
            </w:r>
            <w:r>
              <w:rPr>
                <w:b/>
                <w:i/>
              </w:rPr>
              <w:t>sluit zich aan bij het voorstel van Enrico Letta om een “vijfde vrijheid” in te voeren met het oog op het bevorderen van onderzoek, innovatie en onderwijs in de interne markt en</w:t>
            </w:r>
            <w:r>
              <w:t xml:space="preserve"> benadrukt </w:t>
            </w:r>
            <w:r>
              <w:rPr>
                <w:b/>
                <w:i/>
              </w:rPr>
              <w:t>in dit verband dat optimaal gebruik moet</w:t>
            </w:r>
            <w:r>
              <w:t xml:space="preserve"> worden </w:t>
            </w:r>
            <w:r>
              <w:rPr>
                <w:b/>
                <w:i/>
              </w:rPr>
              <w:t>gemaakt van publiek-private partnerschappen</w:t>
            </w:r>
            <w:r>
              <w:t xml:space="preserve"> om de efficiëntie van essentiële sociale diensten, zoals onderwijs, gezondheidszorg en sociale zorg, te verbeteren;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maakt zich zorgen over de vele nationale beleidsmaatregelen die nog tot lacunes in de gezondheidszorg leiden, zoals privatisering van openbare gezondheidszorgstelsels, eigen bijdragen en een gebrekkige dekkingsgraad, waardoor ongelijkheden tussen en binnen de lidstaten toenemen;</w:t>
            </w:r>
            <w:r>
              <w:t xml:space="preserve"> </w:t>
            </w:r>
            <w:r>
              <w:rPr>
                <w:b/>
                <w:i/>
              </w:rPr>
              <w:t>benadrukt dat dergelijke beleidsmaatregelen armoede verergeren, gezondheid en welzijn schaden en sociale ongelijkheden binnen en tussen de EU-landen uitvergroten;</w:t>
            </w:r>
            <w:r>
              <w:t xml:space="preserve"> </w:t>
            </w:r>
            <w:r>
              <w:rPr>
                <w:b/>
                <w:i/>
              </w:rPr>
              <w:t>waarschuwt dat dit ook de uitvoering van beginsel 16 van de pijler en van SDG 3.8 over universele gezondheidszorg ondermijnt, evenals de algemene doelstelling van de pijler om opwaartse sociale convergentie in de EU te bevorderen en niemand achter te laten; </w:t>
            </w:r>
            <w:r>
              <w:t xml:space="preserve"> </w:t>
            </w:r>
            <w:r>
              <w:rPr>
                <w:b/>
                <w:i/>
              </w:rPr>
              <w:t>is van mening dat de in het sociale scorebord gebruikte indicatoren geen volledig inzicht geven in de betaalbaarheid van de gezondheidszorg;</w:t>
            </w:r>
            <w:r>
              <w:t xml:space="preserve"> </w:t>
            </w:r>
            <w:r>
              <w:rPr>
                <w:b/>
                <w:i/>
              </w:rPr>
              <w:t>verzoekt de Commissie om in het scorebord indicatoren van financiële moeilijkheden op te nemen, zoals tot verarming leidende en catastrofale gezondheidsuitgaven, alsook een kwalitatieve analyse van de verschillende aspecten van het dekkingsbeleid (dekkingsgraad van de bevolking, het vergoedingspakket en gebruikersheffingen of eigen bijdragen) in de lidstaten, om zo te kunnen vaststellen welke veranderingen nodig zijn om de toegang tot betaalbare gezondheidszorg te verbeteren;</w:t>
            </w:r>
            <w:r>
              <w:t xml:space="preserve"> </w:t>
            </w:r>
            <w:r>
              <w:rPr>
                <w:b/>
                <w:i/>
              </w:rPr>
              <w:t>verzoekt de Commissie met een initiatief te komen om passende universele gezondheidszorg te waarborgen, zodat iedereen toegang heeft tot hoogwaardige gezondheidszorg zonder financiële moeilijkheden te hoeven doormaken;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is van mening dat de sociale economie een essentieel onderdeel vormt van de sociale markteconomie van de EU en een drijvende kracht is achter de uitvoering van de Europese pijler van sociale rechten en de doelstellingen daarvan, omdat zij vaak werkgelegenheid biedt aan kwetsbare en uitgesloten groepen;</w:t>
            </w:r>
            <w:r>
              <w:t xml:space="preserve"> </w:t>
            </w:r>
            <w:r>
              <w:rPr>
                <w:b/>
                <w:i/>
              </w:rPr>
              <w:t>roept de lidstaten op de sociale economie verder te versterken overeenkomstig het actieplan van de EU voor de sociale economie en de routekaart van Luik voor de sociale economie in de Europese Unie;</w:t>
            </w:r>
            <w:r>
              <w:t xml:space="preserve"> </w:t>
            </w:r>
            <w:r>
              <w:rPr>
                <w:b/>
                <w:i/>
              </w:rPr>
              <w:t>herhaalt zijn oproep aan de Commissie om zich te verdiepen in innovatieve financieringsmechanismen, zoals obligaties met sociale impact, voor de financiering van projecten die zullen bijdragen aan de ontwikkeling van de sociale economie in Europa</w:t>
            </w:r>
            <w:r>
              <w:rPr>
                <w:b/>
                <w:i/>
                <w:vertAlign w:val="superscript"/>
              </w:rPr>
              <w:t>19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19 bis</w:t>
            </w:r>
            <w:r>
              <w:t xml:space="preserve"> </w:t>
            </w:r>
            <w:r>
              <w:rPr>
                <w:b/>
                <w:i/>
              </w:rPr>
              <w:t>Resolutie van het Europees Parlement van 6 juli 2022 over het EU-actieplan voor de sociale economie (2021/2179(INI)).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dringt erop aan dat de lidstaten in dit overgangsjaar, met de uitvoering van herziene regels voor economische governance, de kans krijgen om de budgettaire verantwoordelijkheid af te stemmen op duurzame groei, en merkt op dat in de begrotingsplannen voor de middellange termijn prioriteit moet worden gegeven aan schuldhoudbaarheid en tegelijkertijd strategisch moet worden geïnvesteerd in onderwijs, gezondheidszorg en huisvesting;</w:t>
            </w:r>
            <w:r>
              <w:t xml:space="preserve"> </w:t>
            </w:r>
            <w:r>
              <w:rPr>
                <w:b/>
                <w:i/>
              </w:rPr>
              <w:t>benadrukt dat samenwerking tussen publieke en particuliere entiteiten van cruciaal belang is om de middelen zo goed mogelijk te gebruiken en een verstandig gebruik van overheidsmiddelen te waarborgen;</w:t>
            </w:r>
            <w:r>
              <w:t xml:space="preserve"> </w:t>
            </w:r>
            <w:r>
              <w:rPr>
                <w:b/>
                <w:i/>
              </w:rPr>
              <w:t>is van mening dat landspecifieke aanbevelingen over de bevordering van duurzame openbare pensioenstelsels en gezondheidszorg doeltreffend moeten worden uitgevoerd en het concurrentievermogen en de welvaart op lange termijn voor alle burgers moeten stimuleren;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dringt erop aan dat de lidstaten in dit overgangsjaar, met de uitvoering van herziene regels voor economische governance, de kans krijgen om de budgettaire verantwoordelijkheid af te stemmen op duurzame groei, en merkt op dat in de begrotingsplannen voor de middellange termijn </w:t>
            </w:r>
            <w:r>
              <w:rPr>
                <w:b/>
                <w:i/>
              </w:rPr>
              <w:t>prioriteit</w:t>
            </w:r>
            <w:r>
              <w:t xml:space="preserve"> moet worden </w:t>
            </w:r>
            <w:r>
              <w:rPr>
                <w:b/>
                <w:i/>
              </w:rPr>
              <w:t>gegeven aan schuldhoudbaarheid</w:t>
            </w:r>
            <w:r>
              <w:t xml:space="preserve"> en tegelijkertijd strategisch moet worden geïnvesteerd in onderwijs, gezondheidszorg en huisvesting; benadrukt dat samenwerking tussen publieke en particuliere entiteiten </w:t>
            </w:r>
            <w:r>
              <w:rPr>
                <w:b/>
                <w:i/>
              </w:rPr>
              <w:t>van cruciaal belang</w:t>
            </w:r>
            <w:r>
              <w:t xml:space="preserve"> is om de middelen zo goed mogelijk te gebruiken en een verstandig gebruik van overheidsmiddelen te waarborgen; is van mening dat landspecifieke aanbevelingen </w:t>
            </w:r>
            <w:r>
              <w:rPr>
                <w:b/>
                <w:i/>
              </w:rPr>
              <w:t>over</w:t>
            </w:r>
            <w:r>
              <w:t xml:space="preserve"> de bevordering van duurzame openbare pensioenstelsels en gezondheidszorg </w:t>
            </w:r>
            <w:r>
              <w:rPr>
                <w:b/>
                <w:i/>
              </w:rPr>
              <w:t>doeltreffend moeten worden uitgevoerd en het concurrentievermogen en de welvaart op lange termijn voor alle burgers moeten stimuleren</w:t>
            </w:r>
            <w:r>
              <w:t>;</w:t>
            </w:r>
          </w:p>
        </w:tc>
        <w:tc>
          <w:tcPr>
            <w:tcW w:w="4876" w:type="dxa"/>
            <w:tcBorders>
              <w:top w:val="nil"/>
              <w:left w:val="nil"/>
              <w:bottom w:val="nil"/>
              <w:right w:val="nil"/>
            </w:tcBorders>
          </w:tcPr>
          <w:p>
            <w:pPr>
              <w:pStyle w:val="Normal6a"/>
            </w:pPr>
            <w:r>
              <w:t>9.</w:t>
            </w:r>
            <w:r>
              <w:tab/>
            </w:r>
            <w:r>
              <w:t xml:space="preserve">dringt erop aan dat de lidstaten in dit overgangsjaar, met de uitvoering van herziene regels voor economische governance, de kans krijgen om de budgettaire verantwoordelijkheid af te stemmen op duurzame </w:t>
            </w:r>
            <w:r>
              <w:rPr>
                <w:b/>
                <w:i/>
              </w:rPr>
              <w:t>en inclusieve</w:t>
            </w:r>
            <w:r>
              <w:t xml:space="preserve"> groei, en merkt op dat </w:t>
            </w:r>
            <w:r>
              <w:rPr>
                <w:b/>
                <w:i/>
              </w:rPr>
              <w:t>de betrokkenheid van de sociale partners op alle niveaus moet worden verbeterd om bij te dragen aan de doelstellingen van het nieuwe kader voor economische governance 2024, en dat met name moet worden toegezien op voorafgaande raadpleging van de sociale partners voordat de structurele begrotingsplannen voor de middellange termijn worden ingediend;</w:t>
            </w:r>
            <w:r>
              <w:t xml:space="preserve"> </w:t>
            </w:r>
            <w:r>
              <w:rPr>
                <w:b/>
                <w:i/>
              </w:rPr>
              <w:t>merkt op dat </w:t>
            </w:r>
            <w:r>
              <w:t xml:space="preserve">in de begrotingsplannen voor de middellange termijn </w:t>
            </w:r>
            <w:r>
              <w:rPr>
                <w:b/>
                <w:i/>
              </w:rPr>
              <w:t>schuldhoudbaarheid</w:t>
            </w:r>
            <w:r>
              <w:t xml:space="preserve"> moet worden </w:t>
            </w:r>
            <w:r>
              <w:rPr>
                <w:b/>
                <w:i/>
              </w:rPr>
              <w:t>gewaarborgd</w:t>
            </w:r>
            <w:r>
              <w:t xml:space="preserve"> en tegelijkertijd strategisch moet worden geïnvesteerd in </w:t>
            </w:r>
            <w:r>
              <w:rPr>
                <w:b/>
                <w:i/>
              </w:rPr>
              <w:t>kwalitatief</w:t>
            </w:r>
            <w:r>
              <w:t xml:space="preserve"> onderwijs, </w:t>
            </w:r>
            <w:r>
              <w:rPr>
                <w:b/>
                <w:i/>
              </w:rPr>
              <w:t>hoogwaardige opleiding en openbare en sociale diensten, langdurige zorg,</w:t>
            </w:r>
            <w:r>
              <w:t xml:space="preserve"> gezondheidszorg en </w:t>
            </w:r>
            <w:r>
              <w:rPr>
                <w:b/>
                <w:i/>
              </w:rPr>
              <w:t>betaalbare</w:t>
            </w:r>
            <w:r>
              <w:t xml:space="preserve"> huisvesting </w:t>
            </w:r>
            <w:r>
              <w:rPr>
                <w:b/>
                <w:i/>
              </w:rPr>
              <w:t>en sociale diensten;</w:t>
            </w:r>
            <w:r>
              <w:t xml:space="preserve"> </w:t>
            </w:r>
            <w:r>
              <w:rPr>
                <w:b/>
                <w:i/>
              </w:rPr>
              <w:t>beveelt aan om vergelijkende statistieken te gebruiken, zoals de bevindingen van de Social Services Index (SSI), om hiaten in de wetgeving, financiering en toegang tot sociale diensten te identificeren en om strategische investeringen te sturen op gebieden zoals kinderbescherming, langdurige zorg en ondersteuning in gemeenschapsverband</w:t>
            </w:r>
            <w:r>
              <w:t xml:space="preserve">; benadrukt dat samenwerking tussen publieke en particuliere entiteiten </w:t>
            </w:r>
            <w:r>
              <w:rPr>
                <w:b/>
                <w:i/>
              </w:rPr>
              <w:t>soms een geschikte manier</w:t>
            </w:r>
            <w:r>
              <w:t xml:space="preserve"> is om de middelen zo goed mogelijk te gebruiken en een verstandig gebruik van overheidsmiddelen te waarborgen; is van mening dat landspecifieke aanbevelingen </w:t>
            </w:r>
            <w:r>
              <w:rPr>
                <w:b/>
                <w:i/>
              </w:rPr>
              <w:t>voor</w:t>
            </w:r>
            <w:r>
              <w:t xml:space="preserve"> de bevordering van duurzame openbare pensioenstelsels en gezondheidszorg </w:t>
            </w:r>
            <w:r>
              <w:rPr>
                <w:b/>
                <w:i/>
              </w:rPr>
              <w:t>moeten bijdragen tot pensioenen die garant staan voor een waardig leven, welzijn, hoogwaardige betaalbare gezondheidszorg, gezondheidsbevordering en preventie voor iedereen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dringt erop aan dat de lidstaten in dit overgangsjaar, met de uitvoering van herziene regels voor economische governance, de kans krijgen om de budgettaire verantwoordelijkheid af te stemmen op </w:t>
            </w:r>
            <w:r>
              <w:rPr>
                <w:b/>
                <w:i/>
              </w:rPr>
              <w:t>duurzame groei</w:t>
            </w:r>
            <w:r>
              <w:t xml:space="preserve">, en merkt op dat in de begrotingsplannen voor de middellange termijn prioriteit moet worden gegeven aan </w:t>
            </w:r>
            <w:r>
              <w:rPr>
                <w:b/>
                <w:i/>
              </w:rPr>
              <w:t>schuldhoudbaarheid</w:t>
            </w:r>
            <w:r>
              <w:t xml:space="preserve"> en tegelijkertijd strategisch moet worden geïnvesteerd in onderwijs, gezondheidszorg en huisvesting; benadrukt dat samenwerking tussen publieke en particuliere entiteiten van cruciaal belang is om de middelen zo goed mogelijk te gebruiken </w:t>
            </w:r>
            <w:r>
              <w:rPr>
                <w:b/>
                <w:i/>
              </w:rPr>
              <w:t>en een verstandig gebruik van overheidsmiddelen te waarborgen;</w:t>
            </w:r>
            <w:r>
              <w:t xml:space="preserve"> </w:t>
            </w:r>
            <w:r>
              <w:rPr>
                <w:b/>
                <w:i/>
              </w:rPr>
              <w:t>is van mening dat landspecifieke aanbevelingen over de bevordering van duurzame openbare pensioenstelsels en gezondheidszorg doeltreffend moeten worden uitgevoerd en het concurrentievermogen en de welvaart op lange termijn</w:t>
            </w:r>
            <w:r>
              <w:t xml:space="preserve"> voor alle </w:t>
            </w:r>
            <w:r>
              <w:rPr>
                <w:b/>
                <w:i/>
              </w:rPr>
              <w:t>burgers moeten stimuleren</w:t>
            </w:r>
            <w:r>
              <w:t>;</w:t>
            </w:r>
          </w:p>
        </w:tc>
        <w:tc>
          <w:tcPr>
            <w:tcW w:w="4876" w:type="dxa"/>
            <w:tcBorders>
              <w:top w:val="nil"/>
              <w:left w:val="nil"/>
              <w:bottom w:val="nil"/>
              <w:right w:val="nil"/>
            </w:tcBorders>
          </w:tcPr>
          <w:p>
            <w:pPr>
              <w:pStyle w:val="Normal6a"/>
            </w:pPr>
            <w:r>
              <w:t>9.</w:t>
            </w:r>
            <w:r>
              <w:tab/>
            </w:r>
            <w:r>
              <w:t xml:space="preserve">dringt erop aan dat de lidstaten in dit overgangsjaar, met de uitvoering van herziene regels voor economische governance, de kans krijgen om de budgettaire verantwoordelijkheid af te stemmen op </w:t>
            </w:r>
            <w:r>
              <w:rPr>
                <w:b/>
                <w:i/>
              </w:rPr>
              <w:t>duurzaamheid en welzijn</w:t>
            </w:r>
            <w:r>
              <w:t xml:space="preserve">, en merkt op dat in de begrotingsplannen voor de middellange termijn prioriteit moet worden gegeven aan </w:t>
            </w:r>
            <w:r>
              <w:rPr>
                <w:b/>
                <w:i/>
              </w:rPr>
              <w:t>sociale duurzaamheid</w:t>
            </w:r>
            <w:r>
              <w:t xml:space="preserve"> en tegelijkertijd strategisch moet worden geïnvesteerd in </w:t>
            </w:r>
            <w:r>
              <w:rPr>
                <w:b/>
                <w:i/>
              </w:rPr>
              <w:t>openbaar</w:t>
            </w:r>
            <w:r>
              <w:t xml:space="preserve"> onderwijs, gezondheidszorg en huisvesting; benadrukt dat samenwerking tussen publieke en particuliere entiteiten van cruciaal belang is om de middelen zo goed mogelijk te gebruiken</w:t>
            </w:r>
            <w:r>
              <w:rPr>
                <w:b/>
                <w:i/>
              </w:rPr>
              <w:t>;</w:t>
            </w:r>
            <w:r>
              <w:t xml:space="preserve"> </w:t>
            </w:r>
            <w:r>
              <w:rPr>
                <w:b/>
                <w:i/>
              </w:rPr>
              <w:t>is van mening dat in de landspecifieke aanbevelingen moet worden afgestapt van het voortdurend voorschrijven van bezuinigingen op de openbare pensioen- en gezondheidszorgstelsels, en dat zij in plaats daarvan hervormingsvoorstellen moeten omvatten die het economisch en sociaal welzijn voor alle burgers bevorderen;</w:t>
            </w:r>
            <w:r>
              <w:t xml:space="preserve"> </w:t>
            </w:r>
            <w:r>
              <w:rPr>
                <w:b/>
                <w:i/>
              </w:rPr>
              <w:t>herinnert eraan dat het belangrijk is</w:t>
            </w:r>
            <w:r>
              <w:t xml:space="preserve"> voor alle </w:t>
            </w:r>
            <w:r>
              <w:rPr>
                <w:b/>
                <w:i/>
              </w:rPr>
              <w:t>werknemers tijdens hun pensioenperiode een toereikend inkomen te behouden voor een waardig leven, waarbij rekening moet worden gehouden met de kwetsbaarheid van werknemers met onderbroken loopbanen en werknemers die betrokken zijn bij overgangen op de arbeidsmarkt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dringt erop aan dat de lidstaten in dit overgangsjaar</w:t>
            </w:r>
            <w:r>
              <w:rPr>
                <w:b/>
                <w:i/>
              </w:rPr>
              <w:t>, met de uitvoering van herziene regels voor economische governance,</w:t>
            </w:r>
            <w:r>
              <w:t xml:space="preserve"> de kans krijgen om </w:t>
            </w:r>
            <w:r>
              <w:rPr>
                <w:b/>
                <w:i/>
              </w:rPr>
              <w:t>de budgettaire verantwoordelijkheid af te stemmen op</w:t>
            </w:r>
            <w:r>
              <w:t xml:space="preserve"> duurzame groei, en merkt op dat in de begrotingsplannen voor de middellange termijn prioriteit moet worden gegeven aan schuldhoudbaarheid en tegelijkertijd strategisch moet worden geïnvesteerd in onderwijs, gezondheidszorg en huisvesting</w:t>
            </w:r>
            <w:r>
              <w:rPr>
                <w:b/>
                <w:i/>
              </w:rPr>
              <w:t>;</w:t>
            </w:r>
            <w:r>
              <w:t xml:space="preserve"> </w:t>
            </w:r>
            <w:r>
              <w:rPr>
                <w:b/>
                <w:i/>
              </w:rPr>
              <w:t>benadrukt dat samenwerking tussen publieke en particuliere entiteiten van cruciaal belang is</w:t>
            </w:r>
            <w:r>
              <w:t xml:space="preserve"> om de </w:t>
            </w:r>
            <w:r>
              <w:rPr>
                <w:b/>
                <w:i/>
              </w:rPr>
              <w:t>middelen zo goed mogelijk te gebruiken en een verstandig gebruik van overheidsmiddelen te waarborgen;</w:t>
            </w:r>
            <w:r>
              <w:t xml:space="preserve"> </w:t>
            </w:r>
            <w:r>
              <w:rPr>
                <w:b/>
                <w:i/>
              </w:rPr>
              <w:t>is van mening dat landspecifieke aanbevelingen over de bevordering van duurzame openbare pensioenstelsels en gezondheidszorg doeltreffend moeten worden uitgevoerd en het concurrentievermogen</w:t>
            </w:r>
            <w:r>
              <w:t xml:space="preserve"> en de welvaart op lange termijn voor alle burgers </w:t>
            </w:r>
            <w:r>
              <w:rPr>
                <w:b/>
                <w:i/>
              </w:rPr>
              <w:t>moeten stimuleren</w:t>
            </w:r>
            <w:r>
              <w:t>;</w:t>
            </w:r>
          </w:p>
        </w:tc>
        <w:tc>
          <w:tcPr>
            <w:tcW w:w="4876" w:type="dxa"/>
            <w:tcBorders>
              <w:top w:val="nil"/>
              <w:left w:val="nil"/>
              <w:bottom w:val="nil"/>
              <w:right w:val="nil"/>
            </w:tcBorders>
          </w:tcPr>
          <w:p>
            <w:pPr>
              <w:pStyle w:val="Normal6a"/>
            </w:pPr>
            <w:r>
              <w:t>9.</w:t>
            </w:r>
            <w:r>
              <w:tab/>
            </w:r>
            <w:r>
              <w:t xml:space="preserve">dringt erop aan dat de lidstaten in dit overgangsjaar de kans krijgen om </w:t>
            </w:r>
            <w:r>
              <w:rPr>
                <w:b/>
                <w:i/>
              </w:rPr>
              <w:t>toe te werken naar</w:t>
            </w:r>
            <w:r>
              <w:t xml:space="preserve"> duurzame groei, en merkt op dat in de begrotingsplannen voor de middellange termijn prioriteit moet worden gegeven aan schuldhoudbaarheid en tegelijkertijd strategisch moet worden geïnvesteerd in onderwijs, gezondheidszorg en huisvesting </w:t>
            </w:r>
            <w:r>
              <w:rPr>
                <w:b/>
                <w:i/>
              </w:rPr>
              <w:t>met als doel</w:t>
            </w:r>
            <w:r>
              <w:t xml:space="preserve"> om de </w:t>
            </w:r>
            <w:r>
              <w:rPr>
                <w:b/>
                <w:i/>
              </w:rPr>
              <w:t>sociale cohesie</w:t>
            </w:r>
            <w:r>
              <w:t xml:space="preserve"> en de welvaart op lange termijn voor alle burgers </w:t>
            </w:r>
            <w:r>
              <w:rPr>
                <w:b/>
                <w:i/>
              </w:rPr>
              <w:t>te bevorderen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dringt erop aan dat de lidstaten in dit overgangsjaar, met de uitvoering van herziene regels voor economische governance, de kans krijgen om de budgettaire verantwoordelijkheid af te stemmen op duurzame groei, en merkt op dat in de begrotingsplannen voor de middellange termijn prioriteit moet worden gegeven aan schuldhoudbaarheid en tegelijkertijd strategisch moet worden geïnvesteerd in onderwijs, gezondheidszorg en huisvesting; benadrukt dat samenwerking tussen publieke en particuliere entiteiten van cruciaal belang is om de middelen zo goed mogelijk te gebruiken en een verstandig gebruik van overheidsmiddelen te waarborgen; is van mening dat landspecifieke aanbevelingen </w:t>
            </w:r>
            <w:r>
              <w:rPr>
                <w:b/>
                <w:i/>
              </w:rPr>
              <w:t>over</w:t>
            </w:r>
            <w:r>
              <w:t xml:space="preserve"> de bevordering van </w:t>
            </w:r>
            <w:r>
              <w:rPr>
                <w:b/>
                <w:i/>
              </w:rPr>
              <w:t>duurzame openbare pensioenstelsels en</w:t>
            </w:r>
            <w:r>
              <w:t xml:space="preserve"> gezondheidszorg doeltreffend moeten worden uitgevoerd en </w:t>
            </w:r>
            <w:r>
              <w:rPr>
                <w:b/>
                <w:i/>
              </w:rPr>
              <w:t>het concurrentievermogen en de</w:t>
            </w:r>
            <w:r>
              <w:t xml:space="preserve"> welvaart op lange termijn voor alle burgers moeten stimuleren;</w:t>
            </w:r>
          </w:p>
        </w:tc>
        <w:tc>
          <w:tcPr>
            <w:tcW w:w="4876" w:type="dxa"/>
            <w:tcBorders>
              <w:top w:val="nil"/>
              <w:left w:val="nil"/>
              <w:bottom w:val="nil"/>
              <w:right w:val="nil"/>
            </w:tcBorders>
          </w:tcPr>
          <w:p>
            <w:pPr>
              <w:pStyle w:val="Normal6a"/>
            </w:pPr>
            <w:r>
              <w:t>9.</w:t>
            </w:r>
            <w:r>
              <w:tab/>
            </w:r>
            <w:r>
              <w:t xml:space="preserve">dringt erop aan dat de lidstaten in dit overgangsjaar, met de uitvoering van herziene regels voor economische governance, de kans krijgen om de budgettaire verantwoordelijkheid af te stemmen op duurzame groei, en merkt op dat in de begrotingsplannen voor de middellange termijn prioriteit moet worden gegeven aan schuldhoudbaarheid en tegelijkertijd strategisch moet worden geïnvesteerd in </w:t>
            </w:r>
            <w:r>
              <w:rPr>
                <w:b/>
                <w:i/>
              </w:rPr>
              <w:t>de doelstellingen van de Europese pijler van sociale rechten, zoals</w:t>
            </w:r>
            <w:r>
              <w:t xml:space="preserve"> onderwijs, </w:t>
            </w:r>
            <w:r>
              <w:rPr>
                <w:b/>
                <w:i/>
              </w:rPr>
              <w:t>opleiding, sociale bescherming en inclusie,</w:t>
            </w:r>
            <w:r>
              <w:t xml:space="preserve"> gezondheidszorg en huisvesting; benadrukt dat samenwerking tussen publieke en particuliere entiteiten van cruciaal belang is om de middelen zo goed mogelijk te gebruiken en een verstandig gebruik van overheidsmiddelen te waarborgen </w:t>
            </w:r>
            <w:r>
              <w:rPr>
                <w:b/>
                <w:i/>
              </w:rPr>
              <w:t>om het concurrentievermogen te bevorderen</w:t>
            </w:r>
            <w:r>
              <w:t xml:space="preserve">; is van mening dat landspecifieke aanbevelingen </w:t>
            </w:r>
            <w:r>
              <w:rPr>
                <w:b/>
                <w:i/>
              </w:rPr>
              <w:t>voor</w:t>
            </w:r>
            <w:r>
              <w:t xml:space="preserve"> de bevordering van </w:t>
            </w:r>
            <w:r>
              <w:rPr>
                <w:b/>
                <w:i/>
              </w:rPr>
              <w:t>pensioenstelsels met meerdere pijlers en hoogwaardige</w:t>
            </w:r>
            <w:r>
              <w:t xml:space="preserve"> gezondheidszorg doeltreffend moeten worden uitgevoerd en </w:t>
            </w:r>
            <w:r>
              <w:rPr>
                <w:b/>
                <w:i/>
              </w:rPr>
              <w:t>duurzaamheid, waardigheid en</w:t>
            </w:r>
            <w:r>
              <w:t xml:space="preserve"> welvaart op lange termijn voor alle burgers moeten stimuleren;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dringt erop aan</w:t>
            </w:r>
            <w:r>
              <w:t xml:space="preserve"> dat de </w:t>
            </w:r>
            <w:r>
              <w:rPr>
                <w:b/>
                <w:i/>
              </w:rPr>
              <w:t>lidstaten in dit overgangsjaar, met de uitvoering van herziene regels voor</w:t>
            </w:r>
            <w:r>
              <w:t xml:space="preserve"> economische </w:t>
            </w:r>
            <w:r>
              <w:rPr>
                <w:b/>
                <w:i/>
              </w:rPr>
              <w:t>governance,</w:t>
            </w:r>
            <w:r>
              <w:t xml:space="preserve"> de kans </w:t>
            </w:r>
            <w:r>
              <w:rPr>
                <w:b/>
                <w:i/>
              </w:rPr>
              <w:t>krijgen</w:t>
            </w:r>
            <w:r>
              <w:t xml:space="preserve"> om de budgettaire verantwoordelijkheid af te stemmen op duurzame groei, en merkt op dat in de begrotingsplannen voor de middellange termijn prioriteit moet worden gegeven aan schuldhoudbaarheid en tegelijkertijd strategisch moet worden geïnvesteerd in onderwijs, gezondheidszorg en huisvesting; benadrukt dat samenwerking tussen publieke en particuliere entiteiten van cruciaal belang is om de middelen zo goed mogelijk te gebruiken en een verstandig gebruik van overheidsmiddelen te waarborgen; is van mening dat landspecifieke aanbevelingen over de bevordering van duurzame openbare pensioenstelsels en gezondheidszorg doeltreffend moeten worden uitgevoerd en het concurrentievermogen en de welvaart op lange termijn voor alle burgers moeten stimuleren;</w:t>
            </w:r>
          </w:p>
        </w:tc>
        <w:tc>
          <w:tcPr>
            <w:tcW w:w="4876" w:type="dxa"/>
            <w:tcBorders>
              <w:top w:val="nil"/>
              <w:left w:val="nil"/>
              <w:bottom w:val="nil"/>
              <w:right w:val="nil"/>
            </w:tcBorders>
          </w:tcPr>
          <w:p>
            <w:pPr>
              <w:pStyle w:val="Normal6a"/>
            </w:pPr>
            <w:r>
              <w:t>9.</w:t>
            </w:r>
            <w:r>
              <w:tab/>
            </w:r>
            <w:r>
              <w:rPr>
                <w:b/>
                <w:i/>
              </w:rPr>
              <w:t>benadrukt</w:t>
            </w:r>
            <w:r>
              <w:t xml:space="preserve"> dat de </w:t>
            </w:r>
            <w:r>
              <w:rPr>
                <w:b/>
                <w:i/>
              </w:rPr>
              <w:t>nieuwe regels voor economische governance voornamelijk bedoeld zijn om te zorgen voor een evenwicht tussen verantwoordelijk begrotingsbeheer (schuldvermindering) en duurzame</w:t>
            </w:r>
            <w:r>
              <w:t xml:space="preserve"> economische </w:t>
            </w:r>
            <w:r>
              <w:rPr>
                <w:b/>
                <w:i/>
              </w:rPr>
              <w:t>groei (groeibevorderende uitgaven), en dat zij daarom</w:t>
            </w:r>
            <w:r>
              <w:t xml:space="preserve"> de kans </w:t>
            </w:r>
            <w:r>
              <w:rPr>
                <w:b/>
                <w:i/>
              </w:rPr>
              <w:t>moeten bieden</w:t>
            </w:r>
            <w:r>
              <w:t xml:space="preserve"> om de budgettaire verantwoordelijkheid af te stemmen op duurzame groei, en merkt op dat in de begrotingsplannen voor de middellange termijn prioriteit moet worden gegeven aan schuldhoudbaarheid en tegelijkertijd strategisch moet worden geïnvesteerd in onderwijs, gezondheidszorg en huisvesting; benadrukt dat samenwerking tussen publieke en particuliere entiteiten van cruciaal belang is om de middelen zo goed mogelijk te gebruiken en een verstandig gebruik van overheidsmiddelen te waarborgen; is van mening dat landspecifieke aanbevelingen over de bevordering van duurzame openbare pensioenstelsels en gezondheidszorg doeltreffend moeten worden uitgevoerd en het concurrentievermogen en de welvaart op lange termijn voor alle burgers moeten stimuleren;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dringt erop aan dat de lidstaten in dit overgangsjaar, met de uitvoering van herziene regels voor economische governance, de kans krijgen om de budgettaire verantwoordelijkheid af te stemmen op duurzame groei, en merkt op dat in de begrotingsplannen voor de middellange termijn </w:t>
            </w:r>
            <w:r>
              <w:rPr>
                <w:b/>
                <w:i/>
              </w:rPr>
              <w:t>prioriteit</w:t>
            </w:r>
            <w:r>
              <w:t xml:space="preserve"> moet worden </w:t>
            </w:r>
            <w:r>
              <w:rPr>
                <w:b/>
                <w:i/>
              </w:rPr>
              <w:t>gegeven aan schuldhoudbaarheid en tegelijkertijd strategisch moet worden geïnvesteerd</w:t>
            </w:r>
            <w:r>
              <w:t xml:space="preserve"> in onderwijs, gezondheidszorg en huisvesting; benadrukt dat samenwerking tussen publieke en particuliere entiteiten van cruciaal belang is om de middelen zo goed mogelijk te gebruiken en een verstandig gebruik van overheidsmiddelen te waarborgen; is van mening dat landspecifieke aanbevelingen over de bevordering van duurzame openbare pensioenstelsels en gezondheidszorg doeltreffend moeten worden uitgevoerd en het concurrentievermogen en de welvaart op lange termijn voor alle burgers moeten stimuleren;</w:t>
            </w:r>
          </w:p>
        </w:tc>
        <w:tc>
          <w:tcPr>
            <w:tcW w:w="4876" w:type="dxa"/>
            <w:tcBorders>
              <w:top w:val="nil"/>
              <w:left w:val="nil"/>
              <w:bottom w:val="nil"/>
              <w:right w:val="nil"/>
            </w:tcBorders>
          </w:tcPr>
          <w:p>
            <w:pPr>
              <w:pStyle w:val="Normal6a"/>
            </w:pPr>
            <w:r>
              <w:t>9.</w:t>
            </w:r>
            <w:r>
              <w:tab/>
            </w:r>
            <w:r>
              <w:t xml:space="preserve">dringt erop aan dat de lidstaten in dit overgangsjaar, met de uitvoering van herziene regels voor economische governance, de kans krijgen om de budgettaire verantwoordelijkheid af te stemmen op duurzame groei, en merkt op dat in de begrotingsplannen voor de middellange termijn moet worden </w:t>
            </w:r>
            <w:r>
              <w:rPr>
                <w:b/>
                <w:i/>
              </w:rPr>
              <w:t>gestreefd naar evenwicht tussen schuldhoudbaarheid en sociale investeringen</w:t>
            </w:r>
            <w:r>
              <w:t xml:space="preserve"> in onderwijs, gezondheidszorg en huisvesting; benadrukt dat samenwerking tussen publieke en particuliere entiteiten van cruciaal belang is om de middelen zo goed mogelijk te gebruiken en een verstandig gebruik van overheidsmiddelen te waarborgen; is van mening dat landspecifieke aanbevelingen over de bevordering van duurzame openbare pensioenstelsels en gezondheidszorg doeltreffend moeten worden uitgevoerd en het concurrentievermogen en de welvaart op lange termijn voor alle burgers moeten stimuleren;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 punt 1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erkent dat bezuinigingsmaatregelen verwoestende gevolgen hebben gehad, en nog altijd hebben, voor de samenleving als geheel;</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is verheugd over het feit dat de nationale structurele begrotingsplannen voor de middellange termijn, op grond van het nieuwe kader voor economisch bestuur, de hervormingen en investeringen moeten omvatten die inspelen op de belangrijkste uitdagingen die in het kader van het Europees Semester, en met name in de landenspecifieke aanbevelingen, zijn vastgesteld;</w:t>
            </w:r>
            <w:r>
              <w:t xml:space="preserve"> </w:t>
            </w:r>
            <w:r>
              <w:rPr>
                <w:b/>
                <w:i/>
              </w:rPr>
              <w:t>herinnert eraan dat de lidstaten verplicht zijn uit te leggen hoe de hervormingen en investeringen zullen bijdragen tot de sociale en economische veerkracht, met inbegrip van de Europese pijler van sociale rechten, als onderdeel van de gemeenschappelijke prioriteiten van de Unie;</w:t>
            </w:r>
            <w:r>
              <w:t xml:space="preserve"> </w:t>
            </w:r>
            <w:r>
              <w:rPr>
                <w:b/>
                <w:i/>
              </w:rPr>
              <w:t>is ingenomen met het feit dat de Commissie heeft bevestigd dat alle lidstaten in hun plannen melding hebben gemaakt van hun beleidsintenties met betrekking tot hervormingen en investeringen om de in het kader van het Europees Semester vastgestelde uitdagingen en de gemeenschappelijke prioriteiten van de EU aan te pakken</w:t>
            </w:r>
            <w:r>
              <w:rPr>
                <w:b/>
                <w:i/>
                <w:vertAlign w:val="superscript"/>
              </w:rPr>
              <w:t>19 ter</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19 ter</w:t>
            </w:r>
            <w:r>
              <w:t xml:space="preserve"> </w:t>
            </w:r>
            <w:r>
              <w:rPr>
                <w:b/>
                <w:i/>
              </w:rPr>
              <w:t>Mededeling van de Commissie “Europees Semester 2025: het nieuwe kader voor economische governance gaat van start” (COM(2024) 705 final, blz.</w:t>
            </w:r>
            <w:r>
              <w:t xml:space="preserve"> </w:t>
            </w:r>
            <w:r>
              <w:rPr>
                <w:b/>
                <w:i/>
              </w:rPr>
              <w:t>4-5.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verzoekt de Commissie gegevens over herstructureringen en de gevolgen daarvan voor de werkgelegenheid in het oog te houden, bijvoorbeeld door gebruik te maken van de Europese herstructureringsmonitor, maatregelen ter ondersteuning van herstructureringen en transities op de arbeidsmarkt te bevorderen, en te overwegen nationale maatregelen ter ondersteuning van een sociaal verantwoorde manier van herstructureren in het Europees Semester onder de aandacht te brengen;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beseft hoe belangrijk publiek toezicht op publiek-private partnerschappen is, met name als het gaat om het tegengaan van de verspilling van overheidsgeld en corruptie;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ter.</w:t>
            </w:r>
            <w:r>
              <w:tab/>
            </w:r>
            <w:r>
              <w:rPr>
                <w:b/>
                <w:i/>
              </w:rPr>
              <w:t>is met name ingenomen met het voor vijf lidstaten genomen besluit om de begrotingsaanpassingsperiode te verlengen van vier tot zeven jaar, om zo meer flexibiliteit te bieden om hervormingen en investeringen door te voeren;</w:t>
            </w:r>
            <w:r>
              <w:t xml:space="preserve"> </w:t>
            </w:r>
            <w:r>
              <w:rPr>
                <w:b/>
                <w:i/>
              </w:rPr>
              <w:t>herinnert eraan dat deze verlenging wordt geschraagd door toezeggingen voor een aanvullende reeks hervormingen en investeringen in overeenstemming met de gemeenschappelijke EU-prioriteiten, zoals sociale veerkracht, en dat elk van de hervormingen en investeringen voldoende gedetailleerd, doelgericht, tijdgebonden en verifieerbaar moet zijn;</w:t>
            </w:r>
            <w:r>
              <w:t xml:space="preserve"> </w:t>
            </w:r>
            <w:r>
              <w:rPr>
                <w:b/>
                <w:i/>
              </w:rPr>
              <w:t>is verheugd over het feit dat voor verschillende lidstaten waarvoor de periode van begrotingsaanpassing is verlengd, de hervormingen verband houden met sociale veerkracht, met bijvoorbeeld plannen voor pensioenhervorming, hervorming van het socialezekerheidsstelsel of een hervorming van het visumsysteem voor werk en het zoeken naar werk;</w:t>
            </w:r>
            <w:r>
              <w:t xml:space="preserve"> </w:t>
            </w:r>
            <w:r>
              <w:rPr>
                <w:b/>
                <w:i/>
              </w:rPr>
              <w:t>benadrukt dat de voortgang op het gebied van deze hervormingen en investeringen ook aan bod moet komen in de jaarlijkse voortgangsverslagen van de lidstaten;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ter.</w:t>
            </w:r>
            <w:r>
              <w:tab/>
            </w:r>
            <w:r>
              <w:rPr>
                <w:b/>
                <w:i/>
              </w:rPr>
              <w:t>wijst erop dat publiek-private partnerschappen vaak gepaard gaan met algemeen voorkomende tekortkomingen en beperkte voordelen, zoals wordt onderstreept in een verslag van de Europese Rekenkamer uit 2018</w:t>
            </w:r>
            <w:r>
              <w:rPr>
                <w:b/>
                <w:i/>
                <w:vertAlign w:val="superscript"/>
              </w:rPr>
              <w:t>5 bis</w:t>
            </w:r>
            <w:r>
              <w:rPr>
                <w:b/>
                <w:i/>
              </w:rPr>
              <w:t>;</w:t>
            </w:r>
            <w:r>
              <w:t xml:space="preserve"> </w:t>
            </w:r>
            <w:r>
              <w:rPr>
                <w:b/>
                <w:i/>
              </w:rPr>
              <w:t>benadrukt dat er bij dergelijke partnerschappen sprake is van aanzienlijke inefficiënties in de vorm van vertragingen en grote kostenstijgingen, en dat de risicoverdeling tussen publieke en private partners vaak ongepast, onsamenhangend en ondoeltreffend is, terwijl de hoge vergoedingen voor het risicokapitaal van de private partner zelden de gedragen risico’s weerspiegelen;</w:t>
            </w:r>
            <w:r>
              <w:t xml:space="preserve"> </w:t>
            </w:r>
            <w:r>
              <w:rPr>
                <w:b/>
                <w:i/>
              </w:rPr>
              <w:t>beklemtoont dat er ten minste sprake moet zijn van publiek toezicht op publiek-private partnerschappen, met name als het gaat om het tegengaan van de verspilling van overheidsgeld en corruptie;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 bis</w:t>
            </w:r>
            <w:r>
              <w:t xml:space="preserve"> </w:t>
            </w:r>
            <w:r>
              <w:rPr>
                <w:b/>
                <w:i/>
              </w:rPr>
              <w:t>https://www.eca.europa.eu/lists/ecadocuments/sr18_09/sr_ppp_nl.pdf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ter.</w:t>
            </w:r>
            <w:r>
              <w:tab/>
            </w:r>
            <w:r>
              <w:rPr>
                <w:b/>
                <w:i/>
              </w:rPr>
              <w:t>verzoekt de Commissie de ontwikkeling van minimumlonen in de lidstaten te volgen na de omzetting van de richtlijn betreffende het minimumloon, om te beoordelen of de doelstelling van de toereikendheid van minimumlonen is behaald;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quater.</w:t>
            </w:r>
            <w:r>
              <w:tab/>
            </w:r>
            <w:r>
              <w:rPr>
                <w:b/>
                <w:i/>
              </w:rPr>
              <w:t>is bezorgd over het feit dat de naleving van de landspecifieke aanbevelingen aanhoudend laag blijven;</w:t>
            </w:r>
            <w:r>
              <w:t xml:space="preserve"> </w:t>
            </w:r>
            <w:r>
              <w:rPr>
                <w:b/>
                <w:i/>
              </w:rPr>
              <w:t>roept de lidstaten op om, in de context van het nieuwe kader voor economische governance en de daaruit voortvloeiende doelstelling om de nationale zeggenschap te vergroten, beter in te spelen op de landspecifieke aanbevelingen op het gebied van werkgelegenheid en sociaal beleid in het kader van het Europees Semester;</w:t>
            </w:r>
            <w:r>
              <w:t xml:space="preserve"> </w:t>
            </w:r>
            <w:r>
              <w:rPr>
                <w:b/>
                <w:i/>
              </w:rPr>
              <w:t>verzoekt de Commissie haar dialoog met de lidstaten over de uitvoering van de bestaande aanbevelingen en de werkgelegenheidsrichtsnoeren, alsook over de huidige of toekomstige beleidsmaatregelen om de geconstateerde uitdagingen aan te pakken, te intensiveren;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quater.</w:t>
            </w:r>
            <w:r>
              <w:tab/>
            </w:r>
            <w:r>
              <w:rPr>
                <w:b/>
                <w:i/>
              </w:rPr>
              <w:t>onderkent dat er sprake is van een crisis in verband met de kosten van levensonderhoud, die een grotere last legt op huishoudens, en van stijgende huisvestingskosten, die in de hele EU bijdragen tot hoge niveaus van energiearmoede;</w:t>
            </w:r>
            <w:r>
              <w:t xml:space="preserve"> </w:t>
            </w:r>
            <w:r>
              <w:rPr>
                <w:b/>
                <w:i/>
              </w:rPr>
              <w:t>benadrukt dat dit een historische crisis is, die deels wordt verergerd door het bezuinigingsbeleid van de EU en veel lidstaten;</w:t>
            </w:r>
            <w:r>
              <w:t xml:space="preserve"> </w:t>
            </w:r>
            <w:r>
              <w:rPr>
                <w:b/>
                <w:i/>
              </w:rPr>
              <w:t>roept de Commissie en de lidstaten daarom op om de onderliggende oorzaken van deze crisis aan te pakken door prioriteit te geven aan beleid dat economische veerkracht, sociale cohesie en duurzame ontwikkeling bevordert;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quinquies.</w:t>
            </w:r>
            <w:r>
              <w:tab/>
            </w:r>
            <w:r>
              <w:rPr>
                <w:b/>
                <w:i/>
              </w:rPr>
              <w:t>is verheugd over de vaststelling van een kader voor het opsporen van risico’s voor sociale convergentie binnen het Europees Semester, waar het Europees Parlement sterk op heeft aangedrongen;</w:t>
            </w:r>
            <w:r>
              <w:t xml:space="preserve"> </w:t>
            </w:r>
            <w:r>
              <w:rPr>
                <w:b/>
                <w:i/>
              </w:rPr>
              <w:t>herinnert eraan dat de Commissie binnen dit kader de risico’s voor opwaartse sociale convergentie in de lidstaten analyseert en toezicht houdt op de vooruitgang bij de uitvoering van de Europese pijler van sociale rechten, op basis van het sociaal scorebord en de beginselen van het kader voor sociale convergentie;</w:t>
            </w:r>
            <w:r>
              <w:t xml:space="preserve"> </w:t>
            </w:r>
            <w:r>
              <w:rPr>
                <w:b/>
                <w:i/>
              </w:rPr>
              <w:t>is verheugd dat het gezamenlijk verslag over de werkgelegenheid 2025 landspecifieke analyses biedt op basis van de beginselen van het kader voor sociale convergentie;</w:t>
            </w:r>
            <w:r>
              <w:t xml:space="preserve"> </w:t>
            </w:r>
            <w:r>
              <w:rPr>
                <w:b/>
                <w:i/>
              </w:rPr>
              <w:t>verzoekt de Commissie binnen dit nieuwe kader innovatieve kwantitatieve en kwalitatieve analyse-instrumenten te ontwikkelen om daar in de toekomstige cycli van het Europees Semester optimaal gebruik van te maken;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sexies.</w:t>
            </w:r>
            <w:r>
              <w:tab/>
            </w:r>
            <w:r>
              <w:rPr>
                <w:b/>
                <w:i/>
              </w:rPr>
              <w:t>is verheugd over het feit dat de eerste analyse op basis van de beginselen van het kader voor sociale convergentie wijst op opwaartse convergentie op de arbeidsmarkt in 2023</w:t>
            </w:r>
            <w:r>
              <w:rPr>
                <w:b/>
                <w:i/>
                <w:vertAlign w:val="superscript"/>
              </w:rPr>
              <w:t>1 bis</w:t>
            </w:r>
            <w:r>
              <w:rPr>
                <w:b/>
                <w:i/>
              </w:rPr>
              <w:t>;</w:t>
            </w:r>
            <w:r>
              <w:t xml:space="preserve"> </w:t>
            </w:r>
            <w:r>
              <w:rPr>
                <w:b/>
                <w:i/>
              </w:rPr>
              <w:t>stelt met bezorgdheid vast dat de werkgelegenheidsresultaten van ondervertegenwoordigde groepen nog steeds moeten verbeteren en dat er op Europees niveau nog steeds risico’s voor opwaartse convergentie bestaan met betrekking tot de ontwikkeling van vaardigheden, variërend van voorschools onderwijs tot een leven lang leren, en de sociale resultaten van het percentage van de bevolking dat met armoede of sociale uitsluiting wordt bedreigd;</w:t>
            </w:r>
            <w:r>
              <w:t xml:space="preserve"> </w:t>
            </w:r>
            <w:r>
              <w:rPr>
                <w:b/>
                <w:i/>
              </w:rPr>
              <w:t>verzoekt de Commissie deze risico’s voor opwaartse sociale convergentie in de tweede fase van de analyse nader te analyseren en met de betrokken lidstaten te bespreken welke maatregelen zijn genomen of gepland om deze risico’s aan te pakken;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Gezamenlijk verslag over de werkgelegenheid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is bezorgd over de herzieningen door de Commissie van het scorebord van de procedure voor macro-economische onevenwichtigheden, met name de vermindering van de werkgelegenheids- en sociale indicatoren, die van cruciaal belang zijn voor de beoordeling van de sociale situatie in de lidstaten;</w:t>
            </w:r>
          </w:p>
        </w:tc>
        <w:tc>
          <w:tcPr>
            <w:tcW w:w="4876" w:type="dxa"/>
            <w:tcBorders>
              <w:top w:val="nil"/>
              <w:left w:val="nil"/>
              <w:bottom w:val="nil"/>
              <w:right w:val="nil"/>
            </w:tcBorders>
          </w:tcPr>
          <w:p>
            <w:pPr>
              <w:pStyle w:val="Normal6a"/>
            </w:pPr>
            <w:r>
              <w:t>10.</w:t>
            </w:r>
            <w:r>
              <w:tab/>
            </w:r>
            <w:r>
              <w:t xml:space="preserve">is bezorgd over de herzieningen door de Commissie van het scorebord van de procedure voor macro-economische onevenwichtigheden, met name de vermindering van de werkgelegenheids- en sociale indicatoren, die van cruciaal belang zijn voor de beoordeling van de sociale </w:t>
            </w:r>
            <w:r>
              <w:rPr>
                <w:b/>
                <w:i/>
              </w:rPr>
              <w:t>en arbeidsmarktsituatie in de lidstaten;</w:t>
            </w:r>
            <w:r>
              <w:t xml:space="preserve"> </w:t>
            </w:r>
            <w:r>
              <w:rPr>
                <w:b/>
                <w:i/>
              </w:rPr>
              <w:t>betreurt met name dat voor het blok dat betrekking heeft op werkgelegenheid en sociale indicatoren, het jeugdwerkloosheidspercentage van hoofd- naar hulpindicator is gedaald, ondanks de zorgwekkende</w:t>
            </w:r>
            <w:r>
              <w:t xml:space="preserve"> situatie in </w:t>
            </w:r>
            <w:r>
              <w:rPr>
                <w:b/>
                <w:i/>
              </w:rPr>
              <w:t>verschillende lidstaten;</w:t>
            </w:r>
            <w:r>
              <w:t xml:space="preserve"> </w:t>
            </w:r>
            <w:r>
              <w:rPr>
                <w:b/>
                <w:i/>
              </w:rPr>
              <w:t>herinnert de Commissie aan haar plicht om nauw samen te werken met het Europees Parlement en de Raad bij het opstellen van het scorebord en de reeks van macro-economische en macrofinanciële indicatoren voor</w:t>
            </w:r>
            <w:r>
              <w:t xml:space="preserve"> de lidstaten</w:t>
            </w:r>
            <w:r>
              <w:rPr>
                <w:b/>
                <w:i/>
                <w:vertAlign w:val="superscript"/>
              </w:rPr>
              <w:t>20 bis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20 bis</w:t>
            </w:r>
            <w:r>
              <w:t xml:space="preserve"> </w:t>
            </w:r>
            <w:r>
              <w:rPr>
                <w:b/>
                <w:i/>
              </w:rPr>
              <w:t>Verordening (EU) nr. 1176/2011 betreffende de preventie en correctie van macro-economische onevenwichtigheden, overweging 12.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is bezorgd over de herzieningen door de Commissie van het scorebord van de procedure voor macro-economische onevenwichtigheden, met name de vermindering van de werkgelegenheids- en sociale indicatoren, die van cruciaal belang zijn voor de beoordeling van de sociale situatie in de lidstaten;</w:t>
            </w:r>
          </w:p>
        </w:tc>
        <w:tc>
          <w:tcPr>
            <w:tcW w:w="4876" w:type="dxa"/>
            <w:tcBorders>
              <w:top w:val="nil"/>
              <w:left w:val="nil"/>
              <w:bottom w:val="nil"/>
              <w:right w:val="nil"/>
            </w:tcBorders>
          </w:tcPr>
          <w:p>
            <w:pPr>
              <w:pStyle w:val="Normal6a"/>
            </w:pPr>
            <w:r>
              <w:t>10.</w:t>
            </w:r>
            <w:r>
              <w:tab/>
            </w:r>
            <w:r>
              <w:t xml:space="preserve">is bezorgd over de herzieningen door de Commissie van het scorebord van de procedure voor macro-economische onevenwichtigheden, met name de vermindering van de werkgelegenheids- en sociale indicatoren, die van cruciaal belang zijn voor de beoordeling van de sociale situatie in de lidstaten; </w:t>
            </w:r>
            <w:r>
              <w:rPr>
                <w:b/>
                <w:i/>
              </w:rPr>
              <w:t>betreurt dat de langdurige werkloosheid en de jeugdwerkloosheid niet langer als kernindicatoren worden beschouwd, ondanks hun relevantie voor het vaststellen en aanpakken van specifieke arbeidsmarktproblemen en voor het vaststellen van adequaat overheidsbeleid;</w:t>
            </w:r>
            <w:r>
              <w:t xml:space="preserve"> </w:t>
            </w:r>
            <w:r>
              <w:rPr>
                <w:b/>
                <w:i/>
              </w:rPr>
              <w:t>betreurt het gebrek aan symmetrie van de indicator voor het overschot op de lopende rekening in het scorebord van de procedure voor macro-economische onevenwichtigheden;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is bezorgd over de herzieningen door de Commissie van het scorebord van de procedure voor macro-economische onevenwichtigheden, met name de vermindering van de werkgelegenheids- en sociale indicatoren, die van cruciaal belang zijn voor de beoordeling van de sociale situatie in de lidstaten;</w:t>
            </w:r>
          </w:p>
        </w:tc>
        <w:tc>
          <w:tcPr>
            <w:tcW w:w="4876" w:type="dxa"/>
            <w:tcBorders>
              <w:top w:val="nil"/>
              <w:left w:val="nil"/>
              <w:bottom w:val="nil"/>
              <w:right w:val="nil"/>
            </w:tcBorders>
          </w:tcPr>
          <w:p>
            <w:pPr>
              <w:pStyle w:val="Normal6a"/>
            </w:pPr>
            <w:r>
              <w:t>10.</w:t>
            </w:r>
            <w:r>
              <w:tab/>
            </w:r>
            <w:r>
              <w:t xml:space="preserve">is bezorgd over de herzieningen door de Commissie van het scorebord van de procedure voor macro-economische onevenwichtigheden, met name de vermindering van de werkgelegenheids- en sociale indicatoren, die van cruciaal belang zijn voor de beoordeling van de sociale situatie in de lidstaten </w:t>
            </w:r>
            <w:r>
              <w:rPr>
                <w:b/>
                <w:i/>
              </w:rPr>
              <w:t>en het sturen van beleidsbeslissingen;</w:t>
            </w:r>
            <w:r>
              <w:t xml:space="preserve"> </w:t>
            </w:r>
            <w:r>
              <w:rPr>
                <w:b/>
                <w:i/>
              </w:rPr>
              <w:t>benadrukt dat sociale veerkracht en de toepassing van de beginselen van de Europese pijler van sociale rechten deel moeten uitmaken van het scorebord;</w:t>
            </w:r>
            <w:r>
              <w:t xml:space="preserve"> </w:t>
            </w:r>
            <w:r>
              <w:rPr>
                <w:b/>
                <w:i/>
              </w:rPr>
              <w:t>verzoekt de lidstaten het begrotingsbeleid af te stemmen op sociale investeringsprioriteiten, in lijn met het nieuwe kader voor economische governance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is bezorgd over de herzieningen door de Commissie van het scorebord van de procedure voor macro-economische onevenwichtigheden, met name de vermindering van de werkgelegenheids- en sociale indicatoren, die van cruciaal belang zijn voor de beoordeling van de sociale situatie in de lidstaten;</w:t>
            </w:r>
          </w:p>
        </w:tc>
        <w:tc>
          <w:tcPr>
            <w:tcW w:w="4876" w:type="dxa"/>
            <w:tcBorders>
              <w:top w:val="nil"/>
              <w:left w:val="nil"/>
              <w:bottom w:val="nil"/>
              <w:right w:val="nil"/>
            </w:tcBorders>
          </w:tcPr>
          <w:p>
            <w:pPr>
              <w:pStyle w:val="Normal6a"/>
            </w:pPr>
            <w:r>
              <w:t>10.</w:t>
            </w:r>
            <w:r>
              <w:tab/>
            </w:r>
            <w:r>
              <w:t xml:space="preserve">is bezorgd over de herzieningen door de Commissie van het scorebord van de procedure voor macro-economische onevenwichtigheden, met name de vermindering van de werkgelegenheids- en sociale indicatoren, die van cruciaal belang zijn voor de beoordeling van de sociale situatie in de lidstaten; </w:t>
            </w:r>
            <w:r>
              <w:rPr>
                <w:b/>
                <w:i/>
              </w:rPr>
              <w:t>benadrukt dat de levensstandaard in het besluitvormingsproces gelijkgesteld moet worden aan traditionele economische indicatoren;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is bezorgd over de herzieningen door de Commissie van het scorebord van de procedure voor macro-economische onevenwichtigheden, met name de vermindering van de werkgelegenheids- en sociale indicatoren, die van cruciaal belang zijn voor de beoordeling van de sociale situatie in de lidstaten;</w:t>
            </w:r>
          </w:p>
        </w:tc>
        <w:tc>
          <w:tcPr>
            <w:tcW w:w="4876" w:type="dxa"/>
            <w:tcBorders>
              <w:top w:val="nil"/>
              <w:left w:val="nil"/>
              <w:bottom w:val="nil"/>
              <w:right w:val="nil"/>
            </w:tcBorders>
          </w:tcPr>
          <w:p>
            <w:pPr>
              <w:pStyle w:val="Normal6a"/>
            </w:pPr>
            <w:r>
              <w:t>10.</w:t>
            </w:r>
            <w:r>
              <w:tab/>
            </w:r>
            <w:r>
              <w:t xml:space="preserve">is bezorgd over de herzieningen door de Commissie van het scorebord van de procedure voor macro-economische onevenwichtigheden, met name de vermindering van de werkgelegenheids- en sociale indicatoren, die van cruciaal belang zijn voor de beoordeling </w:t>
            </w:r>
            <w:r>
              <w:rPr>
                <w:b/>
                <w:i/>
              </w:rPr>
              <w:t>en verbetering</w:t>
            </w:r>
            <w:r>
              <w:t xml:space="preserve"> van de sociale situatie in de lidstaten;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is bezorgd over</w:t>
            </w:r>
            <w:r>
              <w:t xml:space="preserve"> de herzieningen door de Commissie van het scorebord van de procedure voor macro-economische onevenwichtigheden, met name de vermindering van de werkgelegenheids- en sociale indicatoren, die van cruciaal belang zijn voor de beoordeling van de sociale situatie in de lidstaten;</w:t>
            </w:r>
          </w:p>
        </w:tc>
        <w:tc>
          <w:tcPr>
            <w:tcW w:w="4876" w:type="dxa"/>
            <w:tcBorders>
              <w:top w:val="nil"/>
              <w:left w:val="nil"/>
              <w:bottom w:val="nil"/>
              <w:right w:val="nil"/>
            </w:tcBorders>
          </w:tcPr>
          <w:p>
            <w:pPr>
              <w:pStyle w:val="Normal6a"/>
            </w:pPr>
            <w:r>
              <w:t>10.</w:t>
            </w:r>
            <w:r>
              <w:tab/>
            </w:r>
            <w:r>
              <w:rPr>
                <w:b/>
                <w:i/>
              </w:rPr>
              <w:t>neemt kennis van</w:t>
            </w:r>
            <w:r>
              <w:t xml:space="preserve"> de herzieningen door de Commissie van het scorebord van de procedure voor macro-economische onevenwichtigheden, met name de vermindering van de werkgelegenheids- en sociale indicatoren, die van cruciaal belang zijn voor de beoordeling van de sociale situatie in de lidstaten;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is van mening dat de voortdurende begrotingsconsolidatie van de nationale begrotingen, bij gebrek aan een door de EU gefinancierde stabilisator van de uitgaven voor sociale investeringen en sociale uitgaven, ten koste zal gaan van de sociale doelstellingen van de economische governance, namelijk het scheppen van hoogwaardige banen, de bescherming van werknemers die betrokken zijn bij overgangen op de arbeidsmarkt, en de aanpassing van de socialezekerheids- en socialebeschermingsstelsels aan de demografische trends;</w:t>
            </w:r>
            <w:r>
              <w:t xml:space="preserve"> </w:t>
            </w:r>
            <w:r>
              <w:rPr>
                <w:b/>
                <w:i/>
              </w:rPr>
              <w:t>is van mening dat territoriale en sociale cohesie essentiële onderdelen zijn van de agenda voor het concurrentievermogen en dat faciliteiten zoals het Europees instrument voor tijdelijke steun om het risico op werkloosheid te beperken in een noodtoestand (SURE) een positief voorbeeld blijven dat als inspiratiebron kan dienen voor toekomstige EU-initiatieven;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is van mening dat de Commissie en de lidstaten ervoor moeten zorgen dat het begrotingsbeleid in het kader van het Europees Semester investeringen ondersteunt die zijn afgestemd op de Europese pijler van sociale rechten, met name op gebieden als fatsoenlijke en betaalbare huisvesting, hoogwaardige gezondheidszorg, onderwijs en socialebeschermingsstelsels, aangezien deze van cruciaal belang zijn voor de sociale cohesie en economische duurzaamheid op de lange termijn en voor het aanpakken van de uitdagingen die zijn vastgesteld aan de hand van sociale indicatoren;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ter.</w:t>
            </w:r>
            <w:r>
              <w:tab/>
            </w:r>
            <w:r>
              <w:rPr>
                <w:b/>
                <w:i/>
              </w:rPr>
              <w:t>betreurt dat de Commissie het Europees Parlement niet heeft geraadpleegd over de door haar geplande wijzigingen van het scorebord van de procedure voor macro-economische onevenwichtigheden, terwijl die wijzigingen wel zijn besproken met de Raad;</w:t>
            </w:r>
            <w:r>
              <w:t xml:space="preserve"> </w:t>
            </w:r>
            <w:r>
              <w:rPr>
                <w:b/>
                <w:i/>
              </w:rPr>
              <w:t>betreurt ten zeerste dat de Raad en het Europees Parlement niet op gelijke voet zijn behandeld;</w:t>
            </w:r>
            <w:r>
              <w:t xml:space="preserve"> </w:t>
            </w:r>
            <w:r>
              <w:rPr>
                <w:b/>
                <w:i/>
              </w:rPr>
              <w:t>verzoekt de Commissie met klem het Europees Parlement naar behoren te raadplegen voordat zij verdere wijzigingen doorvoert;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r>
        <w:rPr>
          <w:rStyle w:val="HideTWBExt"/>
          <w:b w:val="0"/>
        </w:rPr>
        <w:t>&lt;AuNomDe&gt;</w:t>
      </w:r>
      <w:r>
        <w:rPr>
          <w:rStyle w:val="HideTWBInt"/>
        </w:rPr>
        <w:t>{Greens/EFA}</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benadrukt dat de belangrijkste uitdagingen die in het </w:t>
            </w:r>
            <w:r>
              <w:rPr>
                <w:b/>
                <w:i/>
              </w:rPr>
              <w:t>Social Scoreboard</w:t>
            </w:r>
            <w:r>
              <w:t xml:space="preserve"> als “critical” en “to be monitored” zijn aangemerkt, moeten worden aangepakt, met inbegrip van kinderopvang, de arbeidsparticipatiekloof tussen personen met en zonder handicap, het effect van sociale overdrachten op het terugdringen van armoede, en digitale basisvaardigheden</w:t>
            </w:r>
            <w:r>
              <w:rPr>
                <w:vertAlign w:val="superscript"/>
              </w:rPr>
              <w:t>3</w:t>
            </w:r>
            <w:r>
              <w:t>;</w:t>
            </w:r>
          </w:p>
        </w:tc>
        <w:tc>
          <w:tcPr>
            <w:tcW w:w="4876" w:type="dxa"/>
            <w:tcBorders>
              <w:top w:val="nil"/>
              <w:left w:val="nil"/>
              <w:bottom w:val="nil"/>
              <w:right w:val="nil"/>
            </w:tcBorders>
          </w:tcPr>
          <w:p>
            <w:pPr>
              <w:pStyle w:val="Normal6a"/>
            </w:pPr>
            <w:r>
              <w:t>11.</w:t>
            </w:r>
            <w:r>
              <w:tab/>
            </w:r>
            <w:r>
              <w:t xml:space="preserve">benadrukt dat de belangrijkste uitdagingen die in het </w:t>
            </w:r>
            <w:r>
              <w:rPr>
                <w:b/>
                <w:i/>
              </w:rPr>
              <w:t>sociaal scorebord</w:t>
            </w:r>
            <w:r>
              <w:t xml:space="preserve"> als “critical” en “to be monitored” zijn aangemerkt, moeten worden aangepakt, met inbegrip van kinderopvang, de arbeidsparticipatiekloof tussen personen met en zonder handicap, het effect van sociale overdrachten op het terugdringen van armoede, en digitale basisvaardigheden</w:t>
            </w:r>
            <w:r>
              <w:rPr>
                <w:vertAlign w:val="superscript"/>
              </w:rPr>
              <w:t>3</w:t>
            </w:r>
            <w:r>
              <w:t xml:space="preserve">; </w:t>
            </w:r>
            <w:r>
              <w:rPr>
                <w:b/>
                <w:i/>
              </w:rPr>
              <w:t>wijst erop dat dergelijke uitdagingen moeten worden aangepakt op een manier waarbij dankbaar gebruik wordt gemaakt van de bijdrage van de sociale partners, die intensiever moeten deelnemen aan de uitvoering van het sociale convergentiekader, in overeenstemming met de gezamenlijke verklaring van het EVV, SGIEurope en SMEUnited over een feitelijke en materiële betrokkenheid van de sociale partners bij de economische governance en het Europees Semester;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Voorstel van de Commissie voor een gezamenlijk verslag over de werkgelegenheid van de Commissie en de Raad (COM(2023)0904).</w:t>
            </w:r>
          </w:p>
        </w:tc>
        <w:tc>
          <w:tcPr>
            <w:tcW w:w="4876" w:type="dxa"/>
            <w:tcBorders>
              <w:top w:val="nil"/>
              <w:left w:val="nil"/>
              <w:bottom w:val="nil"/>
              <w:right w:val="nil"/>
            </w:tcBorders>
          </w:tcPr>
          <w:p>
            <w:pPr>
              <w:pStyle w:val="Normal6a"/>
            </w:pPr>
            <w:r>
              <w:rPr>
                <w:vertAlign w:val="superscript"/>
              </w:rPr>
              <w:t>3</w:t>
            </w:r>
            <w:r>
              <w:t xml:space="preserve"> </w:t>
            </w:r>
            <w:r>
              <w:t>Voorstel van de Commissie voor een gezamenlijk verslag over de werkgelegenheid van de Commissie en de Raad (COM(2023)0904).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benadrukt dat de belangrijkste uitdagingen die in het </w:t>
            </w:r>
            <w:r>
              <w:rPr>
                <w:b/>
                <w:i/>
              </w:rPr>
              <w:t>Social Scoreboard</w:t>
            </w:r>
            <w:r>
              <w:t xml:space="preserve"> als “critical” en “to be monitored” zijn aangemerkt, moeten worden aangepakt, met inbegrip van kinderopvang, de arbeidsparticipatiekloof tussen personen met en zonder handicap, het effect van sociale overdrachten op het terugdringen van armoede, </w:t>
            </w:r>
            <w:r>
              <w:rPr>
                <w:b/>
                <w:i/>
              </w:rPr>
              <w:t>en</w:t>
            </w:r>
            <w:r>
              <w:t xml:space="preserve"> digitale basisvaardigheden</w:t>
            </w:r>
            <w:r>
              <w:rPr>
                <w:vertAlign w:val="superscript"/>
              </w:rPr>
              <w:t>3</w:t>
            </w:r>
            <w:r>
              <w:t>;</w:t>
            </w:r>
          </w:p>
        </w:tc>
        <w:tc>
          <w:tcPr>
            <w:tcW w:w="4876" w:type="dxa"/>
            <w:tcBorders>
              <w:top w:val="nil"/>
              <w:left w:val="nil"/>
              <w:bottom w:val="nil"/>
              <w:right w:val="nil"/>
            </w:tcBorders>
          </w:tcPr>
          <w:p>
            <w:pPr>
              <w:pStyle w:val="Normal6a"/>
            </w:pPr>
            <w:r>
              <w:t>11.</w:t>
            </w:r>
            <w:r>
              <w:tab/>
            </w:r>
            <w:r>
              <w:t xml:space="preserve">benadrukt dat de belangrijkste uitdagingen die in het </w:t>
            </w:r>
            <w:r>
              <w:rPr>
                <w:b/>
                <w:i/>
              </w:rPr>
              <w:t>sociaal scorebord</w:t>
            </w:r>
            <w:r>
              <w:t xml:space="preserve"> als “critical” en “to be monitored” zijn aangemerkt, moeten worden aangepakt, met inbegrip van kinderopvang </w:t>
            </w:r>
            <w:r>
              <w:rPr>
                <w:b/>
                <w:i/>
              </w:rPr>
              <w:t>en langdurige zorg</w:t>
            </w:r>
            <w:r>
              <w:t>, de arbeidsparticipatiekloof tussen personen met en zonder handicap, het effect van sociale overdrachten op het terugdringen van armoede, digitale basisvaardigheden</w:t>
            </w:r>
            <w:r>
              <w:rPr>
                <w:vertAlign w:val="superscript"/>
              </w:rPr>
              <w:t>3</w:t>
            </w:r>
            <w:r>
              <w:rPr>
                <w:b/>
                <w:i/>
              </w:rPr>
              <w:t>, met name voor kwetsbare groepen zoals jongeren en ouderen, mensen met een handicap en migranten</w:t>
            </w:r>
            <w:r>
              <w:rPr>
                <w:b/>
                <w:i/>
                <w:vertAlign w:val="superscript"/>
              </w:rPr>
              <w:t>5 bis</w:t>
            </w:r>
            <w:r>
              <w:rPr>
                <w:b/>
                <w:i/>
              </w:rPr>
              <w:t>, toegang tot huisvesting, armoede onder kinderen en toegang tot gezondheidszorg</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Voorstel van de Commissie voor een gezamenlijk verslag over de werkgelegenheid van de Commissie en de Raad (COM(2023)0904).</w:t>
            </w:r>
          </w:p>
        </w:tc>
        <w:tc>
          <w:tcPr>
            <w:tcW w:w="4876" w:type="dxa"/>
            <w:tcBorders>
              <w:top w:val="nil"/>
              <w:left w:val="nil"/>
              <w:bottom w:val="nil"/>
              <w:right w:val="nil"/>
            </w:tcBorders>
          </w:tcPr>
          <w:p>
            <w:pPr>
              <w:pStyle w:val="Normal6a"/>
            </w:pPr>
            <w:r>
              <w:rPr>
                <w:vertAlign w:val="superscript"/>
              </w:rPr>
              <w:t>3</w:t>
            </w:r>
            <w:r>
              <w:t xml:space="preserve"> </w:t>
            </w:r>
            <w:r>
              <w:t>Voorstel van de Commissie voor een gezamenlijk verslag over de werkgelegenheid van de Commissie en de Raad (COM(2023)0904).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 bis</w:t>
            </w:r>
            <w:r>
              <w:t xml:space="preserve"> </w:t>
            </w:r>
            <w:r>
              <w:rPr>
                <w:b/>
                <w:i/>
              </w:rPr>
              <w:t>Voorstel van de Commissie voor een gezamenlijk verslag over de werkgelegenheid van de Commissie en de Raad (COM(2023)0904).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benadrukt dat de belangrijkste uitdagingen die in het </w:t>
            </w:r>
            <w:r>
              <w:rPr>
                <w:b/>
                <w:i/>
              </w:rPr>
              <w:t>Social Scoreboard</w:t>
            </w:r>
            <w:r>
              <w:t xml:space="preserve"> als “critical” en “to </w:t>
            </w:r>
            <w:r>
              <w:rPr>
                <w:b/>
                <w:i/>
              </w:rPr>
              <w:t>be monitored</w:t>
            </w:r>
            <w:r>
              <w:t>” zijn aangemerkt, moeten worden aangepakt, met inbegrip van kinderopvang, de arbeidsparticipatiekloof tussen personen met en zonder handicap, het effect van sociale overdrachten op het terugdringen van armoede, en digitale basisvaardigheden</w:t>
            </w:r>
            <w:r>
              <w:rPr>
                <w:vertAlign w:val="superscript"/>
              </w:rPr>
              <w:t>3</w:t>
            </w:r>
            <w:r>
              <w:t>;</w:t>
            </w:r>
          </w:p>
        </w:tc>
        <w:tc>
          <w:tcPr>
            <w:tcW w:w="4876" w:type="dxa"/>
            <w:tcBorders>
              <w:top w:val="nil"/>
              <w:left w:val="nil"/>
              <w:bottom w:val="nil"/>
              <w:right w:val="nil"/>
            </w:tcBorders>
          </w:tcPr>
          <w:p>
            <w:pPr>
              <w:pStyle w:val="Normal6a"/>
            </w:pPr>
            <w:r>
              <w:t>11.</w:t>
            </w:r>
            <w:r>
              <w:tab/>
            </w:r>
            <w:r>
              <w:t xml:space="preserve">benadrukt dat de belangrijkste uitdagingen die in het </w:t>
            </w:r>
            <w:r>
              <w:rPr>
                <w:b/>
                <w:i/>
              </w:rPr>
              <w:t>sociaal scorebord</w:t>
            </w:r>
            <w:r>
              <w:t xml:space="preserve"> als “critical” en “to </w:t>
            </w:r>
            <w:r>
              <w:rPr>
                <w:b/>
                <w:i/>
              </w:rPr>
              <w:t>watch</w:t>
            </w:r>
            <w:r>
              <w:t xml:space="preserve">” zijn aangemerkt, moeten worden aangepakt, met inbegrip van </w:t>
            </w:r>
            <w:r>
              <w:rPr>
                <w:b/>
                <w:i/>
              </w:rPr>
              <w:t>kinderen die met armoede of sociale uitsluiting worden bedreigd,</w:t>
            </w:r>
            <w:r>
              <w:t xml:space="preserve"> kinderopvang, de arbeidsparticipatiekloof tussen personen met en zonder handicap</w:t>
            </w:r>
            <w:r>
              <w:rPr>
                <w:b/>
                <w:i/>
              </w:rPr>
              <w:t>, de arbeidsparticipatiekloof tussen mannen en vrouwen, bovenmatig hoge woonlasten</w:t>
            </w:r>
            <w:r>
              <w:t>, het effect van sociale overdrachten op het terugdringen van armoede, en digitale basisvaardigheden</w:t>
            </w:r>
            <w:r>
              <w:rPr>
                <w:vertAlign w:val="superscript"/>
              </w:rPr>
              <w:t>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Voorstel van de Commissie voor een gezamenlijk verslag over de werkgelegenheid van de Commissie en de Raad (COM(2023)0904).</w:t>
            </w:r>
          </w:p>
        </w:tc>
        <w:tc>
          <w:tcPr>
            <w:tcW w:w="4876" w:type="dxa"/>
            <w:tcBorders>
              <w:top w:val="nil"/>
              <w:left w:val="nil"/>
              <w:bottom w:val="nil"/>
              <w:right w:val="nil"/>
            </w:tcBorders>
          </w:tcPr>
          <w:p>
            <w:pPr>
              <w:pStyle w:val="Normal6a"/>
            </w:pPr>
            <w:r>
              <w:rPr>
                <w:vertAlign w:val="superscript"/>
              </w:rPr>
              <w:t>3</w:t>
            </w:r>
            <w:r>
              <w:t xml:space="preserve"> </w:t>
            </w:r>
            <w:r>
              <w:t>Voorstel van de Commissie voor een gezamenlijk verslag over de werkgelegenheid van de Commissie en de Raad (COM(2023)0904).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benadrukt dat de belangrijkste uitdagingen die in het Social Scoreboard als “critical” en “to be monitored” zijn aangemerkt, moeten worden aangepakt, met inbegrip van kinderopvang</w:t>
            </w:r>
            <w:r>
              <w:t xml:space="preserve">, de arbeidsparticipatiekloof </w:t>
            </w:r>
            <w:r>
              <w:rPr>
                <w:b/>
                <w:i/>
              </w:rPr>
              <w:t>tussen personen met en zonder handicap, het effect van sociale overdrachten op het terugdringen van armoede,</w:t>
            </w:r>
            <w:r>
              <w:t xml:space="preserve"> en digitale basisvaardigheden</w:t>
            </w:r>
            <w:r>
              <w:rPr>
                <w:vertAlign w:val="superscript"/>
              </w:rPr>
              <w:t>3</w:t>
            </w:r>
            <w:r>
              <w:t>;</w:t>
            </w:r>
          </w:p>
        </w:tc>
        <w:tc>
          <w:tcPr>
            <w:tcW w:w="4876" w:type="dxa"/>
            <w:tcBorders>
              <w:top w:val="nil"/>
              <w:left w:val="nil"/>
              <w:bottom w:val="nil"/>
              <w:right w:val="nil"/>
            </w:tcBorders>
          </w:tcPr>
          <w:p>
            <w:pPr>
              <w:pStyle w:val="Normal6a"/>
            </w:pPr>
            <w:r>
              <w:t>11.</w:t>
            </w:r>
            <w:r>
              <w:tab/>
            </w:r>
            <w:r>
              <w:rPr>
                <w:b/>
                <w:i/>
              </w:rPr>
              <w:t>verzoekt de lidstaten verdere stappen te nemen om te voorzien in opvang voor jonge kinderen</w:t>
            </w:r>
            <w:r>
              <w:t xml:space="preserve">, de arbeidsparticipatiekloof </w:t>
            </w:r>
            <w:r>
              <w:rPr>
                <w:b/>
                <w:i/>
              </w:rPr>
              <w:t>te verkleinen, armoede terug te dringen</w:t>
            </w:r>
            <w:r>
              <w:t xml:space="preserve"> en digitale basisvaardigheden </w:t>
            </w:r>
            <w:r>
              <w:rPr>
                <w:b/>
                <w:i/>
              </w:rPr>
              <w:t>te bevorderen</w:t>
            </w:r>
            <w:r>
              <w:rPr>
                <w:vertAlign w:val="superscript"/>
              </w:rPr>
              <w:t>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Voorstel van de Commissie voor een gezamenlijk verslag over de werkgelegenheid van de Commissie en de Raad (COM(2023)0904).</w:t>
            </w:r>
          </w:p>
        </w:tc>
        <w:tc>
          <w:tcPr>
            <w:tcW w:w="4876" w:type="dxa"/>
            <w:tcBorders>
              <w:top w:val="nil"/>
              <w:left w:val="nil"/>
              <w:bottom w:val="nil"/>
              <w:right w:val="nil"/>
            </w:tcBorders>
          </w:tcPr>
          <w:p>
            <w:pPr>
              <w:pStyle w:val="Normal6a"/>
            </w:pPr>
            <w:r>
              <w:rPr>
                <w:vertAlign w:val="superscript"/>
              </w:rPr>
              <w:t>3</w:t>
            </w:r>
            <w:r>
              <w:t xml:space="preserve"> </w:t>
            </w:r>
            <w:r>
              <w:t>Voorstel van de Commissie voor een gezamenlijk verslag over de werkgelegenheid van de Commissie en de Raad (COM(2023)0904).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wijst met klem op de negatieve gevolgen die de crisis in verband met de kosten van levensonderhoud heeft gehad voor mensen met een handicap;</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ter.</w:t>
            </w:r>
            <w:r>
              <w:tab/>
            </w:r>
            <w:r>
              <w:rPr>
                <w:b/>
                <w:i/>
              </w:rPr>
              <w:t>verzoekt de lidstaten en de Commissie armoede actiever te bestrijden;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quater.</w:t>
            </w:r>
            <w:r>
              <w:tab/>
            </w:r>
            <w:r>
              <w:rPr>
                <w:b/>
                <w:i/>
              </w:rPr>
              <w:t>roept de lidstaten op de problemen van werkende armen aan te pakken; erkent dat een aanzienlijk deel van de beroepsbevolking in de EU weliswaar een baan heeft maar toch in armoede leeft;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quinquies.</w:t>
            </w:r>
            <w:r>
              <w:tab/>
            </w:r>
            <w:r>
              <w:rPr>
                <w:b/>
                <w:i/>
              </w:rPr>
              <w:t>verzoekt de lidstaten met klem zich te buigen over krachtige beleidsmaatregelen voor eerlijke lonen en betere arbeidsomstandigheden, met name voor werknemers met een laag inkomen en een onzeker dienstverband;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Kathleen Funchion, 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sexies.</w:t>
            </w:r>
            <w:r>
              <w:tab/>
            </w:r>
            <w:r>
              <w:rPr>
                <w:b/>
                <w:i/>
              </w:rPr>
              <w:t>verzoekt de lidstaten de sociale vangnetten te versterken om passende steun te bieden aan degenen van wie het beroepsinkomen onvoldoende is om in de basiskosten van levensonderhoud te voorzien;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Pál Szekeres,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dringt </w:t>
            </w:r>
            <w:r>
              <w:rPr>
                <w:b/>
                <w:i/>
              </w:rPr>
              <w:t>aan op verbeteringen van het Social Scoreboard door de invoering van indicatoren die trends en oorzaken van ongelijkheid weerspiegelen, zoals hoogwaardige werkgelegenheid, welvaartsverdeling, toegang tot openbare diensten</w:t>
            </w:r>
            <w:r>
              <w:t>, toereikende pensioenen</w:t>
            </w:r>
            <w:r>
              <w:rPr>
                <w:b/>
                <w:i/>
              </w:rPr>
              <w:t>,</w:t>
            </w:r>
            <w:r>
              <w:t xml:space="preserve"> geestelijke gezondheid </w:t>
            </w:r>
            <w:r>
              <w:rPr>
                <w:b/>
                <w:i/>
              </w:rPr>
              <w:t>en werkloosheid</w:t>
            </w:r>
            <w:r>
              <w:t>; herinnert eraan dat de indicator voor het risico op armoede of sociale uitsluiting (Arope) de oorzaken van complexe ongelijkheid niet aan het licht brengt;</w:t>
            </w:r>
          </w:p>
        </w:tc>
        <w:tc>
          <w:tcPr>
            <w:tcW w:w="4876" w:type="dxa"/>
            <w:tcBorders>
              <w:top w:val="nil"/>
              <w:left w:val="nil"/>
              <w:bottom w:val="nil"/>
              <w:right w:val="nil"/>
            </w:tcBorders>
          </w:tcPr>
          <w:p>
            <w:pPr>
              <w:pStyle w:val="Normal6a"/>
            </w:pPr>
            <w:r>
              <w:t>12.</w:t>
            </w:r>
            <w:r>
              <w:tab/>
            </w:r>
            <w:r>
              <w:t xml:space="preserve">dringt </w:t>
            </w:r>
            <w:r>
              <w:rPr>
                <w:b/>
                <w:i/>
              </w:rPr>
              <w:t>er bij de lidstaten op aan opwaartse sociale convergentie te bevorderen, de toegang tot hoogwaardige werkgelegenheid en openbare diensten te verbeteren en de deelname van kinderen onder de drie jaar aan formele kinderopvang verder te verhogen, met name voor kwetsbare groepen;</w:t>
            </w:r>
            <w:r>
              <w:t xml:space="preserve"> </w:t>
            </w:r>
            <w:r>
              <w:rPr>
                <w:b/>
                <w:i/>
              </w:rPr>
              <w:t>verzoekt de lidstaten eveneens actieve maatregelen te nemen om voortijdig schoolverlaten en jeugdwerkloosheid terug te dringen</w:t>
            </w:r>
            <w:r>
              <w:t xml:space="preserve">, toereikende pensioenen </w:t>
            </w:r>
            <w:r>
              <w:rPr>
                <w:b/>
                <w:i/>
              </w:rPr>
              <w:t>te garanderen, sociale overdrachten doeltreffender te maken en de</w:t>
            </w:r>
            <w:r>
              <w:t xml:space="preserve"> geestelijke gezondheid </w:t>
            </w:r>
            <w:r>
              <w:rPr>
                <w:b/>
                <w:i/>
              </w:rPr>
              <w:t>in alle leeftijdscategorieën te bevorderen</w:t>
            </w:r>
            <w:r>
              <w:t>; herinnert eraan dat de indicator voor het risico op armoede of sociale uitsluiting (Arope) de oorzaken van complexe ongelijkheid niet aan het licht brengt</w:t>
            </w:r>
            <w:r>
              <w:rPr>
                <w:b/>
                <w:i/>
              </w:rPr>
              <w:t>, maar stelt vast dat het aantal mensen in de EU dat het risico loopt op armoede of sociale uitsluiting in 2023 licht is afgenomen dankzij doortastende beleidsmaatregelen om de negatieve sociale effecten van de hoge kosten van levensonderhoud te beperken, en dringt aan op passende maatregelen om armoede en sociale uitsluiting, met name onder kinderen, verder terug te dringen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Idoia Mendia, Isilda Gomes, Alicia Homs Ginel, Marc Angel, Romana Jerković,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dringt </w:t>
            </w:r>
            <w:r>
              <w:rPr>
                <w:b/>
                <w:i/>
              </w:rPr>
              <w:t>aan op verbeteringen van het Social Scoreboard door de invoering van indicatoren</w:t>
            </w:r>
            <w:r>
              <w:t xml:space="preserve"> die trends en oorzaken van ongelijkheid </w:t>
            </w:r>
            <w:r>
              <w:rPr>
                <w:b/>
                <w:i/>
              </w:rPr>
              <w:t>weerspiegelen</w:t>
            </w:r>
            <w:r>
              <w:t xml:space="preserve">, zoals hoogwaardige werkgelegenheid, welvaartsverdeling, toegang tot openbare diensten, toereikende pensioenen, geestelijke gezondheid en </w:t>
            </w:r>
            <w:r>
              <w:rPr>
                <w:b/>
                <w:i/>
              </w:rPr>
              <w:t>werkloosheid</w:t>
            </w:r>
            <w:r>
              <w:t>; herinnert eraan dat de indicator voor het risico op armoede of sociale uitsluiting (Arope) de oorzaken van complexe ongelijkheid niet aan het licht brengt;</w:t>
            </w:r>
          </w:p>
        </w:tc>
        <w:tc>
          <w:tcPr>
            <w:tcW w:w="4876" w:type="dxa"/>
            <w:tcBorders>
              <w:top w:val="nil"/>
              <w:left w:val="nil"/>
              <w:bottom w:val="nil"/>
              <w:right w:val="nil"/>
            </w:tcBorders>
          </w:tcPr>
          <w:p>
            <w:pPr>
              <w:pStyle w:val="Normal6a"/>
            </w:pPr>
            <w:r>
              <w:t>12.</w:t>
            </w:r>
            <w:r>
              <w:tab/>
            </w:r>
            <w:r>
              <w:t xml:space="preserve">dringt </w:t>
            </w:r>
            <w:r>
              <w:rPr>
                <w:b/>
                <w:i/>
              </w:rPr>
              <w:t>erop aan het sociaal scorebord te verbeteren door er relevante indicatoren in op te nemen</w:t>
            </w:r>
            <w:r>
              <w:t xml:space="preserve"> die trends en oorzaken van ongelijkheid </w:t>
            </w:r>
            <w:r>
              <w:rPr>
                <w:b/>
                <w:i/>
              </w:rPr>
              <w:t>weergeven</w:t>
            </w:r>
            <w:r>
              <w:t xml:space="preserve">, zoals </w:t>
            </w:r>
            <w:r>
              <w:rPr>
                <w:b/>
                <w:i/>
              </w:rPr>
              <w:t>indicatoren voor gelijke kansen,</w:t>
            </w:r>
            <w:r>
              <w:t xml:space="preserve"> hoogwaardige werkgelegenheid, welvaartsverdeling, toegang tot openbare diensten, </w:t>
            </w:r>
            <w:r>
              <w:rPr>
                <w:b/>
                <w:i/>
              </w:rPr>
              <w:t>de dekkingsgraad van sociale diensten, met inbegrip van energie, water en sanitaire voorzieningen, zorgdiensten,</w:t>
            </w:r>
            <w:r>
              <w:t xml:space="preserve"> toereikende pensioenen, </w:t>
            </w:r>
            <w:r>
              <w:rPr>
                <w:b/>
                <w:i/>
              </w:rPr>
              <w:t>het dakloosheidspercentage,</w:t>
            </w:r>
            <w:r>
              <w:t xml:space="preserve"> geestelijke gezondheid en </w:t>
            </w:r>
            <w:r>
              <w:rPr>
                <w:b/>
                <w:i/>
              </w:rPr>
              <w:t>werkloosheidsuitkeringen alsook indicatoren voor het meten van de sociale gevolgen van de klimaatverandering en de aantasting van het milieu;</w:t>
            </w:r>
            <w:r>
              <w:t xml:space="preserve"> </w:t>
            </w:r>
            <w:r>
              <w:rPr>
                <w:b/>
                <w:i/>
              </w:rPr>
              <w:t>benadrukt dat er indicatoren moeten worden opgenomen voor het meten van de dekkingsgraad van en de uitgaven voor sociale diensten</w:t>
            </w:r>
            <w:r>
              <w:t>; herinnert eraan dat de indicator voor het risico op armoede of sociale uitsluiting (Arope) de oorzaken van complexe ongelijkheid niet aan het licht brengt;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dringt </w:t>
            </w:r>
            <w:r>
              <w:rPr>
                <w:b/>
                <w:i/>
              </w:rPr>
              <w:t>aan op verbeteringen van het Social Scoreboard door de invoering van</w:t>
            </w:r>
            <w:r>
              <w:t xml:space="preserve"> indicatoren die trends en oorzaken van ongelijkheid weerspiegelen, zoals hoogwaardige werkgelegenheid, welvaartsverdeling, toegang tot openbare diensten, toereikende pensioenen, geestelijke gezondheid en werkloosheid; herinnert eraan dat de indicator voor het risico op armoede of sociale uitsluiting (Arope) de oorzaken van complexe ongelijkheid niet aan het licht brengt;</w:t>
            </w:r>
          </w:p>
        </w:tc>
        <w:tc>
          <w:tcPr>
            <w:tcW w:w="4876" w:type="dxa"/>
            <w:tcBorders>
              <w:top w:val="nil"/>
              <w:left w:val="nil"/>
              <w:bottom w:val="nil"/>
              <w:right w:val="nil"/>
            </w:tcBorders>
          </w:tcPr>
          <w:p>
            <w:pPr>
              <w:pStyle w:val="Normal6a"/>
            </w:pPr>
            <w:r>
              <w:t>12.</w:t>
            </w:r>
            <w:r>
              <w:tab/>
            </w:r>
            <w:r>
              <w:rPr>
                <w:b/>
                <w:i/>
              </w:rPr>
              <w:t>benadrukt dat er behoefte is aan tijdige en geharmoniseerde gegevens over sociaal beleid om empirisch onderbouwde beleidsvorming en gerichte sociale investeringen te verbeteren;</w:t>
            </w:r>
            <w:r>
              <w:t xml:space="preserve"> dringt </w:t>
            </w:r>
            <w:r>
              <w:rPr>
                <w:b/>
                <w:i/>
              </w:rPr>
              <w:t>erop aan het sociaal scorebord zodanig te verbeteren dat het de twintig beginselen van de Europese pijler van sociale rechten bestrijkt, door</w:t>
            </w:r>
            <w:r>
              <w:t xml:space="preserve"> indicatoren </w:t>
            </w:r>
            <w:r>
              <w:rPr>
                <w:b/>
                <w:i/>
              </w:rPr>
              <w:t>in te voeren</w:t>
            </w:r>
            <w:r>
              <w:t xml:space="preserve"> die trends en oorzaken van ongelijkheid weerspiegelen, zoals hoogwaardige werkgelegenheid, welvaartsverdeling, toegang tot openbare diensten, </w:t>
            </w:r>
            <w:r>
              <w:rPr>
                <w:b/>
                <w:i/>
              </w:rPr>
              <w:t>de dekkingsgraad van sociale diensten,</w:t>
            </w:r>
            <w:r>
              <w:t xml:space="preserve"> toereikende pensioenen, geestelijke gezondheid</w:t>
            </w:r>
            <w:r>
              <w:rPr>
                <w:b/>
                <w:i/>
              </w:rPr>
              <w:t>, discriminatie</w:t>
            </w:r>
            <w:r>
              <w:t xml:space="preserve"> en werkloosheid; herinnert eraan dat de indicator voor het risico op armoede of sociale uitsluiting (Arope) de oorzaken van complexe ongelijkheid niet aan het licht brengt;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verzoekt de Commissie en de EU-lidstaten een robuust Europees kader voor gegevensverzameling met betrekking tot sociale diensten op te zetten om de investeringen in en dekkingsgraad van sociale diensten te monitoren;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Idoia Mendia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ter.</w:t>
            </w:r>
            <w:r>
              <w:tab/>
            </w:r>
            <w:r>
              <w:rPr>
                <w:b/>
                <w:i/>
              </w:rPr>
              <w:t>beveelt aan om in het Europees Semester gegevens op te nemen over de regulering, de uitgaven en de dekkingsgraad van sociale diensten om beter verslag te kunnen doen van het vermogen van de EU-lidstaten om de verlening van sociale diensten te waarborgen, en van de toegankelijkheid en beschikbaarheid van deze diensten voor de bevolking;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767.871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156</w:t>
    </w:r>
    <w:r>
      <w:fldChar w:fldCharType="end"/>
    </w:r>
    <w:r>
      <w:t>/</w:t>
    </w:r>
    <w:r>
      <w:fldChar w:fldCharType="begin"/>
    </w:r>
    <w:r>
      <w:instrText xml:space="preserve"> NUMPAGES </w:instrText>
    </w:r>
    <w:r>
      <w:fldChar w:fldCharType="separate"/>
    </w:r>
    <w:r>
      <w:t>157</w:t>
    </w:r>
    <w:r>
      <w:fldChar w:fldCharType="end"/>
    </w:r>
    <w:r>
      <w:tab/>
    </w:r>
    <w:r>
      <w:rPr>
        <w:rStyle w:val="HideTWBExt"/>
      </w:rPr>
      <w:t>&lt;PathFdR&gt;</w:t>
    </w:r>
    <w:r>
      <w:t>AM\1312899NL.docx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AM\1312899NL.docx</w:t>
    </w:r>
    <w:r>
      <w:rPr>
        <w:rStyle w:val="HideTWBExt"/>
      </w:rPr>
      <w:t>&lt;/PathFdR&gt;</w:t>
    </w:r>
    <w:r>
      <w:tab/>
    </w:r>
    <w:r>
      <w:fldChar w:fldCharType="begin"/>
    </w:r>
    <w:r>
      <w:instrText xml:space="preserve"> PAGE </w:instrText>
    </w:r>
    <w:r>
      <w:fldChar w:fldCharType="separate"/>
    </w:r>
    <w:r>
      <w:t>157</w:t>
    </w:r>
    <w:r>
      <w:fldChar w:fldCharType="end"/>
    </w:r>
    <w:r>
      <w:t>/</w:t>
    </w:r>
    <w:r>
      <w:fldChar w:fldCharType="begin"/>
    </w:r>
    <w:r>
      <w:instrText xml:space="preserve"> NUMPAGES </w:instrText>
    </w:r>
    <w:r>
      <w:fldChar w:fldCharType="separate"/>
    </w:r>
    <w:r>
      <w:t>157</w:t>
    </w:r>
    <w:r>
      <w:fldChar w:fldCharType="end"/>
    </w:r>
    <w:r>
      <w:tab/>
    </w:r>
    <w:r>
      <w:t>PE</w:t>
    </w:r>
    <w:r>
      <w:rPr>
        <w:rStyle w:val="HideTWBExt"/>
      </w:rPr>
      <w:t>&lt;NoPE&gt;</w:t>
    </w:r>
    <w:r>
      <w:t>767.871</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AM\1312899NL.docx</w:t>
    </w:r>
    <w:r>
      <w:rPr>
        <w:rStyle w:val="HideTWBExt"/>
      </w:rPr>
      <w:t>&lt;/PathFdR&gt;</w:t>
    </w:r>
    <w:r>
      <w:tab/>
    </w:r>
    <w:r>
      <w:tab/>
    </w:r>
    <w:r>
      <w:t>PE</w:t>
    </w:r>
    <w:r>
      <w:rPr>
        <w:rStyle w:val="HideTWBExt"/>
      </w:rPr>
      <w:t>&lt;NoPE&gt;</w:t>
    </w:r>
    <w:r>
      <w:t>767.871</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157</Pages>
  <Words>32478</Words>
  <Characters>199206</Characters>
  <Application>Microsoft Office Word</Application>
  <DocSecurity>0</DocSecurity>
  <Lines>1</Lines>
  <Paragraphs>2409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1312899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115929</vt:lpwstr>
  </property>
  <property fmtid="{D5CDD505-2E9C-101B-9397-08002B2CF9AE}" pid="7" name="dmxml.render.traceId">
    <vt:lpwstr>67926f84aa927faa108f46c47f02be7f</vt:lpwstr>
  </property>
  <property fmtid="{D5CDD505-2E9C-101B-9397-08002B2CF9AE}" pid="8" name="FooterPath">
    <vt:lpwstr>AM\1312899NL.docx</vt:lpwstr>
  </property>
  <property fmtid="{D5CDD505-2E9C-101B-9397-08002B2CF9AE}" pid="9" name="PE Number">
    <vt:lpwstr>767.871</vt:lpwstr>
  </property>
  <property fmtid="{D5CDD505-2E9C-101B-9397-08002B2CF9AE}" pid="10" name="UID">
    <vt:lpwstr>eu.europa.europarl-DIN1-2025-0000002210_02.00-nl-01.00_text-xml</vt:lpwstr>
  </property>
</Properties>
</file>