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Odbor za zaposlovanje in socialne zadeve</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10.1.2025</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Evropski semester za usklajevanje ekonomskih politik: prednostne naloge na področju zaposlovanja in sociale za leto 2025</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evropskega stebra socialnih pravic, ki so ga 17. novembra 2017 razglasili in podpisali Parlament, Svet in Komisija,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členov 121 in 148 Pogodbe o delovanju Evropske unije (PDEU),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načel evropskega stebra socialnih pravic, zlasti načela 11 o otroškem varstvu in podpori za otroke,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pregleda socialnih kazalnikov EU ter njegovih glavnih in sekundarnih kazalnikov,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4. marca 2021 z naslovom Akcijski načrt za evropski steber socialnih pravic (COM(2021)0102) in njenih predlaganih krovnih ciljev za leto 2030 glede zaposlovanja, spretnosti in zmanjševanja revščine,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akcijskega načrta za evropski steber socialnih pravic iz leta 2021 za spodbujanje navzgor usmerjene socialne konvergence do leta 2030, zlasti njegovega krovnega cilja 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izjave iz La Hulpe o prihodnosti evropskega stebra socialnih pravic, ki so jo 16. aprila 2024 podpisali Parlament, Komisija, Evropski ekonomsko-socialni odbor in Svet,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2023/955 Evropskega parlamenta in Sveta z dne 10. maja 2023 o vzpostavitvi Socialnega sklada za podnebje ter spremembi Uredbe (EU) 2021/1060</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UL L 130, 16.5.2023, str. </w:t>
            </w:r>
            <w:r>
              <w:t xml:space="preserve"> </w:t>
            </w:r>
            <w:r>
              <w:rPr>
                <w:b/>
                <w:i/>
              </w:rPr>
              <w:t>1–51.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2024/1263 Evropskega parlamenta in Sveta z dne 29. aprila 2024 o učinkovitem usklajevanju ekonomskih politik in večstranskem proračunskem nadzoru ter razveljavitvi Uredbe Sveta (ES) št. 1466/97 in zlasti členov 3, 4, 13 in 27</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UL L, 2024/1263, 30.4.2024.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7. oktobra 2020 z naslovom Unija enakosti: strateški okvir EU za enakost, vključevanje in udeležbo Romov za obdobje 2020–2030 (COM(2020)0620,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3. marca 2021 z naslovom Unija enakosti: strategija o pravicah invalidov za obdobje 2021–2030 (COM(2021)0101),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17. januarja 2023 z naslovom Izkoriščanje potenciala nadarjenih posameznikov v evropskih regijah (COM(2023)0032),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20. marca 2023 z naslovom Pomanjkanje delovne sile in spretnosti v EU: akcijski načrt (COM(2024)0131),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2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19. septembra 2024 z naslovom Razvoj na področju zaposlovanja in socialnih zadev: navzgor usmerjena socialna konvergenca v EU in vloga socialnih naložb,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26. novembra 2024 z naslovom Evropski semester 2025: novi okvir ekonomskega upravljanja je zaživel (COM(2024)0705),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17. decembra 2024 z naslovom Evropski semester 2025 – jesenski sveženj (COM(2024)0700),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ob upoštevanju predloga skupnega poročila Komisije in Sveta z dne </w:t>
            </w:r>
            <w:r>
              <w:rPr>
                <w:b/>
                <w:i/>
              </w:rPr>
              <w:t>XXX</w:t>
            </w:r>
            <w:r>
              <w:t xml:space="preserve"> 2024 o zaposlovanju (</w:t>
            </w:r>
            <w:r>
              <w:rPr>
                <w:b/>
                <w:i/>
              </w:rPr>
              <w:t>COM(2024)XXX</w:t>
            </w:r>
            <w:r>
              <w:t>),</w:t>
            </w:r>
          </w:p>
        </w:tc>
        <w:tc>
          <w:tcPr>
            <w:tcW w:w="4876" w:type="dxa"/>
            <w:tcBorders>
              <w:top w:val="nil"/>
              <w:left w:val="nil"/>
              <w:bottom w:val="nil"/>
              <w:right w:val="nil"/>
            </w:tcBorders>
          </w:tcPr>
          <w:p>
            <w:pPr>
              <w:pStyle w:val="Normal6a"/>
            </w:pPr>
            <w:r>
              <w:rPr>
                <w:b/>
                <w:i/>
              </w:rPr>
              <w:t>–</w:t>
            </w:r>
            <w:r>
              <w:tab/>
            </w:r>
            <w:r>
              <w:t xml:space="preserve">ob upoštevanju predloga skupnega poročila Komisije in Sveta z dne </w:t>
            </w:r>
            <w:r>
              <w:rPr>
                <w:b/>
                <w:i/>
              </w:rPr>
              <w:t>17. decembra</w:t>
            </w:r>
            <w:r>
              <w:t xml:space="preserve"> 2024 o zaposlovanju (</w:t>
            </w:r>
            <w:r>
              <w:rPr>
                <w:b/>
                <w:i/>
              </w:rPr>
              <w:t>COM(2020)0701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ob upoštevanju priporočila Komisije z dne </w:t>
            </w:r>
            <w:r>
              <w:rPr>
                <w:b/>
                <w:i/>
              </w:rPr>
              <w:t>XXX</w:t>
            </w:r>
            <w:r>
              <w:t xml:space="preserve"> 2024 za priporočilo Sveta o ekonomski politiki euroobmočja (</w:t>
            </w:r>
            <w:r>
              <w:rPr>
                <w:b/>
                <w:i/>
              </w:rPr>
              <w:t>COM(2024)XXX</w:t>
            </w:r>
            <w:r>
              <w:t>),</w:t>
            </w:r>
          </w:p>
        </w:tc>
        <w:tc>
          <w:tcPr>
            <w:tcW w:w="4876" w:type="dxa"/>
            <w:tcBorders>
              <w:top w:val="nil"/>
              <w:left w:val="nil"/>
              <w:bottom w:val="nil"/>
              <w:right w:val="nil"/>
            </w:tcBorders>
          </w:tcPr>
          <w:p>
            <w:pPr>
              <w:pStyle w:val="Normal6a"/>
            </w:pPr>
            <w:r>
              <w:rPr>
                <w:b/>
                <w:i/>
              </w:rPr>
              <w:t>–</w:t>
            </w:r>
            <w:r>
              <w:tab/>
            </w:r>
            <w:r>
              <w:t xml:space="preserve">ob upoštevanju priporočila Komisije z dne </w:t>
            </w:r>
            <w:r>
              <w:rPr>
                <w:b/>
                <w:i/>
              </w:rPr>
              <w:t>17. decembra</w:t>
            </w:r>
            <w:r>
              <w:t xml:space="preserve"> 2024 za priporočilo Sveta o ekonomski politiki euroobmočja (</w:t>
            </w:r>
            <w:r>
              <w:rPr>
                <w:b/>
                <w:i/>
              </w:rPr>
              <w:t>COM(2024)0704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ob upoštevanju poročila Komisije z dne </w:t>
            </w:r>
            <w:r>
              <w:rPr>
                <w:b/>
                <w:i/>
              </w:rPr>
              <w:t>XXX</w:t>
            </w:r>
            <w:r>
              <w:t xml:space="preserve"> 2024 z naslovom Poročilo o mehanizmu opozarjanja za leto 2025,</w:t>
            </w:r>
          </w:p>
        </w:tc>
        <w:tc>
          <w:tcPr>
            <w:tcW w:w="4876" w:type="dxa"/>
            <w:tcBorders>
              <w:top w:val="nil"/>
              <w:left w:val="nil"/>
              <w:bottom w:val="nil"/>
              <w:right w:val="nil"/>
            </w:tcBorders>
          </w:tcPr>
          <w:p>
            <w:pPr>
              <w:pStyle w:val="Normal6a"/>
            </w:pPr>
            <w:r>
              <w:rPr>
                <w:b/>
                <w:i/>
              </w:rPr>
              <w:t>–</w:t>
            </w:r>
            <w:r>
              <w:tab/>
            </w:r>
            <w:r>
              <w:t xml:space="preserve">ob upoštevanju poročila Komisije z dne </w:t>
            </w:r>
            <w:r>
              <w:rPr>
                <w:b/>
                <w:i/>
              </w:rPr>
              <w:t>17. decembra</w:t>
            </w:r>
            <w:r>
              <w:t xml:space="preserve"> 2024 z naslovom Poročilo o mehanizmu opozarjanja za leto 2025 </w:t>
            </w:r>
            <w:r>
              <w:rPr>
                <w:b/>
                <w:i/>
              </w:rPr>
              <w:t>(COM(2024)0702)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ob upoštevanju osnutka delovnega dokumenta služb Komisije o </w:t>
            </w:r>
            <w:r>
              <w:rPr>
                <w:b/>
                <w:i/>
              </w:rPr>
              <w:t>načrtovanih revizijah</w:t>
            </w:r>
            <w:r>
              <w:t xml:space="preserve"> preglednice </w:t>
            </w:r>
            <w:r>
              <w:rPr>
                <w:b/>
                <w:i/>
              </w:rPr>
              <w:t>v okviru</w:t>
            </w:r>
            <w:r>
              <w:t xml:space="preserve"> postopka v zvezi z makroekonomskimi neravnotežji </w:t>
            </w:r>
            <w:r>
              <w:rPr>
                <w:b/>
                <w:i/>
              </w:rPr>
              <w:t>v rednem postopku pregleda</w:t>
            </w:r>
            <w:r>
              <w:t xml:space="preserve"> (</w:t>
            </w:r>
            <w:r>
              <w:rPr>
                <w:b/>
                <w:i/>
              </w:rPr>
              <w:t>SWD(2024)XXX</w:t>
            </w:r>
            <w:r>
              <w:t>),</w:t>
            </w:r>
          </w:p>
        </w:tc>
        <w:tc>
          <w:tcPr>
            <w:tcW w:w="4876" w:type="dxa"/>
            <w:tcBorders>
              <w:top w:val="nil"/>
              <w:left w:val="nil"/>
              <w:bottom w:val="nil"/>
              <w:right w:val="nil"/>
            </w:tcBorders>
          </w:tcPr>
          <w:p>
            <w:pPr>
              <w:pStyle w:val="Normal6a"/>
            </w:pPr>
            <w:r>
              <w:rPr>
                <w:b/>
                <w:i/>
              </w:rPr>
              <w:t>–</w:t>
            </w:r>
            <w:r>
              <w:tab/>
            </w:r>
            <w:r>
              <w:t xml:space="preserve">ob upoštevanju osnutka delovnega dokumenta služb Komisije o </w:t>
            </w:r>
            <w:r>
              <w:rPr>
                <w:b/>
                <w:i/>
              </w:rPr>
              <w:t>spremembah</w:t>
            </w:r>
            <w:r>
              <w:t xml:space="preserve"> preglednice </w:t>
            </w:r>
            <w:r>
              <w:rPr>
                <w:b/>
                <w:i/>
              </w:rPr>
              <w:t>kazalnikov</w:t>
            </w:r>
            <w:r>
              <w:t xml:space="preserve"> postopka v zvezi z makroekonomskimi neravnotežji (</w:t>
            </w:r>
            <w:r>
              <w:rPr>
                <w:b/>
                <w:i/>
              </w:rPr>
              <w:t>SWD(2024)0702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medinstitucionalne izjave iz La Hulpe o prihodnosti evropskega stebra socialnih pravic, ki so jo podpisale institucije EU, socialni partnerji in civilna družba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2024/1263 Evropskega parlamenta in Sveta z dne 29. aprila 2024 o učinkovitem usklajevanju ekonomskih politik in večstranskem proračunskem nadzoru ter razveljavitvi Uredbe Sveta (ES) št.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izjave iz Budimpešte o novem evropskem dogovoru o konkurenčnosti z dne 8. novembra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sklepa Sveta o smernicah za zaposlovanje, ki ga je Svet EPSCO sprejel 2. decembra 2024 in v katerem so določene prednostne naloge na področju zaposlovanja in socialnih zadev, usklajene z načeli evropskega stebra socialnih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poročila Komisije o razvoju na področju zaposlovanja in socialnih zadev v Evropi, objavljenega septembra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izjave iz La Hulpe o prihodnosti evropskega stebra socialnih pravic</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tristranske deklaracije za dinamičen evropski socialni dialog in prihodnjega pakta o socialnem dialogu,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evropskega programa spretnosti iz leta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7. septembra 2022 o evropski strategiji oskrbe (COM(2022)0440),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evropskega stebra socialnih pravic, ki so ga novembra 2017 razglasili Svet, Parlament in Komisija, ter spremljajočega akcijskega načrta, sprejetega leta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sporočila Komisije z dne 17. decembra 2024 o Evropskem semestru 2025 – jesenski sveženj (COM(2023)0700),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predloga Komisije z dne 17. decembra 2025 za skupno poročilo o zaposlovanju za leto 2025 (COM(2024)0701),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Direktive (EU) 2022/2041 Evropskega parlamenta in Sveta z dne 19. oktobra 2022 o ustreznih minimalnih plačah v Evropski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Evropske socialne listine iz preambule evropskega stebra socialnih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l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priporočila Sveta o dostopu do cenovno dostopne visokokakovostne dolgotrajne oskrbe,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m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ciljev Organizacije združenih narodov glede trajnostnega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n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strategije za enakost spolov za obdobje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o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akcijskega načrta EU za boj proti rasizmu za obdobje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p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strateškega okvira EU za enakost, vključevanje in udeležbo Romov za obdobje 2020–2030,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q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strategije za enakost LGBTIQ oseb za obdobje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r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strategije o pravicah invalidov za obdobje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Navedba sklicevanja 13 s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ob upoštevanju Uredbe (EU) 2024/1263 Evropskega parlamenta in Sveta z dne 29. aprila 2024 o učinkovitem usklajevanju ekonomskih politik in večstranskem proračunskem nadzoru ter razveljavitvi Uredbe Sveta (ES) št. 1466/97,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je </w:t>
            </w:r>
            <w:r>
              <w:rPr>
                <w:b/>
                <w:i/>
              </w:rPr>
              <w:t>bil</w:t>
            </w:r>
            <w:r>
              <w:t xml:space="preserve"> kljub negotovosti, ki jo je povzročila ruska vojaška agresija proti Ukrajini, in </w:t>
            </w:r>
            <w:r>
              <w:rPr>
                <w:b/>
                <w:i/>
              </w:rPr>
              <w:t>vplivu</w:t>
            </w:r>
            <w:r>
              <w:t xml:space="preserve"> visoke inflacije </w:t>
            </w:r>
            <w:r>
              <w:rPr>
                <w:b/>
                <w:i/>
              </w:rPr>
              <w:t>dosežen napredek pri doseganju ciljev EU na področju zaposlovanja in ker je rast zaposlenosti v EU leta 2023 ostala visoka, čeprav je v nekaterih državah članicah še vedno visoka stopnja brezposelnosti, predvsem med mladimi, in obstajajo velike neenakosti med panogami in regijami</w:t>
            </w:r>
            <w:r>
              <w:t>,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w:t>
            </w:r>
            <w:r>
              <w:rPr>
                <w:b/>
                <w:i/>
              </w:rPr>
              <w:t>glede na jesensko gospodarsko napoved Komisije za 2025 stopnja zaposlenosti v EU dosegla 75,3 %;</w:t>
            </w:r>
            <w:r>
              <w:t xml:space="preserve"> </w:t>
            </w:r>
            <w:r>
              <w:rPr>
                <w:b/>
                <w:i/>
              </w:rPr>
              <w:t>ker je treba pripisati vrednost gospodarski donosnosti naložb v socialno varstvo, ki izboljšujejo življenjski standard ter vodijo v gospodarsko rast in višjo stopnjo zaposlenosti;</w:t>
            </w:r>
            <w:r>
              <w:t xml:space="preserve"> </w:t>
            </w:r>
            <w:r>
              <w:rPr>
                <w:b/>
                <w:i/>
              </w:rPr>
              <w:t>ker nekatere države članice dosegajo doslej najvišjo stopnjo zaposlenosti in beležijo rast stopnje zaposlenosti</w:t>
            </w:r>
            <w:r>
              <w:t xml:space="preserve"> kljub negotovosti, ki jo je povzročila ruska vojaška agresija proti Ukrajini, in </w:t>
            </w:r>
            <w:r>
              <w:rPr>
                <w:b/>
                <w:i/>
              </w:rPr>
              <w:t>posledicam</w:t>
            </w:r>
            <w:r>
              <w:t xml:space="preserve"> visoke inflacije</w:t>
            </w:r>
            <w:r>
              <w:rPr>
                <w:b/>
                <w:i/>
              </w:rPr>
              <w:t>;</w:t>
            </w:r>
            <w:r>
              <w:t xml:space="preserve"> </w:t>
            </w:r>
            <w:r>
              <w:rPr>
                <w:b/>
                <w:i/>
              </w:rPr>
              <w:t>vendar v EU ostajajo veliki izzivi, vključno z visoko stopnjo brezposelnosti mladih, žensk, starejših, nizko- in srednje kvalificiranih, migrantov in invalidov, pa tudi negotove delovne razmere, strukturne neenakosti in vrzeli v socialni zaščiti v vseh panogah, regijah in družbenih skupinah</w:t>
            </w:r>
            <w:r>
              <w:t>, kar lahko dolgoročno negativno vpliva na socialno kohezijo in blaginjo evropskih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bil kljub negotovosti, ki jo je povzročila ruska vojaška agresija proti Ukrajini, in vplivu visoke inflacije dosežen napredek pri doseganju ciljev EU na področju zaposlovanja in ker je rast zaposlenosti v EU leta 2023 ostala visoka</w:t>
            </w:r>
            <w:r>
              <w:rPr>
                <w:b/>
                <w:i/>
              </w:rPr>
              <w:t>, čeprav</w:t>
            </w:r>
            <w:r>
              <w:t xml:space="preserve"> je v nekaterih državah članicah še vedno visoka stopnja brezposelnosti, predvsem med mladimi, </w:t>
            </w:r>
            <w:r>
              <w:rPr>
                <w:b/>
                <w:i/>
              </w:rPr>
              <w:t>in</w:t>
            </w:r>
            <w:r>
              <w:t xml:space="preserve"> obstajajo velike </w:t>
            </w:r>
            <w:r>
              <w:rPr>
                <w:b/>
                <w:i/>
              </w:rPr>
              <w:t>neenakosti</w:t>
            </w:r>
            <w:r>
              <w:t xml:space="preserve"> med panogami in regijami,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bil kljub negotovosti, ki jo je povzročila ruska vojaška agresija proti Ukrajini, </w:t>
            </w:r>
            <w:r>
              <w:rPr>
                <w:b/>
                <w:i/>
              </w:rPr>
              <w:t>gospodarski stagnaciji</w:t>
            </w:r>
            <w:r>
              <w:t xml:space="preserve"> in vplivu visoke inflacije dosežen napredek pri doseganju ciljev EU na področju zaposlovanja</w:t>
            </w:r>
            <w:r>
              <w:rPr>
                <w:b/>
                <w:i/>
              </w:rPr>
              <w:t>, in sicer da bi moralo biti do leta 2030 zaposlenih najmanj 78 % ljudi v starosti od 20 do 64 let,</w:t>
            </w:r>
            <w:r>
              <w:t xml:space="preserve"> in ker je rast zaposlenosti v EU leta 2023 ostala visoka </w:t>
            </w:r>
            <w:r>
              <w:rPr>
                <w:b/>
                <w:i/>
              </w:rPr>
              <w:t>in dosegla rekordno raven 75,3 %;</w:t>
            </w:r>
            <w:r>
              <w:t xml:space="preserve"> </w:t>
            </w:r>
            <w:r>
              <w:rPr>
                <w:b/>
                <w:i/>
              </w:rPr>
              <w:t>ker so se države članice zavezale, da bodo izpolnile nacionalne cilje, da bi dosegle ta krovni cilj, in ker je bila v dveh tretjinah držav članic rast zaposlenosti v letu 2023 na dobri poti, da doseže nacionalni cilj za leto 2030;</w:t>
            </w:r>
            <w:r>
              <w:t xml:space="preserve"> </w:t>
            </w:r>
            <w:r>
              <w:rPr>
                <w:b/>
                <w:i/>
              </w:rPr>
              <w:t>ker pa</w:t>
            </w:r>
            <w:r>
              <w:t xml:space="preserve"> je v nekaterih državah članicah še vedno visoka stopnja brezposelnosti, predvsem med mladimi, </w:t>
            </w:r>
            <w:r>
              <w:rPr>
                <w:b/>
                <w:i/>
              </w:rPr>
              <w:t>invalidi, starejšimi delavci in ženskami,</w:t>
            </w:r>
            <w:r>
              <w:t xml:space="preserve"> obstajajo </w:t>
            </w:r>
            <w:r>
              <w:rPr>
                <w:b/>
                <w:i/>
              </w:rPr>
              <w:t>pa tudi</w:t>
            </w:r>
            <w:r>
              <w:t xml:space="preserve"> velike </w:t>
            </w:r>
            <w:r>
              <w:rPr>
                <w:b/>
                <w:i/>
              </w:rPr>
              <w:t>razlike</w:t>
            </w:r>
            <w:r>
              <w:t xml:space="preserve"> med panogami in regijami, kar lahko dolgoročno negativno vpliva na socialno kohezijo in blaginjo evropskih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bil kljub negotovosti, ki jo je povzročila ruska vojaška agresija proti Ukrajini, in vplivu visoke inflacije dosežen napredek pri doseganju ciljev EU na področju zaposlovanja in ker je rast zaposlenosti v EU leta 2023 ostala visoka</w:t>
            </w:r>
            <w:r>
              <w:rPr>
                <w:b/>
                <w:i/>
              </w:rPr>
              <w:t>, čeprav je v nekaterih državah članicah še vedno visoka</w:t>
            </w:r>
            <w:r>
              <w:t xml:space="preserve"> stopnja brezposelnosti</w:t>
            </w:r>
            <w:r>
              <w:rPr>
                <w:b/>
                <w:i/>
              </w:rPr>
              <w:t>, predvsem med mladimi, in obstajajo</w:t>
            </w:r>
            <w:r>
              <w:t xml:space="preserve"> velike neenakosti med panogami in regijami,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bil kljub negotovosti, ki jo je povzročila ruska vojaška agresija proti Ukrajini, in vplivu visoke inflacije dosežen napredek pri doseganju ciljev EU na področju zaposlovanja in ker je rast zaposlenosti v EU leta 2023 ostala visoka </w:t>
            </w:r>
            <w:r>
              <w:rPr>
                <w:b/>
                <w:i/>
              </w:rPr>
              <w:t>in po podatkih Eurostata zdaj presega 75 %;</w:t>
            </w:r>
            <w:r>
              <w:t xml:space="preserve"> </w:t>
            </w:r>
            <w:r>
              <w:rPr>
                <w:b/>
                <w:i/>
              </w:rPr>
              <w:t>ker je stopnja dolgotrajne brezposelnosti v EU dosegla zgodovinsko nizko raven od leta 2009 in je leta 2023 znašala 2,1 %,</w:t>
            </w:r>
            <w:r>
              <w:t xml:space="preserve"> stopnja brezposelnosti </w:t>
            </w:r>
            <w:r>
              <w:rPr>
                <w:b/>
                <w:i/>
              </w:rPr>
              <w:t>mladih v EU pa 6,3 %, kar je najnižje od začetka merjenja;</w:t>
            </w:r>
            <w:r>
              <w:t xml:space="preserve"> </w:t>
            </w:r>
            <w:r>
              <w:rPr>
                <w:b/>
                <w:i/>
              </w:rPr>
              <w:t>ker so bili trgi dela še vedno izjemno odporni, socialni izidi pa so pokazali nekaj znakov izboljšanja, gospodarska rast v EU je v letu 2024 zaostajala za drugimi naprednimi gospodarstvi in so še vedno obstajale</w:t>
            </w:r>
            <w:r>
              <w:t xml:space="preserve"> velike neenakosti med panogami in regijami, kar lahko dolgoročno negativno vpliva na socialno kohezijo in blaginjo evropskih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bil kljub negotovosti, ki jo je povzročila ruska vojaška agresija proti Ukrajini, in vplivu visoke inflacije dosežen napredek pri doseganju ciljev EU na področju zaposlovanja in ker je rast zaposlenosti v EU leta 2023 ostala visoka, čeprav je v nekaterih državah članicah še vedno visoka stopnja brezposelnosti, predvsem med mladimi, in obstajajo velike neenakosti med panogami in regijami,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bil kljub negotovosti, ki jo je povzročila ruska vojaška agresija proti Ukrajini, in vplivu visoke inflacije dosežen napredek pri doseganju ciljev EU na področju zaposlovanja in ker je rast zaposlenosti v EU leta 2023 ostala visoka, čeprav je v nekaterih državah članicah še vedno visoka stopnja brezposelnosti, predvsem med mladimi, </w:t>
            </w:r>
            <w:r>
              <w:rPr>
                <w:b/>
                <w:i/>
              </w:rPr>
              <w:t>pa tudi visoka stopnja brezposelnosti invalidov,</w:t>
            </w:r>
            <w:r>
              <w:t xml:space="preserve"> in obstajajo velike neenakosti med panogami in regijami, kar lahko dolgoročno negativno vpliva na socialno kohezijo in blaginjo evropskih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ker je bil kljub negotovosti, ki jo je povzročila ruska vojaška agresija proti Ukrajini, in vplivu visoke inflacije dosežen napredek pri doseganju ciljev EU na področju zaposlovanja in ker je rast zaposlenosti v EU leta 2023 ostala visoka, čeprav je v nekaterih državah članicah še vedno visoka stopnja brezposelnosti, predvsem med mladimi, in obstajajo velike neenakosti med panogami in regijami,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bil kljub negotovosti, ki jo je povzročila ruska vojaška agresija proti Ukrajini, in vplivu visoke inflacije dosežen </w:t>
            </w:r>
            <w:r>
              <w:rPr>
                <w:b/>
                <w:i/>
              </w:rPr>
              <w:t>določen</w:t>
            </w:r>
            <w:r>
              <w:t xml:space="preserve"> napredek pri doseganju ciljev EU na področju zaposlovanja in ker je rast zaposlenosti v EU leta 2023 ostala visoka, čeprav je v nekaterih državah članicah še vedno visoka stopnja brezposelnosti, predvsem med mladimi, in obstajajo velike neenakosti med panogami in regijami, kar lahko dolgoročno negativno vpliva na socialno kohezijo in blaginjo evropskih državljanov;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ker je bil kljub </w:t>
            </w:r>
            <w:r>
              <w:rPr>
                <w:b/>
                <w:i/>
              </w:rPr>
              <w:t>negotovosti</w:t>
            </w:r>
            <w:r>
              <w:t xml:space="preserve">, ki jo je povzročila ruska vojaška agresija proti Ukrajini, </w:t>
            </w:r>
            <w:r>
              <w:rPr>
                <w:b/>
                <w:i/>
              </w:rPr>
              <w:t>in vplivu visoke inflacije</w:t>
            </w:r>
            <w:r>
              <w:t xml:space="preserve"> dosežen napredek pri </w:t>
            </w:r>
            <w:r>
              <w:rPr>
                <w:b/>
                <w:i/>
              </w:rPr>
              <w:t>doseganju</w:t>
            </w:r>
            <w:r>
              <w:t xml:space="preserve"> ciljev EU na področju zaposlovanja in ker je rast zaposlenosti v EU leta 2023 ostala visoka, čeprav je v nekaterih državah članicah še vedno visoka stopnja brezposelnosti, predvsem med mladimi, in obstajajo velike neenakosti med panogami in regijami, kar lahko dolgoročno negativno vpliva na socialno kohezijo in blaginjo evropskih državljanov;</w:t>
            </w:r>
          </w:p>
        </w:tc>
        <w:tc>
          <w:tcPr>
            <w:tcW w:w="4876" w:type="dxa"/>
            <w:tcBorders>
              <w:top w:val="nil"/>
              <w:left w:val="nil"/>
              <w:bottom w:val="nil"/>
              <w:right w:val="nil"/>
            </w:tcBorders>
          </w:tcPr>
          <w:p>
            <w:pPr>
              <w:pStyle w:val="Normal6a"/>
            </w:pPr>
            <w:r>
              <w:t>A.</w:t>
            </w:r>
            <w:r>
              <w:tab/>
            </w:r>
            <w:r>
              <w:t xml:space="preserve">ker je bil kljub </w:t>
            </w:r>
            <w:r>
              <w:rPr>
                <w:b/>
                <w:i/>
              </w:rPr>
              <w:t>resni inflacijski krizi</w:t>
            </w:r>
            <w:r>
              <w:t xml:space="preserve">, ki jo je </w:t>
            </w:r>
            <w:r>
              <w:rPr>
                <w:b/>
                <w:i/>
              </w:rPr>
              <w:t>med drugim</w:t>
            </w:r>
            <w:r>
              <w:t xml:space="preserve"> povzročila ruska vojaška agresija proti Ukrajini, dosežen napredek pri </w:t>
            </w:r>
            <w:r>
              <w:rPr>
                <w:b/>
                <w:i/>
              </w:rPr>
              <w:t>uresničevanju</w:t>
            </w:r>
            <w:r>
              <w:t xml:space="preserve"> ciljev EU na področju zaposlovanja in ker je rast zaposlenosti v EU leta 2023 ostala visoka, čeprav je v nekaterih državah članicah še vedno visoka stopnja brezposelnosti, predvsem med mladimi, in obstajajo velike neenakosti med panogami in regijami, kar lahko dolgoročno negativno vpliva na socialno kohezijo in blaginjo evropskih državljanov;</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evropski semester združuje različne instrumente v integriranem okviru za večstransko usklajevanje in nadzor ekonomskih, zaposlitvenih, socialnih in okoljskih politik v EU in mora postati ključno orodje za spodbujanje navzgor usmerjene socialne konvergence ter zagotoviti, da bo gospodarska in fiskalna politika ne le spodbujala rast, ampak tudi prispevala k socialni in trajnostni EU;</w:t>
            </w:r>
            <w:r>
              <w:t xml:space="preserve"> </w:t>
            </w:r>
            <w:r>
              <w:rPr>
                <w:b/>
                <w:i/>
              </w:rPr>
              <w:t>ker bi bilo treba v sklopu celovite analize razvoja na področju zaposlovanja in socialnih zadev v okviru evropskega semestra oceniti tveganja navzgor usmerjene socialne konvergence v državah članicah in spremljati napredek pri izvajanju načel evropskega stebra socialnih pravic na podlagi pregleda socialnih kazalnikov in načel okvira za socialno konvergenco;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ker je Evropska unija sprejela cilj, da se do leta 2030 najmanj 60 % odraslih vsako leto udeleži usposabljanja;</w:t>
            </w:r>
            <w:r>
              <w:t xml:space="preserve"> </w:t>
            </w:r>
            <w:r>
              <w:rPr>
                <w:b/>
                <w:i/>
              </w:rPr>
              <w:t>ker so se države članice zavezale, da bodo izpolnile nacionalne cilje, da bi dosegle ta glavni cilj, in ker večina držav članic zaostaja pri doseganju teh nacionalnih ciljev;</w:t>
            </w:r>
            <w:r>
              <w:t xml:space="preserve"> </w:t>
            </w:r>
            <w:r>
              <w:rPr>
                <w:b/>
                <w:i/>
              </w:rPr>
              <w:t>ker je bila leta 2022 stopnja udeležbe odraslih v izobraževanju 39,5-odstotna, kar je še vedno precej pod ciljem EU za leto 2030;</w:t>
            </w:r>
            <w:r>
              <w:t xml:space="preserve"> </w:t>
            </w:r>
            <w:r>
              <w:rPr>
                <w:b/>
                <w:i/>
              </w:rPr>
              <w:t>ker so potrebna nadaljnja znatna prizadevanja, da bi zagotovili kakovostne politike usposabljanja, ki spodbujajo vseživljenjsko učenje in krepijo konkurenčnost, odpornost in vključenost delovne sile EU, ter dostop do njih;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ker je Evropska unija za leto 2030 sprejela cilj zmanjšanja števila ljudi s tveganjem revščine ali socialne izključenosti za vsaj 15 milijonov v primerjavi z letom 2019, od tega vsaj 5 milijonov otrok;</w:t>
            </w:r>
            <w:r>
              <w:t xml:space="preserve"> </w:t>
            </w:r>
            <w:r>
              <w:rPr>
                <w:b/>
                <w:i/>
              </w:rPr>
              <w:t>ker so se države članice zavezale nacionalnim ciljem, da bi dosegle ta glavni cilj, in ker pri skoraj polovici držav članic trend kaže v drugo smer;</w:t>
            </w:r>
            <w:r>
              <w:t xml:space="preserve"> </w:t>
            </w:r>
            <w:r>
              <w:rPr>
                <w:b/>
                <w:i/>
              </w:rPr>
              <w:t>ker je bilo leta 2023 v EU 94,6 milijona ljudi (21,4 % prebivalstva)</w:t>
            </w:r>
            <w:r>
              <w:rPr>
                <w:b/>
                <w:i/>
                <w:vertAlign w:val="superscript"/>
              </w:rPr>
              <w:t>3a</w:t>
            </w:r>
            <w:r>
              <w:t xml:space="preserve"> </w:t>
            </w:r>
            <w:r>
              <w:rPr>
                <w:b/>
                <w:i/>
              </w:rPr>
              <w:t>izpostavljenih tveganju revščine ali socialne izključenosti, kar je le nekoliko manj kot leta 2019;</w:t>
            </w:r>
            <w:r>
              <w:t xml:space="preserve"> </w:t>
            </w:r>
            <w:r>
              <w:rPr>
                <w:b/>
                <w:i/>
              </w:rPr>
              <w:t>ker brez spremembe pristopa k boju proti revščini na evropski ravni trenda ne bo mogoče obrniti in zagotoviti, da bo imel vsak državljan enake možnosti za sodelovanje v družbi;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People at risk of poverty or social exclusion in 2023 (Osebe s tveganjem revščine ali socialne izključenosti v letu 2023),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ker mora evropski steber socialnih pravic usmerjati socialno in gospodarsko politiko EU ter zagotoviti, da bo Unija prevzela vodilno vlogo pri spodbujanju družbenega napredka;</w:t>
            </w:r>
            <w:r>
              <w:t xml:space="preserve"> </w:t>
            </w:r>
            <w:r>
              <w:rPr>
                <w:b/>
                <w:i/>
              </w:rPr>
              <w:t>ker mora Evropska komisija oceniti tveganja navzgor usmerjene socialne konvergence v državah članicah in spremljati napredek pri izvajanju evropskega stebra socialnih pravic z uporabo pregleda socialnih kazalnikov in okvira za socialno konvergenco;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ker je vsak četrti otrok v Evropski uniji še vedno izpostavljen tveganju revščine in socialne izključenosti in ker glede na sedanji trend ne bomo dosegli cilja zmanjšanja števila revnih otrok za vsaj 5 milijonov do leta 2030;</w:t>
            </w:r>
            <w:r>
              <w:t xml:space="preserve"> </w:t>
            </w:r>
            <w:r>
              <w:rPr>
                <w:b/>
                <w:i/>
              </w:rPr>
              <w:t>ker je med otroki druge etnične pripadnosti ali otroki iz migrantskih okolij in invalidnimi otroki mogoče opaziti velike razlike;</w:t>
            </w:r>
            <w:r>
              <w:t xml:space="preserve"> </w:t>
            </w:r>
            <w:r>
              <w:rPr>
                <w:b/>
                <w:i/>
              </w:rPr>
              <w:t>ker je 83 % romskih otrok živelo v gospodinjstvih, ki jim grozi revščina;</w:t>
            </w:r>
            <w:r>
              <w:t xml:space="preserve"> </w:t>
            </w:r>
            <w:r>
              <w:rPr>
                <w:b/>
                <w:i/>
              </w:rPr>
              <w:t>ker sredstva EU in nacionalna sredstva, ki so trenutno na voljo, nikakor ne zadostujejo za reševanje izziva revščine otrok v EU, zato so v sedanjem in v naslednjem večletnem finančnem okviru izjemno pomembni poseben finančni instrument za evropsko jamstvo za otroke ter sinergije z drugimi evropskimi in nacionalnimi skladi;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ker je okvir za socialno konvergenco ključno orodje za ocenjevanje socialnih izzivov in navzgor usmerjene konvergence v okviru evropskega semestra ter za spremljanje socialnih razlik med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ker javne porabe za otroke in mlade ne bi smeli obravnavati le kot socialne izdatke, temveč kot naložbo v prihodnost;</w:t>
            </w:r>
            <w:r>
              <w:t xml:space="preserve"> </w:t>
            </w:r>
            <w:r>
              <w:rPr>
                <w:b/>
                <w:i/>
              </w:rPr>
              <w:t>ker socialne naložbe za otroke vodijo k boljšim možnostim za izobraževanje in zaposlitev, kar krepi gospodarske kazalnike;</w:t>
            </w:r>
            <w:r>
              <w:t xml:space="preserve"> </w:t>
            </w:r>
            <w:r>
              <w:rPr>
                <w:b/>
                <w:i/>
              </w:rPr>
              <w:t>ker otroci, ki imajo lahko največ koristi od vzgoje in varstva predšolskih otrok, kot so otroci iz prikrajšanih okolij, običajno najmanj sodelujejo in se še vedno srečujejo z ovirami pri dostopu;</w:t>
            </w:r>
            <w:r>
              <w:t xml:space="preserve"> </w:t>
            </w:r>
            <w:r>
              <w:rPr>
                <w:b/>
                <w:i/>
              </w:rPr>
              <w:t>ker bi morala EU za izpolnitev barcelonskih ciljev za vzgojo in varstvo predšolskih otrok do leta 2030 vložiti dodatnih 11 milijard EUR na leto</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Employment and Social Developments in Europe (ESDE) 2024 (Razvoj na področju zaposlovanja in socialnih zadev v Evropi), Evropska komisija, september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w:t>
            </w:r>
            <w:r>
              <w:tab/>
            </w:r>
            <w:r>
              <w:rPr>
                <w:b/>
                <w:i/>
              </w:rPr>
              <w:t>ker bo obravnavanje izzivov, opredeljenih v skupnem poročilu o zaposlovanju, prispevalo k doseganju navzgor usmerjene socialne konvergence, podpiranju pravičnega zelenega in digitalnega prehoda, spopadanju z demografskimi spremembami in doseganju ciljev trajnostnega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ker 1,4 milijona ljudi v EU še vedno živi v institucijah;</w:t>
            </w:r>
            <w:r>
              <w:t xml:space="preserve"> </w:t>
            </w:r>
            <w:r>
              <w:rPr>
                <w:b/>
                <w:i/>
              </w:rPr>
              <w:t>ker so stanovalci institucij izolirani od širše skupnosti in nimajo zadostnega nadzora nad svojim življenjem in odločitvami, ki jih zadevajo;</w:t>
            </w:r>
            <w:r>
              <w:t xml:space="preserve"> </w:t>
            </w:r>
            <w:r>
              <w:rPr>
                <w:b/>
                <w:i/>
              </w:rPr>
              <w:t>ker so kljub temu, da je Evropska unija že dolgo zavezana procesu deinstitucionalizacije, na evropski in nacionalni ravni še vedno potrebna prizadevanja, da bi ranljivim skupinam omogočili neodvisno življenje v skupnosti;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w:t>
            </w:r>
            <w:r>
              <w:tab/>
            </w:r>
            <w:r>
              <w:rPr>
                <w:b/>
                <w:i/>
              </w:rPr>
              <w:t>ker stopnja samozaposlitve upada, tudi med mladimi, in ker je med samozaposlenimi nesorazmerno veliko delovnih mest slabše kakovosti;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vzdržnost sistemov socialnega varstva </w:t>
            </w:r>
            <w:r>
              <w:rPr>
                <w:b/>
                <w:i/>
              </w:rPr>
              <w:t>in tako predstavljajo</w:t>
            </w:r>
            <w:r>
              <w:t xml:space="preserve"> strukturni izziv za </w:t>
            </w:r>
            <w:r>
              <w:rPr>
                <w:b/>
                <w:i/>
              </w:rPr>
              <w:t>evropsko</w:t>
            </w:r>
            <w:r>
              <w:t xml:space="preserve"> gospodarstvo</w:t>
            </w:r>
            <w:r>
              <w:rPr>
                <w:b/>
                <w:i/>
              </w:rPr>
              <w:t>, ter ker je, kot je poudarjeno v Draghijevem poročilu,</w:t>
            </w:r>
            <w:r>
              <w:t xml:space="preserve"> trajnostna rast v Evropi v veliki meri odvisna od </w:t>
            </w:r>
            <w:r>
              <w:rPr>
                <w:b/>
                <w:i/>
              </w:rPr>
              <w:t>vključevanja</w:t>
            </w:r>
            <w:r>
              <w:t xml:space="preserve"> aktivnega prebivalstva na trg dela in </w:t>
            </w:r>
            <w:r>
              <w:rPr>
                <w:b/>
                <w:i/>
              </w:rPr>
              <w:t>od trdnega sistema</w:t>
            </w:r>
            <w:r>
              <w:t xml:space="preserve"> socialnega varstva;</w:t>
            </w:r>
          </w:p>
        </w:tc>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w:t>
            </w:r>
            <w:r>
              <w:rPr>
                <w:b/>
                <w:i/>
              </w:rPr>
              <w:t>velikost delovne sile, produktivnost EU, trge dela, kjer pomanjkanje delovne sile in spretnosti ostaja na zgodovinsko visoki ravni, in posledično</w:t>
            </w:r>
            <w:r>
              <w:t xml:space="preserve"> vzdržnost sistemov socialnega varstva</w:t>
            </w:r>
            <w:r>
              <w:rPr>
                <w:b/>
                <w:i/>
              </w:rPr>
              <w:t>, kar predstavlja</w:t>
            </w:r>
            <w:r>
              <w:t xml:space="preserve"> strukturni izziv za gospodarstvo </w:t>
            </w:r>
            <w:r>
              <w:rPr>
                <w:b/>
                <w:i/>
              </w:rPr>
              <w:t>EU;</w:t>
            </w:r>
            <w:r>
              <w:t xml:space="preserve"> </w:t>
            </w:r>
            <w:r>
              <w:rPr>
                <w:b/>
                <w:i/>
              </w:rPr>
              <w:t>ker Draghijevo poročilo poudarja, da sta</w:t>
            </w:r>
            <w:r>
              <w:t xml:space="preserve"> trajnostna rast </w:t>
            </w:r>
            <w:r>
              <w:rPr>
                <w:b/>
                <w:i/>
              </w:rPr>
              <w:t>in konkurenčnost</w:t>
            </w:r>
            <w:r>
              <w:t xml:space="preserve"> v Evropi v veliki meri odvisna od </w:t>
            </w:r>
            <w:r>
              <w:rPr>
                <w:b/>
                <w:i/>
              </w:rPr>
              <w:t>prilagajanja sistemov izobraževanja in usposabljanja spreminjajočim se potrebam po znanjih in spretnostih, pri čemer je treba dati prednost izobraževanju odraslih ter poklicnemu izobraževanju in usposabljanju, vključevanju</w:t>
            </w:r>
            <w:r>
              <w:t xml:space="preserve"> aktivnega prebivalstva na trg dela in </w:t>
            </w:r>
            <w:r>
              <w:rPr>
                <w:b/>
                <w:i/>
              </w:rPr>
              <w:t>trdnemu sistemu</w:t>
            </w:r>
            <w:r>
              <w:t xml:space="preserve"> socialnega varstva</w:t>
            </w:r>
            <w:r>
              <w:rPr>
                <w:b/>
                <w:i/>
              </w:rPr>
              <w:t>, ki zagotavlja močne javne storitve;</w:t>
            </w:r>
            <w:r>
              <w:t xml:space="preserve"> </w:t>
            </w:r>
            <w:r>
              <w:rPr>
                <w:b/>
                <w:i/>
              </w:rPr>
              <w:t>ker naj bi naložbe ESS+ v aktivne politike trga dela povečale zaposlenost tudi po naložbenem obdobju, zlasti za skupine z nižjimi dohodki</w:t>
            </w:r>
            <w:r>
              <w:rPr>
                <w:b/>
                <w:i/>
                <w:vertAlign w:val="superscript"/>
              </w:rPr>
              <w:t>5a</w:t>
            </w:r>
            <w:r>
              <w:rPr>
                <w:b/>
                <w:i/>
              </w:rPr>
              <w:t>;</w:t>
            </w:r>
            <w:r>
              <w:t xml:space="preserve"> </w:t>
            </w:r>
            <w:r>
              <w:rPr>
                <w:b/>
                <w:i/>
              </w:rPr>
              <w:t>ker naj bi se delovno sposobno prebivalstvo EU do leta 2030 zmanjšalo za 7 milijonov delavcev</w:t>
            </w:r>
            <w:r>
              <w:rPr>
                <w:b/>
                <w:i/>
                <w:vertAlign w:val="superscript"/>
              </w:rPr>
              <w:t>6a</w:t>
            </w:r>
            <w:r>
              <w:t xml:space="preserve"> </w:t>
            </w:r>
            <w:r>
              <w:rPr>
                <w:b/>
                <w:i/>
              </w:rPr>
              <w:t>in do leta 2050 še dodatno za 35 milijonov ljudi</w:t>
            </w:r>
            <w:r>
              <w:rPr>
                <w:b/>
                <w:i/>
                <w:vertAlign w:val="superscript"/>
              </w:rPr>
              <w:t>7a</w:t>
            </w:r>
            <w:r>
              <w:rPr>
                <w:b/>
                <w:i/>
              </w:rPr>
              <w:t>, kar kaže, da bo za obnovitev evropske delovne sile potrebna zakonita delovna migracija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Employment and Social Developments in Europe (ESDE) 2024 (Razvoj na področju zaposlovanja in socialnih zadev v Evropi), Evropska komisija, september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Employment and Social Developments in Europe (ESDE) 2023 (Razvoj na področju zaposlovanja in socialnih zadev v Evropi), Evropska komisija, julij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Sporočilo Komisije z naslovom Izkoriščanje potenciala nadarjenih posameznikov v evropskih regijah (COM(2023)0032).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w:t>
            </w:r>
            <w:r>
              <w:rPr>
                <w:b/>
                <w:i/>
              </w:rPr>
              <w:t>vzdržnost sistemov socialnega varstva</w:t>
            </w:r>
            <w:r>
              <w:t xml:space="preserve"> in tako predstavljajo strukturni izziv za evropsko gospodarstvo</w:t>
            </w:r>
            <w:r>
              <w:rPr>
                <w:b/>
                <w:i/>
              </w:rPr>
              <w:t>,</w:t>
            </w:r>
            <w:r>
              <w:t xml:space="preserve"> ter ker je, kot je poudarjeno v Draghijevem poročilu, trajnostna rast v Evropi v veliki meri odvisna od vključevanja aktivnega prebivalstva na trg dela in od trdnega sistema socialnega varstva;</w:t>
            </w:r>
          </w:p>
        </w:tc>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w:t>
            </w:r>
            <w:r>
              <w:rPr>
                <w:b/>
                <w:i/>
              </w:rPr>
              <w:t>zlasti odseljevanje mladih na mestna območja,</w:t>
            </w:r>
            <w:r>
              <w:t xml:space="preserve"> močno vplivajo na </w:t>
            </w:r>
            <w:r>
              <w:rPr>
                <w:b/>
                <w:i/>
              </w:rPr>
              <w:t>gospodarsko dinamičnosti in privlačnost ozemelj EU</w:t>
            </w:r>
            <w:r>
              <w:t xml:space="preserve"> in tako predstavljajo strukturni izziv za evropsko gospodarstvo ter ker je, kot je poudarjeno v Draghijevem poročilu, trajnostna rast v Evropi v veliki meri odvisna od </w:t>
            </w:r>
            <w:r>
              <w:rPr>
                <w:b/>
                <w:i/>
              </w:rPr>
              <w:t>ohranjanja močnega sistema socialne zaščite, dostopnosti javnih storitev,</w:t>
            </w:r>
            <w:r>
              <w:t xml:space="preserve"> vključevanja aktivnega prebivalstva na trg dela in od trdnega sistema socialnega varstva;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demografski izzivi, med drugim staranje prebivalstva, nizka rodnost in odseljevanje s podeželja, močno vplivajo na vzdržnost sistemov socialnega varstva in tako predstavljajo strukturni izziv za evropsko gospodarstvo</w:t>
            </w:r>
            <w:r>
              <w:rPr>
                <w:b/>
                <w:i/>
              </w:rPr>
              <w:t>,</w:t>
            </w:r>
            <w:r>
              <w:t xml:space="preserve"> ter ker je, kot je poudarjeno v Draghijevem poročilu, trajnostna rast v Evropi v veliki meri odvisna od vključevanja aktivnega prebivalstva na trg dela in od trdnega sistema socialnega varstva;</w:t>
            </w:r>
          </w:p>
        </w:tc>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vzdržnost sistemov socialnega varstva in tako predstavljajo strukturni izziv za evropsko gospodarstvo ter ker je, kot je poudarjeno v Draghijevem poročilu, trajnostna rast v Evropi v veliki meri odvisna od vključevanja aktivnega prebivalstva na trg dela in od trdnega sistema socialnega varstva; </w:t>
            </w:r>
            <w:r>
              <w:rPr>
                <w:b/>
                <w:i/>
              </w:rPr>
              <w:t>ker je treba avtomatizacijo in robotizacijo v nekaterih panogah uvesti hitreje, da bi preprečili drastičen upad produktivnosti zaradi pomanjkanja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vzdržnost sistemov socialnega varstva in tako predstavljajo strukturni izziv za evropsko gospodarstvo, ter ker je, kot je poudarjeno v Draghijevem poročilu, trajnostna rast v Evropi v veliki meri odvisna od </w:t>
            </w:r>
            <w:r>
              <w:rPr>
                <w:b/>
                <w:i/>
              </w:rPr>
              <w:t>vključevanja aktivnega prebivalstva</w:t>
            </w:r>
            <w:r>
              <w:t xml:space="preserve"> na trg dela </w:t>
            </w:r>
            <w:r>
              <w:rPr>
                <w:b/>
                <w:i/>
              </w:rPr>
              <w:t>in</w:t>
            </w:r>
            <w:r>
              <w:t xml:space="preserve"> od trdnega sistema </w:t>
            </w:r>
            <w:r>
              <w:rPr>
                <w:b/>
                <w:i/>
              </w:rPr>
              <w:t>socialnega varstva</w:t>
            </w:r>
            <w:r>
              <w:t>;</w:t>
            </w:r>
          </w:p>
        </w:tc>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vzdržnost sistemov socialnega varstva in tako predstavljajo strukturni izziv za evropsko gospodarstvo, ter ker je, kot je poudarjeno v Draghijevem poročilu, trajnostna rast v Evropi v veliki meri odvisna od </w:t>
            </w:r>
            <w:r>
              <w:rPr>
                <w:b/>
                <w:i/>
              </w:rPr>
              <w:t>tega, da se</w:t>
            </w:r>
            <w:r>
              <w:t xml:space="preserve"> na trg dela </w:t>
            </w:r>
            <w:r>
              <w:rPr>
                <w:b/>
                <w:i/>
              </w:rPr>
              <w:t>v prvi fazi vključi aktivno nacionalno prebivalstvo, nato pa evropsko, pa tudi</w:t>
            </w:r>
            <w:r>
              <w:t xml:space="preserve"> od trdnega sistema </w:t>
            </w:r>
            <w:r>
              <w:rPr>
                <w:b/>
                <w:i/>
              </w:rPr>
              <w:t>socialne zaščite, ki pa nikakor ne sme posegati v nacionalne posebnosti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ker demografski izzivi, med drugim staranje prebivalstva, nizka rodnost in odseljevanje s podeželja, močno vplivajo na vzdržnost sistemov socialnega varstva in tako predstavljajo strukturni izziv za evropsko gospodarstvo</w:t>
            </w:r>
            <w:r>
              <w:rPr>
                <w:b/>
                <w:i/>
              </w:rPr>
              <w:t>,</w:t>
            </w:r>
            <w:r>
              <w:t xml:space="preserve"> ter ker je, kot je poudarjeno v Draghijevem poročilu, trajnostna rast v Evropi v veliki meri odvisna od vključevanja aktivnega prebivalstva na trg dela in od trdnega sistema socialnega varstva;</w:t>
            </w:r>
          </w:p>
        </w:tc>
        <w:tc>
          <w:tcPr>
            <w:tcW w:w="4876" w:type="dxa"/>
            <w:tcBorders>
              <w:top w:val="nil"/>
              <w:left w:val="nil"/>
              <w:bottom w:val="nil"/>
              <w:right w:val="nil"/>
            </w:tcBorders>
          </w:tcPr>
          <w:p>
            <w:pPr>
              <w:pStyle w:val="Normal6a"/>
            </w:pPr>
            <w:r>
              <w:t>B.</w:t>
            </w:r>
            <w:r>
              <w:tab/>
            </w:r>
            <w:r>
              <w:t xml:space="preserve">ker demografski izzivi, med drugim staranje prebivalstva, nizka rodnost in odseljevanje s podeželja, močno vplivajo na vzdržnost sistemov socialnega varstva in </w:t>
            </w:r>
            <w:r>
              <w:rPr>
                <w:b/>
                <w:i/>
              </w:rPr>
              <w:t>še povečujejo regionalne razlike v EU ter</w:t>
            </w:r>
            <w:r>
              <w:t xml:space="preserve"> tako predstavljajo strukturni izziv za evropsko gospodarstvo ter ker je, kot je poudarjeno v Draghijevem poročilu, trajnostna rast v Evropi v veliki meri odvisna od vključevanja aktivnega prebivalstva na trg dela in od trdnega sistema socialnega varstva;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ker demografski </w:t>
            </w:r>
            <w:r>
              <w:rPr>
                <w:b/>
                <w:i/>
              </w:rPr>
              <w:t>izzivi, med drugim staranje prebivalstva, nizka rodnost</w:t>
            </w:r>
            <w:r>
              <w:t xml:space="preserve"> in odseljevanje s podeželja</w:t>
            </w:r>
            <w:r>
              <w:rPr>
                <w:b/>
                <w:i/>
              </w:rPr>
              <w:t>, močno</w:t>
            </w:r>
            <w:r>
              <w:t xml:space="preserve"> vplivajo na vzdržnost sistemov </w:t>
            </w:r>
            <w:r>
              <w:rPr>
                <w:b/>
                <w:i/>
              </w:rPr>
              <w:t>socialnega varstva in tako</w:t>
            </w:r>
            <w:r>
              <w:t xml:space="preserve"> predstavljajo strukturni izziv za </w:t>
            </w:r>
            <w:r>
              <w:rPr>
                <w:b/>
                <w:i/>
              </w:rPr>
              <w:t>evropsko</w:t>
            </w:r>
            <w:r>
              <w:t xml:space="preserve"> gospodarstvo</w:t>
            </w:r>
            <w:r>
              <w:rPr>
                <w:b/>
                <w:i/>
              </w:rPr>
              <w:t>, ter</w:t>
            </w:r>
            <w:r>
              <w:t xml:space="preserve"> ker je, kot je poudarjeno v Draghijevem poročilu, trajnostna rast v Evropi v veliki meri odvisna od </w:t>
            </w:r>
            <w:r>
              <w:rPr>
                <w:b/>
                <w:i/>
              </w:rPr>
              <w:t>vključevanja aktivnega prebivalstva</w:t>
            </w:r>
            <w:r>
              <w:t xml:space="preserve"> na trg dela </w:t>
            </w:r>
            <w:r>
              <w:rPr>
                <w:b/>
                <w:i/>
              </w:rPr>
              <w:t>in</w:t>
            </w:r>
            <w:r>
              <w:t xml:space="preserve"> od trdnega sistema socialnega varstva;</w:t>
            </w:r>
          </w:p>
        </w:tc>
        <w:tc>
          <w:tcPr>
            <w:tcW w:w="4876" w:type="dxa"/>
            <w:tcBorders>
              <w:top w:val="nil"/>
              <w:left w:val="nil"/>
              <w:bottom w:val="nil"/>
              <w:right w:val="nil"/>
            </w:tcBorders>
          </w:tcPr>
          <w:p>
            <w:pPr>
              <w:pStyle w:val="Normal6a"/>
            </w:pPr>
            <w:r>
              <w:t>B.</w:t>
            </w:r>
            <w:r>
              <w:tab/>
            </w:r>
            <w:r>
              <w:t xml:space="preserve">ker demografski </w:t>
            </w:r>
            <w:r>
              <w:rPr>
                <w:b/>
                <w:i/>
              </w:rPr>
              <w:t>razvoj, daljša življenjska doba</w:t>
            </w:r>
            <w:r>
              <w:t xml:space="preserve"> in odseljevanje s podeželja vplivajo na vzdržnost sistemov </w:t>
            </w:r>
            <w:r>
              <w:rPr>
                <w:b/>
                <w:i/>
              </w:rPr>
              <w:t>socialne zaščite in socialnih storitev ter zato</w:t>
            </w:r>
            <w:r>
              <w:t xml:space="preserve"> predstavljajo strukturni izziv za gospodarstvo </w:t>
            </w:r>
            <w:r>
              <w:rPr>
                <w:b/>
                <w:i/>
              </w:rPr>
              <w:t>EU in</w:t>
            </w:r>
            <w:r>
              <w:t xml:space="preserve"> ker je, kot je poudarjeno v Draghijevem poročilu, trajnostna rast v Evropi v veliki meri odvisna od </w:t>
            </w:r>
            <w:r>
              <w:rPr>
                <w:b/>
                <w:i/>
              </w:rPr>
              <w:t>učinkovitega in pravičnega vključevanja</w:t>
            </w:r>
            <w:r>
              <w:t xml:space="preserve"> na trg dela </w:t>
            </w:r>
            <w:r>
              <w:rPr>
                <w:b/>
                <w:i/>
              </w:rPr>
              <w:t>ter</w:t>
            </w:r>
            <w:r>
              <w:t xml:space="preserve"> od trdnega sistema socialnega varstva;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ker so, kot je poudarjeno v Draghijevem poročilu, delavci migranti pomemben dejavnik pri zmanjševanju pomanjkanja delovne sile in pogosteje delajo v trajno deficitarnih poklicih kot delavci, rojeni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B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ker je 70 % delavcev v Evropi zaposlenih na kakovostnih delovnih mestih, 30 % pa jih dela na obremenjenih delovnih mestih, kjer je povpraševanje večje od razpoložljivih virov, kar vodi v splošno slabo kakovost delovnih mest.</w:t>
            </w:r>
            <w:r>
              <w:t xml:space="preserve"> </w:t>
            </w:r>
            <w:r>
              <w:rPr>
                <w:b/>
                <w:i/>
              </w:rPr>
              <w:t>V številnih trajno deficitarnih poklicih je delež nizkokakovostnih delovnih mest višji od 30 %;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poročilo Enrica Lette obžaluje zmanjšanje rodnosti in opozarja na pomen oblikovanja okvira, ki bo podpiral vse </w:t>
            </w:r>
            <w:r>
              <w:rPr>
                <w:b/>
                <w:i/>
              </w:rPr>
              <w:t>družine</w:t>
            </w:r>
            <w:r>
              <w:t xml:space="preserve"> v strategiji vključujoče rasti ter poudarja, da je treba spodbujati politike usklajevanja </w:t>
            </w:r>
            <w:r>
              <w:rPr>
                <w:b/>
                <w:i/>
              </w:rPr>
              <w:t>družinskega in poklicnega</w:t>
            </w:r>
            <w:r>
              <w:t xml:space="preserve"> življenja;</w:t>
            </w:r>
          </w:p>
        </w:tc>
        <w:tc>
          <w:tcPr>
            <w:tcW w:w="4876" w:type="dxa"/>
            <w:tcBorders>
              <w:top w:val="nil"/>
              <w:left w:val="nil"/>
              <w:bottom w:val="nil"/>
              <w:right w:val="nil"/>
            </w:tcBorders>
          </w:tcPr>
          <w:p>
            <w:pPr>
              <w:pStyle w:val="Normal6a"/>
            </w:pPr>
            <w:r>
              <w:t>C.</w:t>
            </w:r>
            <w:r>
              <w:tab/>
            </w:r>
            <w:r>
              <w:t xml:space="preserve">ker poročilo Enrica Lette obžaluje zmanjšanje rodnosti in opozarja na pomen oblikovanja okvira, ki bo </w:t>
            </w:r>
            <w:r>
              <w:rPr>
                <w:b/>
                <w:i/>
              </w:rPr>
              <w:t>izboljšal enakost spolov in</w:t>
            </w:r>
            <w:r>
              <w:t xml:space="preserve"> podpiral vse </w:t>
            </w:r>
            <w:r>
              <w:rPr>
                <w:b/>
                <w:i/>
              </w:rPr>
              <w:t>oblike družin in vse vrste posameznikov, vključno s starši samohranilci,</w:t>
            </w:r>
            <w:r>
              <w:t xml:space="preserve"> v strategiji vključujoče rasti ter poudarja, da je treba spodbujati politike usklajevanja </w:t>
            </w:r>
            <w:r>
              <w:rPr>
                <w:b/>
                <w:i/>
              </w:rPr>
              <w:t>poklicnega in zasebnega</w:t>
            </w:r>
            <w:r>
              <w:t xml:space="preserve"> življenja</w:t>
            </w:r>
            <w:r>
              <w:rPr>
                <w:b/>
                <w:i/>
              </w:rPr>
              <w:t>, ki bodo zagotavljale dostopne in strokovne sisteme varstva, pa tudi kakovostno javno izobraževanje, dopust iz družinskih razlogov in prožne ureditve dela v skladu z evropsko strategijo oskrbe;</w:t>
            </w:r>
            <w:r>
              <w:t xml:space="preserve"> </w:t>
            </w:r>
            <w:r>
              <w:rPr>
                <w:b/>
                <w:i/>
              </w:rPr>
              <w:t>ker Eurostat poudarja, da se je zaradi migracij povečalo število prebivalcev EU in da si je treba bolj prizadevati za njihovo vključevanje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poročilo Enrica Lette </w:t>
            </w:r>
            <w:r>
              <w:rPr>
                <w:b/>
                <w:i/>
              </w:rPr>
              <w:t>obžaluje zmanjšanje rodnosti in opozarja na pomen oblikovanja okvira, ki bo podpiral vse družine v strategiji vključujoče rasti ter poudarja</w:t>
            </w:r>
            <w:r>
              <w:t xml:space="preserve">, da je </w:t>
            </w:r>
            <w:r>
              <w:rPr>
                <w:b/>
                <w:i/>
              </w:rPr>
              <w:t>treba spodbujati politike usklajevanja družinskega in poklicnega življenja</w:t>
            </w:r>
            <w:r>
              <w:t>;</w:t>
            </w:r>
          </w:p>
        </w:tc>
        <w:tc>
          <w:tcPr>
            <w:tcW w:w="4876" w:type="dxa"/>
            <w:tcBorders>
              <w:top w:val="nil"/>
              <w:left w:val="nil"/>
              <w:bottom w:val="nil"/>
              <w:right w:val="nil"/>
            </w:tcBorders>
          </w:tcPr>
          <w:p>
            <w:pPr>
              <w:pStyle w:val="Normal6a"/>
            </w:pPr>
            <w:r>
              <w:t>C.</w:t>
            </w:r>
            <w:r>
              <w:tab/>
            </w:r>
            <w:r>
              <w:t xml:space="preserve">ker poročilo Enrica Lette </w:t>
            </w:r>
            <w:r>
              <w:rPr>
                <w:b/>
                <w:i/>
              </w:rPr>
              <w:t>poudarja, da je potrebna močna socialna razsežnost enotnega trga EU, da bi preprečili večje ekonomske in socialne razlike, spodbudili blaginjo, zagotovili pravične priložnosti, pravice delavcev in socialno zaščito za vse, hkrati pa prispevali k vključujoči rasti in konkurenčnosti v skladu s stebrom socialnih pravic;</w:t>
            </w:r>
            <w:r>
              <w:t xml:space="preserve"> </w:t>
            </w:r>
            <w:r>
              <w:rPr>
                <w:b/>
                <w:i/>
              </w:rPr>
              <w:t>ker poročilo ugotavlja</w:t>
            </w:r>
            <w:r>
              <w:t xml:space="preserve">, da je </w:t>
            </w:r>
            <w:r>
              <w:rPr>
                <w:b/>
                <w:i/>
              </w:rPr>
              <w:t>prosto gibanje oseb še vedno najmanj razvita od štirih svoboščin, in se zavzema za zmanjšanje ovir za delovno mobilnost znotraj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poročilo Enrica Lette </w:t>
            </w:r>
            <w:r>
              <w:rPr>
                <w:b/>
                <w:i/>
              </w:rPr>
              <w:t>obžaluje zmanjšanje</w:t>
            </w:r>
            <w:r>
              <w:t xml:space="preserve"> rodnosti in </w:t>
            </w:r>
            <w:r>
              <w:rPr>
                <w:b/>
                <w:i/>
              </w:rPr>
              <w:t>opozarja na</w:t>
            </w:r>
            <w:r>
              <w:t xml:space="preserve"> pomen oblikovanja okvira, ki bo podpiral </w:t>
            </w:r>
            <w:r>
              <w:rPr>
                <w:b/>
                <w:i/>
              </w:rPr>
              <w:t>vse družine v strategiji</w:t>
            </w:r>
            <w:r>
              <w:t xml:space="preserve"> vključujoče rasti ter poudarja, da je treba spodbujati politike usklajevanja družinskega in poklicnega življenja;</w:t>
            </w:r>
          </w:p>
        </w:tc>
        <w:tc>
          <w:tcPr>
            <w:tcW w:w="4876" w:type="dxa"/>
            <w:tcBorders>
              <w:top w:val="nil"/>
              <w:left w:val="nil"/>
              <w:bottom w:val="nil"/>
              <w:right w:val="nil"/>
            </w:tcBorders>
          </w:tcPr>
          <w:p>
            <w:pPr>
              <w:pStyle w:val="Normal6a"/>
            </w:pPr>
            <w:r>
              <w:t>C.</w:t>
            </w:r>
            <w:r>
              <w:tab/>
            </w:r>
            <w:r>
              <w:t>ker poročilo Enrica Lette </w:t>
            </w:r>
            <w:r>
              <w:rPr>
                <w:b/>
                <w:i/>
              </w:rPr>
              <w:t>ugotavlja upadanje</w:t>
            </w:r>
            <w:r>
              <w:t xml:space="preserve"> rodnosti in </w:t>
            </w:r>
            <w:r>
              <w:rPr>
                <w:b/>
                <w:i/>
              </w:rPr>
              <w:t>poudarja</w:t>
            </w:r>
            <w:r>
              <w:t xml:space="preserve"> pomen oblikovanja okvira, ki bo podpiral </w:t>
            </w:r>
            <w:r>
              <w:rPr>
                <w:b/>
                <w:i/>
              </w:rPr>
              <w:t>vsakogar v naši družbi med to krizo življenjskih stroškov brez primere kot del strategije</w:t>
            </w:r>
            <w:r>
              <w:t> vključujoče rasti ter poudarja, da je treba spodbujati politike usklajevanja družinskega in poklicnega življenja</w:t>
            </w:r>
            <w:r>
              <w:rPr>
                <w:b/>
                <w:i/>
              </w:rPr>
              <w:t> za vse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ker poročilo Enrica Lette obžaluje zmanjšanje rodnosti in opozarja na pomen oblikovanja okvira, ki bo podpiral vse družine v strategiji vključujoče rasti ter poudarja, da je treba spodbujati politike usklajevanja družinskega in poklicnega življenja;</w:t>
            </w:r>
          </w:p>
        </w:tc>
        <w:tc>
          <w:tcPr>
            <w:tcW w:w="4876" w:type="dxa"/>
            <w:tcBorders>
              <w:top w:val="nil"/>
              <w:left w:val="nil"/>
              <w:bottom w:val="nil"/>
              <w:right w:val="nil"/>
            </w:tcBorders>
          </w:tcPr>
          <w:p>
            <w:pPr>
              <w:pStyle w:val="Normal6a"/>
            </w:pPr>
            <w:r>
              <w:t>C.</w:t>
            </w:r>
            <w:r>
              <w:tab/>
            </w:r>
            <w:r>
              <w:t xml:space="preserve">ker poročilo Enrica Lette obžaluje zmanjšanje rodnosti in opozarja na pomen oblikovanja </w:t>
            </w:r>
            <w:r>
              <w:rPr>
                <w:b/>
                <w:i/>
              </w:rPr>
              <w:t>celovitega</w:t>
            </w:r>
            <w:r>
              <w:t xml:space="preserve"> okvira, ki bo podpiral vse družine v strategiji vključujoče rasti ter poudarja, da je treba spodbujati politike usklajevanja družinskega in poklicnega življenja;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ker poročilo Enrica Lette obžaluje zmanjšanje rodnosti in opozarja </w:t>
            </w:r>
            <w:r>
              <w:rPr>
                <w:b/>
                <w:i/>
              </w:rPr>
              <w:t>na pomen oblikovanja okvira</w:t>
            </w:r>
            <w:r>
              <w:t xml:space="preserve">, ki bo podpiral vse družine </w:t>
            </w:r>
            <w:r>
              <w:rPr>
                <w:b/>
                <w:i/>
              </w:rPr>
              <w:t>v strategiji vključujoče rasti</w:t>
            </w:r>
            <w:r>
              <w:t xml:space="preserve"> ter poudarja, da je treba spodbujati </w:t>
            </w:r>
            <w:r>
              <w:rPr>
                <w:b/>
                <w:i/>
              </w:rPr>
              <w:t>politike usklajevanja družinskega in poklicnega življenja</w:t>
            </w:r>
            <w:r>
              <w:t>;</w:t>
            </w:r>
          </w:p>
        </w:tc>
        <w:tc>
          <w:tcPr>
            <w:tcW w:w="4876" w:type="dxa"/>
            <w:tcBorders>
              <w:top w:val="nil"/>
              <w:left w:val="nil"/>
              <w:bottom w:val="nil"/>
              <w:right w:val="nil"/>
            </w:tcBorders>
          </w:tcPr>
          <w:p>
            <w:pPr>
              <w:pStyle w:val="Normal6a"/>
            </w:pPr>
            <w:r>
              <w:t>C.</w:t>
            </w:r>
            <w:r>
              <w:tab/>
            </w:r>
            <w:r>
              <w:t>ker poročilo Enrica Lette obžaluje zmanjšanje rodnosti in opozarja</w:t>
            </w:r>
            <w:r>
              <w:rPr>
                <w:b/>
                <w:i/>
              </w:rPr>
              <w:t>, kako pomembno je v okviru strategije vključujoče rasti oblikovati okvir</w:t>
            </w:r>
            <w:r>
              <w:t xml:space="preserve">, ki bo podpiral vse družine </w:t>
            </w:r>
            <w:r>
              <w:rPr>
                <w:b/>
                <w:i/>
              </w:rPr>
              <w:t>evropskih državljanov,</w:t>
            </w:r>
            <w:r>
              <w:t> ter poudarja, da je treba spodbujati </w:t>
            </w:r>
            <w:r>
              <w:rPr>
                <w:b/>
                <w:i/>
              </w:rPr>
              <w:t>družinam prijazne politike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ker je lahko pristop, da je treba gospodarsko rast, ki bo močna, trajnostna in vključujoča, spodbujati tako, da se ustvarjajo delovna mesta, kot je priporočeno v evropskem semestru, uspešen le, če se bodo lahko otroci sami odločali o svojem razvoju in bodo lahko v celoti izkoristili svoj (izobraževalni) potencial, da bodo opremljeni za prihodnji trg kvalificirane delovne sile, in če se bodo hkrati spodbujale enake možnosti in socialna kohezija, ob tem pa tudi zmanjšale zdravstvene in socialne neenakosti ter okrepila socialna vključenost in blagostanje otrok;</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ker je treba v ta namen poskrbeti za to, da lahko otroci dejansko dostopajo do osnovnih storitev varstva, kot so vzgoja in varstvo predšolskih otrok, izobraževalne in šolske dejavnosti ter zlasti osnovno zdravstveno varstvo, in da se jim za krepitev odpornosti dejansko omogoči zdrava prehrana, vključno z vsaj enim zdravim obrokom vsak šolski dan;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ker je treba ciljno okrepiti družine za boljši razvoj prihodnjih generacij;</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C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ker je treba doseči znaten napredek v boju proti revščini otrok in njihov družin ter pri prispevanju k dosegi cilja, da bi število oseb, ki trpijo revščino, do leta 2030 zmanjšali za vsaj 15 milijonov, med katerimi mora biti vsaj 5 milijonov otrok v vseh državah članicah;</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w:t>
            </w:r>
            <w:r>
              <w:rPr>
                <w:b/>
                <w:i/>
              </w:rPr>
              <w:t>se je zaradi</w:t>
            </w:r>
            <w:r>
              <w:t xml:space="preserve"> inflacije </w:t>
            </w:r>
            <w:r>
              <w:rPr>
                <w:b/>
                <w:i/>
              </w:rPr>
              <w:t>povečalo</w:t>
            </w:r>
            <w:r>
              <w:t xml:space="preserve"> breme za gospodinjstva, stanovanjski stroški </w:t>
            </w:r>
            <w:r>
              <w:rPr>
                <w:b/>
                <w:i/>
              </w:rPr>
              <w:t>in</w:t>
            </w:r>
            <w:r>
              <w:t xml:space="preserve"> energetska revščina pa ostajajo </w:t>
            </w:r>
            <w:r>
              <w:rPr>
                <w:b/>
                <w:i/>
              </w:rPr>
              <w:t>glavni problemi</w:t>
            </w:r>
            <w:r>
              <w:t>;</w:t>
            </w:r>
          </w:p>
        </w:tc>
        <w:tc>
          <w:tcPr>
            <w:tcW w:w="4876" w:type="dxa"/>
            <w:tcBorders>
              <w:top w:val="nil"/>
              <w:left w:val="nil"/>
              <w:bottom w:val="nil"/>
              <w:right w:val="nil"/>
            </w:tcBorders>
          </w:tcPr>
          <w:p>
            <w:pPr>
              <w:pStyle w:val="Normal6a"/>
            </w:pPr>
            <w:r>
              <w:t>D.</w:t>
            </w:r>
            <w:r>
              <w:tab/>
            </w:r>
            <w:r>
              <w:t xml:space="preserve">ker </w:t>
            </w:r>
            <w:r>
              <w:rPr>
                <w:b/>
                <w:i/>
              </w:rPr>
              <w:t>so se zaradi visoke stopnje</w:t>
            </w:r>
            <w:r>
              <w:t xml:space="preserve"> inflacije </w:t>
            </w:r>
            <w:r>
              <w:rPr>
                <w:b/>
                <w:i/>
              </w:rPr>
              <w:t>zvišali življenjski stroški,</w:t>
            </w:r>
            <w:r>
              <w:t xml:space="preserve"> breme za gospodinjstva, stanovanjski stroški</w:t>
            </w:r>
            <w:r>
              <w:rPr>
                <w:b/>
                <w:i/>
              </w:rPr>
              <w:t>,</w:t>
            </w:r>
            <w:r>
              <w:t xml:space="preserve"> energetska revščina </w:t>
            </w:r>
            <w:r>
              <w:rPr>
                <w:b/>
                <w:i/>
              </w:rPr>
              <w:t>in socialna izključenost</w:t>
            </w:r>
            <w:r>
              <w:t xml:space="preserve"> pa ostajajo </w:t>
            </w:r>
            <w:r>
              <w:rPr>
                <w:b/>
                <w:i/>
              </w:rPr>
              <w:t>ključni izzivi v EU, ki zlasti prizadenejo ženske, mlade, otroke, invalide, osebe LGBTI, osebe z migrantskim ozadjem in Rome, pri čemer obstajajo velike razlike med državami članicami in skupinami prebivalstva ter znotraj njih;</w:t>
            </w:r>
            <w:r>
              <w:t xml:space="preserve"> </w:t>
            </w:r>
            <w:r>
              <w:rPr>
                <w:b/>
                <w:i/>
              </w:rPr>
              <w:t>ker stanovanja postajajo nedosegljiva, saj veliko Evropejcev živi v gospodinjstvih, kjer stanovanjski stroški predstavljajo 40 % njihovega skupnega razpoložljivega dohodka;</w:t>
            </w:r>
            <w:r>
              <w:t xml:space="preserve"> </w:t>
            </w:r>
            <w:r>
              <w:rPr>
                <w:b/>
                <w:i/>
              </w:rPr>
              <w:t>ker so dostojna, kakovostna in cenovno dostopna stanovanja, tudi v obliki socialnih stanovanj, osnovni pogoj za zagotavljanje enakih možnosti in boj proti revščini in/ali socialni izključenosti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se je zaradi inflacije povečalo breme za gospodinjstva</w:t>
            </w:r>
            <w:r>
              <w:rPr>
                <w:b/>
                <w:i/>
              </w:rPr>
              <w:t>, stanovanjski</w:t>
            </w:r>
            <w:r>
              <w:t xml:space="preserve"> stroški </w:t>
            </w:r>
            <w:r>
              <w:rPr>
                <w:b/>
                <w:i/>
              </w:rPr>
              <w:t>in</w:t>
            </w:r>
            <w:r>
              <w:t xml:space="preserve"> energetska </w:t>
            </w:r>
            <w:r>
              <w:rPr>
                <w:b/>
                <w:i/>
              </w:rPr>
              <w:t>revščina pa</w:t>
            </w:r>
            <w:r>
              <w:t xml:space="preserve"> ostajajo glavni problemi;</w:t>
            </w:r>
          </w:p>
        </w:tc>
        <w:tc>
          <w:tcPr>
            <w:tcW w:w="4876" w:type="dxa"/>
            <w:tcBorders>
              <w:top w:val="nil"/>
              <w:left w:val="nil"/>
              <w:bottom w:val="nil"/>
              <w:right w:val="nil"/>
            </w:tcBorders>
          </w:tcPr>
          <w:p>
            <w:pPr>
              <w:pStyle w:val="Normal6a"/>
            </w:pPr>
            <w:r>
              <w:t>D.</w:t>
            </w:r>
            <w:r>
              <w:tab/>
            </w:r>
            <w:r>
              <w:t xml:space="preserve">ker se je zaradi inflacije povečalo breme za gospodinjstva </w:t>
            </w:r>
            <w:r>
              <w:rPr>
                <w:b/>
                <w:i/>
              </w:rPr>
              <w:t>ter mala in srednja podjetja, kar povečuje tveganje revščine in socialne izključenosti;</w:t>
            </w:r>
            <w:r>
              <w:t xml:space="preserve"> </w:t>
            </w:r>
            <w:r>
              <w:rPr>
                <w:b/>
                <w:i/>
              </w:rPr>
              <w:t>ker življenjski</w:t>
            </w:r>
            <w:r>
              <w:t xml:space="preserve"> stroški</w:t>
            </w:r>
            <w:r>
              <w:rPr>
                <w:b/>
                <w:i/>
              </w:rPr>
              <w:t>, razpoložljivost in cenovna dostopnost stanovanj ter</w:t>
            </w:r>
            <w:r>
              <w:t xml:space="preserve"> energetska </w:t>
            </w:r>
            <w:r>
              <w:rPr>
                <w:b/>
                <w:i/>
              </w:rPr>
              <w:t>in prometna revščina</w:t>
            </w:r>
            <w:r>
              <w:t xml:space="preserve"> ostajajo glavni problemi; </w:t>
            </w:r>
            <w:r>
              <w:rPr>
                <w:b/>
                <w:i/>
              </w:rPr>
              <w:t>ker imajo naložbe v socialne storitve in povečanje ponudbe stanovanj, vključno s socialnimi stanovanji, pa tudi stanovanjski dodatek, ključno vlogo pri zmanjševanju revščine v ranljivih gospodinjstvih in izboljšanju cenovne dostopnosti;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se je zaradi inflacije povečalo breme za gospodinjstva, stanovanjski stroški in energetska revščina </w:t>
            </w:r>
            <w:r>
              <w:rPr>
                <w:b/>
                <w:i/>
              </w:rPr>
              <w:t>pa ostajajo glavni problemi</w:t>
            </w:r>
            <w:r>
              <w:t>;</w:t>
            </w:r>
          </w:p>
        </w:tc>
        <w:tc>
          <w:tcPr>
            <w:tcW w:w="4876" w:type="dxa"/>
            <w:tcBorders>
              <w:top w:val="nil"/>
              <w:left w:val="nil"/>
              <w:bottom w:val="nil"/>
              <w:right w:val="nil"/>
            </w:tcBorders>
          </w:tcPr>
          <w:p>
            <w:pPr>
              <w:pStyle w:val="Normal6a"/>
            </w:pPr>
            <w:r>
              <w:t>D.</w:t>
            </w:r>
            <w:r>
              <w:tab/>
            </w:r>
            <w:r>
              <w:t xml:space="preserve">ker se je zaradi inflacije povečalo breme za gospodinjstva, stanovanjski stroški in energetska revščina </w:t>
            </w:r>
            <w:r>
              <w:rPr>
                <w:b/>
                <w:i/>
              </w:rPr>
              <w:t>v EU pa so se leta 2023 povečali že drugo leto zapored zaradi visokih stroškov energije, kar zahteva aktivne ukrepe držav članic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se je zaradi inflacije povečalo breme za gospodinjstva, stanovanjski stroški in energetska revščina pa ostajajo glavni problemi;</w:t>
            </w:r>
          </w:p>
        </w:tc>
        <w:tc>
          <w:tcPr>
            <w:tcW w:w="4876" w:type="dxa"/>
            <w:tcBorders>
              <w:top w:val="nil"/>
              <w:left w:val="nil"/>
              <w:bottom w:val="nil"/>
              <w:right w:val="nil"/>
            </w:tcBorders>
          </w:tcPr>
          <w:p>
            <w:pPr>
              <w:pStyle w:val="Normal6a"/>
            </w:pPr>
            <w:r>
              <w:t>D.</w:t>
            </w:r>
            <w:r>
              <w:tab/>
            </w:r>
            <w:r>
              <w:t xml:space="preserve">ker se je zaradi inflacije povečalo breme za gospodinjstva, </w:t>
            </w:r>
            <w:r>
              <w:rPr>
                <w:b/>
                <w:i/>
              </w:rPr>
              <w:t>kar je zlasti negativno vplivalo na starše samohranilce, velike družine, starejše ali invalide,</w:t>
            </w:r>
            <w:r>
              <w:t xml:space="preserve"> stanovanjski stroški in energetska revščina pa ostajajo glavni problemi;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ker se je zaradi inflacije povečalo breme za gospodinjstva, stanovanjski stroški in energetska revščina pa ostajajo glavni </w:t>
            </w:r>
            <w:r>
              <w:rPr>
                <w:b/>
                <w:i/>
              </w:rPr>
              <w:t>problemi</w:t>
            </w:r>
            <w:r>
              <w:t>;</w:t>
            </w:r>
          </w:p>
        </w:tc>
        <w:tc>
          <w:tcPr>
            <w:tcW w:w="4876" w:type="dxa"/>
            <w:tcBorders>
              <w:top w:val="nil"/>
              <w:left w:val="nil"/>
              <w:bottom w:val="nil"/>
              <w:right w:val="nil"/>
            </w:tcBorders>
          </w:tcPr>
          <w:p>
            <w:pPr>
              <w:pStyle w:val="Normal6a"/>
            </w:pPr>
            <w:r>
              <w:t>D.</w:t>
            </w:r>
            <w:r>
              <w:tab/>
            </w:r>
            <w:r>
              <w:t xml:space="preserve">ker se je zaradi inflacije </w:t>
            </w:r>
            <w:r>
              <w:rPr>
                <w:b/>
                <w:i/>
              </w:rPr>
              <w:t>in pomanjkanja prerazporeditvenih politik</w:t>
            </w:r>
            <w:r>
              <w:t xml:space="preserve"> povečalo </w:t>
            </w:r>
            <w:r>
              <w:rPr>
                <w:b/>
                <w:i/>
              </w:rPr>
              <w:t>gospodarsko</w:t>
            </w:r>
            <w:r>
              <w:t xml:space="preserve"> breme za gospodinjstva, </w:t>
            </w:r>
            <w:r>
              <w:rPr>
                <w:b/>
                <w:i/>
              </w:rPr>
              <w:t>zlasti najranljivejša;</w:t>
            </w:r>
            <w:r>
              <w:t xml:space="preserve"> stanovanjski stroški in energetska revščina pa ostajajo glavni </w:t>
            </w:r>
            <w:r>
              <w:rPr>
                <w:b/>
                <w:i/>
              </w:rPr>
              <w:t>problem po vsej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ker se je zaradi inflacije povečalo breme za gospodinjstva, stanovanjski stroški in energetska revščina pa ostajajo glavni problemi;</w:t>
            </w:r>
          </w:p>
        </w:tc>
        <w:tc>
          <w:tcPr>
            <w:tcW w:w="4876" w:type="dxa"/>
            <w:tcBorders>
              <w:top w:val="nil"/>
              <w:left w:val="nil"/>
              <w:bottom w:val="nil"/>
              <w:right w:val="nil"/>
            </w:tcBorders>
          </w:tcPr>
          <w:p>
            <w:pPr>
              <w:pStyle w:val="Normal6a"/>
            </w:pPr>
            <w:r>
              <w:t>D.</w:t>
            </w:r>
            <w:r>
              <w:tab/>
            </w:r>
            <w:r>
              <w:t xml:space="preserve">ker se je zaradi inflacije povečalo breme za gospodinjstva, stanovanjski stroški in energetska revščina </w:t>
            </w:r>
            <w:r>
              <w:rPr>
                <w:b/>
                <w:i/>
              </w:rPr>
              <w:t>kot posledica previsokih stanovanjskih in energetskih standardov</w:t>
            </w:r>
            <w:r>
              <w:t xml:space="preserve"> pa ostajajo glavni problemi;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srednjeročni fiskalno-strukturni načrti odražajo fiskalne usmeritve, ki potrjujejo nastajajoči kompromis med povečanimi naložbami in ustrezno ravnjo socialnih izdatkov;</w:t>
            </w:r>
            <w:r>
              <w:t xml:space="preserve"> </w:t>
            </w:r>
            <w:r>
              <w:rPr>
                <w:b/>
                <w:i/>
              </w:rPr>
              <w:t>ker kažejo tudi na neskladje med reformami in naložbami ter cilji javnih naložb in javnih financ;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ker se je število ljudi s tveganjem revščine ali socialne izključenosti v letu 2023 v EU sicer rahlo zmanjšalo, vendar se približno vsaka peta oseba še vedno sooča s tem izzivom, pri čemer so velike razlike med otroki, mladimi in starejšimi, invalidi, osebami LGBTI, posamezniki, ki niso rojeni v EU, in romskimi skupnostmi;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D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ker se evropska mikro, mala in srednja podjetja srečujejo s posebnimi izzivi, kot so ohranjanje konkurenčnosti v primerjavi z akterji iz tretjih držav, ohranjanje ravni proizvodnje ob vse višjih stroških energije ter zagotavljanje potrebnih znanj in spretnosti za zeleni in digitalni prehod;</w:t>
            </w:r>
            <w:r>
              <w:t xml:space="preserve"> </w:t>
            </w:r>
            <w:r>
              <w:rPr>
                <w:b/>
                <w:i/>
              </w:rPr>
              <w:t>ker potrebujejo finančno in tehnično podporo za izpolnjevanje regulativnih zahtev, ki izhajajo iz priložnosti, ki jih ponuja dvojni prehod;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je pomanjkanje delovne sile ter znanj in spretnosti</w:t>
            </w:r>
            <w:r>
              <w:t xml:space="preserve"> še vedno težava na vseh ravneh, ki se še povečuje zaradi pomanjkanja kandidatov za kritična delovna mesta v </w:t>
            </w:r>
            <w:r>
              <w:rPr>
                <w:b/>
                <w:i/>
              </w:rPr>
              <w:t>ključnih</w:t>
            </w:r>
            <w:r>
              <w:t xml:space="preserve"> panogah, kot </w:t>
            </w:r>
            <w:r>
              <w:rPr>
                <w:b/>
                <w:i/>
              </w:rPr>
              <w:t>so izobraževanje, zdravstvo in gradbeništvo</w:t>
            </w:r>
            <w:r>
              <w:t>, še posebej na območjih, ki jih je prizadelo odseljevanje;</w:t>
            </w:r>
          </w:p>
        </w:tc>
        <w:tc>
          <w:tcPr>
            <w:tcW w:w="4876" w:type="dxa"/>
            <w:tcBorders>
              <w:top w:val="nil"/>
              <w:left w:val="nil"/>
              <w:bottom w:val="nil"/>
              <w:right w:val="nil"/>
            </w:tcBorders>
          </w:tcPr>
          <w:p>
            <w:pPr>
              <w:pStyle w:val="Normal6a"/>
            </w:pPr>
            <w:r>
              <w:t>E.</w:t>
            </w:r>
            <w:r>
              <w:tab/>
            </w:r>
            <w:r>
              <w:t xml:space="preserve">ker </w:t>
            </w:r>
            <w:r>
              <w:rPr>
                <w:b/>
                <w:i/>
              </w:rPr>
              <w:t>so neprivlačnost kakovostnih javnih storitev in prenizke naložbe vanje, slabi delovni pogoji in nizke plače</w:t>
            </w:r>
            <w:r>
              <w:t xml:space="preserve"> še vedno težava na vseh ravneh, ki se še povečuje zaradi pomanjkanja kandidatov za kritična delovna mesta v </w:t>
            </w:r>
            <w:r>
              <w:rPr>
                <w:b/>
                <w:i/>
              </w:rPr>
              <w:t>nekaterih</w:t>
            </w:r>
            <w:r>
              <w:t xml:space="preserve"> panogah, kot </w:t>
            </w:r>
            <w:r>
              <w:rPr>
                <w:b/>
                <w:i/>
              </w:rPr>
              <w:t>sta znanost in tehnologija</w:t>
            </w:r>
            <w:r>
              <w:t xml:space="preserve">, še posebej na območjih, ki jih je prizadelo odseljevanje; </w:t>
            </w:r>
            <w:r>
              <w:rPr>
                <w:b/>
                <w:i/>
              </w:rPr>
              <w:t>ker je sposobnost EU, da se ob demografskem, digitalnem in zelenem prehodu spopade s prihodnjimi pretresi, krizami in polikrizami, močno odvisna od pogojev, v katerih bodo kritični delavci lahko opravljali svoje delo;</w:t>
            </w:r>
            <w:r>
              <w:t xml:space="preserve"> </w:t>
            </w:r>
            <w:r>
              <w:rPr>
                <w:b/>
                <w:i/>
              </w:rPr>
              <w:t>ker so za odpravo pomanjkanja talentov in ohranjanje vseh vrst talentov potrebni dostojni delovni pogoji, dostop do sistemov socialne zaščite in priložnosti za razvoj znanj in spretnosti, ki so prilagojeni potrebam;</w:t>
            </w:r>
            <w:r>
              <w:t xml:space="preserve"> </w:t>
            </w:r>
            <w:r>
              <w:rPr>
                <w:b/>
                <w:i/>
              </w:rPr>
              <w:t>ker je odprava pomanjkanja znanj in spretnosti ključnega pomena za uresničitev digitalnega in zelenega prehoda, vključujoče in trajnostne rasti ter za povečanje konkurenčnosti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je pomanjkanje</w:t>
            </w:r>
            <w:r>
              <w:t xml:space="preserve"> delovne sile ter znanj in spretnosti </w:t>
            </w:r>
            <w:r>
              <w:rPr>
                <w:b/>
                <w:i/>
              </w:rPr>
              <w:t>še vedno težava na vseh ravneh</w:t>
            </w:r>
            <w:r>
              <w:t>, ki se še povečuje zaradi pomanjkanja kandidatov za kritična delovna mesta v ključnih panogah, kot so izobraževanje, zdravstvo in gradbeništvo, še posebej na območjih, ki jih je prizadelo odseljevanje;</w:t>
            </w:r>
          </w:p>
        </w:tc>
        <w:tc>
          <w:tcPr>
            <w:tcW w:w="4876" w:type="dxa"/>
            <w:tcBorders>
              <w:top w:val="nil"/>
              <w:left w:val="nil"/>
              <w:bottom w:val="nil"/>
              <w:right w:val="nil"/>
            </w:tcBorders>
          </w:tcPr>
          <w:p>
            <w:pPr>
              <w:pStyle w:val="Normal6a"/>
            </w:pPr>
            <w:r>
              <w:t>E.</w:t>
            </w:r>
            <w:r>
              <w:tab/>
            </w:r>
            <w:r>
              <w:t xml:space="preserve">ker </w:t>
            </w:r>
            <w:r>
              <w:rPr>
                <w:b/>
                <w:i/>
              </w:rPr>
              <w:t>podjetja vseh velikosti in iz vseh sektorjev poročajo o pomanjkanju</w:t>
            </w:r>
            <w:r>
              <w:t xml:space="preserve"> delovne sile ter znanj in spretnosti, ki se še povečuje zaradi pomanjkanja kandidatov za kritična delovna mesta v ključnih panogah, kot so izobraževanje, zdravstvo in gradbeništvo, </w:t>
            </w:r>
            <w:r>
              <w:rPr>
                <w:b/>
                <w:i/>
              </w:rPr>
              <w:t>gostinstvo, oskrba, promet, znanost in inženirstvo,</w:t>
            </w:r>
            <w:r>
              <w:t xml:space="preserve"> še posebej na območjih, ki jih je prizadelo odseljevanje; </w:t>
            </w:r>
            <w:r>
              <w:rPr>
                <w:b/>
                <w:i/>
              </w:rPr>
              <w:t>ker je EU začela izvajati več pobud za obravnavo pomanjkanja znanj in spretnosti, kot so evropski program spretnosti, Pakt za spretnosti, pobuda ALMA in akademije za neto ničelne industrije;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je pomanjkanje delovne sile ter znanj in spretnosti še vedno težava na vseh ravneh, </w:t>
            </w:r>
            <w:r>
              <w:rPr>
                <w:b/>
                <w:i/>
              </w:rPr>
              <w:t>ki se še povečuje zaradi pomanjkanja</w:t>
            </w:r>
            <w:r>
              <w:t xml:space="preserve"> kandidatov za kritična delovna mesta v ključnih panogah, kot so izobraževanje, zdravstvo in gradbeništvo, še posebej na območjih, ki jih je prizadelo odseljevanje;</w:t>
            </w:r>
          </w:p>
        </w:tc>
        <w:tc>
          <w:tcPr>
            <w:tcW w:w="4876" w:type="dxa"/>
            <w:tcBorders>
              <w:top w:val="nil"/>
              <w:left w:val="nil"/>
              <w:bottom w:val="nil"/>
              <w:right w:val="nil"/>
            </w:tcBorders>
          </w:tcPr>
          <w:p>
            <w:pPr>
              <w:pStyle w:val="Normal6a"/>
            </w:pPr>
            <w:r>
              <w:t>E.</w:t>
            </w:r>
            <w:r>
              <w:tab/>
            </w:r>
            <w:r>
              <w:t xml:space="preserve">ker je pomanjkanje delovne sile ter znanj in spretnosti </w:t>
            </w:r>
            <w:r>
              <w:rPr>
                <w:b/>
                <w:i/>
              </w:rPr>
              <w:t>zaradi težkih delovnih pogojev, slabih plač, pomanjkanja usposabljanj, ovir pri dostopu do srednje- in visokošolskega izobraževanja ter nepriznavanja znanj in spretnosti ter izobrazbe</w:t>
            </w:r>
            <w:r>
              <w:t xml:space="preserve"> še vedno težava na vseh ravneh, </w:t>
            </w:r>
            <w:r>
              <w:rPr>
                <w:b/>
                <w:i/>
              </w:rPr>
              <w:t>zaradi česar ni dovolj</w:t>
            </w:r>
            <w:r>
              <w:t xml:space="preserve"> kandidatov za kritična delovna mesta v ključnih panogah, kot so izobraževanje, zdravstvo in gradbeništvo</w:t>
            </w:r>
            <w:r>
              <w:rPr>
                <w:b/>
                <w:i/>
              </w:rPr>
              <w:t>,</w:t>
            </w:r>
            <w:r>
              <w:t>, še posebej na območjih, ki jih je prizadelo odseljevanje;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je pomanjkanje delovne sile ter znanj in spretnosti še vedno težava na vseh ravneh, </w:t>
            </w:r>
            <w:r>
              <w:rPr>
                <w:b/>
                <w:i/>
              </w:rPr>
              <w:t>ki se še povečuje zaradi pomanjkanja</w:t>
            </w:r>
            <w:r>
              <w:t xml:space="preserve"> kandidatov za kritična delovna mesta v </w:t>
            </w:r>
            <w:r>
              <w:rPr>
                <w:b/>
                <w:i/>
              </w:rPr>
              <w:t>ključnih panogah</w:t>
            </w:r>
            <w:r>
              <w:t>, kot so izobraževanje, zdravstvo in gradbeništvo, še posebej na območjih, ki jih je prizadelo odseljevanje;</w:t>
            </w:r>
          </w:p>
        </w:tc>
        <w:tc>
          <w:tcPr>
            <w:tcW w:w="4876" w:type="dxa"/>
            <w:tcBorders>
              <w:top w:val="nil"/>
              <w:left w:val="nil"/>
              <w:bottom w:val="nil"/>
              <w:right w:val="nil"/>
            </w:tcBorders>
          </w:tcPr>
          <w:p>
            <w:pPr>
              <w:pStyle w:val="Normal6a"/>
            </w:pPr>
            <w:r>
              <w:t>E.</w:t>
            </w:r>
            <w:r>
              <w:tab/>
            </w:r>
            <w:r>
              <w:t xml:space="preserve">ker je pomanjkanje delovne sile ter znanj in spretnosti še vedno težava na vseh ravneh, </w:t>
            </w:r>
            <w:r>
              <w:rPr>
                <w:b/>
                <w:i/>
              </w:rPr>
              <w:t>vendar je udeležba odraslih v izobraževanju in usposabljanju še vedno precej pod ciljem EU, kar povzroča pomanjkanje</w:t>
            </w:r>
            <w:r>
              <w:t xml:space="preserve"> kandidatov za kritična delovna mesta v </w:t>
            </w:r>
            <w:r>
              <w:rPr>
                <w:b/>
                <w:i/>
              </w:rPr>
              <w:t>panogah, v katerih je težko nadomestiti človeško delo</w:t>
            </w:r>
            <w:r>
              <w:t>, kot so izobraževanje, zdravstvo in gradbeništvo, še posebej na območjih, ki jih je prizadelo odseljevanje;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ker je pomanjkanje delovne sile ter znanj in spretnosti še vedno težava na vseh ravneh, ki se še povečuje zaradi pomanjkanja kandidatov za kritična delovna mesta v ključnih panogah, kot so izobraževanje, zdravstvo in gradbeništvo, še posebej na območjih, ki jih je prizadelo odseljevanje;</w:t>
            </w:r>
          </w:p>
        </w:tc>
        <w:tc>
          <w:tcPr>
            <w:tcW w:w="4876" w:type="dxa"/>
            <w:tcBorders>
              <w:top w:val="nil"/>
              <w:left w:val="nil"/>
              <w:bottom w:val="nil"/>
              <w:right w:val="nil"/>
            </w:tcBorders>
          </w:tcPr>
          <w:p>
            <w:pPr>
              <w:pStyle w:val="Normal6a"/>
            </w:pPr>
            <w:r>
              <w:t>E.</w:t>
            </w:r>
            <w:r>
              <w:tab/>
            </w:r>
            <w:r>
              <w:t xml:space="preserve">ker je pomanjkanje delovne sile ter znanj in spretnosti še vedno težava na vseh ravneh, ki se še povečuje zaradi pomanjkanja kandidatov za kritična delovna mesta v ključnih panogah, kot so izobraževanje, zdravstvo in </w:t>
            </w:r>
            <w:r>
              <w:rPr>
                <w:b/>
                <w:i/>
              </w:rPr>
              <w:t>oskrba ter</w:t>
            </w:r>
            <w:r>
              <w:t xml:space="preserve"> gradbeništvo, še posebej na območjih, ki jih je prizadelo odseljevanje;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ker </w:t>
            </w:r>
            <w:r>
              <w:rPr>
                <w:b/>
                <w:i/>
              </w:rPr>
              <w:t>je pomanjkanje delovne sile ter znanj in spretnosti še vedno težava na vseh ravneh, ki se še povečuje zaradi pomanjkanja kandidatov za kritična delovna mesta</w:t>
            </w:r>
            <w:r>
              <w:t xml:space="preserve"> v ključnih panogah, kot so izobraževanje, zdravstvo in gradbeništvo, še posebej na območjih, ki jih je prizadelo odseljevanje;</w:t>
            </w:r>
          </w:p>
        </w:tc>
        <w:tc>
          <w:tcPr>
            <w:tcW w:w="4876" w:type="dxa"/>
            <w:tcBorders>
              <w:top w:val="nil"/>
              <w:left w:val="nil"/>
              <w:bottom w:val="nil"/>
              <w:right w:val="nil"/>
            </w:tcBorders>
          </w:tcPr>
          <w:p>
            <w:pPr>
              <w:pStyle w:val="Normal6a"/>
            </w:pPr>
            <w:r>
              <w:t>E.</w:t>
            </w:r>
            <w:r>
              <w:tab/>
            </w:r>
            <w:r>
              <w:t xml:space="preserve">ker </w:t>
            </w:r>
            <w:r>
              <w:rPr>
                <w:b/>
                <w:i/>
              </w:rPr>
              <w:t>neustrezne plače in neprimerni delovni pogoji znatno prispevajo k pomanjkanju delovne sile ter znanj in spretnosti</w:t>
            </w:r>
            <w:r>
              <w:t xml:space="preserve"> v ključnih panogah, kot so izobraževanje, zdravstvo in gradbeništvo, še posebej na območjih, ki jih je prizadelo odseljevanje;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bo spodbujanje mobilnosti znotraj EU in privabljanje kvalificiranih delavcev iz tretjih držav prav tako zagotavljalo spoštovanje in uveljavljanje delavskih in socialnih pravic ter državljane tretjih držav, ki vstopajo v EU prek zakonitih migracijskih poti, usmerjalo v deficitarne poklice, kar bo podprto z učinkovito politiko vključevanja, ki jo v celoti dopolnjuje izkoriščanje potenciala talentov iz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ker so kvalificirani delavci ter dostop do kakovostnega izobraževanja, poklicnega izobraževanja in usposabljanja ter vseživljenjskega učenja ključni za zagotovitev trajnostnega in pravičnega dvojnega prehoda evropskega gospodarstva;</w:t>
            </w:r>
            <w:r>
              <w:t xml:space="preserve"> </w:t>
            </w:r>
            <w:r>
              <w:rPr>
                <w:b/>
                <w:i/>
              </w:rPr>
              <w:t>ker morajo biti programi za izpopolnjevanje, preusposabljanje in usposabljanje na voljo vsem delavcem, tudi invalidom, in bi morali biti prilagojeni potrebam in zmogljivostim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ker se je leta 2022 povprečna ocena Programa mednarodne primerjave dosežkov učencev (PISA) za merjenje osnovnih znanj in spretnosti (branje, matematika in naravoslovje) petnajstletnikov v primerjavi z zadnjim merjenjem leta 2018 zmanjšala za 10 točk;</w:t>
            </w:r>
            <w:r>
              <w:t xml:space="preserve"> </w:t>
            </w:r>
            <w:r>
              <w:rPr>
                <w:b/>
                <w:i/>
              </w:rPr>
              <w:t>ker je slabši uspeh še posebej pogost med prikrajšanimi učenci, kar kaže na vse večjo neenakost v izobraževanju;</w:t>
            </w:r>
            <w:r>
              <w:t xml:space="preserve"> </w:t>
            </w:r>
            <w:r>
              <w:rPr>
                <w:b/>
                <w:i/>
              </w:rPr>
              <w:t>ker gre za zaskrbljujoče poslabšanje, ki zahteva reforme in naložbe v izobraževanje in usposabljanje;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ker so plačne vrzeli med spoloma v večini držav članic EU še vedno velike in ker so obveznosti oskrbe pomemben dejavnik, ki ženske še naprej sili v zaposlitev s krajšim delovnim časom ali vodi v njihovo izključitev s trga dela, kar še povečuje vrzel stopnje zaposlenosti med spoloma;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ker mora biti zeleni in digitalni prehod socialno pravičen in vključujoč za vse ter bi moral izkoristiti priložnost za ustvarjanje kakovostnih delovnih mest, boj proti diskriminaciji na delovnem mestu, zaščito pravic delavcev in dvig delovnih standardov;</w:t>
            </w:r>
            <w:r>
              <w:t xml:space="preserve"> </w:t>
            </w:r>
            <w:r>
              <w:rPr>
                <w:b/>
                <w:i/>
              </w:rPr>
              <w:t>ker je bistveno spodbujati ustvarjanje kakovostnih delovnih mest, močno socialno zaščito in ciljno usmerjene naložbe v znanja in spretnosti, ki ustrezajo novim zaposlitvenim priložnostim v zelenem in digitalnem sektorju, skupaj z dodatki za izobraževanje odraslih, da se vsem zagotovi dostop do kakovostnega izpopolnjevanja in preusposabljanja;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ker skupno poročilu o zaposlovanju poudarja pravico do odklopa, zlasti v zvezi z delom na daljavo, in priznava, da ima ta pravica ključno vlogo pri zagotavljanju usklajevanja poklicnega in zasebnega življenja v okviru vse večje digitalizacije in dela na daljavo;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ker so se leta 2024 pokazale težave v več panogah, kot sta avtomobilska proizvodnja in energetsko intenzivna industrija, podjetja pa so napovedala obsežna prestrukturiranja;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ker trenutno na ravni EU ni rednega zbiranja podatkov o naložbah in pokritosti s socialnimi storitvami;</w:t>
            </w:r>
            <w:r>
              <w:t xml:space="preserve"> </w:t>
            </w:r>
            <w:r>
              <w:rPr>
                <w:b/>
                <w:i/>
              </w:rPr>
              <w:t>zbiranje takih podatkov je ključno za analizo nacionalnih socialnih politik, ki temelji na dokazih, v okviru analize evropskega semestra;</w:t>
            </w:r>
            <w:r>
              <w:t xml:space="preserve"> </w:t>
            </w:r>
            <w:r>
              <w:rPr>
                <w:b/>
                <w:i/>
              </w:rPr>
              <w:t>to bi bilo treba obravnavati s skupno dogovorjenimi merili in standardi zbiranja podatkov za naložbe v socialne storitve in njihovo pokritost v državah članicah EU;</w:t>
            </w:r>
            <w:r>
              <w:t xml:space="preserve"> </w:t>
            </w:r>
            <w:r>
              <w:rPr>
                <w:b/>
                <w:i/>
              </w:rPr>
              <w:t>indeks socialnih storitev Evropske socialne mreže je primer, kako lahko tako zbiranje podatkov prispeva k analizi evropskega semestra;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E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ker obstajajo razlike v obsegu socialnih storitev, vključno z dolgotrajno oskrbo, zaščito otrok, podporo pri nasilju v družini in pomočjo brezdomcem, ki jih je treba obravnavati v okviru evropskega semestra,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w:t>
            </w:r>
            <w:r>
              <w:rPr>
                <w:b/>
                <w:i/>
              </w:rPr>
              <w:t>sta kriza pri generacijski pomladitvi in slab</w:t>
            </w:r>
            <w:r>
              <w:t xml:space="preserve"> dostop do javnih storitev </w:t>
            </w:r>
            <w:r>
              <w:rPr>
                <w:b/>
                <w:i/>
              </w:rPr>
              <w:t>povečala</w:t>
            </w:r>
            <w:r>
              <w:t xml:space="preserve"> tveganje revščine in socialne izključenosti, kar še posebej prizadene otroke in starejše;</w:t>
            </w:r>
          </w:p>
        </w:tc>
        <w:tc>
          <w:tcPr>
            <w:tcW w:w="4876" w:type="dxa"/>
            <w:tcBorders>
              <w:top w:val="nil"/>
              <w:left w:val="nil"/>
              <w:bottom w:val="nil"/>
              <w:right w:val="nil"/>
            </w:tcBorders>
          </w:tcPr>
          <w:p>
            <w:pPr>
              <w:pStyle w:val="Normal6a"/>
            </w:pPr>
            <w:r>
              <w:t>F.</w:t>
            </w:r>
            <w:r>
              <w:tab/>
            </w:r>
            <w:r>
              <w:t xml:space="preserve">ker </w:t>
            </w:r>
            <w:r>
              <w:rPr>
                <w:b/>
                <w:i/>
              </w:rPr>
              <w:t>so ekonomske in socialne neenakosti ter omejen</w:t>
            </w:r>
            <w:r>
              <w:t xml:space="preserve"> dostop do </w:t>
            </w:r>
            <w:r>
              <w:rPr>
                <w:b/>
                <w:i/>
              </w:rPr>
              <w:t>finančnih sredstev in</w:t>
            </w:r>
            <w:r>
              <w:t xml:space="preserve"> javnih storitev </w:t>
            </w:r>
            <w:r>
              <w:rPr>
                <w:b/>
                <w:i/>
              </w:rPr>
              <w:t>povečali</w:t>
            </w:r>
            <w:r>
              <w:t xml:space="preserve"> tveganje revščine in socialne izključenosti, kar še posebej prizadene otroke</w:t>
            </w:r>
            <w:r>
              <w:rPr>
                <w:b/>
                <w:i/>
              </w:rPr>
              <w:t>, enostarševska gospodinjstva, mlade</w:t>
            </w:r>
            <w:r>
              <w:t xml:space="preserve"> in starejše </w:t>
            </w:r>
            <w:r>
              <w:rPr>
                <w:b/>
                <w:i/>
              </w:rPr>
              <w:t>ter druge ranljive skupine, kot so migranti, Romi, osebe, ki živijo na redko poseljenih območjih, in invalidi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w:t>
            </w:r>
            <w:r>
              <w:rPr>
                <w:b/>
                <w:i/>
              </w:rPr>
              <w:t>sta kriza pri generacijski pomladitvi in slab dostop do javnih storitev povečala</w:t>
            </w:r>
            <w:r>
              <w:t xml:space="preserve"> tveganje revščine in socialne izključenosti, kar še posebej prizadene otroke in starejše;</w:t>
            </w:r>
          </w:p>
        </w:tc>
        <w:tc>
          <w:tcPr>
            <w:tcW w:w="4876" w:type="dxa"/>
            <w:tcBorders>
              <w:top w:val="nil"/>
              <w:left w:val="nil"/>
              <w:bottom w:val="nil"/>
              <w:right w:val="nil"/>
            </w:tcBorders>
          </w:tcPr>
          <w:p>
            <w:pPr>
              <w:pStyle w:val="Normal6a"/>
            </w:pPr>
            <w:r>
              <w:t>F.</w:t>
            </w:r>
            <w:r>
              <w:tab/>
            </w:r>
            <w:r>
              <w:t xml:space="preserve">ker </w:t>
            </w:r>
            <w:r>
              <w:rPr>
                <w:b/>
                <w:i/>
              </w:rPr>
              <w:t>je pomanjkanje socialnih naložb povečalo</w:t>
            </w:r>
            <w:r>
              <w:t xml:space="preserve"> tveganje revščine in socialne izključenosti, kar še posebej prizadene otroke</w:t>
            </w:r>
            <w:r>
              <w:rPr>
                <w:b/>
                <w:i/>
              </w:rPr>
              <w:t>, enostarševske družine</w:t>
            </w:r>
            <w:r>
              <w:t xml:space="preserve"> in starejše; </w:t>
            </w:r>
            <w:r>
              <w:rPr>
                <w:b/>
                <w:i/>
              </w:rPr>
              <w:t>ker ta pojav vpliva tudi na del delovne sile, saj je leta 2023 vsak 12. delavec živel v gospodinjstvu, ki mu grozi revščina;</w:t>
            </w:r>
            <w:r>
              <w:t xml:space="preserve"> </w:t>
            </w:r>
            <w:r>
              <w:rPr>
                <w:b/>
                <w:i/>
              </w:rPr>
              <w:t>ker je potrebna celovita strategija EU za boj proti revščini, da bi obrnili ta trend in revščino obravnavali kot večdimenzionalen pojav;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sta kriza pri generacijski pomladitvi in slab dostop do javnih storitev povečala tveganje revščine in socialne izključenosti, kar še posebej prizadene otroke </w:t>
            </w:r>
            <w:r>
              <w:rPr>
                <w:b/>
                <w:i/>
              </w:rPr>
              <w:t>in starejše</w:t>
            </w:r>
            <w:r>
              <w:t>;</w:t>
            </w:r>
          </w:p>
        </w:tc>
        <w:tc>
          <w:tcPr>
            <w:tcW w:w="4876" w:type="dxa"/>
            <w:tcBorders>
              <w:top w:val="nil"/>
              <w:left w:val="nil"/>
              <w:bottom w:val="nil"/>
              <w:right w:val="nil"/>
            </w:tcBorders>
          </w:tcPr>
          <w:p>
            <w:pPr>
              <w:pStyle w:val="Normal6a"/>
            </w:pPr>
            <w:r>
              <w:t>F.</w:t>
            </w:r>
            <w:r>
              <w:tab/>
            </w:r>
            <w:r>
              <w:t xml:space="preserve">ker sta kriza pri generacijski pomladitvi in slab dostop do javnih storitev </w:t>
            </w:r>
            <w:r>
              <w:rPr>
                <w:b/>
                <w:i/>
              </w:rPr>
              <w:t>zaradi pomanjkanja dolgoročnega in trajnostnega načrtovanja na področju stanovanj, infrastrukture in razvoja skupnosti</w:t>
            </w:r>
            <w:r>
              <w:t xml:space="preserve"> povečala tveganje revščine in socialne izključenosti, kar še posebej prizadene otroke</w:t>
            </w:r>
            <w:r>
              <w:rPr>
                <w:b/>
                <w:i/>
              </w:rPr>
              <w:t>, starejše in osebe iz marginaliziranih okolij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ker sta kriza pri generacijski pomladitvi in slab dostop do javnih storitev povečala tveganje revščine in socialne izključenosti, kar še posebej prizadene otroke in starejše;</w:t>
            </w:r>
          </w:p>
        </w:tc>
        <w:tc>
          <w:tcPr>
            <w:tcW w:w="4876" w:type="dxa"/>
            <w:tcBorders>
              <w:top w:val="nil"/>
              <w:left w:val="nil"/>
              <w:bottom w:val="nil"/>
              <w:right w:val="nil"/>
            </w:tcBorders>
          </w:tcPr>
          <w:p>
            <w:pPr>
              <w:pStyle w:val="Normal6a"/>
            </w:pPr>
            <w:r>
              <w:t>F.</w:t>
            </w:r>
            <w:r>
              <w:tab/>
            </w:r>
            <w:r>
              <w:t>ker sta kriza pri generacijski pomladitvi in slab dostop do javnih storitev povečala tveganje revščine in socialne izključenosti, kar še posebej prizadene otroke in starejše</w:t>
            </w:r>
            <w:r>
              <w:rPr>
                <w:b/>
                <w:i/>
              </w:rPr>
              <w:t>, enostarševska gospodinjstva in velike družine ter invalide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ker </w:t>
            </w:r>
            <w:r>
              <w:rPr>
                <w:b/>
                <w:i/>
              </w:rPr>
              <w:t>sta kriza pri generacijski pomladitvi in</w:t>
            </w:r>
            <w:r>
              <w:t xml:space="preserve"> slab dostop do javnih storitev </w:t>
            </w:r>
            <w:r>
              <w:rPr>
                <w:b/>
                <w:i/>
              </w:rPr>
              <w:t>povečala</w:t>
            </w:r>
            <w:r>
              <w:t xml:space="preserve"> tveganje revščine in socialne izključenosti, kar še posebej prizadene otroke </w:t>
            </w:r>
            <w:r>
              <w:rPr>
                <w:b/>
                <w:i/>
              </w:rPr>
              <w:t>in starejše</w:t>
            </w:r>
            <w:r>
              <w:t>;</w:t>
            </w:r>
          </w:p>
        </w:tc>
        <w:tc>
          <w:tcPr>
            <w:tcW w:w="4876" w:type="dxa"/>
            <w:tcBorders>
              <w:top w:val="nil"/>
              <w:left w:val="nil"/>
              <w:bottom w:val="nil"/>
              <w:right w:val="nil"/>
            </w:tcBorders>
          </w:tcPr>
          <w:p>
            <w:pPr>
              <w:pStyle w:val="Normal6a"/>
            </w:pPr>
            <w:r>
              <w:t>F.</w:t>
            </w:r>
            <w:r>
              <w:tab/>
            </w:r>
            <w:r>
              <w:t xml:space="preserve">ker </w:t>
            </w:r>
            <w:r>
              <w:rPr>
                <w:b/>
                <w:i/>
              </w:rPr>
              <w:t>so demografske spremembe,</w:t>
            </w:r>
            <w:r>
              <w:t xml:space="preserve"> slab dostop do javnih storitev </w:t>
            </w:r>
            <w:r>
              <w:rPr>
                <w:b/>
                <w:i/>
              </w:rPr>
              <w:t>in premajhne naložbe vanje povečale</w:t>
            </w:r>
            <w:r>
              <w:t xml:space="preserve"> tveganje revščine in socialne izključenosti, kar še posebej prizadene otroke</w:t>
            </w:r>
            <w:r>
              <w:rPr>
                <w:b/>
                <w:i/>
              </w:rPr>
              <w:t>, starejše in ranljive skupine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F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ker raziskava Eurobarometer iz aprila 2024 poudarja, da 88 % evropskih državljanov meni, da je socialna Evropa zanje osebno pomembna</w:t>
            </w:r>
            <w:r>
              <w:rPr>
                <w:b/>
                <w:i/>
                <w:vertAlign w:val="superscript"/>
              </w:rPr>
              <w:t>8a</w:t>
            </w:r>
            <w:r>
              <w:rPr>
                <w:b/>
                <w:i/>
              </w:rPr>
              <w:t>;</w:t>
            </w:r>
            <w:r>
              <w:t xml:space="preserve"> </w:t>
            </w:r>
            <w:r>
              <w:rPr>
                <w:b/>
                <w:i/>
              </w:rPr>
              <w:t>ker je bil ta rezultat potrjen z raziskavo EU po volitvah leta 2024, v kateri so evropski državljani kot glavne teme, zaradi katerih so volili na zadnjih evropskih volitvah</w:t>
            </w:r>
            <w:r>
              <w:rPr>
                <w:b/>
                <w:i/>
                <w:vertAlign w:val="superscript"/>
              </w:rPr>
              <w:t>9a</w:t>
            </w:r>
            <w:r>
              <w:rPr>
                <w:b/>
                <w:i/>
              </w:rPr>
              <w:t>, navedli naraščajoče cene in življenjske stroške (42 %) ter gospodarske razmere (41 %);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w:t>
            </w:r>
            <w:r>
              <w:rPr>
                <w:b/>
                <w:i/>
              </w:rPr>
              <w:t>mora</w:t>
            </w:r>
            <w:r>
              <w:t xml:space="preserve"> socialni napredek v EU </w:t>
            </w:r>
            <w:r>
              <w:rPr>
                <w:b/>
                <w:i/>
              </w:rPr>
              <w:t>potekati v skladu s cilji stabilnosti iz maastrichtskih meril, pri čemer je treba zagotoviti, da gospodarsko povezovanje ne bo povečalo neenakosti</w:t>
            </w:r>
            <w:r>
              <w:t xml:space="preserve"> med generacijami in </w:t>
            </w:r>
            <w:r>
              <w:rPr>
                <w:b/>
                <w:i/>
              </w:rPr>
              <w:t>regijami</w:t>
            </w:r>
            <w:r>
              <w:t>;</w:t>
            </w:r>
          </w:p>
        </w:tc>
        <w:tc>
          <w:tcPr>
            <w:tcW w:w="4876" w:type="dxa"/>
            <w:tcBorders>
              <w:top w:val="nil"/>
              <w:left w:val="nil"/>
              <w:bottom w:val="nil"/>
              <w:right w:val="nil"/>
            </w:tcBorders>
          </w:tcPr>
          <w:p>
            <w:pPr>
              <w:pStyle w:val="Normal6a"/>
            </w:pPr>
            <w:r>
              <w:t>G.</w:t>
            </w:r>
            <w:r>
              <w:tab/>
            </w:r>
            <w:r>
              <w:t xml:space="preserve">ker </w:t>
            </w:r>
            <w:r>
              <w:rPr>
                <w:b/>
                <w:i/>
              </w:rPr>
              <w:t>je v skladu s členom 3 PEU</w:t>
            </w:r>
            <w:r>
              <w:t xml:space="preserve"> socialni napredek v EU </w:t>
            </w:r>
            <w:r>
              <w:rPr>
                <w:b/>
                <w:i/>
              </w:rPr>
              <w:t>eden od ciljev visoko konkurenčnega socialnega tržnega gospodarstva, skupaj s polno zaposlenostjo, visoko ravnjo varstva in izboljšanjem kakovosti okolja;</w:t>
            </w:r>
            <w:r>
              <w:t xml:space="preserve"> </w:t>
            </w:r>
            <w:r>
              <w:rPr>
                <w:b/>
                <w:i/>
              </w:rPr>
              <w:t>ker člen 3 tudi določa, da se EU bori proti socialni izključenosti in diskriminaciji ter spodbuja socialno pravičnost in varstvo, enakost žensk in moških, solidarnost</w:t>
            </w:r>
            <w:r>
              <w:t xml:space="preserve"> med generacijami in </w:t>
            </w:r>
            <w:r>
              <w:rPr>
                <w:b/>
                <w:i/>
              </w:rPr>
              <w:t>varstvo pravic otrok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mora socialni napredek v EU </w:t>
            </w:r>
            <w:r>
              <w:rPr>
                <w:b/>
                <w:i/>
              </w:rPr>
              <w:t>potekati v skladu s cilji stabilnosti iz maastrichtskih meril, pri čemer je treba</w:t>
            </w:r>
            <w:r>
              <w:t xml:space="preserve"> zagotoviti, da gospodarsko povezovanje ne bo povečalo neenakosti med generacijami in regijami;</w:t>
            </w:r>
          </w:p>
        </w:tc>
        <w:tc>
          <w:tcPr>
            <w:tcW w:w="4876" w:type="dxa"/>
            <w:tcBorders>
              <w:top w:val="nil"/>
              <w:left w:val="nil"/>
              <w:bottom w:val="nil"/>
              <w:right w:val="nil"/>
            </w:tcBorders>
          </w:tcPr>
          <w:p>
            <w:pPr>
              <w:pStyle w:val="Normal6a"/>
            </w:pPr>
            <w:r>
              <w:t>G.</w:t>
            </w:r>
            <w:r>
              <w:tab/>
            </w:r>
            <w:r>
              <w:t>ker mora socialni napredek v EU zagotoviti, da gospodarsko povezovanje ne bo povečalo neenakosti med generacijami in regijami;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w:t>
            </w:r>
            <w:r>
              <w:rPr>
                <w:b/>
                <w:i/>
              </w:rPr>
              <w:t>mora</w:t>
            </w:r>
            <w:r>
              <w:t xml:space="preserve"> socialni napredek v EU </w:t>
            </w:r>
            <w:r>
              <w:rPr>
                <w:b/>
                <w:i/>
              </w:rPr>
              <w:t>potekati v skladu s cilji stabilnosti iz maastrichtskih meril, pri čemer</w:t>
            </w:r>
            <w:r>
              <w:t xml:space="preserve"> je treba zagotoviti, da gospodarsko povezovanje ne bo povečalo neenakosti med generacijami in regijami;</w:t>
            </w:r>
          </w:p>
        </w:tc>
        <w:tc>
          <w:tcPr>
            <w:tcW w:w="4876" w:type="dxa"/>
            <w:tcBorders>
              <w:top w:val="nil"/>
              <w:left w:val="nil"/>
              <w:bottom w:val="nil"/>
              <w:right w:val="nil"/>
            </w:tcBorders>
          </w:tcPr>
          <w:p>
            <w:pPr>
              <w:pStyle w:val="Normal6a"/>
            </w:pPr>
            <w:r>
              <w:t>G.</w:t>
            </w:r>
            <w:r>
              <w:tab/>
            </w:r>
            <w:r>
              <w:t xml:space="preserve">ker </w:t>
            </w:r>
            <w:r>
              <w:rPr>
                <w:b/>
                <w:i/>
              </w:rPr>
              <w:t>je</w:t>
            </w:r>
            <w:r>
              <w:t xml:space="preserve"> socialni napredek v EU </w:t>
            </w:r>
            <w:r>
              <w:rPr>
                <w:b/>
                <w:i/>
              </w:rPr>
              <w:t>najkonkretnejša in najučinkovitejša naložba v dolgoročno odpornost in trajnostnost naših družb;</w:t>
            </w:r>
            <w:r>
              <w:t xml:space="preserve"> </w:t>
            </w:r>
            <w:r>
              <w:rPr>
                <w:b/>
                <w:i/>
              </w:rPr>
              <w:t>pri tem</w:t>
            </w:r>
            <w:r>
              <w:t xml:space="preserve"> je treba zagotoviti, da </w:t>
            </w:r>
            <w:r>
              <w:rPr>
                <w:b/>
                <w:i/>
              </w:rPr>
              <w:t>nadaljnje</w:t>
            </w:r>
            <w:r>
              <w:t xml:space="preserve"> gospodarsko povezovanje ne bo povečalo </w:t>
            </w:r>
            <w:r>
              <w:rPr>
                <w:b/>
                <w:i/>
              </w:rPr>
              <w:t>socialnih</w:t>
            </w:r>
            <w:r>
              <w:t xml:space="preserve"> neenakosti med generacijami in regijami;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ker </w:t>
            </w:r>
            <w:r>
              <w:rPr>
                <w:b/>
                <w:i/>
              </w:rPr>
              <w:t>mora socialni napredek v EU potekati v skladu s</w:t>
            </w:r>
            <w:r>
              <w:t xml:space="preserve"> cilji stabilnosti iz maastrichtskih meril, pri čemer je treba zagotoviti, da gospodarsko povezovanje ne bo povečalo neenakosti med generacijami in regijami;</w:t>
            </w:r>
          </w:p>
        </w:tc>
        <w:tc>
          <w:tcPr>
            <w:tcW w:w="4876" w:type="dxa"/>
            <w:tcBorders>
              <w:top w:val="nil"/>
              <w:left w:val="nil"/>
              <w:bottom w:val="nil"/>
              <w:right w:val="nil"/>
            </w:tcBorders>
          </w:tcPr>
          <w:p>
            <w:pPr>
              <w:pStyle w:val="Normal6a"/>
            </w:pPr>
            <w:r>
              <w:t>G.</w:t>
            </w:r>
            <w:r>
              <w:tab/>
            </w:r>
            <w:r>
              <w:t xml:space="preserve">ker </w:t>
            </w:r>
            <w:r>
              <w:rPr>
                <w:b/>
                <w:i/>
              </w:rPr>
              <w:t>socialnega napredka v EU ne smejo ogrožati</w:t>
            </w:r>
            <w:r>
              <w:t xml:space="preserve"> cilji stabilnosti iz maastrichtskih meril, pri čemer je treba zagotoviti, da gospodarsko povezovanje ne bo povečalo neenakosti med generacijami in regijami;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je novi okvir ekonomskega upravljanja EU začel veljati aprila 2024, njegov cilj pa je spodbujati trajnostno in vključujočo rast ter dati več prostora socialnim naložbam in uresničevanju ciljev evropskega stebra socialnih pravic;</w:t>
            </w:r>
            <w:r>
              <w:t xml:space="preserve"> </w:t>
            </w:r>
            <w:r>
              <w:rPr>
                <w:b/>
                <w:i/>
              </w:rPr>
              <w:t>ker revizija prvič vključuje okvir socialne konvergence kot sestavni del evropskega semestra;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so evropski socialni partnerji med makroekonomskim dialogom obsodili dejstvo, da so bili zadnjič vključeni v pripravo srednjeročnih fiskalnih strukturnih načrtov, ETUC, SMEUnited in SGIEurope pa so podpisali skupno izjavo o dejanski in pravni vključenosti socialnih partnerjev v gospodarsko upravljanje in semester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je tveganje revščine ali socialne izključenosti večje za ženske, mlade odrasle, osebe z nizko stopnjo izobrazbe in brezposelne;</w:t>
            </w:r>
            <w:r>
              <w:t xml:space="preserve"> </w:t>
            </w:r>
            <w:r>
              <w:rPr>
                <w:b/>
                <w:i/>
              </w:rPr>
              <w:t>ker je pri dostopu do nadomestil za brezposelnost še vedno veliko vrzeli, saj 66 % brezposelnih poroča, da ne prejemajo nadomestil ali pomoči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Socialna zaščita 2.0:</w:t>
            </w:r>
            <w:r>
              <w:t xml:space="preserve"> </w:t>
            </w:r>
            <w:r>
              <w:rPr>
                <w:b/>
                <w:i/>
              </w:rPr>
              <w:t>Nadomestila za brezposelnost in minimalni dohodek.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je treba pri strukturnih reformah dati prednost socialnemu napredku, pri čemer je treba zagotoviti dostop do ustrezne socialne zaščite, cenovno dostopnih in dostojnih stanovanj ter osnovnih storitev za vse vrste družin, vključno z ranljivimi skupinami, kot so enostarševska gospodinjstva in invalidi;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ker bo EU postala konkurenčnejša, produktivnejša, bolj inovativna in trajnostna, če bo temeljila na ekonomski, socialni in teritorialni koheziji ter če bodo zagotovljeni konvergenca in enaki konkurenčni pogoji v EU in po svetu;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po podatkih OECD v državah OECD poklici, pri katerih obstaja največje tveganje avtomatizacije, v povprečju predstavljajo približno 28 % delovnih mest</w:t>
            </w:r>
            <w:r>
              <w:rPr>
                <w:b/>
                <w:i/>
                <w:vertAlign w:val="superscript"/>
              </w:rPr>
              <w:t>2a</w:t>
            </w:r>
            <w:r>
              <w:rPr>
                <w:b/>
                <w:i/>
              </w:rPr>
              <w:t>;</w:t>
            </w:r>
            <w:r>
              <w:t xml:space="preserve"> </w:t>
            </w:r>
            <w:r>
              <w:rPr>
                <w:b/>
                <w:i/>
              </w:rPr>
              <w:t>ker so socialni dialog in kolektivna pogajanja v takih razmerah ključna za zagotovitev participativnega pristopa k upravljanju sprememb, ki so posledica tehnološkega razvoja, in obravnavanje morebitnih pomislekov, hkrati pa tudi za spodbujanje prilagajanja delavcev (tudi z zagotavljanjem znanj in spretnosti);</w:t>
            </w:r>
            <w:r>
              <w:t xml:space="preserve"> </w:t>
            </w:r>
            <w:r>
              <w:rPr>
                <w:b/>
                <w:i/>
              </w:rPr>
              <w:t>ker morajo digitalizacija, robotizacija, avtomatizacija in umetna inteligenca koristiti delavcem in družbi, in sicer z izboljšanjem delovnih pogojev in kakovosti življenja, dobro uskladitvijo poklicnega in zasebnega življenja, ustvarjanjem boljših zaposlitvenih možnosti ter prispevanjem k socialno-ekonomski konvergenci;</w:t>
            </w:r>
            <w:r>
              <w:t xml:space="preserve"> </w:t>
            </w:r>
            <w:r>
              <w:rPr>
                <w:b/>
                <w:i/>
              </w:rPr>
              <w:t>ker bodo imeli delavci in njihovi sindikati osrednjo vlogo pri predvidevanju in obvladovanju tveganj, ki izhajajo iz teh izzivov;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OECD Social, Employment and Migration Working Papers, št. 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morajo v skladu z novim okvirom ekonomskega upravljanja EU vse države članice v svoje srednjeročne načrte vključiti reforme in naložbe, ki bodo obravnavale skupne prednostne naloge EU in izzive, opredeljene v priporočilih za posamezne države v okviru evropskega semestra;</w:t>
            </w:r>
            <w:r>
              <w:t xml:space="preserve"> </w:t>
            </w:r>
            <w:r>
              <w:rPr>
                <w:b/>
                <w:i/>
              </w:rPr>
              <w:t>ker skupne prednostne naloge EU vključujejo socialno in gospodarsko odpornost, vključno z evropskim stebrom socialnih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so politike EU, kot sta NextGenerationEU in SURE, zagotovile rast in gospodarsko odpornost ter zmanjšale neenakosti;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ker moramo delovati enotno in solidarno v korist vseh državljanov EU, podjetij in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ker je bilo leta 2021 v EU-27 še vedno več kot 3300 nesreč s smrtnim izidom in skoraj tri milijone nesreč brez smrtnega izida;</w:t>
            </w:r>
            <w:r>
              <w:t xml:space="preserve"> </w:t>
            </w:r>
            <w:r>
              <w:rPr>
                <w:b/>
                <w:i/>
              </w:rPr>
              <w:t>ker vsako leto več kot 200.000 delavcev umre zaradi bolezni, povezanih z delom;</w:t>
            </w:r>
            <w:r>
              <w:t xml:space="preserve"> </w:t>
            </w:r>
            <w:r>
              <w:rPr>
                <w:b/>
                <w:i/>
              </w:rPr>
              <w:t>ker ti podatki ne vključujejo vseh nesreč, ki se zgodijo pri opravljanju neprijavljenega dela, zato je mogoče predvidevati, da dejanske številke znatno presegajo uradno statistiko;</w:t>
            </w:r>
            <w:r>
              <w:t xml:space="preserve"> </w:t>
            </w:r>
            <w:r>
              <w:rPr>
                <w:b/>
                <w:i/>
              </w:rPr>
              <w:t>ker je bilo leta 2017 po podatkih Eurofounda 20 % delovnih mest v Evropi slabih, takšna pa predstavljajo večje tveganje za telesno ali duševno zdravje delavcev;</w:t>
            </w:r>
            <w:r>
              <w:t xml:space="preserve"> </w:t>
            </w:r>
            <w:r>
              <w:rPr>
                <w:b/>
                <w:i/>
              </w:rPr>
              <w:t>ker je 14 % delavcev izpostavljenih visokim psihosocialnim tveganjem;</w:t>
            </w:r>
            <w:r>
              <w:t xml:space="preserve"> </w:t>
            </w:r>
            <w:r>
              <w:rPr>
                <w:b/>
                <w:i/>
              </w:rPr>
              <w:t>ker 23 % evropskih delavcev meni, da sta zaradi njihovega dela ogrožena njihova varnost ali zdravje;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ker se pričakuje, da se bodo javne naložbe v letu 2025 povečale v skoraj vseh državah članicah, pri čemer bo v več državah članicah pomemben prispevek iz mehanizma za okrevanje in odpornost v okviru instrumenta NextGenerationEU ter iz sredstev EU;</w:t>
            </w:r>
            <w:r>
              <w:t xml:space="preserve"> </w:t>
            </w:r>
            <w:r>
              <w:rPr>
                <w:b/>
                <w:i/>
              </w:rPr>
              <w:t>ker približno 162,5 milijarde EUR, dodeljenih državam članicam v okviru mehanizma za okrevanje in odpornost, prispeva k socialnim izdatkom, kar je približno 25 % skupnih ocenjenih odhodkov</w:t>
            </w:r>
            <w:r>
              <w:rPr>
                <w:b/>
                <w:i/>
                <w:vertAlign w:val="superscript"/>
              </w:rPr>
              <w:t>10a</w:t>
            </w:r>
            <w:r>
              <w:rPr>
                <w:b/>
                <w:i/>
              </w:rPr>
              <w:t>;</w:t>
            </w:r>
            <w:r>
              <w:t xml:space="preserve"> </w:t>
            </w:r>
            <w:r>
              <w:rPr>
                <w:b/>
                <w:i/>
              </w:rPr>
              <w:t>ker lahko socialne naložbe in reforme na ključnih področjih spodbudijo zaposlovanje, socialno vključenost, konkurenčnost in gospodarsko rast</w:t>
            </w:r>
            <w:r>
              <w:rPr>
                <w:b/>
                <w:i/>
                <w:vertAlign w:val="superscript"/>
              </w:rPr>
              <w:t>11a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Evropski semester 2025:</w:t>
            </w:r>
            <w:r>
              <w:t xml:space="preserve"> </w:t>
            </w:r>
            <w:r>
              <w:rPr>
                <w:b/>
                <w:i/>
              </w:rPr>
              <w:t>Predlog skupnega poročila o zaposlovanju.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Employment and Social Developments in Europe (ESDE) 2024 (Razvoj na področju zaposlovanja in socialnih zadev v Evropi), Evropska komisija, september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ker so socialni dialog in kolektivna pogajanja bistveni za konkurenčnost, produktivnost dela in socialno kohezijo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ker si bomo prizadevali za izpolnitev dvojnega cilja, in sicer za strateško energetsko suverenost in uresničitev cilja podnebne nevtralnosti do leta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ker so socialni partnerji bistveni za oblikovanje in izvajanje politik, ki spodbujajo trajnostno in vključujočo rast, dostojno in kakovostno delo ter pravični prehod, in jih je treba vključiti na vseh ravneh upravljanja v skladu s PDEU;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w:t>
            </w:r>
            <w:r>
              <w:tab/>
            </w:r>
            <w:r>
              <w:rPr>
                <w:b/>
                <w:i/>
              </w:rPr>
              <w:t>ker bi morale države članice takoj začeti izvajati direktivo o ustreznih minimalnih plačah in po potrebi pripraviti akcijske načrte za povečanje pokritosti s kolektivnimi pogajanji v skladu z direktivo;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Uvodna izjava G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Gf.</w:t>
            </w:r>
            <w:r>
              <w:tab/>
            </w:r>
            <w:r>
              <w:rPr>
                <w:b/>
                <w:i/>
              </w:rPr>
              <w:t>ker raziskave Eurofounda kažejo, da se stopnja samomorov po desetletjih upadanja od leta 2021 povečuje in da je treba storiti več za odpravo vzrokov za težave z duševnim zdravjem v povezavi z delovnimi in življenjskimi pogoji (pri čemer je pomembno socialno vključevanje), in ker je dostop do podpore za osebe s slabim duševnim zdravjem še vedno težava;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meni, da bi morala Komisija in Svet</w:t>
            </w:r>
            <w:r>
              <w:t xml:space="preserve"> še naprej </w:t>
            </w:r>
            <w:r>
              <w:rPr>
                <w:b/>
                <w:i/>
              </w:rPr>
              <w:t>izvajati</w:t>
            </w:r>
            <w:r>
              <w:t xml:space="preserve"> evropski steber socialnih pravic v skladu z akcijskim načrtom iz marca 2021;</w:t>
            </w:r>
          </w:p>
        </w:tc>
        <w:tc>
          <w:tcPr>
            <w:tcW w:w="4876" w:type="dxa"/>
            <w:tcBorders>
              <w:top w:val="nil"/>
              <w:left w:val="nil"/>
              <w:bottom w:val="nil"/>
              <w:right w:val="nil"/>
            </w:tcBorders>
          </w:tcPr>
          <w:p>
            <w:pPr>
              <w:pStyle w:val="Normal6a"/>
            </w:pPr>
            <w:r>
              <w:t>1.</w:t>
            </w:r>
            <w:r>
              <w:tab/>
            </w:r>
            <w:r>
              <w:rPr>
                <w:b/>
                <w:i/>
              </w:rPr>
              <w:t>poziva Komisijo in države članice, naj</w:t>
            </w:r>
            <w:r>
              <w:t xml:space="preserve"> še naprej </w:t>
            </w:r>
            <w:r>
              <w:rPr>
                <w:b/>
                <w:i/>
              </w:rPr>
              <w:t>izvajajo</w:t>
            </w:r>
            <w:r>
              <w:t xml:space="preserve"> evropski steber socialnih pravic v skladu z akcijskim načrtom iz marca 2021 </w:t>
            </w:r>
            <w:r>
              <w:rPr>
                <w:b/>
                <w:i/>
              </w:rPr>
              <w:t>in izjavo iz La Hulpe, da bi dosegle krovne cilje za leto 2030;</w:t>
            </w:r>
            <w:r>
              <w:t xml:space="preserve"> </w:t>
            </w:r>
            <w:r>
              <w:rPr>
                <w:b/>
                <w:i/>
              </w:rPr>
              <w:t>v zvezi s tem pozdravlja napoved novega akcijskega načrta za izvajanje evropskega stebra socialnih pravic</w:t>
            </w:r>
            <w:r>
              <w:rPr>
                <w:b/>
                <w:i/>
                <w:vertAlign w:val="superscript"/>
              </w:rPr>
              <w:t>12a</w:t>
            </w:r>
            <w:r>
              <w:t xml:space="preserve"> </w:t>
            </w:r>
            <w:r>
              <w:rPr>
                <w:b/>
                <w:i/>
              </w:rPr>
              <w:t>za leto 2025, da bi dali nov zagon socialnemu napredku;</w:t>
            </w:r>
            <w:r>
              <w:t xml:space="preserve"> </w:t>
            </w:r>
            <w:r>
              <w:rPr>
                <w:b/>
                <w:i/>
              </w:rPr>
              <w:t>poudarja, da mora posodobljeni akcijski načrt vsebovati ambiciozne predloge za odpravo revščine in socialne izključenosti ter podporne ukrepe za delavce pri upravljanju dvojnega prehoda, zlasti v zvezi z znanji in spretnostmi, poklicnim izobraževanjem in usposabljanjem ter vseživljenjskim učenjem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Evropa pred izbiro: Politične usmeritve naslednje Evropske komisije za obdobje 2024–2029, Ursula von der Leyen (julij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meni, da bi morala Komisija in Svet </w:t>
            </w:r>
            <w:r>
              <w:rPr>
                <w:b/>
                <w:i/>
              </w:rPr>
              <w:t>še naprej izvajati evropski steber</w:t>
            </w:r>
            <w:r>
              <w:t xml:space="preserve"> socialnih pravic v skladu z akcijskim načrtom iz marca 2021;</w:t>
            </w:r>
          </w:p>
        </w:tc>
        <w:tc>
          <w:tcPr>
            <w:tcW w:w="4876" w:type="dxa"/>
            <w:tcBorders>
              <w:top w:val="nil"/>
              <w:left w:val="nil"/>
              <w:bottom w:val="nil"/>
              <w:right w:val="nil"/>
            </w:tcBorders>
          </w:tcPr>
          <w:p>
            <w:pPr>
              <w:pStyle w:val="Normal6a"/>
            </w:pPr>
            <w:r>
              <w:t>1.</w:t>
            </w:r>
            <w:r>
              <w:tab/>
            </w:r>
            <w:r>
              <w:t xml:space="preserve">meni, da bi morala Komisija in Svet </w:t>
            </w:r>
            <w:r>
              <w:rPr>
                <w:b/>
                <w:i/>
              </w:rPr>
              <w:t>pospešiti polno izvajanje evropskega stebra</w:t>
            </w:r>
            <w:r>
              <w:t xml:space="preserve"> socialnih pravic v skladu z akcijskim načrtom iz marca 2021; </w:t>
            </w:r>
            <w:r>
              <w:rPr>
                <w:b/>
                <w:i/>
              </w:rPr>
              <w:t>poziva Komisijo, naj predstavi posodobljen načrt za evropski steber socialnih pravic za obdobje 2025–2029, ki bo vključeval nove prednostne naloge;</w:t>
            </w:r>
            <w:r>
              <w:t xml:space="preserve"> </w:t>
            </w:r>
            <w:r>
              <w:rPr>
                <w:b/>
                <w:i/>
              </w:rPr>
              <w:t>poudarja pomen uporabe pregleda socialnih kazalnikov in okvira za socialno konvergenco pri opredelitvi tveganj in spremljanju napredka pri zmanjševanju neenakosti, krepitvi sistemov socialne zaščite in spodbujanju dobrih delovnih pogojev;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meni, da bi morala Komisija in Svet še naprej izvajati evropski steber socialnih pravic v skladu z akcijskim načrtom iz marca 2021;</w:t>
            </w:r>
          </w:p>
        </w:tc>
        <w:tc>
          <w:tcPr>
            <w:tcW w:w="4876" w:type="dxa"/>
            <w:tcBorders>
              <w:top w:val="nil"/>
              <w:left w:val="nil"/>
              <w:bottom w:val="nil"/>
              <w:right w:val="nil"/>
            </w:tcBorders>
          </w:tcPr>
          <w:p>
            <w:pPr>
              <w:pStyle w:val="Normal6a"/>
            </w:pPr>
            <w:r>
              <w:t>1.</w:t>
            </w:r>
            <w:r>
              <w:tab/>
            </w:r>
            <w:r>
              <w:t xml:space="preserve">meni, da bi morala Komisija in Svet še naprej izvajati evropski steber socialnih pravic v skladu z akcijskim načrtom iz marca 2021; </w:t>
            </w:r>
            <w:r>
              <w:rPr>
                <w:b/>
                <w:i/>
              </w:rPr>
              <w:t>poziva h krepitvi socialnega dialoga ob hkratnem ohranjanju enakih možnosti in zmanjšanju neenakosti v skladu z evropskim stebrom socialnih pravic, pri čemer je treba spoštovati pristojnosti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meni, da bi morala Komisija in Svet še naprej izvajati evropski steber socialnih pravic </w:t>
            </w:r>
            <w:r>
              <w:rPr>
                <w:b/>
                <w:i/>
              </w:rPr>
              <w:t>v skladu z akcijskim načrtom iz marca 2021</w:t>
            </w:r>
            <w:r>
              <w:t>;</w:t>
            </w:r>
          </w:p>
        </w:tc>
        <w:tc>
          <w:tcPr>
            <w:tcW w:w="4876" w:type="dxa"/>
            <w:tcBorders>
              <w:top w:val="nil"/>
              <w:left w:val="nil"/>
              <w:bottom w:val="nil"/>
              <w:right w:val="nil"/>
            </w:tcBorders>
          </w:tcPr>
          <w:p>
            <w:pPr>
              <w:pStyle w:val="Normal6a"/>
            </w:pPr>
            <w:r>
              <w:t>1.</w:t>
            </w:r>
            <w:r>
              <w:tab/>
            </w:r>
            <w:r>
              <w:t>meni, da bi morala Komisija in Svet še naprej izvajati evropski steber socialnih pravic</w:t>
            </w:r>
            <w:r>
              <w:rPr>
                <w:b/>
                <w:i/>
              </w:rPr>
              <w:t>, pri tem pa v celoti upoštevati nacionalno zakonodajo in delovati tako, da bodo njuni ukrepi dopolnjujoče in ne obvezujoče narave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meni, da bi morala Komisija in Svet </w:t>
            </w:r>
            <w:r>
              <w:rPr>
                <w:b/>
                <w:i/>
              </w:rPr>
              <w:t>še naprej izvajati evropski steber</w:t>
            </w:r>
            <w:r>
              <w:t xml:space="preserve"> socialnih pravic </w:t>
            </w:r>
            <w:r>
              <w:rPr>
                <w:b/>
                <w:i/>
              </w:rPr>
              <w:t>v skladu z akcijskim načrtom iz marca 2021</w:t>
            </w:r>
            <w:r>
              <w:t>;</w:t>
            </w:r>
          </w:p>
        </w:tc>
        <w:tc>
          <w:tcPr>
            <w:tcW w:w="4876" w:type="dxa"/>
            <w:tcBorders>
              <w:top w:val="nil"/>
              <w:left w:val="nil"/>
              <w:bottom w:val="nil"/>
              <w:right w:val="nil"/>
            </w:tcBorders>
          </w:tcPr>
          <w:p>
            <w:pPr>
              <w:pStyle w:val="Normal6a"/>
            </w:pPr>
            <w:r>
              <w:t>1.</w:t>
            </w:r>
            <w:r>
              <w:tab/>
            </w:r>
            <w:r>
              <w:t xml:space="preserve">meni, da bi morala Komisija in Svet </w:t>
            </w:r>
            <w:r>
              <w:rPr>
                <w:b/>
                <w:i/>
              </w:rPr>
              <w:t>okrepiti svoja prizadevanja za izvajanje evropskega stebra</w:t>
            </w:r>
            <w:r>
              <w:t xml:space="preserve"> socialnih pravic </w:t>
            </w:r>
            <w:r>
              <w:rPr>
                <w:b/>
                <w:i/>
              </w:rPr>
              <w:t>glede na prihodnjo revizijo akcijskega načrta leta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opozarja, da so evropski državljani cilje socialne Evrope večkrat opredelili kot prednostno nalogo;</w:t>
            </w:r>
            <w:r>
              <w:t xml:space="preserve"> </w:t>
            </w:r>
            <w:r>
              <w:rPr>
                <w:b/>
                <w:i/>
              </w:rPr>
              <w:t>poudarja, da je treba za uresničitev socialne Evrope in zagotovitev visoke ravni socialne zaščite v prehodih zagotoviti trajnostno, pravično in vključujočo Evropo, v kateri bodo socialne pravice v celoti zaščitene in varovane na enaki ravni kot ekonomske svoboščine, ter razmisliti o načinih za zaščito evropske socialne pogodbe;</w:t>
            </w:r>
            <w:r>
              <w:t xml:space="preserve"> </w:t>
            </w:r>
            <w:r>
              <w:rPr>
                <w:b/>
                <w:i/>
              </w:rPr>
              <w:t>v zvezi s tem ponovno poziva, naj se Pogodbama</w:t>
            </w:r>
            <w:r>
              <w:rPr>
                <w:b/>
                <w:i/>
                <w:vertAlign w:val="superscript"/>
              </w:rPr>
              <w:t>13a</w:t>
            </w:r>
            <w:r>
              <w:t xml:space="preserve"> </w:t>
            </w:r>
            <w:r>
              <w:rPr>
                <w:b/>
                <w:i/>
              </w:rPr>
              <w:t>priloži protokol o socialnem napredku;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Resolucija Evropskega parlamenta z dne 22. novembra 2023 o predlogih Evropskega parlamenta za spremembo Pogodb (2022/2051(INL)).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poziva, naj se s pomočjo takojšnjih ukrepov izvaja navzgor usmerjena konvergenca in naslednji generaciji tako zagotovijo javne storitve varstva, izobraževanje ter znanja in spretnosti visoke kakovosti, zlasti tako, da se nadaljnje vlaga v dejanski dostop do zdrave prehrane, da bo vsakemu otroku v EU v vseh vrtcih in šolah omogočen vsaj en brezplačen topli obrok na dan;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poziva Komisijo, naj zagotovi, da bo v skupnem poročilu o zaposlovanju za leto 2026 analizirano izvajanje vseh načel evropskega stebra socialnih pravic v skladu z Uredbo 2024/1263, v poročilo pa naj vključi tudi analizo socialne razsežnosti nacionalnih srednjeročnih fiskalnih strukturnih načrtov, povezanih s socialno odpornostjo, vključno z evropskim stebrom socialnih pravic;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je zaskrbljen, ker je bilo leta 2023 v EU 94,6 milijona ljudi še vedno izpostavljenih tveganju revščine ali socialne izključenosti;</w:t>
            </w:r>
            <w:r>
              <w:t xml:space="preserve"> </w:t>
            </w:r>
            <w:r>
              <w:rPr>
                <w:b/>
                <w:i/>
              </w:rPr>
              <w:t>poudarja, da Evropska unija in njene države članice brez spremembe paradigme v boju proti revščini ne bodo dosegle svojih ciljev za zmanjšanje revščine;</w:t>
            </w:r>
            <w:r>
              <w:t xml:space="preserve"> </w:t>
            </w:r>
            <w:r>
              <w:rPr>
                <w:b/>
                <w:i/>
              </w:rPr>
              <w:t>meni, da je napoved prve strategije EU za boj proti revščini korak v pravo smer za obrnitev trenda, vendar mora strategija zagotoviti celovit pristop k obravnavanju večdimenzionalnih vidikov revščine in socialne izključenosti s konkretnimi ukrepi, doslednim izvajanjem in spremljanjem;</w:t>
            </w:r>
            <w:r>
              <w:t xml:space="preserve"> </w:t>
            </w:r>
            <w:r>
              <w:rPr>
                <w:b/>
                <w:i/>
              </w:rPr>
              <w:t>poziva, naj ta strategija zajema vse ljudi, ki se soočajo z revščino in socialno izključenostjo, predvsem najbolj prikrajšane, pa tudi posebne ukrepe za različne skupine, kot so osebe, ki se soočajo z revščino zaposlenih, brezdomci, invalidi, enostarševske družine in predvsem otroci, da bi trajnostno prekinili krog revščine;</w:t>
            </w:r>
            <w:r>
              <w:t xml:space="preserve"> </w:t>
            </w:r>
            <w:r>
              <w:rPr>
                <w:b/>
                <w:i/>
              </w:rPr>
              <w:t>poudarja, da bo prenos direktive o ustreznih minimalnih plačah ključen za preprečevanje tveganj revščine med delavci in boj proti njim, hkrati pa bo okrepil spodbude za delo, in pozdravlja dejstvo, da je več držav članic spremenilo svoje okvire minimalnih plač ali jih namerava spremeniti;</w:t>
            </w:r>
            <w:r>
              <w:t xml:space="preserve"> </w:t>
            </w:r>
            <w:r>
              <w:rPr>
                <w:b/>
                <w:i/>
              </w:rPr>
              <w:t>poudarja, da bi okvirna direktiva EU o ustreznem minimalnem dohodku in dejavnem vključevanju v skladu z načelom subsidiarnosti prispevala k ciljem zmanjšanja revščine in spodbujanja vključevanja oseb, ki niso na trgu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obžaluje pomanjkanje podatkov in analiz o neenakosti in koncentraciji bogastva v EU, saj je to eden glavnih dejavnikov revščine;</w:t>
            </w:r>
            <w:r>
              <w:t xml:space="preserve"> </w:t>
            </w:r>
            <w:r>
              <w:rPr>
                <w:b/>
                <w:i/>
              </w:rPr>
              <w:t>poudarja, da je glede na nabor podatkov o porazdelitvi premoženja, ki ga je razvil Evropski sistem centralnih bank (ESCB), delež premoženja, ki ga je imelo najbogatejših 10 %, v zadnjem četrtletju 2023 znašal 56 %, spodnja polovica pa je imela le 5 %;</w:t>
            </w:r>
            <w:r>
              <w:t xml:space="preserve"> </w:t>
            </w:r>
            <w:r>
              <w:rPr>
                <w:b/>
                <w:i/>
              </w:rPr>
              <w:t>poziva Komisijo in države članice, naj ocenijo socialno-ekonomski učinek neenakosti v bogastvu in nujno predlagajo ukrepe, ki bodo zagotovili pravičnejšo porazdelitev bogastva in virov, da bi omogočili napredek pri zmanjševanju revščine za 15 milijonov do leta 2030 in širitvi srednjega razreda;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ponovno poziva Komisijo, naj v okviru evropskega semestra in priporočil za posamezne države skrbno spremlja izvajanje jamstva za otroke v vseh državah članicah;</w:t>
            </w:r>
            <w:r>
              <w:t xml:space="preserve"> </w:t>
            </w:r>
            <w:r>
              <w:rPr>
                <w:b/>
                <w:i/>
              </w:rPr>
              <w:t>ponovno poziva, naj se financiranje za evropsko jamstvo za otroke poveča z namenskim proračunom v višini vsaj 20 milijard EUR, vse države članice pa naj vsaj 5 % sredstev, ki jih dodelijo za sklade ESS+, namenijo za boj proti revščini otrok in spodbujanje njihove dobrobiti;</w:t>
            </w:r>
            <w:r>
              <w:t xml:space="preserve"> </w:t>
            </w:r>
            <w:r>
              <w:rPr>
                <w:b/>
                <w:i/>
              </w:rPr>
              <w:t>meni, da bi morala priporočila za posamezne države odražati proračunsko skladnost držav članic z minimalno zahtevo glede dodelitve sredstev za boj proti revščini otrok, določeno v uredbi o ESS+</w:t>
            </w:r>
            <w:r>
              <w:rPr>
                <w:b/>
                <w:i/>
                <w:vertAlign w:val="superscript"/>
              </w:rPr>
              <w:t>14a</w:t>
            </w:r>
            <w:r>
              <w:rPr>
                <w:b/>
                <w:i/>
              </w:rPr>
              <w:t>;</w:t>
            </w:r>
            <w:r>
              <w:t xml:space="preserve"> </w:t>
            </w:r>
            <w:r>
              <w:rPr>
                <w:b/>
                <w:i/>
              </w:rPr>
              <w:t>poziva Komisijo, naj v naslednjem večletnem finančnem okviru ambiciozen proračun nameni za jamstvo za otroke, da bi se odzvali na vse večji izziv revščine in socialne izključenosti otrok;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Uredba (EU) 2021/1057 o vzpostavitvi Evropskega socialnega sklada plus, člen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pozdravlja dejstvo, da je bila v skupno poročilo o zaposlovanju za leto 2025 vključena analiza pozitivnega prispevka ciljev trajnostnega razvoja in evropskih strategij za enakost, in poziva Komisijo, naj zagotovi, da bo skupno poročilo o zaposlovanju za leto 2026 vključevalo tako oddelek, v katerem bo analiziran napredek pri doseganju ciljev trajnostnega razvoja v zvezi z zaposlovanjem in socialno politiko, kot tudi oddelek o napredku pri odpravljanju socialne diskriminacije in diskriminacije pri delu v skladu s strategijo za enakost spolov za obdobje 2020–2025, akcijskim načrtom EU za boj proti rasizmu za obdobje 2020–2025, strateškim okvirom EU za enakost, vključevanje in udeležbo Romov za obdobje 2020–2030, strategijo za enakost LGBTIQ oseb za obdobje 2020–2025 in strategijo o pravicah invalidov za obdobje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je zaskrbljen zaradi številnih zaprtij tovarn v različnih sektorjih v Evropski uniji in posledic za delavce, ki se soočajo z izgubo delovnih mest;</w:t>
            </w:r>
            <w:r>
              <w:t xml:space="preserve"> </w:t>
            </w:r>
            <w:r>
              <w:rPr>
                <w:b/>
                <w:i/>
              </w:rPr>
              <w:t>poziva Komisijo, naj zagotovi, da bodo politike usposabljanja za delavce ter ustvarjanje kakovostnih delovnih mest vključene v prihodnji dogovor o čisti industriji v skladu s poročilom Maria Draghija;</w:t>
            </w:r>
            <w:r>
              <w:t xml:space="preserve"> </w:t>
            </w:r>
            <w:r>
              <w:rPr>
                <w:b/>
                <w:i/>
              </w:rPr>
              <w:t>opozarja na pomembno vlogo Evropskega sklada za prilagoditev globalizaciji za presežne delavce (ESPG) pri podpiranju in preusposabljanju delavcev, ki so postali presežni zaradi velikih prestrukturiranj, povezanih na primer z globalizacijo, prehodom na nizkoogljično gospodarstvo ali digitalizacijo ali avtomatizacijo;</w:t>
            </w:r>
            <w:r>
              <w:t xml:space="preserve"> </w:t>
            </w:r>
            <w:r>
              <w:rPr>
                <w:b/>
                <w:i/>
              </w:rPr>
              <w:t>poziva države članice, naj uporabijo sklad in razširjajo informacije o možnostih za podporo delavcem;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poziva države članice, naj izvajajo posodobljene smernice za zaposlovanje s poudarkom na izobraževanju in usposabljanju za vse, novih tehnologijah, kot je umetna inteligenca, ter nedavnih političnih pobudah o platformnem delu, cenovno dostopnih in dostojnih stanovanjih ter odpravljanju pomanjkanja delovne sile in znanj in spretnosti,</w:t>
            </w:r>
            <w:r>
              <w:t xml:space="preserve"> </w:t>
            </w:r>
            <w:r>
              <w:rPr>
                <w:b/>
                <w:i/>
              </w:rPr>
              <w:t>da bi okrepili demokratično odločanje;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poudarja, da je treba znatno vlagati v znanja in spretnosti delavcev ter vzpostaviti pravico posameznika do usposabljanja in vseživljenjskega učenja;</w:t>
            </w:r>
            <w:r>
              <w:t xml:space="preserve"> </w:t>
            </w:r>
            <w:r>
              <w:rPr>
                <w:b/>
                <w:i/>
              </w:rPr>
              <w:t>poziva države članice, naj v sodelovanju z lokalnimi deležniki, vključno z organi za izobraževanje in usposabljanje ter socialnimi partnerji, razvijejo ukrepe za izpopolnjevanje in preusposabljanje, da bi okrepile povezavo med sistemi izobraževanja in usposabljanja ter trgom dela in predvidele potrebe trga dela;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pozdravlja napoved načrta za kakovostna delovna mesta, da bi zagotovili pravičen prehod za vse, in sicer s podporo poštenim plačam, dobrim delovnim pogojem, usposabljanju in pravičnemu prehodu za zaposlene in samozaposlene, zlasti s povečanjem pokritosti s kolektivnimi pogajanji;</w:t>
            </w:r>
            <w:r>
              <w:t xml:space="preserve"> </w:t>
            </w:r>
            <w:r>
              <w:rPr>
                <w:b/>
                <w:i/>
              </w:rPr>
              <w:t>poziva Komisijo, naj ta načrt pripravi v sodelovanju s socialnimi partnerji;</w:t>
            </w:r>
            <w:r>
              <w:t xml:space="preserve"> </w:t>
            </w:r>
            <w:r>
              <w:rPr>
                <w:b/>
                <w:i/>
              </w:rPr>
              <w:t>nadalje poziva Komisijo, naj v ta načrt vključi razmisleke o ukrepih, vključno z zakonodajnimi predlogi, povezanih z uporabo umetne inteligence in algoritemskim upravljanjem v svetu dela, da bi nove tehnologije izkoristili za izboljšanje delovnih pogojev in produktivnosti ob spoštovanju pravic delavcev ter usklajevanju poklicnega in zasebnega življenja;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pozdravlja dejstvo, da naj bi po pričakovanjih skoraj vse države članice v letu 2025</w:t>
            </w:r>
            <w:r>
              <w:rPr>
                <w:b/>
                <w:i/>
                <w:vertAlign w:val="superscript"/>
              </w:rPr>
              <w:t>15a</w:t>
            </w:r>
            <w:r>
              <w:t xml:space="preserve"> </w:t>
            </w:r>
            <w:r>
              <w:rPr>
                <w:b/>
                <w:i/>
              </w:rPr>
              <w:t>povečale javne naložbe, kar je potrebno za zagotavljanje dostopa do kakovostnih javnih storitev in doseganje ciljev evropskega stebra socialnih pravic;</w:t>
            </w:r>
            <w:r>
              <w:t xml:space="preserve"> </w:t>
            </w:r>
            <w:r>
              <w:rPr>
                <w:b/>
                <w:i/>
              </w:rPr>
              <w:t>opozarja, da lahko države članice mehanizem za okrevanje in odpornost uporabijo do 31. decembra 2026, in jih poziva, naj ta sredstva v celoti in ciljno uporabijo za reševanje izzivov, opredeljenih v priporočilih za posamezne države v okviru evropskega semestra, ter vzpostavijo politike za pametno, trajnostno in vključujočo rast ter naslednjo generacijo, otroke in mlade, kot je določeno v uredbi o mehanizmu za okrevanje in odpornost</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Sporočilo Komisije z naslovom Evropski semester 2025: novi okvir ekonomskega upravljanja je zaživel (COM(2024)0705).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Uredba (EU) 2021/241 o vzpostavitvi Mehanizma za okrevanje in odpornost, člen 3(c) in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pozdravlja napoved Komisije, da bo januarja 2025 objavila kompas za konkurenčnost;</w:t>
            </w:r>
            <w:r>
              <w:t xml:space="preserve"> </w:t>
            </w:r>
            <w:r>
              <w:rPr>
                <w:b/>
                <w:i/>
              </w:rPr>
              <w:t>meni, da cilja Evropske unije glede konkurenčnosti ni mogoče doseči brez ustreznih znanj in spretnosti evropskih delavcev;</w:t>
            </w:r>
            <w:r>
              <w:t xml:space="preserve"> </w:t>
            </w:r>
            <w:r>
              <w:rPr>
                <w:b/>
                <w:i/>
              </w:rPr>
              <w:t>poziva Komisijo, naj v ta kompas za konkurenčnost vključi ukrepe v zvezi z razvojem znanj in spretnosti evropske delovne sile;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ponovno poudarja, da je pomembno podpirati razvoj znanj in spretnosti </w:t>
            </w:r>
            <w:r>
              <w:rPr>
                <w:b/>
                <w:i/>
              </w:rPr>
              <w:t>delovne sile</w:t>
            </w:r>
            <w:r>
              <w:t xml:space="preserve">, da bi izboljšali konkurenčnost </w:t>
            </w:r>
            <w:r>
              <w:rPr>
                <w:b/>
                <w:i/>
              </w:rPr>
              <w:t>in</w:t>
            </w:r>
            <w:r>
              <w:t xml:space="preserve"> zagotovili </w:t>
            </w:r>
            <w:r>
              <w:rPr>
                <w:b/>
                <w:i/>
              </w:rPr>
              <w:t>kakovostna delovna mesta</w:t>
            </w:r>
            <w:r>
              <w:t xml:space="preserve">; poziva države članice, naj okrepijo </w:t>
            </w:r>
            <w:r>
              <w:rPr>
                <w:b/>
                <w:i/>
              </w:rPr>
              <w:t>poklicno in digitalno usposabljanje ter</w:t>
            </w:r>
            <w:r>
              <w:t xml:space="preserve"> spodbujajo vključevanje invalidov v delovno silo, da bi odpravili </w:t>
            </w:r>
            <w:r>
              <w:rPr>
                <w:b/>
                <w:i/>
              </w:rPr>
              <w:t>njeno</w:t>
            </w:r>
            <w:r>
              <w:t xml:space="preserve"> pomanjkanje in podprli enake možnosti na trgu dela, saj se kljub </w:t>
            </w:r>
            <w:r>
              <w:rPr>
                <w:b/>
                <w:i/>
              </w:rPr>
              <w:t>izboljšavam</w:t>
            </w:r>
            <w:r>
              <w:t xml:space="preserve"> še vedno </w:t>
            </w:r>
            <w:r>
              <w:rPr>
                <w:b/>
                <w:i/>
              </w:rPr>
              <w:t>spoprijemajo</w:t>
            </w:r>
            <w:r>
              <w:t xml:space="preserve"> z velikimi ovirami;</w:t>
            </w:r>
          </w:p>
        </w:tc>
        <w:tc>
          <w:tcPr>
            <w:tcW w:w="4876" w:type="dxa"/>
            <w:tcBorders>
              <w:top w:val="nil"/>
              <w:left w:val="nil"/>
              <w:bottom w:val="nil"/>
              <w:right w:val="nil"/>
            </w:tcBorders>
          </w:tcPr>
          <w:p>
            <w:pPr>
              <w:pStyle w:val="Normal6a"/>
            </w:pPr>
            <w:r>
              <w:t>2.</w:t>
            </w:r>
            <w:r>
              <w:tab/>
            </w:r>
            <w:r>
              <w:t xml:space="preserve">ponovno poudarja, da je pomembno podpirati razvoj znanj in spretnosti </w:t>
            </w:r>
            <w:r>
              <w:rPr>
                <w:b/>
                <w:i/>
              </w:rPr>
              <w:t>ter visokokakovostno in s poklicem povezano usposabljanje, ki se izvaja med delovnim časom in ga financira delodajalec</w:t>
            </w:r>
            <w:r>
              <w:t xml:space="preserve">, da bi izboljšali konkurenčnost </w:t>
            </w:r>
            <w:r>
              <w:rPr>
                <w:b/>
                <w:i/>
              </w:rPr>
              <w:t>ter</w:t>
            </w:r>
            <w:r>
              <w:t xml:space="preserve"> zagotovili </w:t>
            </w:r>
            <w:r>
              <w:rPr>
                <w:b/>
                <w:i/>
              </w:rPr>
              <w:t>vključujoče in pravično in kakovostno zaposlovanje</w:t>
            </w:r>
            <w:r>
              <w:t xml:space="preserve">; poziva </w:t>
            </w:r>
            <w:r>
              <w:rPr>
                <w:b/>
                <w:i/>
              </w:rPr>
              <w:t>Komisijo in</w:t>
            </w:r>
            <w:r>
              <w:t xml:space="preserve"> države članice, naj okrepijo </w:t>
            </w:r>
            <w:r>
              <w:rPr>
                <w:b/>
                <w:i/>
              </w:rPr>
              <w:t>pravico do visokokakovostnega in vključujočega poklicnega in digitalnega usposabljanja za vse, hkrati pa</w:t>
            </w:r>
            <w:r>
              <w:t xml:space="preserve"> spodbujajo vključevanje invalidov </w:t>
            </w:r>
            <w:r>
              <w:rPr>
                <w:b/>
                <w:i/>
              </w:rPr>
              <w:t>ter mladih in starejših delavcev</w:t>
            </w:r>
            <w:r>
              <w:t xml:space="preserve"> v delovno silo, da bi odpravili pomanjkanje </w:t>
            </w:r>
            <w:r>
              <w:rPr>
                <w:b/>
                <w:i/>
              </w:rPr>
              <w:t>delovne sile</w:t>
            </w:r>
            <w:r>
              <w:t xml:space="preserve"> in podprli enake možnosti na trgu dela</w:t>
            </w:r>
            <w:r>
              <w:rPr>
                <w:b/>
                <w:i/>
              </w:rPr>
              <w:t>;</w:t>
            </w:r>
            <w:r>
              <w:t xml:space="preserve"> </w:t>
            </w:r>
            <w:r>
              <w:rPr>
                <w:b/>
                <w:i/>
              </w:rPr>
              <w:t>to mora vključevati zagotavljanje dostopa do plačanih, kakovostnih in vključujočih pripravništev in vajeništev za mlade, da bodo lahko pridobili smiselne prve delovne izkušnje in lažje prešli iz izobraževanja v zaposlitev, ter ustvarjanje delovnih pogojev, ki bodo starajoči se delovni sili omogočili, da ostane zdrava in prostovoljno na trgu dela;</w:t>
            </w:r>
            <w:r>
              <w:t xml:space="preserve"> </w:t>
            </w:r>
            <w:r>
              <w:rPr>
                <w:b/>
                <w:i/>
              </w:rPr>
              <w:t>poudarja, da je treba povečati priložnosti za vseživljenjski razvoj znanj in spretnosti</w:t>
            </w:r>
            <w:r>
              <w:t xml:space="preserve">, saj se </w:t>
            </w:r>
            <w:r>
              <w:rPr>
                <w:b/>
                <w:i/>
              </w:rPr>
              <w:t>invalidi, zlasti invalidke,</w:t>
            </w:r>
            <w:r>
              <w:t xml:space="preserve"> kljub </w:t>
            </w:r>
            <w:r>
              <w:rPr>
                <w:b/>
                <w:i/>
              </w:rPr>
              <w:t>izboljšanju</w:t>
            </w:r>
            <w:r>
              <w:t xml:space="preserve"> še vedno </w:t>
            </w:r>
            <w:r>
              <w:rPr>
                <w:b/>
                <w:i/>
              </w:rPr>
              <w:t>soočajo</w:t>
            </w:r>
            <w:r>
              <w:t xml:space="preserve"> z velikimi ovirami </w:t>
            </w:r>
            <w:r>
              <w:rPr>
                <w:b/>
                <w:i/>
              </w:rPr>
              <w:t>na trgu dela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ponovno poudarja, da je pomembno podpirati razvoj znanj in spretnosti delovne sile, da bi izboljšali konkurenčnost in zagotovili kakovostna delovna mesta; poziva države članice, naj okrepijo poklicno in digitalno usposabljanje ter spodbujajo vključevanje </w:t>
            </w:r>
            <w:r>
              <w:rPr>
                <w:b/>
                <w:i/>
              </w:rPr>
              <w:t>invalidov</w:t>
            </w:r>
            <w:r>
              <w:t xml:space="preserve"> v delovno silo, da bi odpravili </w:t>
            </w:r>
            <w:r>
              <w:rPr>
                <w:b/>
                <w:i/>
              </w:rPr>
              <w:t>njeno</w:t>
            </w:r>
            <w:r>
              <w:t xml:space="preserve"> pomanjkanje in podprli enake možnosti na trgu dela</w:t>
            </w:r>
            <w:r>
              <w:rPr>
                <w:b/>
                <w:i/>
              </w:rPr>
              <w:t>, saj se kljub izboljšavam še vedno spoprijemajo z velikimi ovirami</w:t>
            </w:r>
            <w:r>
              <w:t>;</w:t>
            </w:r>
          </w:p>
        </w:tc>
        <w:tc>
          <w:tcPr>
            <w:tcW w:w="4876" w:type="dxa"/>
            <w:tcBorders>
              <w:top w:val="nil"/>
              <w:left w:val="nil"/>
              <w:bottom w:val="nil"/>
              <w:right w:val="nil"/>
            </w:tcBorders>
          </w:tcPr>
          <w:p>
            <w:pPr>
              <w:pStyle w:val="Normal6a"/>
            </w:pPr>
            <w:r>
              <w:t>2.</w:t>
            </w:r>
            <w:r>
              <w:tab/>
            </w:r>
            <w:r>
              <w:t>ponovno poudarja, da je pomembno podpirati razvoj znanj in spretnosti delovne sile, da bi izboljšali konkurenčnost in zagotovili kakovostna delovna mesta; poziva države članice, naj okrepijo poklicno in digitalno usposabljanje ter spodbujajo vključevanje </w:t>
            </w:r>
            <w:r>
              <w:rPr>
                <w:b/>
                <w:i/>
              </w:rPr>
              <w:t>oseb iz prikrajšanih skupin, kot so invalidi,</w:t>
            </w:r>
            <w:r>
              <w:t xml:space="preserve"> v delovno silo, da bi odpravili pomanjkanje </w:t>
            </w:r>
            <w:r>
              <w:rPr>
                <w:b/>
                <w:i/>
              </w:rPr>
              <w:t>delovne sile</w:t>
            </w:r>
            <w:r>
              <w:t xml:space="preserve"> in podprli enake možnosti na trgu dela</w:t>
            </w:r>
            <w:r>
              <w:rPr>
                <w:b/>
                <w:i/>
              </w:rPr>
              <w:t>;</w:t>
            </w:r>
            <w:r>
              <w:t xml:space="preserve"> </w:t>
            </w:r>
            <w:r>
              <w:rPr>
                <w:b/>
                <w:i/>
              </w:rPr>
              <w:t>poziva države članice, naj okrepijo ukrepe za usposabljanje, izpopolnjevanje in preusposabljanje ter aktivne politike trga dela, namenjene neaktivni delovni sili in skupinam z nizko udeležbo na trgu dela, vključno z ženskami, invalidi, osebami z nižjo stopnjo izobrazbe, mladimi in mladimi, ki niso zaposleni, se ne izobražujejo ali usposabljajo, starejšimi delavci ter osebami z migrantskim ali etničnim manjšinskim ozadjem, kot so Romi;</w:t>
            </w:r>
            <w:r>
              <w:t xml:space="preserve"> </w:t>
            </w:r>
            <w:r>
              <w:rPr>
                <w:b/>
                <w:i/>
              </w:rPr>
              <w:t>poudarja, da je boj proti vsem oblikam diskriminacije in stereotipov ključnega pomena za vključevanje teh skupin na trg dela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ponovno poudarja, da je pomembno podpirati razvoj znanj in spretnosti delovne sile, da bi izboljšali konkurenčnost in zagotovili kakovostna delovna mesta; poziva države članice, naj okrepijo poklicno in digitalno usposabljanje ter spodbujajo vključevanje </w:t>
            </w:r>
            <w:r>
              <w:rPr>
                <w:b/>
                <w:i/>
              </w:rPr>
              <w:t>invalidov</w:t>
            </w:r>
            <w:r>
              <w:t xml:space="preserve"> v delovno silo, da bi odpravili </w:t>
            </w:r>
            <w:r>
              <w:rPr>
                <w:b/>
                <w:i/>
              </w:rPr>
              <w:t>njeno pomanjkanje</w:t>
            </w:r>
            <w:r>
              <w:t xml:space="preserve"> in podprli enake možnosti na trgu dela, saj se </w:t>
            </w:r>
            <w:r>
              <w:rPr>
                <w:b/>
                <w:i/>
              </w:rPr>
              <w:t>kljub izboljšavam</w:t>
            </w:r>
            <w:r>
              <w:t xml:space="preserve"> še vedno </w:t>
            </w:r>
            <w:r>
              <w:rPr>
                <w:b/>
                <w:i/>
              </w:rPr>
              <w:t>spoprijemajo</w:t>
            </w:r>
            <w:r>
              <w:t xml:space="preserve"> z velikimi ovirami;</w:t>
            </w:r>
          </w:p>
        </w:tc>
        <w:tc>
          <w:tcPr>
            <w:tcW w:w="4876" w:type="dxa"/>
            <w:tcBorders>
              <w:top w:val="nil"/>
              <w:left w:val="nil"/>
              <w:bottom w:val="nil"/>
              <w:right w:val="nil"/>
            </w:tcBorders>
          </w:tcPr>
          <w:p>
            <w:pPr>
              <w:pStyle w:val="Normal6a"/>
            </w:pPr>
            <w:r>
              <w:t>2.</w:t>
            </w:r>
            <w:r>
              <w:tab/>
            </w:r>
            <w:r>
              <w:t>ponovno poudarja, da je pomembno podpirati razvoj znanj in spretnosti</w:t>
            </w:r>
            <w:r>
              <w:rPr>
                <w:b/>
                <w:i/>
              </w:rPr>
              <w:t>, preusposabljanje in izpopolnjevanje</w:t>
            </w:r>
            <w:r>
              <w:t xml:space="preserve"> delovne sile, da bi izboljšali konkurenčnost in </w:t>
            </w:r>
            <w:r>
              <w:rPr>
                <w:b/>
                <w:i/>
              </w:rPr>
              <w:t>dolgoročno vzdržnost evropske industrije ter malih in srednjih podjetij in</w:t>
            </w:r>
            <w:r>
              <w:t xml:space="preserve"> zagotovili kakovostna delovna mesta </w:t>
            </w:r>
            <w:r>
              <w:rPr>
                <w:b/>
                <w:i/>
              </w:rPr>
              <w:t>za delavce, zlasti tiste v sektorjih v prehodu</w:t>
            </w:r>
            <w:r>
              <w:t xml:space="preserve">; poziva države članice, naj okrepijo poklicno in digitalno usposabljanje ter spodbujajo vključevanje </w:t>
            </w:r>
            <w:r>
              <w:rPr>
                <w:b/>
                <w:i/>
              </w:rPr>
              <w:t>vseh skupin, ki imajo trenutno težave pri dostopu do trga dela, vključno z invalidi,</w:t>
            </w:r>
            <w:r>
              <w:t xml:space="preserve"> v delovno silo, da bi odpravili </w:t>
            </w:r>
            <w:r>
              <w:rPr>
                <w:b/>
                <w:i/>
              </w:rPr>
              <w:t>pomanjkanje delovne sile</w:t>
            </w:r>
            <w:r>
              <w:t xml:space="preserve"> in podprli enake možnosti na trgu dela, saj se </w:t>
            </w:r>
            <w:r>
              <w:rPr>
                <w:b/>
                <w:i/>
              </w:rPr>
              <w:t>invalidi na trgu dela</w:t>
            </w:r>
            <w:r>
              <w:t xml:space="preserve"> še vedno </w:t>
            </w:r>
            <w:r>
              <w:rPr>
                <w:b/>
                <w:i/>
              </w:rPr>
              <w:t>srečujejo</w:t>
            </w:r>
            <w:r>
              <w:t xml:space="preserve"> z velikimi ovirami;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ponovno poudarja, da je pomembno podpirati razvoj znanj in spretnosti delovne sile,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c>
          <w:tcPr>
            <w:tcW w:w="4876" w:type="dxa"/>
            <w:tcBorders>
              <w:top w:val="nil"/>
              <w:left w:val="nil"/>
              <w:bottom w:val="nil"/>
              <w:right w:val="nil"/>
            </w:tcBorders>
          </w:tcPr>
          <w:p>
            <w:pPr>
              <w:pStyle w:val="Normal6a"/>
            </w:pPr>
            <w:r>
              <w:t>2.</w:t>
            </w:r>
            <w:r>
              <w:tab/>
            </w:r>
            <w:r>
              <w:t>ponovno poudarja, da je pomembno podpirati razvoj znanj in spretnosti delovne sile, da bi izboljšali konkurenčnost in zagotovili kakovostna delovna mesta</w:t>
            </w:r>
            <w:r>
              <w:rPr>
                <w:b/>
                <w:i/>
              </w:rPr>
              <w:t>, hkrati pa spoštovali želje posameznih delavcev</w:t>
            </w:r>
            <w:r>
              <w:t xml:space="preserve">; poziva države članice, naj okrepijo poklicno in digitalno usposabljanje ter spodbujajo vključevanje invalidov </w:t>
            </w:r>
            <w:r>
              <w:rPr>
                <w:b/>
                <w:i/>
              </w:rPr>
              <w:t>ter oseb s kroničnimi boleznimi</w:t>
            </w:r>
            <w:r>
              <w:t xml:space="preserve"> v delovno silo </w:t>
            </w:r>
            <w:r>
              <w:rPr>
                <w:b/>
                <w:i/>
              </w:rPr>
              <w:t>ter ponovno vključevanje delavcev po dolgi odsotnosti</w:t>
            </w:r>
            <w:r>
              <w:t>, da bi odpravili njeno pomanjkanje in podprli enake možnosti na trgu dela, saj se kljub izboljšavam še vedno spoprijemajo z velikimi ovirami;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ponovno poudarja, da je pomembno podpirati razvoj znanj in spretnosti delovne sile,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c>
          <w:tcPr>
            <w:tcW w:w="4876" w:type="dxa"/>
            <w:tcBorders>
              <w:top w:val="nil"/>
              <w:left w:val="nil"/>
              <w:bottom w:val="nil"/>
              <w:right w:val="nil"/>
            </w:tcBorders>
          </w:tcPr>
          <w:p>
            <w:pPr>
              <w:pStyle w:val="Normal6a"/>
            </w:pPr>
            <w:r>
              <w:t>2.</w:t>
            </w:r>
            <w:r>
              <w:tab/>
            </w:r>
            <w:r>
              <w:t xml:space="preserve">ponovno poudarja, da je pomembno podpirati razvoj znanj in spretnosti delovne sile, da bi izboljšali konkurenčnost in zagotovili kakovostna delovna mesta; poziva države članice, naj okrepijo poklicno in digitalno usposabljanje ter spodbujajo vključevanje invalidov </w:t>
            </w:r>
            <w:r>
              <w:rPr>
                <w:b/>
                <w:i/>
              </w:rPr>
              <w:t>in oseb iz prikrajšanih ali marginaliziranih skupin</w:t>
            </w:r>
            <w:r>
              <w:t xml:space="preserve"> v delovno silo, da bi odpravili njeno pomanjkanje in podprli enake možnosti na trgu dela, saj se kljub izboljšavam še vedno spoprijemajo z velikimi ovirami;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ponovno poudarja, da je </w:t>
            </w:r>
            <w:r>
              <w:rPr>
                <w:b/>
                <w:i/>
              </w:rPr>
              <w:t>pomembno podpirati razvoj</w:t>
            </w:r>
            <w:r>
              <w:t xml:space="preserve"> znanj in spretnosti delovne sile,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c>
          <w:tcPr>
            <w:tcW w:w="4876" w:type="dxa"/>
            <w:tcBorders>
              <w:top w:val="nil"/>
              <w:left w:val="nil"/>
              <w:bottom w:val="nil"/>
              <w:right w:val="nil"/>
            </w:tcBorders>
          </w:tcPr>
          <w:p>
            <w:pPr>
              <w:pStyle w:val="Normal6a"/>
            </w:pPr>
            <w:r>
              <w:t>2.</w:t>
            </w:r>
            <w:r>
              <w:tab/>
            </w:r>
            <w:r>
              <w:t xml:space="preserve">ponovno poudarja, da je </w:t>
            </w:r>
            <w:r>
              <w:rPr>
                <w:b/>
                <w:i/>
              </w:rPr>
              <w:t>pri razvoju</w:t>
            </w:r>
            <w:r>
              <w:t xml:space="preserve"> znanj in spretnosti delovne sile, da bi izboljšali konkurenčnost in zagotovili kakovostna delovna mesta</w:t>
            </w:r>
            <w:r>
              <w:rPr>
                <w:b/>
                <w:i/>
              </w:rPr>
              <w:t>, pomembno načelo delitve stroškov med državo in zasebnimi akterji</w:t>
            </w:r>
            <w:r>
              <w:t>;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ponovno poudarja, da je pomembno podpirati razvoj znanj</w:t>
            </w:r>
            <w:r>
              <w:t xml:space="preserve"> in spretnosti </w:t>
            </w:r>
            <w:r>
              <w:rPr>
                <w:b/>
                <w:i/>
              </w:rPr>
              <w:t>delovne sile</w:t>
            </w:r>
            <w:r>
              <w:t>,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c>
          <w:tcPr>
            <w:tcW w:w="4876" w:type="dxa"/>
            <w:tcBorders>
              <w:top w:val="nil"/>
              <w:left w:val="nil"/>
              <w:bottom w:val="nil"/>
              <w:right w:val="nil"/>
            </w:tcBorders>
          </w:tcPr>
          <w:p>
            <w:pPr>
              <w:pStyle w:val="Normal6a"/>
            </w:pPr>
            <w:r>
              <w:t>2.</w:t>
            </w:r>
            <w:r>
              <w:tab/>
            </w:r>
            <w:r>
              <w:rPr>
                <w:b/>
                <w:i/>
              </w:rPr>
              <w:t>poziva k izkoriščanju talentov Evrope in vlaganju v znanja</w:t>
            </w:r>
            <w:r>
              <w:t xml:space="preserve"> in spretnosti </w:t>
            </w:r>
            <w:r>
              <w:rPr>
                <w:b/>
                <w:i/>
              </w:rPr>
              <w:t>za spodbujanje visokokakovostnih delovnih mest po vsej Uniji</w:t>
            </w:r>
            <w:r>
              <w:t>,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ponovno poudarja, da je pomembno podpirati razvoj znanj in spretnosti delovne sile,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 še vedno spoprijemajo z velikimi ovirami;</w:t>
            </w:r>
          </w:p>
        </w:tc>
        <w:tc>
          <w:tcPr>
            <w:tcW w:w="4876" w:type="dxa"/>
            <w:tcBorders>
              <w:top w:val="nil"/>
              <w:left w:val="nil"/>
              <w:bottom w:val="nil"/>
              <w:right w:val="nil"/>
            </w:tcBorders>
          </w:tcPr>
          <w:p>
            <w:pPr>
              <w:pStyle w:val="Normal6a"/>
            </w:pPr>
            <w:r>
              <w:t>2.</w:t>
            </w:r>
            <w:r>
              <w:tab/>
            </w:r>
            <w:r>
              <w:t xml:space="preserve">ponovno poudarja, da je pomembno podpirati razvoj znanj in spretnosti </w:t>
            </w:r>
            <w:r>
              <w:rPr>
                <w:b/>
                <w:i/>
              </w:rPr>
              <w:t>evropske</w:t>
            </w:r>
            <w:r>
              <w:t xml:space="preserve"> delovne sile, da bi izboljšali konkurenčnost in zagotovili kakovostna delovna mesta; poziva države članice, naj okrepijo poklicno in digitalno usposabljanje ter spodbujajo vključevanje invalidov v delovno silo, da bi odpravili njeno pomanjkanje in podprli enake možnosti na trgu dela, saj se kljub izboljšavam</w:t>
            </w:r>
            <w:r>
              <w:rPr>
                <w:b/>
                <w:i/>
              </w:rPr>
              <w:t> na trgu dela</w:t>
            </w:r>
            <w:r>
              <w:t> še vedno spoprijemajo z velikimi ovirami;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opozarja na trdovratno vrzel stopnje zaposlenosti invalidov, saj je le 51,3 % aktivnih, delovno sposobnih invalidov v EU zaposlenih;</w:t>
            </w:r>
            <w:r>
              <w:t xml:space="preserve"> </w:t>
            </w:r>
            <w:r>
              <w:rPr>
                <w:b/>
                <w:i/>
              </w:rPr>
              <w:t>poziva Komisijo, naj strategijo EU o invalidnosti posodobi z novimi vodilnimi pobudami in ukrepi od leta 2025 naprej;</w:t>
            </w:r>
            <w:r>
              <w:t xml:space="preserve"> </w:t>
            </w:r>
            <w:r>
              <w:rPr>
                <w:b/>
                <w:i/>
              </w:rPr>
              <w:t>poudarja, da bi morala Komisija pripraviti predloge, s katerimi bi zagotovila, da bodo EU in države članice spoštovale Konvencijo Združenih narodov o pravicah invalidov, zlasti pa obravnavale socialno vključenost in neodvisno življenje invalidov ter preostale ovire za njihovo prosto gibanje in jim zagotovile dostop do kakovostnega izobraževanja, usposabljanja in zaposlitve, in sicer s smernicami o ohranitvi nadomestil za invalidnost in vzpostavitvijo evropskega jamstva za zaposlovanje ter znanja in spretnosti invalidov;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je zaskrbljen zaradi porasta nestandardnih pogodb, zaradi katerih se delavci soočajo z revščino zaposlenih in ostanejo brez ustreznega pravnega varstva;</w:t>
            </w:r>
            <w:r>
              <w:t xml:space="preserve"> </w:t>
            </w:r>
            <w:r>
              <w:rPr>
                <w:b/>
                <w:i/>
              </w:rPr>
              <w:t>opozarja, da tako nižanje standardov zaposlovanja ne vpliva le na finančno stabilnost posameznikov, temveč ogroža tudi širšo družbeno strukturo, saj se vse več delavcev sooča z izzivi pri dostopu do osnovnih storitev, kot so zdravstveno varstvo, pokojninski načrti in usposabljanje, povezano z delom;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poudarja, da je treba nameniti pozornost socialnim in okoljskim vidikom konkurenčnosti, pri čemer poudarja, da so potrebne naložbe v izobraževanje in usposabljanje za vse, da bi zagotovili splošen dostop do visokokakovostnih javnih programov izobraževanja in poklicnega usposabljanja ter trajnostnih praks za spodbujanje vključujoče rasti; poudarja, da bi morali imeti socialni partnerji ključno vlogo pri opredeljevanju in obravnavanju potreb po znanjih in spretnostih po vsej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poudarja vlogo socialnih naložb ter pomen reform in naložb na ključnih področjih, kot so izpopolnjevanje in preusposabljanje, vseživljenjsko učenje, aktivne politike trga dela, politike vzgoje in varstva predšolskih otrok, ki jih je mogoče dopolniti z večjimi naložbami v cenovno dostopna stanovanja in socialno zaščito;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izraža zaskrbljenost, ker se Romi še vedno soočajo z velikimi ovirami pri zaposlovanju, pri čemer vztrajni predsodki omejujejo njihove možnosti;</w:t>
            </w:r>
            <w:r>
              <w:t xml:space="preserve"> </w:t>
            </w:r>
            <w:r>
              <w:rPr>
                <w:b/>
                <w:i/>
              </w:rPr>
              <w:t>ugotavlja, da je v strateškem okviru EU za enakost, vključevanje in udeležbo Romov poudarjeno pomanjkanje napredka pri dostopu do zaposlitve in vse večji delež mladih Romov, ki niso zaposleni, se ne izobražujejo ali usposabljajo;</w:t>
            </w:r>
            <w:r>
              <w:t xml:space="preserve"> </w:t>
            </w:r>
            <w:r>
              <w:rPr>
                <w:b/>
                <w:i/>
              </w:rPr>
              <w:t>poudarja, da je cilj okvira prepoloviti vrzel stopnje zaposlenosti med Romi in splošnim prebivalstvom ter zagotoviti, da bo do leta 2030 vsaj 60 % Romov opravljalo plačano delo;</w:t>
            </w:r>
            <w:r>
              <w:t xml:space="preserve"> </w:t>
            </w:r>
            <w:r>
              <w:rPr>
                <w:b/>
                <w:i/>
              </w:rPr>
              <w:t>poziva države članice, naj sprejmejo celosten pristop, osredotočen na enakost, in zagotovijo, da bodo javne politike in storitve učinkovito dosegle vse Rome, tudi tiste na oddaljenih podeželskih območjih;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poudarja, da odziv na pomanjkanje delovne sile v Evropski uniji vključuje tudi izboljšanje in olajšanje mobilnosti delovne sile v Uniji;</w:t>
            </w:r>
            <w:r>
              <w:t xml:space="preserve"> </w:t>
            </w:r>
            <w:r>
              <w:rPr>
                <w:b/>
                <w:i/>
              </w:rPr>
              <w:t>poziva države članice, naj okrepijo in olajšajo priznavanje znanj in spretnosti ter kvalifikacij v Uniji, tudi za državljane tretjih držav;</w:t>
            </w:r>
            <w:r>
              <w:t xml:space="preserve"> </w:t>
            </w:r>
            <w:r>
              <w:rPr>
                <w:b/>
                <w:i/>
              </w:rPr>
              <w:t>poziva Komisijo, naj analizira učinkovitost platforme EURES z namenom morebitne revizije njenega delovanja;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je zaskrbljen zaradi vse slabše izobrazbene uspešnosti mladih, zlasti na področju osnovnih znanj in spretnosti</w:t>
            </w:r>
            <w:r>
              <w:rPr>
                <w:b/>
                <w:i/>
                <w:vertAlign w:val="superscript"/>
              </w:rPr>
              <w:t>17a</w:t>
            </w:r>
            <w:r>
              <w:rPr>
                <w:b/>
                <w:i/>
              </w:rPr>
              <w:t>;</w:t>
            </w:r>
            <w:r>
              <w:t xml:space="preserve"> </w:t>
            </w:r>
            <w:r>
              <w:rPr>
                <w:b/>
                <w:i/>
              </w:rPr>
              <w:t>v zvezi s tem pozdravlja napoved akcijskega načrta za osnovna znanja in spretnosti ter strateškega načrta za izobraževanje na področju naravoslovja, tehnologije, inženirstva in matematike</w:t>
            </w:r>
            <w:r>
              <w:rPr>
                <w:b/>
                <w:i/>
                <w:vertAlign w:val="superscript"/>
              </w:rPr>
              <w:t>18a</w:t>
            </w:r>
            <w:r>
              <w:rPr>
                <w:b/>
                <w:i/>
              </w:rPr>
              <w:t>;</w:t>
            </w:r>
            <w:r>
              <w:t xml:space="preserve"> </w:t>
            </w:r>
            <w:r>
              <w:rPr>
                <w:b/>
                <w:i/>
              </w:rPr>
              <w:t>poziva države članice, naj vlagajo v programe, s katerimi bi učence opremili z osnovnimi, digitalnimi in prečnimi znanji in spretnostmi, potrebnimi za svet dela in njegovo digitalizacijo, ter pomembno prispevali k družbi;</w:t>
            </w:r>
            <w:r>
              <w:t xml:space="preserve"> </w:t>
            </w:r>
            <w:r>
              <w:rPr>
                <w:b/>
                <w:i/>
              </w:rPr>
              <w:t>meni, da morajo digitalna in prečna znanja in spretnosti vključevati kritično razmišljanje in medijsko pismenost, da bi se lahko zoperstavili grožnji napačnih informacij;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Pregled izobraževanja in usposabljanja 2024, ki ga je pripravil generalni direktorat za izobraževanje, mladino, šport in kulturo – primerjalno poročilo, Urad za publikacije Evropske unije,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poslanica izvršni podpredsednici za socialne pravice, spretnosti, kakovostna delovna mesta in pripravljenost, december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ugotavlja, da je število oseb, ki zgodaj opustijo izobraževanje in usposabljanje, kljub trendu upadanja v Evropski uniji v več državah članicah še vedno visoko;</w:t>
            </w:r>
            <w:r>
              <w:t xml:space="preserve"> </w:t>
            </w:r>
            <w:r>
              <w:rPr>
                <w:b/>
                <w:i/>
              </w:rPr>
              <w:t>ugotavlja, da ta pojav prizadene zlasti mlade moške, saj je 11,3 % mladih moških in 7,7 % mladih žensk v Uniji v začetku leta 2023 opustilo izobraževanje in usposabljanje;</w:t>
            </w:r>
            <w:r>
              <w:t xml:space="preserve"> </w:t>
            </w:r>
            <w:r>
              <w:rPr>
                <w:b/>
                <w:i/>
              </w:rPr>
              <w:t>je zaskrbljen zaradi vpliva tega osipa na prihodnost teh mladih, saj je le eden od dveh mladih, ki so zgodaj opustili šolanje, zaposlen, ker skoraj eden od treh mladih, ki so v preteklosti zgodaj opustili šolanje, kljub želji ne more najti zaposlitve in ker se vsak peti odloči, da bo ostal neaktiven;</w:t>
            </w:r>
            <w:r>
              <w:t xml:space="preserve"> </w:t>
            </w:r>
            <w:r>
              <w:rPr>
                <w:b/>
                <w:i/>
              </w:rPr>
              <w:t>poziva države članice, naj obravnavajo te razmere in razvijejo prilagojene rešitve za ohranjanje otrok in mladih v šoli;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2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2f.</w:t>
            </w:r>
            <w:r>
              <w:tab/>
            </w:r>
            <w:r>
              <w:rPr>
                <w:b/>
                <w:i/>
              </w:rPr>
              <w:t>je zaskrbljen zaradi stopnje brezposelnosti mladih, ki je v več državah članicah še vedno zelo visoka in več kot dvakrat višja od splošne stopnje brezposelnosti na ravni EU;</w:t>
            </w:r>
            <w:r>
              <w:t xml:space="preserve"> </w:t>
            </w:r>
            <w:r>
              <w:rPr>
                <w:b/>
                <w:i/>
              </w:rPr>
              <w:t>opozarja, da so države članice mladim dale zavezo z vzpostavitvijo jamstva za mlade, da bi mladi, mlajši od 30 let, v štirih mesecih po tem, ko postanejo brezposelni ali se prenehajo formalno izobraževati, prejeli kakovostno ponudbo za zaposlitev, nadaljnje izobraževanje, vajeništvo ali pripravništvo;</w:t>
            </w:r>
            <w:r>
              <w:t xml:space="preserve"> </w:t>
            </w:r>
            <w:r>
              <w:rPr>
                <w:b/>
                <w:i/>
              </w:rPr>
              <w:t>meni, da je potrebnih več sinergij med jamstvom za otroke in jamstvom za mlade, da bi mladim v stiski zagotovili ustrezno podporo pri njihovem osebnem in poklicnem razvoju;</w:t>
            </w:r>
            <w:r>
              <w:t xml:space="preserve"> </w:t>
            </w:r>
            <w:r>
              <w:rPr>
                <w:b/>
                <w:i/>
              </w:rPr>
              <w:t>pozdravlja dejstvo, da se rezultati zaposlovanja novih diplomantov poklicnega izobraževanja in usposabljanja po vsej EU še naprej izboljšujejo;</w:t>
            </w:r>
            <w:r>
              <w:t xml:space="preserve"> </w:t>
            </w:r>
            <w:r>
              <w:rPr>
                <w:b/>
                <w:i/>
              </w:rPr>
              <w:t>ponovno poudarja ključno vlogo poklicnega izobraževanja in usposabljanja pri zagotavljanju znanja, spretnosti in kompetenc, ki jih mladi potrebujejo za vstop na trg dela;</w:t>
            </w:r>
            <w:r>
              <w:t xml:space="preserve"> </w:t>
            </w:r>
            <w:r>
              <w:rPr>
                <w:b/>
                <w:i/>
              </w:rPr>
              <w:t>poudarja, da je treba vlagati v kakovost in privlačnost poklicnega izobraževanja in usposabljanja prek ESS+ in okrepljenega jamstva za mlade;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poziva Komisijo</w:t>
            </w:r>
            <w:r>
              <w:rPr>
                <w:b/>
                <w:i/>
              </w:rPr>
              <w:t>, naj</w:t>
            </w:r>
            <w:r>
              <w:t xml:space="preserve"> v evropski semester vključi posebna priporočila o dostopnosti stanovanj in spodbuja naložbe v stanovanja, tudi s finančnimi instrumenti Evropske investicijske banke; meni, da bi morala revizija regulativnega okvira EU za stanovanjski sektor olajšati gradnjo </w:t>
            </w:r>
            <w:r>
              <w:rPr>
                <w:b/>
                <w:i/>
              </w:rPr>
              <w:t>dostopnih</w:t>
            </w:r>
            <w:r>
              <w:t xml:space="preserve"> in energijsko učinkovitih stanovanj, ki </w:t>
            </w:r>
            <w:r>
              <w:rPr>
                <w:b/>
                <w:i/>
              </w:rPr>
              <w:t>ustrezajo</w:t>
            </w:r>
            <w:r>
              <w:t xml:space="preserve"> potrebam mladih, oseb z omejeno mobilnostjo in ogroženih družin</w:t>
            </w:r>
            <w:r>
              <w:rPr>
                <w:b/>
                <w:i/>
              </w:rPr>
              <w:t>, ter zaščititi lastnike</w:t>
            </w:r>
            <w:r>
              <w:t xml:space="preserve"> stanovanj </w:t>
            </w:r>
            <w:r>
              <w:rPr>
                <w:b/>
                <w:i/>
              </w:rPr>
              <w:t>pred nadaljnjim zmanjševanjem ponudbe</w:t>
            </w:r>
            <w:r>
              <w:t>;</w:t>
            </w:r>
          </w:p>
        </w:tc>
        <w:tc>
          <w:tcPr>
            <w:tcW w:w="4876" w:type="dxa"/>
            <w:tcBorders>
              <w:top w:val="nil"/>
              <w:left w:val="nil"/>
              <w:bottom w:val="nil"/>
              <w:right w:val="nil"/>
            </w:tcBorders>
          </w:tcPr>
          <w:p>
            <w:pPr>
              <w:pStyle w:val="Normal6a"/>
            </w:pPr>
            <w:r>
              <w:t>3.</w:t>
            </w:r>
            <w:r>
              <w:tab/>
            </w:r>
            <w:r>
              <w:t xml:space="preserve">poziva Komisijo </w:t>
            </w:r>
            <w:r>
              <w:rPr>
                <w:b/>
                <w:i/>
              </w:rPr>
              <w:t>in države članice, naj stanovanja postavijo v ospredje evropskih politik;</w:t>
            </w:r>
            <w:r>
              <w:t xml:space="preserve"> </w:t>
            </w:r>
            <w:r>
              <w:rPr>
                <w:b/>
                <w:i/>
              </w:rPr>
              <w:t>poudarja, da morajo EU in njene države članice državljanom zagotavljati univerzalen dostop do dostojnih in cenovno dostopnih stanovanj v skladu s temeljnimi pravicami, kot so določene v členih 16, 30 in 31 Evropske socialne listine ter evropskem stebru socialnih pravic;</w:t>
            </w:r>
            <w:r>
              <w:t xml:space="preserve"> </w:t>
            </w:r>
            <w:r>
              <w:rPr>
                <w:b/>
                <w:i/>
              </w:rPr>
              <w:t>poudarja, da so naložbe v socialna in cenovno dostopna stanovanja ključne za zagotovitev in izboljšanje kakovosti življenja za vse državljane EU;</w:t>
            </w:r>
            <w:r>
              <w:t xml:space="preserve"> </w:t>
            </w:r>
            <w:r>
              <w:rPr>
                <w:b/>
                <w:i/>
              </w:rPr>
              <w:t>poziva Komisijo, naj oblikuje politiko socialnih stanovanj v EU in</w:t>
            </w:r>
            <w:r>
              <w:t xml:space="preserve"> v evropski semester vključi posebna priporočila o dostopnosti stanovanj </w:t>
            </w:r>
            <w:r>
              <w:rPr>
                <w:b/>
                <w:i/>
              </w:rPr>
              <w:t>za vse</w:t>
            </w:r>
            <w:r>
              <w:t xml:space="preserve"> in spodbuja naložbe v </w:t>
            </w:r>
            <w:r>
              <w:rPr>
                <w:b/>
                <w:i/>
              </w:rPr>
              <w:t>javna</w:t>
            </w:r>
            <w:r>
              <w:t xml:space="preserve"> stanovanja, tudi s </w:t>
            </w:r>
            <w:r>
              <w:rPr>
                <w:b/>
                <w:i/>
              </w:rPr>
              <w:t>sredstvi EU in</w:t>
            </w:r>
            <w:r>
              <w:t xml:space="preserve"> finančnimi instrumenti Evropske investicijske banke; meni, da bi morala revizija regulativnega okvira EU za stanovanjski sektor olajšati gradnjo </w:t>
            </w:r>
            <w:r>
              <w:rPr>
                <w:b/>
                <w:i/>
              </w:rPr>
              <w:t>javnih, kakovostnih, dostojnih</w:t>
            </w:r>
            <w:r>
              <w:t xml:space="preserve"> in energijsko učinkovitih stanovanj, ki </w:t>
            </w:r>
            <w:r>
              <w:rPr>
                <w:b/>
                <w:i/>
              </w:rPr>
              <w:t>bodo ustrezala</w:t>
            </w:r>
            <w:r>
              <w:t xml:space="preserve"> potrebam mladih, oseb z omejeno mobilnostjo</w:t>
            </w:r>
            <w:r>
              <w:rPr>
                <w:b/>
                <w:i/>
              </w:rPr>
              <w:t>, invalidov, starejših</w:t>
            </w:r>
            <w:r>
              <w:t xml:space="preserve"> in ogroženih družin</w:t>
            </w:r>
            <w:r>
              <w:rPr>
                <w:b/>
                <w:i/>
              </w:rPr>
              <w:t>;</w:t>
            </w:r>
            <w:r>
              <w:t xml:space="preserve"> </w:t>
            </w:r>
            <w:r>
              <w:rPr>
                <w:b/>
                <w:i/>
              </w:rPr>
              <w:t>poziva Komisijo in države članice, naj sprejmejo odločne ukrepe za zagotovitev cenovno dostopnih</w:t>
            </w:r>
            <w:r>
              <w:t xml:space="preserve"> stanovanj </w:t>
            </w:r>
            <w:r>
              <w:rPr>
                <w:b/>
                <w:i/>
              </w:rPr>
              <w:t>za vse s podporo močni evropski stanovanjski strategiji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Komisijo, naj v evropski semester vključi posebna priporočila o dostopnosti stanovanj in spodbuja naložbe v stanovanja, tudi s finančnimi instrumenti Evropske investicijske banke; meni, da bi morala revizija regulativnega okvira EU za stanovanjski sektor </w:t>
            </w:r>
            <w:r>
              <w:rPr>
                <w:b/>
                <w:i/>
              </w:rPr>
              <w:t>olajšati</w:t>
            </w:r>
            <w:r>
              <w:t xml:space="preserve"> gradnjo dostopnih in energijsko učinkovitih stanovanj, ki </w:t>
            </w:r>
            <w:r>
              <w:rPr>
                <w:b/>
                <w:i/>
              </w:rPr>
              <w:t>ustrezajo</w:t>
            </w:r>
            <w:r>
              <w:t xml:space="preserve"> potrebam mladih, oseb z omejeno mobilnostjo in ogroženih družin, ter zaščititi lastnike stanovanj pred nadaljnjim zmanjševanjem ponudbe;</w:t>
            </w:r>
          </w:p>
        </w:tc>
        <w:tc>
          <w:tcPr>
            <w:tcW w:w="4876" w:type="dxa"/>
            <w:tcBorders>
              <w:top w:val="nil"/>
              <w:left w:val="nil"/>
              <w:bottom w:val="nil"/>
              <w:right w:val="nil"/>
            </w:tcBorders>
          </w:tcPr>
          <w:p>
            <w:pPr>
              <w:pStyle w:val="Normal6a"/>
            </w:pPr>
            <w:r>
              <w:t>3.</w:t>
            </w:r>
            <w:r>
              <w:tab/>
            </w:r>
            <w:r>
              <w:t xml:space="preserve">poziva Komisijo, naj </w:t>
            </w:r>
            <w:r>
              <w:rPr>
                <w:b/>
                <w:i/>
              </w:rPr>
              <w:t>prizna primere dobre prakse držav članic v boju proti energetski revščini, kot so subvencije cen za stanovanjske odjemalce;</w:t>
            </w:r>
            <w:r>
              <w:t xml:space="preserve"> v evropski semester vključi posebna priporočila o dostopnosti stanovanj in spodbuja naložbe v stanovanja, tudi s finančnimi instrumenti Evropske investicijske banke; meni, da bi morala revizija regulativnega okvira EU za stanovanjski sektor </w:t>
            </w:r>
            <w:r>
              <w:rPr>
                <w:b/>
                <w:i/>
              </w:rPr>
              <w:t>spoštovati pristojnosti držav članic in hkrati omogočati</w:t>
            </w:r>
            <w:r>
              <w:t xml:space="preserve"> gradnjo dostopnih in energijsko učinkovitih stanovanj, ki </w:t>
            </w:r>
            <w:r>
              <w:rPr>
                <w:b/>
                <w:i/>
              </w:rPr>
              <w:t>bodo ustrezala</w:t>
            </w:r>
            <w:r>
              <w:t xml:space="preserve"> potrebam mladih, oseb z omejeno mobilnostjo in ogroženih družin, ter zaščititi lastnike stanovanj pred nadaljnjim zmanjševanjem ponudbe; </w:t>
            </w:r>
            <w:r>
              <w:rPr>
                <w:b/>
                <w:i/>
              </w:rPr>
              <w:t>poziva Komisijo, naj ne nalaga bremena pretvorbe energetske učinkovitosti hiš družinam;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Komisijo, naj v evropski semester vključi posebna priporočila o dostopnosti stanovanj in spodbuja naložbe v stanovanja, tudi s finančnimi instrumenti Evropske investicijske banke; meni, da bi morala </w:t>
            </w:r>
            <w:r>
              <w:rPr>
                <w:b/>
                <w:i/>
              </w:rPr>
              <w:t>revizija regulativnega okvira</w:t>
            </w:r>
            <w:r>
              <w:t xml:space="preserve"> EU za stanovanjski sektor olajšati gradnjo dostopnih in </w:t>
            </w:r>
            <w:r>
              <w:rPr>
                <w:b/>
                <w:i/>
              </w:rPr>
              <w:t>energijsko</w:t>
            </w:r>
            <w:r>
              <w:t xml:space="preserve"> učinkovitih stanovanj, </w:t>
            </w:r>
            <w:r>
              <w:rPr>
                <w:b/>
                <w:i/>
              </w:rPr>
              <w:t>ki ustrezajo</w:t>
            </w:r>
            <w:r>
              <w:t xml:space="preserve"> potrebam mladih, oseb z omejeno mobilnostjo </w:t>
            </w:r>
            <w:r>
              <w:rPr>
                <w:b/>
                <w:i/>
              </w:rPr>
              <w:t>in</w:t>
            </w:r>
            <w:r>
              <w:t xml:space="preserve"> ogroženih družin, </w:t>
            </w:r>
            <w:r>
              <w:rPr>
                <w:b/>
                <w:i/>
              </w:rPr>
              <w:t>ter</w:t>
            </w:r>
            <w:r>
              <w:t xml:space="preserve"> zaščititi lastnike stanovanj pred nadaljnjim zmanjševanjem ponudbe;</w:t>
            </w:r>
          </w:p>
        </w:tc>
        <w:tc>
          <w:tcPr>
            <w:tcW w:w="4876" w:type="dxa"/>
            <w:tcBorders>
              <w:top w:val="nil"/>
              <w:left w:val="nil"/>
              <w:bottom w:val="nil"/>
              <w:right w:val="nil"/>
            </w:tcBorders>
          </w:tcPr>
          <w:p>
            <w:pPr>
              <w:pStyle w:val="Normal6a"/>
            </w:pPr>
            <w:r>
              <w:t>3.</w:t>
            </w:r>
            <w:r>
              <w:tab/>
            </w:r>
            <w:r>
              <w:t xml:space="preserve">poziva Komisijo, naj v evropski semester vključi posebna priporočila o </w:t>
            </w:r>
            <w:r>
              <w:rPr>
                <w:b/>
                <w:i/>
              </w:rPr>
              <w:t>razpoložljivosti in</w:t>
            </w:r>
            <w:r>
              <w:t xml:space="preserve"> dostopnosti stanovanj in spodbuja naložbe v stanovanja, tudi s finančnimi instrumenti Evropske investicijske banke; meni, da bi morala </w:t>
            </w:r>
            <w:r>
              <w:rPr>
                <w:b/>
                <w:i/>
              </w:rPr>
              <w:t>ocena politik in skladov Unije, vključno z ozkimi grli v regulativnem okviru</w:t>
            </w:r>
            <w:r>
              <w:t xml:space="preserve"> EU za stanovanjski sektor</w:t>
            </w:r>
            <w:r>
              <w:rPr>
                <w:b/>
                <w:i/>
              </w:rPr>
              <w:t>, zlasti pravil o državni pomoči,</w:t>
            </w:r>
            <w:r>
              <w:t xml:space="preserve"> olajšati gradnjo</w:t>
            </w:r>
            <w:r>
              <w:rPr>
                <w:b/>
                <w:i/>
              </w:rPr>
              <w:t>, preoblikovanje in prenovo</w:t>
            </w:r>
            <w:r>
              <w:t xml:space="preserve"> dostopnih in </w:t>
            </w:r>
            <w:r>
              <w:rPr>
                <w:b/>
                <w:i/>
              </w:rPr>
              <w:t>energetsko</w:t>
            </w:r>
            <w:r>
              <w:t xml:space="preserve"> učinkovitih stanovanj, </w:t>
            </w:r>
            <w:r>
              <w:rPr>
                <w:b/>
                <w:i/>
              </w:rPr>
              <w:t>vključno s socialnimi stanovanji, ki bodo ustrezala</w:t>
            </w:r>
            <w:r>
              <w:t xml:space="preserve"> potrebam </w:t>
            </w:r>
            <w:r>
              <w:rPr>
                <w:b/>
                <w:i/>
              </w:rPr>
              <w:t>skupin z nizkimi in srednjimi dohodki, pa tudi</w:t>
            </w:r>
            <w:r>
              <w:t xml:space="preserve"> mladih, </w:t>
            </w:r>
            <w:r>
              <w:rPr>
                <w:b/>
                <w:i/>
              </w:rPr>
              <w:t>invalidov in</w:t>
            </w:r>
            <w:r>
              <w:t xml:space="preserve"> oseb z omejeno mobilnostjo </w:t>
            </w:r>
            <w:r>
              <w:rPr>
                <w:b/>
                <w:i/>
              </w:rPr>
              <w:t>ter</w:t>
            </w:r>
            <w:r>
              <w:t xml:space="preserve"> ogroženih družin, </w:t>
            </w:r>
            <w:r>
              <w:rPr>
                <w:b/>
                <w:i/>
              </w:rPr>
              <w:t>pa tudi</w:t>
            </w:r>
            <w:r>
              <w:t xml:space="preserve"> zaščititi </w:t>
            </w:r>
            <w:r>
              <w:rPr>
                <w:b/>
                <w:i/>
              </w:rPr>
              <w:t>potencialne</w:t>
            </w:r>
            <w:r>
              <w:t xml:space="preserve"> lastnike stanovanj pred nadaljnjim zmanjševanjem ponudbe;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 in energijsko učinkovitih stanovanj, ki ustrezajo potrebam mladih, oseb z omejeno mobilnostjo in ogroženih družin, ter zaščititi lastnike stanovanj pred nadaljnjim zmanjševanjem ponudbe;</w:t>
            </w:r>
          </w:p>
        </w:tc>
        <w:tc>
          <w:tcPr>
            <w:tcW w:w="4876" w:type="dxa"/>
            <w:tcBorders>
              <w:top w:val="nil"/>
              <w:left w:val="nil"/>
              <w:bottom w:val="nil"/>
              <w:right w:val="nil"/>
            </w:tcBorders>
          </w:tcPr>
          <w:p>
            <w:pPr>
              <w:pStyle w:val="Normal6a"/>
            </w:pPr>
            <w:r>
              <w:t>3.</w:t>
            </w:r>
            <w:r>
              <w:tab/>
            </w:r>
            <w:r>
              <w:t>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 in energijsko učinkovitih stanovanj, ki ustrezajo potrebam mladih, oseb z omejeno mobilnostjo in ogroženih družin, ter zaščititi lastnike stanovanj pred nadaljnjim zmanjševanjem ponudbe</w:t>
            </w:r>
            <w:r>
              <w:rPr>
                <w:b/>
                <w:i/>
              </w:rPr>
              <w:t>.</w:t>
            </w:r>
            <w:r>
              <w:t xml:space="preserve"> </w:t>
            </w:r>
            <w:r>
              <w:rPr>
                <w:b/>
                <w:i/>
              </w:rPr>
              <w:t>Zmanjšanje ponudbe bi namreč upočasnilo izvajanje časovnega načrta za slabo izolirane stavbe, ki so eden glavnih razlogov za to, da na najemniškem trgu vlada negotovost in da je v krču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 in energijsko učinkovitih stanovanj, ki ustrezajo potrebam mladih, oseb z omejeno mobilnostjo in ogroženih družin, ter zaščititi </w:t>
            </w:r>
            <w:r>
              <w:rPr>
                <w:b/>
                <w:i/>
              </w:rPr>
              <w:t>lastnike stanovanj</w:t>
            </w:r>
            <w:r>
              <w:t xml:space="preserve"> pred nadaljnjim zmanjševanjem ponudbe;</w:t>
            </w:r>
          </w:p>
        </w:tc>
        <w:tc>
          <w:tcPr>
            <w:tcW w:w="4876" w:type="dxa"/>
            <w:tcBorders>
              <w:top w:val="nil"/>
              <w:left w:val="nil"/>
              <w:bottom w:val="nil"/>
              <w:right w:val="nil"/>
            </w:tcBorders>
          </w:tcPr>
          <w:p>
            <w:pPr>
              <w:pStyle w:val="Normal6a"/>
            </w:pPr>
            <w:r>
              <w:t>3.</w:t>
            </w:r>
            <w:r>
              <w:tab/>
            </w:r>
            <w:r>
              <w:t>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w:t>
            </w:r>
            <w:r>
              <w:rPr>
                <w:b/>
                <w:i/>
              </w:rPr>
              <w:t>, cenovno dostopnih</w:t>
            </w:r>
            <w:r>
              <w:t xml:space="preserve"> in energijsko učinkovitih stanovanj, ki ustrezajo potrebam mladih, oseb z omejeno mobilnostjo in ogroženih družin, ter zaščititi </w:t>
            </w:r>
            <w:r>
              <w:rPr>
                <w:b/>
                <w:i/>
              </w:rPr>
              <w:t>tiste, ki želijo postati lastniki stanovanja,</w:t>
            </w:r>
            <w:r>
              <w:t xml:space="preserve"> pred nadaljnjim zmanjševanjem ponudbe; </w:t>
            </w:r>
            <w:r>
              <w:rPr>
                <w:b/>
                <w:i/>
              </w:rPr>
              <w:t>poziva države članice in Komisijo, naj priznajo pravico do ustreznega stanovanja;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Komisijo, naj v evropski semester vključi posebna priporočila o dostopnosti stanovanj </w:t>
            </w:r>
            <w:r>
              <w:rPr>
                <w:b/>
                <w:i/>
              </w:rPr>
              <w:t>in spodbuja naložbe v stanovanja, tudi s finančnimi instrumenti Evropske investicijske banke;</w:t>
            </w:r>
            <w:r>
              <w:t xml:space="preserve"> </w:t>
            </w:r>
            <w:r>
              <w:rPr>
                <w:b/>
                <w:i/>
              </w:rPr>
              <w:t>meni, da bi morala revizija regulativnega okvira EU za stanovanjski sektor olajšati gradnjo dostopnih in energijsko učinkovitih stanovanj, ki ustrezajo potrebam mladih, oseb z omejeno mobilnostjo in ogroženih družin, ter zaščititi lastnike stanovanj pred nadaljnjim zmanjševanjem ponudbe</w:t>
            </w:r>
            <w:r>
              <w:t>;</w:t>
            </w:r>
          </w:p>
        </w:tc>
        <w:tc>
          <w:tcPr>
            <w:tcW w:w="4876" w:type="dxa"/>
            <w:tcBorders>
              <w:top w:val="nil"/>
              <w:left w:val="nil"/>
              <w:bottom w:val="nil"/>
              <w:right w:val="nil"/>
            </w:tcBorders>
          </w:tcPr>
          <w:p>
            <w:pPr>
              <w:pStyle w:val="Normal6a"/>
            </w:pPr>
            <w:r>
              <w:t>3.</w:t>
            </w:r>
            <w:r>
              <w:tab/>
            </w:r>
            <w:r>
              <w:t>poziva Komisijo, naj v evropski semester vključi posebna priporočila o dostopnosti stanovanj</w:t>
            </w:r>
            <w:r>
              <w:rPr>
                <w:b/>
                <w:i/>
              </w:rPr>
              <w:t>;</w:t>
            </w:r>
            <w:r>
              <w:t xml:space="preserve"> </w:t>
            </w:r>
            <w:r>
              <w:rPr>
                <w:b/>
                <w:i/>
              </w:rPr>
              <w:t>opozarja, da je treba zapolniti letno vrzel v naložbah v socialna in cenovno dostopna stanovanja v višini 57 milijard EUR ter da je napovedana vseevropska naložbena platforma pomembna za spodbujanje stanovanjskih naložb, tudi prek skladov EU in finančnih instrumentov Evropske investicijske banke;</w:t>
            </w:r>
            <w:r>
              <w:t xml:space="preserve"> </w:t>
            </w:r>
            <w:r>
              <w:rPr>
                <w:b/>
                <w:i/>
              </w:rPr>
              <w:t>poudarja priložnost, ki jo ponuja podvojitev zneska kohezijskih skladov, namenjenega socialnim in cenovno dostopnim stanovanjem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 in energijsko učinkovitih stanovanj, ki ustrezajo potrebam mladih, oseb z omejeno mobilnostjo in ogroženih družin, ter zaščititi lastnike stanovanj pred nadaljnjim zmanjševanjem ponudbe;</w:t>
            </w:r>
          </w:p>
        </w:tc>
        <w:tc>
          <w:tcPr>
            <w:tcW w:w="4876" w:type="dxa"/>
            <w:tcBorders>
              <w:top w:val="nil"/>
              <w:left w:val="nil"/>
              <w:bottom w:val="nil"/>
              <w:right w:val="nil"/>
            </w:tcBorders>
          </w:tcPr>
          <w:p>
            <w:pPr>
              <w:pStyle w:val="Normal6a"/>
            </w:pPr>
            <w:r>
              <w:t>3.</w:t>
            </w:r>
            <w:r>
              <w:tab/>
            </w:r>
            <w:r>
              <w:t xml:space="preserve">poziva Komisijo, naj v evropski semester vključi posebna priporočila o dostopnosti stanovanj in spodbuja naložbe v stanovanja, tudi s finančnimi instrumenti Evropske investicijske banke; meni, da bi morala revizija regulativnega okvira EU za stanovanjski sektor olajšati gradnjo dostopnih in energijsko učinkovitih stanovanj, ki ustrezajo potrebam mladih, oseb z omejeno mobilnostjo in </w:t>
            </w:r>
            <w:r>
              <w:rPr>
                <w:b/>
                <w:i/>
              </w:rPr>
              <w:t>invalidov ter</w:t>
            </w:r>
            <w:r>
              <w:t xml:space="preserve"> ogroženih družin, ter zaščititi lastnike stanovanj pred nadaljnjim zmanjševanjem ponudbe;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 točka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obžaluje, da so nekatera pravila in direktive EU, kot so direktiva o slabih posojilih ter fiskalna pravila in pravila EU o državni pomoči, prispevali k zvišanju cen stanovanj in brezdomstvu po vsej Uniji, saj lahko državam članicam pogosto preprečijo, da bi celovito vlagale v spopadanje z naraščajočimi stanovanjskimi stroški in vse večjim brezdomstvom;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poziva države članice, naj zagotovijo, da bodo stanovanjske naložbe podpirale dolgoročne kakovostne stanovanjske rešitve, ki bodo dejansko cenovno dostopne za gospodinjstva z nizkimi in srednjimi dohodki, in sicer s socialno pogojenostjo in protišpekulativnimi zaščitnimi ukrepi;</w:t>
            </w:r>
            <w:r>
              <w:t xml:space="preserve"> </w:t>
            </w:r>
            <w:r>
              <w:rPr>
                <w:b/>
                <w:i/>
              </w:rPr>
              <w:t>meni, da mora biti boj proti špekulativnim naložbam in financializaciji osrednji element evropskega načrta za cenovno dostopna stanovanja;</w:t>
            </w:r>
            <w:r>
              <w:t xml:space="preserve"> </w:t>
            </w:r>
            <w:r>
              <w:rPr>
                <w:b/>
                <w:i/>
              </w:rPr>
              <w:t>v zvezi s tem pozdravlja poglobljeno analizo učinka špekulacij s stanovanji in njihovih gospodarskih posledic, da bi pospešili odziv in po potrebi sprejeli nadaljnje ukrepe;</w:t>
            </w:r>
            <w:r>
              <w:t xml:space="preserve"> </w:t>
            </w:r>
            <w:r>
              <w:rPr>
                <w:b/>
                <w:i/>
              </w:rPr>
              <w:t>meni, da bi morala revizija regulativnega okvira EU za stanovanjski sektor olajšati obnovo in gradnjo dostopnih, cenovno ugodnih in energetsko učinkovitih stanovanj, ki bodo izpolnjevala potrebe mladih, oseb z omejeno mobilnostjo in oseb v ranljivejšem položaju, pri čemer bi se morali izogniti rabi novih zemljišč;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meni, da je brezdomstvo dramatičen socialni problem v EU in ena najskrajnejših oblik socialne izključenosti, ki posameznikom onemogoča dostojno življenje in njihovo udeležbo na trgu dela; poziva Komisijo, naj pripravi akcijski načrt za odpravo brezdomstva v EU s spodbujanjem dostopa do cenovno dostopnih in dostojnih stanovanj;</w:t>
            </w:r>
            <w:r>
              <w:t xml:space="preserve"> </w:t>
            </w:r>
            <w:r>
              <w:rPr>
                <w:b/>
                <w:i/>
              </w:rPr>
              <w:t>poziva k enotni opredelitvi brezdomstva v EU, ki bi omogočila sistematično primerjavo in oceno obsega brezdomstva v različnih državah EU</w:t>
            </w:r>
            <w:r>
              <w:t xml:space="preserve"> </w:t>
            </w:r>
            <w:r>
              <w:rPr>
                <w:b/>
                <w:i/>
              </w:rPr>
              <w:t>ter sistematično spremljanje števila brezdomcev na ravni EU prek institucij, kot je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pozdravlja napovedani evropski načrt za cenovno dostopna stanovanja za podporo državam članicam pri obravnavi stanovanjske krize in hitro naraščajočih cen najemnin in stanovanj;</w:t>
            </w:r>
            <w:r>
              <w:t xml:space="preserve"> </w:t>
            </w:r>
            <w:r>
              <w:rPr>
                <w:b/>
                <w:i/>
              </w:rPr>
              <w:t>poziva Komisijo, naj pregleda pravila o državni pomoči, da bi omogočila ukrepe za stanovanjsko podporo in socialna stanovanja;</w:t>
            </w:r>
            <w:r>
              <w:t xml:space="preserve"> </w:t>
            </w:r>
            <w:r>
              <w:rPr>
                <w:b/>
                <w:i/>
              </w:rPr>
              <w:t>opozarja, da bo Socialni sklad za podnebje od leta 2026 državam članicam zagotavljal finančno pomoč za podporo ranljivim gospodinjstvom z začasno neposredno dohodkovno podporo ter ukrepi in naložbami, namenjenimi povečanju energijske učinkovitosti stavb, razogljičenju ogrevanja in hlajenja stavb ter vključevanju proizvodnje in shranjevanja energije iz obnovljivih virov v stavbe;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poziva Komisijo, naj pripravi predloge za krepitev tehnoloških zmogljivosti EU, pospešitev digitalne preobrazbe v vseh panogah, izkoriščanje priložnosti podatkovnega gospodarstva ob hkratnem zagotavljanju zasebnosti in varnosti ter spodbujanje razvoja inovativnih tehnologij;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opozarja na cilj Unije glede prehoda z institucionalne oskrbe na oskrbo v skupnosti ali družini;</w:t>
            </w:r>
            <w:r>
              <w:t xml:space="preserve"> </w:t>
            </w:r>
            <w:r>
              <w:rPr>
                <w:b/>
                <w:i/>
              </w:rPr>
              <w:t>poziva Komisijo, naj predloži akcijski načrt za deinstitucionalizacijo;</w:t>
            </w:r>
            <w:r>
              <w:t xml:space="preserve"> </w:t>
            </w:r>
            <w:r>
              <w:rPr>
                <w:b/>
                <w:i/>
              </w:rPr>
              <w:t>poudarja, da bi moral ta akcijski načrt zajemati vse skupine, ki še vedno živijo v ustanovah, vključno z otroki, invalidi, osebami s težavami z duševnim zdravjem ali brezdomstvom in starejšimi;</w:t>
            </w:r>
            <w:r>
              <w:t xml:space="preserve"> </w:t>
            </w:r>
            <w:r>
              <w:rPr>
                <w:b/>
                <w:i/>
              </w:rPr>
              <w:t>poziva države članice, naj v celoti izkoristijo sredstva iz ESS+ ter druga ustrezna evropska in nacionalna sredstva, da bi dokončale proces deinstitucionalizacije in tako zagotovile, da lahko vsak državljan EU živi v družinskem ali skupnostnem okolju;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meni, da so nujno potrebni ukrepi EU za odpravo vztrajno visokih stopenj revščine in socialne izključenosti v EU, zlasti med otroki, mladimi in starejšimi, invalidi, posamezniki, rojenimi zunaj EU, osebami LGBTI in romskimi skupnostmi;</w:t>
            </w:r>
            <w:r>
              <w:t xml:space="preserve"> </w:t>
            </w:r>
            <w:r>
              <w:rPr>
                <w:b/>
                <w:i/>
              </w:rPr>
              <w:t>prednost bi bilo treba dati dostopu do kakovostnih socialnih storitev z zavezujočimi cilji za zmanjšanje brezdomstva in zagotavljanje energetske varnosti za ranljiva gospodinjstva;</w:t>
            </w:r>
            <w:r>
              <w:t xml:space="preserve"> </w:t>
            </w:r>
            <w:r>
              <w:rPr>
                <w:b/>
                <w:i/>
              </w:rPr>
              <w:t>poziva Komisijo, naj sprejme prvo strategijo EU za boj proti revščini;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opozarja, da si je treba prizadevati za odpravo brezdomstva do leta 2030;</w:t>
            </w:r>
            <w:r>
              <w:t xml:space="preserve"> </w:t>
            </w:r>
            <w:r>
              <w:rPr>
                <w:b/>
                <w:i/>
              </w:rPr>
              <w:t>poziva države članice, naj za dosego tega cilja oblikujejo nacionalne strategije za brezdomstvo, osredotočene na stanovanjske rešitve;</w:t>
            </w:r>
            <w:r>
              <w:t xml:space="preserve"> </w:t>
            </w:r>
            <w:r>
              <w:rPr>
                <w:b/>
                <w:i/>
              </w:rPr>
              <w:t>pozdravlja namero, da se pripravi priporočilo Sveta o brezdomstvu;</w:t>
            </w:r>
            <w:r>
              <w:t xml:space="preserve"> </w:t>
            </w:r>
            <w:r>
              <w:rPr>
                <w:b/>
                <w:i/>
              </w:rPr>
              <w:t>poziva Komisijo, naj še poveča ambicije evropske platforme za boj proti brezdomstvu, zlasti tako, da ji zagotovi namenski proračun;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poziva, naj se v okviru evropskega semestra obravnava socialno-ekonomski vpliv osamljenosti na produktivnost in dobro počutje s spodbujanjem strategije EU za obravnavo nezaželene osamljenosti</w:t>
            </w:r>
            <w:r>
              <w:rPr>
                <w:b/>
                <w:i/>
              </w:rPr>
              <w:t>, ki lahko spodbudi medgeneracijsko solidarnost in okrepi programe</w:t>
            </w:r>
            <w:r>
              <w:t xml:space="preserve"> čustvene podpore za mlade in </w:t>
            </w:r>
            <w:r>
              <w:rPr>
                <w:b/>
                <w:i/>
              </w:rPr>
              <w:t>starejše</w:t>
            </w:r>
            <w:r>
              <w:t xml:space="preserve"> odrasle;</w:t>
            </w:r>
          </w:p>
        </w:tc>
        <w:tc>
          <w:tcPr>
            <w:tcW w:w="4876" w:type="dxa"/>
            <w:tcBorders>
              <w:top w:val="nil"/>
              <w:left w:val="nil"/>
              <w:bottom w:val="nil"/>
              <w:right w:val="nil"/>
            </w:tcBorders>
          </w:tcPr>
          <w:p>
            <w:pPr>
              <w:pStyle w:val="Normal6a"/>
            </w:pPr>
            <w:r>
              <w:t>4.</w:t>
            </w:r>
            <w:r>
              <w:tab/>
            </w:r>
            <w:r>
              <w:t xml:space="preserve">poziva k izvajanju </w:t>
            </w:r>
            <w:r>
              <w:rPr>
                <w:b/>
                <w:i/>
              </w:rPr>
              <w:t>celovitega</w:t>
            </w:r>
            <w:r>
              <w:t xml:space="preserve"> evropskega akcijskega načrta za duševno zdravje v skladu z nedavnimi priporočili Komisije</w:t>
            </w:r>
            <w:r>
              <w:rPr>
                <w:vertAlign w:val="superscript"/>
              </w:rPr>
              <w:t>2</w:t>
            </w:r>
            <w:r>
              <w:t xml:space="preserve">; poziva, naj se v okviru evropskega semestra obravnava socialno-ekonomski vpliv osamljenosti na produktivnost in dobro počutje s spodbujanjem strategije EU za obravnavo nezaželene osamljenosti </w:t>
            </w:r>
            <w:r>
              <w:rPr>
                <w:b/>
                <w:i/>
              </w:rPr>
              <w:t>in medgeneracijske solidarnosti;</w:t>
            </w:r>
            <w:r>
              <w:t xml:space="preserve"> </w:t>
            </w:r>
            <w:r>
              <w:rPr>
                <w:b/>
                <w:i/>
              </w:rPr>
              <w:t>poziva države članice, naj okrepijo dostop do storitev na področju duševnega zdravja in programov</w:t>
            </w:r>
            <w:r>
              <w:t xml:space="preserve"> čustvene podpore za </w:t>
            </w:r>
            <w:r>
              <w:rPr>
                <w:b/>
                <w:i/>
              </w:rPr>
              <w:t>otroke,</w:t>
            </w:r>
            <w:r>
              <w:t xml:space="preserve"> mlade in odrasle</w:t>
            </w:r>
            <w:r>
              <w:rPr>
                <w:b/>
                <w:i/>
              </w:rPr>
              <w:t>, zlasti v oddaljenih in manj razvitih regijah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xml:space="preserve">; poziva, naj se v okviru evropskega semestra </w:t>
            </w:r>
            <w:r>
              <w:rPr>
                <w:b/>
                <w:i/>
              </w:rPr>
              <w:t>obravnava socialno-ekonomski vpliv osamljenosti na produktivnost in dobro počutje s spodbujanjem strategije EU za obravnavo nezaželene osamljenosti, ki lahko spodbudi medgeneracijsko solidarnost in okrepi programe čustvene podpore za mlade in starejše odrasle</w:t>
            </w:r>
            <w:r>
              <w:t>;</w:t>
            </w:r>
          </w:p>
        </w:tc>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xml:space="preserve">; poziva, naj se v okviru evropskega semestra </w:t>
            </w:r>
            <w:r>
              <w:rPr>
                <w:b/>
                <w:i/>
              </w:rPr>
              <w:t>uporabijo kazalniki pregleda socialnih kazalnikov za obravnavanje socialno-ekonomskega učinka osamljenosti in negotovih življenjskih pogojev ter negotovosti na dobro počutje, duševno zdravje in udeležbo ljudi v družbi in na trgu dela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poziva, naj se v okviru evropskega semestra obravnava socialno-ekonomski vpliv osamljenosti na produktivnost in dobro počutje s spodbujanjem strategije EU za obravnavo nezaželene osamljenosti, ki lahko spodbudi medgeneracijsko solidarnost in okrepi programe čustvene podpore za mlade in starejše odrasle;</w:t>
            </w:r>
          </w:p>
        </w:tc>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xml:space="preserve">; poziva, naj se v okviru evropskega semestra obravnava socialno-ekonomski vpliv osamljenosti na produktivnost in dobro počutje s spodbujanjem strategije EU za obravnavo nezaželene osamljenosti, ki lahko spodbudi medgeneracijsko solidarnost in </w:t>
            </w:r>
            <w:r>
              <w:rPr>
                <w:b/>
                <w:i/>
              </w:rPr>
              <w:t>srebrno gospodarstvo ter</w:t>
            </w:r>
            <w:r>
              <w:t xml:space="preserve"> okrepi programe čustvene podpore za mlade in starejše odrasle;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rPr>
                <w:b/>
                <w:i/>
              </w:rPr>
              <w:t>;</w:t>
            </w:r>
            <w:r>
              <w:t xml:space="preserve"> </w:t>
            </w:r>
            <w:r>
              <w:rPr>
                <w:b/>
                <w:i/>
              </w:rPr>
              <w:t>poziva, naj se v okviru evropskega semestra obravnava</w:t>
            </w:r>
            <w:r>
              <w:t xml:space="preserve"> socialno-ekonomski vpliv osamljenosti na produktivnost in dobro počutje </w:t>
            </w:r>
            <w:r>
              <w:rPr>
                <w:b/>
                <w:i/>
              </w:rPr>
              <w:t>s spodbujanjem strategije EU za obravnavo nezaželene osamljenosti, ki lahko spodbudi</w:t>
            </w:r>
            <w:r>
              <w:t xml:space="preserve"> medgeneracijsko solidarnost in </w:t>
            </w:r>
            <w:r>
              <w:rPr>
                <w:b/>
                <w:i/>
              </w:rPr>
              <w:t>okrepi</w:t>
            </w:r>
            <w:r>
              <w:t xml:space="preserve"> programe čustvene podpore za mlade in starejše odrasle;</w:t>
            </w:r>
          </w:p>
        </w:tc>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xml:space="preserve"> </w:t>
            </w:r>
            <w:r>
              <w:rPr>
                <w:b/>
                <w:i/>
              </w:rPr>
              <w:t>in k spodbujanju predpisovanja družbenih dejavnosti kot prvega koraka k duševnemu zdravju;</w:t>
            </w:r>
            <w:r>
              <w:t xml:space="preserve"> </w:t>
            </w:r>
            <w:r>
              <w:rPr>
                <w:b/>
                <w:i/>
              </w:rPr>
              <w:t>poziva države članice, naj obravnavajo</w:t>
            </w:r>
            <w:r>
              <w:t xml:space="preserve"> socialno-ekonomski vpliv osamljenosti na produktivnost in dobro počutje </w:t>
            </w:r>
            <w:r>
              <w:rPr>
                <w:b/>
                <w:i/>
              </w:rPr>
              <w:t>ter naj spodbujajo</w:t>
            </w:r>
            <w:r>
              <w:t xml:space="preserve"> medgeneracijsko solidarnost in </w:t>
            </w:r>
            <w:r>
              <w:rPr>
                <w:b/>
                <w:i/>
              </w:rPr>
              <w:t>okrepijo</w:t>
            </w:r>
            <w:r>
              <w:t xml:space="preserve"> programe čustvene podpore za mlade in starejše odrasle;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poziva</w:t>
            </w:r>
            <w:r>
              <w:rPr>
                <w:b/>
                <w:i/>
              </w:rPr>
              <w:t>, naj se v okviru evropskega semestra obravnava socialno-ekonomski vpliv osamljenosti na produktivnost in dobro počutje s spodbujanjem strategije EU za obravnavo nezaželene osamljenosti, ki lahko spodbudi medgeneracijsko solidarnost in okrepi programe čustvene podpore za mlade in starejše odrasle</w:t>
            </w:r>
            <w:r>
              <w:t>;</w:t>
            </w:r>
          </w:p>
        </w:tc>
        <w:tc>
          <w:tcPr>
            <w:tcW w:w="4876" w:type="dxa"/>
            <w:tcBorders>
              <w:top w:val="nil"/>
              <w:left w:val="nil"/>
              <w:bottom w:val="nil"/>
              <w:right w:val="nil"/>
            </w:tcBorders>
          </w:tcPr>
          <w:p>
            <w:pPr>
              <w:pStyle w:val="Normal6a"/>
            </w:pPr>
            <w:r>
              <w:t>4.</w:t>
            </w:r>
            <w:r>
              <w:tab/>
            </w:r>
            <w:r>
              <w:t>poziva k izvajanju evropskega akcijskega načrta za duševno zdravje v skladu z nedavnimi priporočili Komisije</w:t>
            </w:r>
            <w:r>
              <w:rPr>
                <w:vertAlign w:val="superscript"/>
              </w:rPr>
              <w:t>2</w:t>
            </w:r>
            <w:r>
              <w:t xml:space="preserve">; poziva </w:t>
            </w:r>
            <w:r>
              <w:rPr>
                <w:b/>
                <w:i/>
              </w:rPr>
              <w:t>k sprejetju direktive na ravni EU o psihosocialnih tveganjih, da bi obravnavali vse večjo razširjenost nekaterih psihosocialnih tveganj na delovnih mestih v EU in zagotovili učinkovito izvajanje načel varnosti in zdravja pri delu iz okvirne direktive, tudi v zvezi s psihosocialnimi tveganji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c>
          <w:tcPr>
            <w:tcW w:w="4876" w:type="dxa"/>
            <w:tcBorders>
              <w:top w:val="nil"/>
              <w:left w:val="nil"/>
              <w:bottom w:val="nil"/>
              <w:right w:val="nil"/>
            </w:tcBorders>
          </w:tcPr>
          <w:p>
            <w:pPr>
              <w:pStyle w:val="Normal6a"/>
            </w:pPr>
            <w:r>
              <w:rPr>
                <w:vertAlign w:val="superscript"/>
              </w:rPr>
              <w:t>2</w:t>
            </w:r>
            <w:r>
              <w:t xml:space="preserve"> </w:t>
            </w:r>
            <w:r>
              <w:t>Sporočilo Komisije z dne 7. junija 2023 o celovitem pristopu k duševnemu zdravju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poziva, naj se v okviru evropskega semestra obravnavajo socialno-ekonomski izzivi in priložnosti demografskih sprememb in staranja ter vpliv osamljenosti na produktivnost, dobro počutje in socialno kohezijo, in sicer s spodbujanjem celostne strategije EU o staranju, ki bo obravnavala neželeno osamljenost, potrebo po dostojnih, dostopnih in prilagojenih stanovanjih, dostop do strokovne in vključujoče oskrbe in storitev dolgotrajne oskrbe ter spodbujanje dejavnega vključevanja in enakih možnosti za starejše delavce na trgu dela, kar lahko spodbudi medgeneracijsko solidarnost in okrepi programe čustvene podpore za mlade in starejše;</w:t>
            </w:r>
            <w:r>
              <w:t xml:space="preserve"> </w:t>
            </w:r>
            <w:r>
              <w:rPr>
                <w:b/>
                <w:i/>
              </w:rPr>
              <w:t>poziva k izvajanju evropske strategije oskrbe, zlasti v zvezi z dostopnostjo do visokokakovostnih in cenovno dostopnih storitev oskrbe v zgodnjem otroštvu in dolgotrajne oskrbe ter zagotavljanjem poštenih delovnih pogojev in usposabljanja za oskrbovalce, vključno z neformalno oskrbo;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poudarja, da morajo delodajalci v podjetju spodbujati medgeneracijsko povezovanje ter prenašanje znanja s starejših na mlade in obratno;</w:t>
            </w:r>
            <w:r>
              <w:t xml:space="preserve"> </w:t>
            </w:r>
            <w:r>
              <w:rPr>
                <w:b/>
                <w:i/>
              </w:rPr>
              <w:t>poudarja, da lahko starajoča se delovna sila pomaga podjetju pri razvoju novih proizvodov in storitev, da bi se prilagodilo potrebam starajoče se družbe na bolj ustvarjalen in produktiven način;</w:t>
            </w:r>
            <w:r>
              <w:t xml:space="preserve"> </w:t>
            </w:r>
            <w:r>
              <w:rPr>
                <w:b/>
                <w:i/>
              </w:rPr>
              <w:t>poziva tudi k oblikovanju pobud za spodbujanje prostovoljstva in mentorstva, da bi spodbudili prenos znanja med generacijami;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poziva k oblikovanju pobud za boj proti izključenosti delovne sile zaradi daljših obdobij bolniškega dopusta zaradi resnih nenalezljivih bolezni, kot so rak, bolezni srca in ožilja, sladkorna bolezen, kronične bolezni dihal, duševno zdravje in nevrološke motnje ter revmatične in kostno-mišične bolezni, zlasti s pobudami, ki se osredotočajo na prilagajanje delovnega mesta, prožne delovne pogoje in strategije za podporo delavcem pri vrnitvi po daljši odsotnosti;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poziva evropski semester, naj obravnava socialno-ekonomski vpliv vprašanj duševnega zdravja otrok, mladostnikov in mladih odraslih na njihovo dolgoročno dobro počutje in življenjski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opozarja, da so po poročilih ECB realne plače še vedno pod ravnjo pred pandemijo, produktivnost pa je približno enaka;</w:t>
            </w:r>
            <w:r>
              <w:t xml:space="preserve"> </w:t>
            </w:r>
            <w:r>
              <w:rPr>
                <w:b/>
                <w:i/>
              </w:rPr>
              <w:t>se strinja, da to ustvarja nekaj prostora za neinflacijsko okrevanje realnih plač, in opozarja, da bi, če si realne plače ne bi opomogle, to povečalo tveganje dolgotrajne gospodarske šibkosti, kar bi lahko imelo dolgoročne negativne učinke in bi dodatno zmanjšalo produktivnost v euroobmočju v primerjavi z drugimi deli sveta;</w:t>
            </w:r>
            <w:r>
              <w:t xml:space="preserve"> </w:t>
            </w:r>
            <w:r>
              <w:rPr>
                <w:b/>
                <w:i/>
              </w:rPr>
              <w:t>meni, da lahko povišanje deleža minimalnih plač in povečanje pokritosti s kolektivnimi pogajanji pozitivno vplivata na raven plačne neenakosti, zlasti tako, da pomagata ranljivejšim delavcem na dnu porazdelitve plač, ki so vse bolj izključeni;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poziva države članice in Komisijo, naj razmislijo o akcijskem načrtu za boj proti osamitvi podeželja in osamljenosti na podeželju;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poziva države članice, naj zagotovijo dostojne delovne pogoje, ki med drugim vključujejo dostojne plače, dostop do socialne zaščite, možnosti vseživljenjskega učenja, zdravje in varnost pri delu, dobro usklajevanje poklicnega in zasebnega življenja ter pravico do odklopa, razumen delovni čas, zastopanost delavcev, demokracijo na delovnem mestu in kolektivne pogodbe.</w:t>
            </w:r>
            <w:r>
              <w:t xml:space="preserve"> </w:t>
            </w:r>
            <w:r>
              <w:rPr>
                <w:b/>
                <w:i/>
              </w:rPr>
              <w:t>Države članice morajo spodbujati demokracijo na delovnem mestu, socialni dialog in kolektivna pogajanja ter zaščititi pravice delavcev, zlasti v okviru zelenega in digitalnega prehoda.</w:t>
            </w:r>
            <w:r>
              <w:t xml:space="preserve"> </w:t>
            </w:r>
            <w:r>
              <w:rPr>
                <w:b/>
                <w:i/>
              </w:rPr>
              <w:t>Prav tako bi morale zagotoviti enako plačilo za enako delo za moške in ženske, izboljšati preglednost plačil in odpraviti neenakost na podlagi spola, da bi odpravili plačno vrzel med spoloma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poziva države članice in Komisijo, naj priznajo stres in duševne bolezni, ki jih povzroča delo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poudarja vlogo socialnega dialoga in socialnih partnerjev, ki bi morali biti sistematično vključeni v oblikovanje in izvajanje politik zaposlovanja in socialnih politik, pri čemer bi bilo treba zagotoviti vključevanje socialnih partnerjev na vseh ravneh;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poudarja, da je pomembno uvesti posebne ukrepe za odpravo regionalnih neenakosti v izobraževanju in usposabljanju, da bi vsem zagotovili enak dostop do visokokakovostnega in cenovno dostopnega izobraževanja;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4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Sistemi socialne zaščite držav članic bi morali zagotavljati ustrezen socialnovarstveni prejemek na podlagi minimalnega dohodka za vse osebe z nezadostnimi sredstvi ter krepiti socialno vključenost s podpiranjem in spodbujanjem ljudi v aktivni dobi, da se aktivno udeležijo trga dela in družbe, med drugim s ciljno usmerjenimi socialnimi storitvami;</w:t>
            </w:r>
            <w:r>
              <w:t xml:space="preserve"> </w:t>
            </w:r>
            <w:r>
              <w:rPr>
                <w:b/>
                <w:i/>
              </w:rPr>
              <w:t>poudarja, da morajo države članice hitro in učinkovito izvajati direktivo EU o ustreznih minimalnih plačah, da bi dosegli dostojen življenjski standard, zmanjšali revščino zaposlenih in spodbujali socialno kohezijo;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poziva Komisijo, naj pripravi zakonodajni predlog za uvedbo evropske kartice za velike družine </w:t>
            </w:r>
            <w:r>
              <w:rPr>
                <w:b/>
                <w:i/>
              </w:rPr>
              <w:t>in</w:t>
            </w:r>
            <w:r>
              <w:t xml:space="preserve"> evropskega akcijskega načrta za starše samohranilce, ki bi nudila davčne, izobraževalne in socialne ugodnosti;</w:t>
            </w:r>
          </w:p>
        </w:tc>
        <w:tc>
          <w:tcPr>
            <w:tcW w:w="4876" w:type="dxa"/>
            <w:tcBorders>
              <w:top w:val="nil"/>
              <w:left w:val="nil"/>
              <w:bottom w:val="nil"/>
              <w:right w:val="nil"/>
            </w:tcBorders>
          </w:tcPr>
          <w:p>
            <w:pPr>
              <w:pStyle w:val="Normal6a"/>
            </w:pPr>
            <w:r>
              <w:t>5.</w:t>
            </w:r>
            <w:r>
              <w:tab/>
            </w:r>
            <w:r>
              <w:t>poziva k izvajanju politik, ki spodbujajo usklajevanje poklicnega in zasebnega življenja</w:t>
            </w:r>
            <w:r>
              <w:rPr>
                <w:b/>
                <w:i/>
              </w:rPr>
              <w:t> ter pravico do odklopa, s posebnim poudarkom na politikah delovnega časa, zmanjšanju in večji prožnosti delovnega časa ter ukrepih za spodbujanje enakopravnejše delitve plačanega in neplačanega delovnega časa med moškimi in ženskami</w:t>
            </w:r>
            <w:r>
              <w:t xml:space="preserve">, da bi izboljšali kakovost življenja vseh </w:t>
            </w:r>
            <w:r>
              <w:rPr>
                <w:b/>
                <w:i/>
              </w:rPr>
              <w:t>vrst</w:t>
            </w:r>
            <w:r>
              <w:t xml:space="preserve"> družin </w:t>
            </w:r>
            <w:r>
              <w:rPr>
                <w:b/>
                <w:i/>
              </w:rPr>
              <w:t>in posameznikov</w:t>
            </w:r>
            <w:r>
              <w:t xml:space="preserve">; poziva Komisijo, naj pripravi zakonodajni predlog za uvedbo evropske kartice za </w:t>
            </w:r>
            <w:r>
              <w:rPr>
                <w:b/>
                <w:i/>
              </w:rPr>
              <w:t>vse vrste družin in</w:t>
            </w:r>
            <w:r>
              <w:t xml:space="preserve"> velike družine </w:t>
            </w:r>
            <w:r>
              <w:rPr>
                <w:b/>
                <w:i/>
              </w:rPr>
              <w:t>ter</w:t>
            </w:r>
            <w:r>
              <w:t xml:space="preserve"> evropskega akcijskega načrta za starše samohranilce, ki bi nudila davčne, izobraževalne in socialne ugodnosti </w:t>
            </w:r>
            <w:r>
              <w:rPr>
                <w:b/>
                <w:i/>
              </w:rPr>
              <w:t>ter ugodnosti socialnega varstva;</w:t>
            </w:r>
            <w:r>
              <w:t xml:space="preserve"> </w:t>
            </w:r>
            <w:r>
              <w:rPr>
                <w:b/>
                <w:i/>
              </w:rPr>
              <w:t>poudarja, da je bilo leta 2023 v EU 24,8 % otrok, mlajših od 18 let, izpostavljenih tveganju revščine ali socialne izključenosti, kar glede na skupno poročilo o zaposlovanju pomeni povečanje;</w:t>
            </w:r>
            <w:r>
              <w:t xml:space="preserve"> </w:t>
            </w:r>
            <w:r>
              <w:rPr>
                <w:b/>
                <w:i/>
              </w:rPr>
              <w:t>poudarja pomen izvajanja evropskega jamstva za otroke kot temelja za boj proti visoki stopnji revščine otrok v vseh državah članicah, vključno z ukrepi za okrepitev jamstva za otroke s povečanjem njegovega namenskega proračuna na vsaj 20 milijard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w:t>
            </w:r>
            <w:r>
              <w:rPr>
                <w:b/>
                <w:i/>
              </w:rPr>
              <w:t>družin</w:t>
            </w:r>
            <w:r>
              <w:t xml:space="preserve">; poziva Komisijo, naj </w:t>
            </w:r>
            <w:r>
              <w:rPr>
                <w:b/>
                <w:i/>
              </w:rPr>
              <w:t>pripravi zakonodajni predlog za uvedbo evropske kartice za velike družine in evropskega akcijskega načrta za starše samohranilce, ki bi nudila davčne, izobraževalne in socialne ugodnosti</w:t>
            </w:r>
            <w:r>
              <w:t>;</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w:t>
            </w:r>
            <w:r>
              <w:rPr>
                <w:b/>
                <w:i/>
              </w:rPr>
              <w:t>delavcev</w:t>
            </w:r>
            <w:r>
              <w:t xml:space="preserve">; poziva Komisijo, naj </w:t>
            </w:r>
            <w:r>
              <w:rPr>
                <w:b/>
                <w:i/>
              </w:rPr>
              <w:t>zagotovi izvajanje direktive o usklajevanju poklicnega in zasebnega življenja in evropske strategije oskrbe ter predlaga okvir za obravnavanje izzivov delovne sile na področju dolgotrajne oskrbe, vključno z olajšanjem priznavanja znanj in spretnosti ter kvalifikacij, podpiranjem usposabljanja in poklicnega napredovanja ter izboljšanjem delovnih pogojev;</w:t>
            </w:r>
            <w:r>
              <w:t xml:space="preserve"> </w:t>
            </w:r>
            <w:r>
              <w:rPr>
                <w:b/>
                <w:i/>
              </w:rPr>
              <w:t>poziva Komisijo, naj predlaga direktivo za ureditev pogojev dela na daljavo in pravice do odklopa po vsej EU kot bistven ukrep za zagotavljanje duševnega blagostanja delavcev v EU in dopolnitev direktive o usklajevanju poklicnega in zasebnega življenja;</w:t>
            </w:r>
            <w:r>
              <w:t xml:space="preserve"> </w:t>
            </w:r>
            <w:r>
              <w:rPr>
                <w:b/>
                <w:i/>
              </w:rPr>
              <w:t>poziva tudi k sprejetju direktive o psihosocialnih tveganjih in dobrem počutju na delovnem mestu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poziva k izvajanju politik, ki spodbujajo usklajevanje poklicnega in zasebnega življenja, da bi izboljšali kakovost življenja vseh družin; poziva Komisijo, naj pripravi zakonodajni predlog za uvedbo evropske kartice za velike družine in evropskega akcijskega načrta za starše samohranilce, ki bi nudila davčne,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poziva </w:t>
            </w:r>
            <w:r>
              <w:rPr>
                <w:b/>
                <w:i/>
              </w:rPr>
              <w:t>k nadaljnjim pobudam za podporo formalnim in neformalnim oskrbovalcem, njihovim delovnim pogojem ter usklajevanju poklicnega in zasebnega življenja, ustreznemu plačilu in dostojanstvu oseb, ki so odvisne od njihove oskrbe;</w:t>
            </w:r>
            <w:r>
              <w:t xml:space="preserve"> </w:t>
            </w:r>
            <w:r>
              <w:rPr>
                <w:b/>
                <w:i/>
              </w:rPr>
              <w:t>poziva</w:t>
            </w:r>
            <w:r>
              <w:t xml:space="preserve"> Komisijo, naj pripravi zakonodajni predlog za uvedbo evropske kartice za velike družine in evropskega akcijskega načrta za starše samohranilce, ki bi nudila davčne, izobraževalne in socialne ugodnosti;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w:t>
            </w:r>
            <w:r>
              <w:rPr>
                <w:b/>
                <w:i/>
              </w:rPr>
              <w:t>vseh družin;</w:t>
            </w:r>
            <w:r>
              <w:t xml:space="preserve"> </w:t>
            </w:r>
            <w:r>
              <w:rPr>
                <w:b/>
                <w:i/>
              </w:rPr>
              <w:t>poziva Komisijo, naj pripravi zakonodajni predlog za uvedbo evropske kartice za velike družine in evropskega akcijskega načrta za starše samohranilce, ki bi nudila</w:t>
            </w:r>
            <w:r>
              <w:t xml:space="preserve"> davčne,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w:t>
            </w:r>
            <w:r>
              <w:rPr>
                <w:b/>
                <w:i/>
              </w:rPr>
              <w:t>delavcev, vključno z vsemi družinami in starši samohranilci, ki bi družinam v ranljivem položaju nudile</w:t>
            </w:r>
            <w:r>
              <w:t xml:space="preserve"> davčne, izobraževalne in socialne ugodnosti;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w:t>
            </w:r>
            <w:r>
              <w:rPr>
                <w:b/>
                <w:i/>
              </w:rPr>
              <w:t>poziva Komisijo, naj pripravi zakonodajni predlog za uvedbo evropske kartice za velike družine in evropskega akcijskega načrta za starše samohranilce, ki bi nudila</w:t>
            </w:r>
            <w:r>
              <w:t xml:space="preserve"> davčne,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w:t>
            </w:r>
            <w:r>
              <w:rPr>
                <w:b/>
                <w:i/>
              </w:rPr>
              <w:t>poudarja, da je družinska politika v pristojnosti držav članic;</w:t>
            </w:r>
            <w:r>
              <w:t xml:space="preserve"> </w:t>
            </w:r>
            <w:r>
              <w:rPr>
                <w:b/>
                <w:i/>
              </w:rPr>
              <w:t>poudarja pomen izmenjave primerov dobre prakse med državami članicami v zvezi z obstoječimi podpornimi ukrepi, ki ponujajo</w:t>
            </w:r>
            <w:r>
              <w:t xml:space="preserve"> davčne, izobraževalne in socialne ugodnosti </w:t>
            </w:r>
            <w:r>
              <w:rPr>
                <w:b/>
                <w:i/>
              </w:rPr>
              <w:t>za velike in enostarševske družine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poziva Komisijo, naj pripravi zakonodajni predlog za uvedbo evropske kartice za velike družine in </w:t>
            </w:r>
            <w:r>
              <w:rPr>
                <w:b/>
                <w:i/>
              </w:rPr>
              <w:t>evropskega akcijskega načrta</w:t>
            </w:r>
            <w:r>
              <w:t xml:space="preserve"> za starše samohranilce, ki bi nudila davčne,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w:t>
            </w:r>
            <w:r>
              <w:rPr>
                <w:b/>
                <w:i/>
              </w:rPr>
              <w:t>evropskih</w:t>
            </w:r>
            <w:r>
              <w:t xml:space="preserve"> družin; poziva Komisijo, naj pripravi zakonodajni predlog za uvedbo evropske kartice za velike družine in </w:t>
            </w:r>
            <w:r>
              <w:rPr>
                <w:b/>
                <w:i/>
              </w:rPr>
              <w:t>evropski akcijski načrt</w:t>
            </w:r>
            <w:r>
              <w:t xml:space="preserve"> za starše samohranilce, ki bi nudila davčne, izobraževalne in socialne ugodnosti;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poziva Komisijo, naj </w:t>
            </w:r>
            <w:r>
              <w:rPr>
                <w:b/>
                <w:i/>
              </w:rPr>
              <w:t>pripravi zakonodajni predlog za uvedbo</w:t>
            </w:r>
            <w:r>
              <w:t xml:space="preserve"> evropske kartice za velike družine in evropskega akcijskega načrta za starše samohranilce, ki bi nudila </w:t>
            </w:r>
            <w:r>
              <w:rPr>
                <w:b/>
                <w:i/>
              </w:rPr>
              <w:t>davčne</w:t>
            </w:r>
            <w:r>
              <w:t>,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družin; poziva Komisijo, naj </w:t>
            </w:r>
            <w:r>
              <w:rPr>
                <w:b/>
                <w:i/>
              </w:rPr>
              <w:t>razmisli o uvedbi</w:t>
            </w:r>
            <w:r>
              <w:t xml:space="preserve"> evropske kartice za velike družine in evropskega akcijskega načrta za starše samohranilce, ki bi nudila </w:t>
            </w:r>
            <w:r>
              <w:rPr>
                <w:b/>
                <w:i/>
              </w:rPr>
              <w:t>ekonomske</w:t>
            </w:r>
            <w:r>
              <w:t>, izobraževalne in socialne ugodnosti;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w:t>
            </w:r>
            <w:r>
              <w:rPr>
                <w:b/>
                <w:i/>
              </w:rPr>
              <w:t>družin</w:t>
            </w:r>
            <w:r>
              <w:t>; poziva Komisijo, naj pripravi zakonodajni predlog za uvedbo evropske kartice za velike družine in evropskega akcijskega načrta za starše samohranilce, ki bi nudila davčne, izobraževalne in socialne ugodnosti;</w:t>
            </w:r>
          </w:p>
        </w:tc>
        <w:tc>
          <w:tcPr>
            <w:tcW w:w="4876" w:type="dxa"/>
            <w:tcBorders>
              <w:top w:val="nil"/>
              <w:left w:val="nil"/>
              <w:bottom w:val="nil"/>
              <w:right w:val="nil"/>
            </w:tcBorders>
          </w:tcPr>
          <w:p>
            <w:pPr>
              <w:pStyle w:val="Normal6a"/>
            </w:pPr>
            <w:r>
              <w:t>5.</w:t>
            </w:r>
            <w:r>
              <w:tab/>
            </w:r>
            <w:r>
              <w:t xml:space="preserve">poziva k izvajanju politik, ki spodbujajo usklajevanje poklicnega in zasebnega življenja, da bi izboljšali kakovost življenja vseh </w:t>
            </w:r>
            <w:r>
              <w:rPr>
                <w:b/>
                <w:i/>
              </w:rPr>
              <w:t>ljudi</w:t>
            </w:r>
            <w:r>
              <w:t>; poziva Komisijo, naj pripravi zakonodajni predlog za uvedbo evropske kartice za velike družine in evropskega akcijskega načrta za starše samohranilce, ki bi nudila davčne, izobraževalne in socialne ugodnosti;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 točka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priznava, da je 44 milijonov Evropejcev pogostih neformalnih oskrbovalcev za dolgotrajno oskrbo, med katerimi je večina žensk.</w:t>
            </w:r>
            <w:r>
              <w:rPr>
                <w:b/>
                <w:i/>
                <w:vertAlign w:val="superscript"/>
              </w:rPr>
              <w:t>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2021 Dolgotrajna oskrba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poziva, naj se uvede trajnostna strategija razvoja, s pomočjo katere se bo mogoče ciljno spopasti s strukturnimi in demografskimi spremembami v posameznih evropskih državah (vključno s predlogi za spodbujanje družini prijaznega delovnega okolja, da bi zmanjšali število primerov izgorelosti in obremenitev sistemov socialne varnosti in družinskega življenja);</w:t>
            </w:r>
            <w:r>
              <w:t xml:space="preserve"> </w:t>
            </w:r>
            <w:r>
              <w:rPr>
                <w:b/>
                <w:i/>
              </w:rPr>
              <w:t>zlasti poziva Komisijo, naj predloži zakonodajni predlog, v katerem bo predlagala ukrepe za določitev primernih minimalnih standardov za družinske prejemke, ki že obstajajo v državah članicah EU, s pomočjo katerih bodo revščina otrok in socialne neenakosti dolgoročno zmanjšane, evropske družine pa okrepljene;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priznava edinstveno vlogo oskrbovalcev v družbi, pa tudi, da opredelitev oskrbovalcev ni usklajena po vsej EU, sektor dolgotrajne oskrbe pa v EU zaposluje 6,4 milijona ljudi.</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2021 Dolgotrajna oskrba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w:t>
            </w:r>
            <w:r>
              <w:rPr>
                <w:b/>
                <w:i/>
              </w:rPr>
              <w:t>demografski izzivi v kohezijski politiki EU obravnavajo prednostno, njihov pomen pa naj se izenači z zelenim dogovorom in digitalno strategijo</w:t>
            </w:r>
            <w:r>
              <w:t xml:space="preserve">; poziva Komisijo, naj </w:t>
            </w:r>
            <w:r>
              <w:rPr>
                <w:b/>
                <w:i/>
              </w:rPr>
              <w:t>razglasi „evropsko leto demografije“ in poveča</w:t>
            </w:r>
            <w:r>
              <w:t xml:space="preserve"> financiranje regij </w:t>
            </w:r>
            <w:r>
              <w:rPr>
                <w:b/>
                <w:i/>
              </w:rPr>
              <w:t>z</w:t>
            </w:r>
            <w:r>
              <w:t xml:space="preserve"> visoko stopnjo odseljevanja </w:t>
            </w:r>
            <w:r>
              <w:rPr>
                <w:b/>
                <w:i/>
              </w:rPr>
              <w:t>ter podpre</w:t>
            </w:r>
            <w:r>
              <w:t xml:space="preserve"> lokalne razvojne projekte in osnovno infrastrukturo, ki dajejo prednost pravici prebivalstva, </w:t>
            </w:r>
            <w:r>
              <w:rPr>
                <w:b/>
                <w:i/>
              </w:rPr>
              <w:t>da</w:t>
            </w:r>
            <w:r>
              <w:t xml:space="preserve"> ostane;</w:t>
            </w:r>
          </w:p>
        </w:tc>
        <w:tc>
          <w:tcPr>
            <w:tcW w:w="4876" w:type="dxa"/>
            <w:tcBorders>
              <w:top w:val="nil"/>
              <w:left w:val="nil"/>
              <w:bottom w:val="nil"/>
              <w:right w:val="nil"/>
            </w:tcBorders>
          </w:tcPr>
          <w:p>
            <w:pPr>
              <w:pStyle w:val="Normal6a"/>
            </w:pPr>
            <w:r>
              <w:t>6.</w:t>
            </w:r>
            <w:r>
              <w:tab/>
            </w:r>
            <w:r>
              <w:t xml:space="preserve">poziva, naj se </w:t>
            </w:r>
            <w:r>
              <w:rPr>
                <w:b/>
                <w:i/>
              </w:rPr>
              <w:t>v okviru evropskega semestra socialni cilji povežejo pod enakimi pogoji kot ekonomski;</w:t>
            </w:r>
            <w:r>
              <w:t xml:space="preserve"> </w:t>
            </w:r>
            <w:r>
              <w:rPr>
                <w:b/>
                <w:i/>
              </w:rPr>
              <w:t>je zaskrbljen zaradi vse večjih razlik med mestnimi in podeželskimi območji, saj manj urbanizirane regije nimajo priložnosti za usposabljanje ter ne morejo privabiti in obdržati visoko usposobljenih delavcev</w:t>
            </w:r>
            <w:r>
              <w:t xml:space="preserve">; poziva Komisijo, naj </w:t>
            </w:r>
            <w:r>
              <w:rPr>
                <w:b/>
                <w:i/>
              </w:rPr>
              <w:t>se opre na sporočilo o izkoriščanju potenciala talentov v evropskih regijah in mehanizem za spodbujanje talentov, da bi spodbudila socialno kohezijo in povečala</w:t>
            </w:r>
            <w:r>
              <w:t xml:space="preserve"> financiranje regij</w:t>
            </w:r>
            <w:r>
              <w:rPr>
                <w:b/>
                <w:i/>
              </w:rPr>
              <w:t>, ki imajo</w:t>
            </w:r>
            <w:r>
              <w:t xml:space="preserve"> visoko stopnjo odseljevanja</w:t>
            </w:r>
            <w:r>
              <w:rPr>
                <w:b/>
                <w:i/>
              </w:rPr>
              <w:t>, podprla ustvarjanje kakovostnih delovnih mest, javne storitve, priložnosti za izobraževanje in usposabljanje,</w:t>
            </w:r>
            <w:r>
              <w:t xml:space="preserve"> lokalne razvojne projekte in osnovno infrastrukturo, ki dajejo prednost pravici prebivalstva, ostane;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w:t>
            </w:r>
            <w:r>
              <w:rPr>
                <w:b/>
                <w:i/>
              </w:rPr>
              <w:t>se</w:t>
            </w:r>
            <w:r>
              <w:t xml:space="preserve"> demografski izzivi </w:t>
            </w:r>
            <w:r>
              <w:rPr>
                <w:b/>
                <w:i/>
              </w:rPr>
              <w:t>v kohezijski politiki EU obravnavajo prednostno, njihov pomen pa</w:t>
            </w:r>
            <w:r>
              <w:t xml:space="preserve"> naj se </w:t>
            </w:r>
            <w:r>
              <w:rPr>
                <w:b/>
                <w:i/>
              </w:rPr>
              <w:t>izenači z zelenim dogovorom in digitalno strategijo;</w:t>
            </w:r>
            <w:r>
              <w:t xml:space="preserve"> </w:t>
            </w:r>
            <w:r>
              <w:rPr>
                <w:b/>
                <w:i/>
              </w:rPr>
              <w:t>poziva Komisijo, naj razglasi „evropsko leto demografije“ in poveča financiranje regij z visoko stopnjo odseljevanja ter podpre lokalne razvojne projekte in osnovno infrastrukturo, ki dajejo prednost pravici prebivalstva, da ostane</w:t>
            </w:r>
            <w:r>
              <w:t>;</w:t>
            </w:r>
          </w:p>
        </w:tc>
        <w:tc>
          <w:tcPr>
            <w:tcW w:w="4876" w:type="dxa"/>
            <w:tcBorders>
              <w:top w:val="nil"/>
              <w:left w:val="nil"/>
              <w:bottom w:val="nil"/>
              <w:right w:val="nil"/>
            </w:tcBorders>
          </w:tcPr>
          <w:p>
            <w:pPr>
              <w:pStyle w:val="Normal6a"/>
            </w:pPr>
            <w:r>
              <w:t>6.</w:t>
            </w:r>
            <w:r>
              <w:tab/>
            </w:r>
            <w:r>
              <w:t xml:space="preserve">poziva, naj </w:t>
            </w:r>
            <w:r>
              <w:rPr>
                <w:b/>
                <w:i/>
              </w:rPr>
              <w:t>bodo</w:t>
            </w:r>
            <w:r>
              <w:t xml:space="preserve"> demografski izzivi </w:t>
            </w:r>
            <w:r>
              <w:rPr>
                <w:b/>
                <w:i/>
              </w:rPr>
              <w:t>glavna prednostna naloga kohezijske politike EU in</w:t>
            </w:r>
            <w:r>
              <w:t xml:space="preserve"> naj se </w:t>
            </w:r>
            <w:r>
              <w:rPr>
                <w:b/>
                <w:i/>
              </w:rPr>
              <w:t>to poveže z izboljšanjem in krepitvijo politik, namenjenih uspešnemu vključevanju migrantov na trg dela in v družbo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demografski izzivi v kohezijski politiki EU obravnavajo prednostno, </w:t>
            </w:r>
            <w:r>
              <w:rPr>
                <w:b/>
                <w:i/>
              </w:rPr>
              <w:t>njihov pomen</w:t>
            </w:r>
            <w:r>
              <w:t xml:space="preserve"> pa naj se </w:t>
            </w:r>
            <w:r>
              <w:rPr>
                <w:b/>
                <w:i/>
              </w:rPr>
              <w:t>izenači</w:t>
            </w:r>
            <w:r>
              <w:t xml:space="preserve"> z zelenim dogovorom in digitalno strategijo; poziva Komisijo, naj razglasi „evropsko leto demografije“ in poveča financiranje regij z visoko stopnjo odseljevanja ter podpre lokalne razvojne projekte in osnovno infrastrukturo, ki dajejo prednost pravici prebivalstva, da ostane;</w:t>
            </w:r>
          </w:p>
        </w:tc>
        <w:tc>
          <w:tcPr>
            <w:tcW w:w="4876" w:type="dxa"/>
            <w:tcBorders>
              <w:top w:val="nil"/>
              <w:left w:val="nil"/>
              <w:bottom w:val="nil"/>
              <w:right w:val="nil"/>
            </w:tcBorders>
          </w:tcPr>
          <w:p>
            <w:pPr>
              <w:pStyle w:val="Normal6a"/>
            </w:pPr>
            <w:r>
              <w:t>6.</w:t>
            </w:r>
            <w:r>
              <w:tab/>
            </w:r>
            <w:r>
              <w:t xml:space="preserve">poziva, naj se demografski izzivi v kohezijski politiki EU obravnavajo prednostno, </w:t>
            </w:r>
            <w:r>
              <w:rPr>
                <w:b/>
                <w:i/>
              </w:rPr>
              <w:t>konkretni ukrepi na ravni EU in nacionalni ravni</w:t>
            </w:r>
            <w:r>
              <w:t xml:space="preserve"> pa naj se </w:t>
            </w:r>
            <w:r>
              <w:rPr>
                <w:b/>
                <w:i/>
              </w:rPr>
              <w:t>uskladijo</w:t>
            </w:r>
            <w:r>
              <w:t xml:space="preserve"> z zelenim dogovorom in digitalno strategijo; poziva Komisijo, naj razglasi „evropsko leto demografije“ in poveča financiranje regij z visoko stopnjo odseljevanja ter podpre lokalne razvojne projekte</w:t>
            </w:r>
            <w:r>
              <w:rPr>
                <w:b/>
                <w:i/>
              </w:rPr>
              <w:t>, cenovno ugodne in dostopne javne storitve</w:t>
            </w:r>
            <w:r>
              <w:t xml:space="preserve"> in osnovno infrastrukturo, ki dajejo prednost pravici prebivalstva, da ostane</w:t>
            </w:r>
            <w:r>
              <w:rPr>
                <w:b/>
                <w:i/>
              </w:rPr>
              <w:t>, zlasti mladim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naj se </w:t>
            </w:r>
            <w:r>
              <w:rPr>
                <w:b/>
                <w:i/>
              </w:rPr>
              <w:t>demografski izzivi</w:t>
            </w:r>
            <w:r>
              <w:t xml:space="preserve"> v kohezijski politiki EU obravnavajo prednostno, njihov pomen pa naj se izenači z zelenim dogovorom in digitalno strategijo; poziva Komisijo, naj razglasi „evropsko leto </w:t>
            </w:r>
            <w:r>
              <w:rPr>
                <w:b/>
                <w:i/>
              </w:rPr>
              <w:t>demografije</w:t>
            </w:r>
            <w:r>
              <w:t>“ in poveča financiranje regij z visoko stopnjo odseljevanja ter podpre lokalne razvojne projekte in osnovno infrastrukturo, ki dajejo prednost pravici prebivalstva, da ostane;</w:t>
            </w:r>
          </w:p>
        </w:tc>
        <w:tc>
          <w:tcPr>
            <w:tcW w:w="4876" w:type="dxa"/>
            <w:tcBorders>
              <w:top w:val="nil"/>
              <w:left w:val="nil"/>
              <w:bottom w:val="nil"/>
              <w:right w:val="nil"/>
            </w:tcBorders>
          </w:tcPr>
          <w:p>
            <w:pPr>
              <w:pStyle w:val="Normal6a"/>
            </w:pPr>
            <w:r>
              <w:t>6.</w:t>
            </w:r>
            <w:r>
              <w:tab/>
            </w:r>
            <w:r>
              <w:t xml:space="preserve">poziva, naj se </w:t>
            </w:r>
            <w:r>
              <w:rPr>
                <w:b/>
                <w:i/>
              </w:rPr>
              <w:t>regionalna neravnovesja</w:t>
            </w:r>
            <w:r>
              <w:t xml:space="preserve"> v kohezijski politiki EU obravnavajo prednostno, njihov pomen pa naj se izenači z zelenim dogovorom in digitalno strategijo; poziva Komisijo, naj razglasi „evropsko leto </w:t>
            </w:r>
            <w:r>
              <w:rPr>
                <w:b/>
                <w:i/>
              </w:rPr>
              <w:t>regij in otokov</w:t>
            </w:r>
            <w:r>
              <w:t xml:space="preserve">“ in poveča financiranje regij z visoko stopnjo odseljevanja </w:t>
            </w:r>
            <w:r>
              <w:rPr>
                <w:b/>
                <w:i/>
              </w:rPr>
              <w:t>in gospodarske stagnacije</w:t>
            </w:r>
            <w:r>
              <w:t xml:space="preserve"> ter podpre lokalne razvojne projekte in osnovno infrastrukturo, ki dajejo prednost pravici prebivalstva, da ostane;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naj se demografski izzivi v kohezijski politiki EU obravnavajo prednostno</w:t>
            </w:r>
            <w:r>
              <w:rPr>
                <w:b/>
                <w:i/>
              </w:rPr>
              <w:t>, njihov pomen pa naj se izenači z zelenim dogovorom in digitalno strategijo</w:t>
            </w:r>
            <w:r>
              <w:t xml:space="preserve">; poziva Komisijo, naj razglasi „evropsko leto demografije“ in poveča financiranje regij z visoko stopnjo odseljevanja </w:t>
            </w:r>
            <w:r>
              <w:rPr>
                <w:b/>
                <w:i/>
              </w:rPr>
              <w:t>ter podpre lokalne razvojne projekte in osnovno infrastrukturo</w:t>
            </w:r>
            <w:r>
              <w:t>, ki dajejo prednost pravici prebivalstva, da ostane;</w:t>
            </w:r>
          </w:p>
        </w:tc>
        <w:tc>
          <w:tcPr>
            <w:tcW w:w="4876" w:type="dxa"/>
            <w:tcBorders>
              <w:top w:val="nil"/>
              <w:left w:val="nil"/>
              <w:bottom w:val="nil"/>
              <w:right w:val="nil"/>
            </w:tcBorders>
          </w:tcPr>
          <w:p>
            <w:pPr>
              <w:pStyle w:val="Normal6a"/>
            </w:pPr>
            <w:r>
              <w:t>6.</w:t>
            </w:r>
            <w:r>
              <w:tab/>
            </w:r>
            <w:r>
              <w:t xml:space="preserve">poziva, naj se demografski izzivi v kohezijski politiki EU obravnavajo prednostno </w:t>
            </w:r>
            <w:r>
              <w:rPr>
                <w:b/>
                <w:i/>
              </w:rPr>
              <w:t>in to bolj prednostno kot zeleni dogovor in digitalna strategija</w:t>
            </w:r>
            <w:r>
              <w:t>; poziva Komisijo, naj razglasi „evropsko leto demografije“ in poveča financiranje regij z visoko stopnjo odseljevanja</w:t>
            </w:r>
            <w:r>
              <w:rPr>
                <w:b/>
                <w:i/>
              </w:rPr>
              <w:t>, da se podprejo lokalni razvojni projekti in osnovna infrastruktura</w:t>
            </w:r>
            <w:r>
              <w:t xml:space="preserve">, ki dajejo prednost pravici prebivalstva </w:t>
            </w:r>
            <w:r>
              <w:rPr>
                <w:b/>
                <w:i/>
              </w:rPr>
              <w:t>držav članic</w:t>
            </w:r>
            <w:r>
              <w:t>, da ostane;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naj se demografski izzivi v kohezijski politiki EU obravnavajo prednostno</w:t>
            </w:r>
            <w:r>
              <w:rPr>
                <w:b/>
                <w:i/>
              </w:rPr>
              <w:t>, njihov pomen pa naj se izenači z zelenim dogovorom in digitalno strategijo</w:t>
            </w:r>
            <w:r>
              <w:t>; poziva Komisijo, naj razglasi „evropsko leto demografije“ in poveča financiranje regij z visoko stopnjo odseljevanja ter podpre lokalne razvojne projekte in osnovno infrastrukturo, ki dajejo prednost pravici prebivalstva, da ostane;</w:t>
            </w:r>
          </w:p>
        </w:tc>
        <w:tc>
          <w:tcPr>
            <w:tcW w:w="4876" w:type="dxa"/>
            <w:tcBorders>
              <w:top w:val="nil"/>
              <w:left w:val="nil"/>
              <w:bottom w:val="nil"/>
              <w:right w:val="nil"/>
            </w:tcBorders>
          </w:tcPr>
          <w:p>
            <w:pPr>
              <w:pStyle w:val="Normal6a"/>
            </w:pPr>
            <w:r>
              <w:t>6.</w:t>
            </w:r>
            <w:r>
              <w:tab/>
            </w:r>
            <w:r>
              <w:t xml:space="preserve">poziva, naj se demografski izzivi v kohezijski politiki EU obravnavajo prednostno; poziva Komisijo, naj razglasi „evropsko leto demografije“ in poveča financiranje </w:t>
            </w:r>
            <w:r>
              <w:rPr>
                <w:b/>
                <w:i/>
              </w:rPr>
              <w:t>podeželskih in najbolj oddaljenih območij in</w:t>
            </w:r>
            <w:r>
              <w:t xml:space="preserve"> regij z visoko stopnjo odseljevanja ter podpre lokalne razvojne projekte in osnovno infrastrukturo, ki dajejo prednost pravici prebivalstva, da ostane;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poudarja vse večji vpliv umetne inteligence in digitalnih platform, ki bodo spodbudile korenite spremembe tehnologij na trgu dela, kar bo vplivalo na kakovost delovnih mest in delovne pogoje ter posledično na kakovost življenja delavcev, kot je priznano v skupnem poročilu o zaposlovanju;</w:t>
            </w:r>
            <w:r>
              <w:t xml:space="preserve"> </w:t>
            </w:r>
            <w:r>
              <w:rPr>
                <w:b/>
                <w:i/>
              </w:rPr>
              <w:t>poziva Komisijo, naj nujno predlaga direktivo o uporabi umetne inteligence na delovnem mestu, ki bo zagotavljala varstvo in spoštovanje pravic delavcev;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Evropsko komisijo in države članice, naj okrepijo podporo neprofitnim podjetjem in organizacijam socialnega gospodarstva z ustreznimi finančnimi in davčnimi okviri;</w:t>
            </w:r>
            <w:r>
              <w:t xml:space="preserve"> </w:t>
            </w:r>
            <w:r>
              <w:rPr>
                <w:b/>
                <w:i/>
              </w:rPr>
              <w:t>spodbuja države članice, naj olajšajo dostop do financiranja in povečajo prepoznavnost akterjev socialnega gospodarstva, kot je poudarjeno v akcijskem načrtu za socialno gospodarstvo za leto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poziva Komisijo, naj zagotovi zaščito delavcev na digitalnem delovnem mestu in predstavi zakonodajni predlog za ureditev pravice do odklopa in dela na daljavo;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poziva države članice, naj izvajajo akcijski načrt za socialno gospodarstvo za spodbujanje kakovostnega, dostojnega in vključujočega dela, trajnostnosti in krožnega gospodarstva ter podpirajo organizacije socialnega gospodarstva;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poziva Komisijo in Svet, naj prednostno obravnavata zmanjšanje birokratskih in davčnih ovir za podjetništvo, zlasti za mala in srednja podjetja ter zagonska podjetja, ki so bistvena za gospodarsko rast in konkurenčnost EU, s tem pa tudi za financiranje socialnih politik;</w:t>
            </w:r>
            <w:r>
              <w:t xml:space="preserve"> 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w:t>
            </w:r>
            <w:r>
              <w:rPr>
                <w:b/>
                <w:i/>
              </w:rPr>
              <w:t>prek platform javno-zasebnega partnerstva</w:t>
            </w:r>
            <w:r>
              <w:t xml:space="preserve"> in socialnega gospodarstva, da se spodbudi dinamično poslovno okolje;</w:t>
            </w:r>
          </w:p>
        </w:tc>
        <w:tc>
          <w:tcPr>
            <w:tcW w:w="4876" w:type="dxa"/>
            <w:tcBorders>
              <w:top w:val="nil"/>
              <w:left w:val="nil"/>
              <w:bottom w:val="nil"/>
              <w:right w:val="nil"/>
            </w:tcBorders>
          </w:tcPr>
          <w:p>
            <w:pPr>
              <w:pStyle w:val="Normal6a"/>
            </w:pPr>
            <w:r>
              <w:t>7.</w:t>
            </w:r>
            <w:r>
              <w:tab/>
            </w:r>
            <w:r>
              <w:t>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in socialnega gospodarstva, da se spodbudi dinamično poslovno okolje;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w:t>
            </w:r>
          </w:p>
        </w:tc>
        <w:tc>
          <w:tcPr>
            <w:tcW w:w="4876" w:type="dxa"/>
            <w:tcBorders>
              <w:top w:val="nil"/>
              <w:left w:val="nil"/>
              <w:bottom w:val="nil"/>
              <w:right w:val="nil"/>
            </w:tcBorders>
          </w:tcPr>
          <w:p>
            <w:pPr>
              <w:pStyle w:val="Normal6a"/>
            </w:pPr>
            <w:r>
              <w:t>7.</w:t>
            </w:r>
            <w:r>
              <w:tab/>
            </w:r>
            <w:r>
              <w:t xml:space="preserve">poziva Komisijo in Svet, naj </w:t>
            </w:r>
            <w:r>
              <w:rPr>
                <w:b/>
                <w:i/>
              </w:rPr>
              <w:t>v skladu z izjavo iz Budimpešte o novem dogovoru o evropski konkurenčnosti z dne 8. novembra 2024</w:t>
            </w:r>
            <w:r>
              <w:t xml:space="preserve">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 </w:t>
            </w:r>
            <w:r>
              <w:rPr>
                <w:b/>
                <w:i/>
              </w:rPr>
              <w:t>meni, da je pomembno umestiti Evropo na vodilni položaj v svetu na področju raziskav in inovacij, zlasti na področju prelomnih tehnologij, in uresničiti cilj, da se do leta 2030 za raziskave in razvoj zagotovijo izdatki v višini 3 % BDP;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Komisijo in Svet, naj prednostno obravnavata zmanjšanje birokratskih </w:t>
            </w:r>
            <w:r>
              <w:rPr>
                <w:b/>
                <w:i/>
              </w:rPr>
              <w:t>in davčnih</w:t>
            </w:r>
            <w:r>
              <w:t xml:space="preserve"> ovir za podjetništvo</w:t>
            </w:r>
            <w:r>
              <w:rPr>
                <w:b/>
                <w:i/>
              </w:rPr>
              <w:t>, zlasti</w:t>
            </w:r>
            <w:r>
              <w:t xml:space="preserve"> za mala in srednja podjetja ter zagonska podjetja, ki so bistvena za gospodarsko rast in konkurenčnost EU, s tem pa tudi za financiranje socialnih politik; meni, da bo boljša podpora podjetnikom</w:t>
            </w:r>
            <w:r>
              <w:rPr>
                <w:b/>
                <w:i/>
              </w:rPr>
              <w:t>, zlasti</w:t>
            </w:r>
            <w:r>
              <w:t xml:space="preserve"> malim in srednjim podjetjem in zagonskim podjetjem, izboljšala </w:t>
            </w:r>
            <w:r>
              <w:rPr>
                <w:b/>
                <w:i/>
              </w:rPr>
              <w:t>konkurenčnost</w:t>
            </w:r>
            <w:r>
              <w:t xml:space="preserve"> EU, spodbudila inovacije in ustvarila kakovostna delovna mesta; </w:t>
            </w:r>
            <w:r>
              <w:rPr>
                <w:b/>
                <w:i/>
              </w:rPr>
              <w:t>nujno poziva k izvajanju posebnih priporočil za dokončanje enotnega trga in olajšanje dostopa do financiranja prek platform javno-zasebnega partnerstva in socialnega gospodarstva, da se spodbudi dinamično poslovno okolje;</w:t>
            </w:r>
          </w:p>
        </w:tc>
        <w:tc>
          <w:tcPr>
            <w:tcW w:w="4876" w:type="dxa"/>
            <w:tcBorders>
              <w:top w:val="nil"/>
              <w:left w:val="nil"/>
              <w:bottom w:val="nil"/>
              <w:right w:val="nil"/>
            </w:tcBorders>
          </w:tcPr>
          <w:p>
            <w:pPr>
              <w:pStyle w:val="Normal6a"/>
            </w:pPr>
            <w:r>
              <w:t>7.</w:t>
            </w:r>
            <w:r>
              <w:tab/>
            </w:r>
            <w:r>
              <w:t xml:space="preserve">poziva Komisijo in Svet, naj prednostno obravnavata zmanjšanje birokratskih ovir za podjetništvo za mala in srednja podjetja ter zagonska podjetja, ki so bistvena za gospodarsko rast in konkurenčnost EU, s tem pa tudi za financiranje socialnih politik; meni, da bo boljša podpora </w:t>
            </w:r>
            <w:r>
              <w:rPr>
                <w:b/>
                <w:i/>
              </w:rPr>
              <w:t>ambicioznim</w:t>
            </w:r>
            <w:r>
              <w:t xml:space="preserve"> podjetnikom </w:t>
            </w:r>
            <w:r>
              <w:rPr>
                <w:b/>
                <w:i/>
              </w:rPr>
              <w:t>ter</w:t>
            </w:r>
            <w:r>
              <w:t xml:space="preserve"> malim in srednjim podjetjem in zagonskim podjetjem, izboljšala </w:t>
            </w:r>
            <w:r>
              <w:rPr>
                <w:b/>
                <w:i/>
              </w:rPr>
              <w:t>socialno gospodarstvo</w:t>
            </w:r>
            <w:r>
              <w:t xml:space="preserve"> EU, spodbudila inovacije in ustvarila kakovostna delovna mesta;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 in zagonskim podjetjem, izboljšala konkurenčnost EU, spodbudila inovacije in ustvarila kakovostna delovna mesta; </w:t>
            </w:r>
            <w:r>
              <w:rPr>
                <w:b/>
                <w:i/>
              </w:rPr>
              <w:t>nujno</w:t>
            </w:r>
            <w:r>
              <w:t xml:space="preserve"> poziva k izvajanju posebnih priporočil </w:t>
            </w:r>
            <w:r>
              <w:rPr>
                <w:b/>
                <w:i/>
              </w:rPr>
              <w:t>za dokončanje enotnega trga in olajšanje dostopa</w:t>
            </w:r>
            <w:r>
              <w:t xml:space="preserve"> do financiranja prek platform javno-zasebnega partnerstva </w:t>
            </w:r>
            <w:r>
              <w:rPr>
                <w:b/>
                <w:i/>
              </w:rPr>
              <w:t>in</w:t>
            </w:r>
            <w:r>
              <w:t xml:space="preserve"> socialnega gospodarstva, da se spodbudi dinamično poslovno okolje;</w:t>
            </w:r>
          </w:p>
        </w:tc>
        <w:tc>
          <w:tcPr>
            <w:tcW w:w="4876" w:type="dxa"/>
            <w:tcBorders>
              <w:top w:val="nil"/>
              <w:left w:val="nil"/>
              <w:bottom w:val="nil"/>
              <w:right w:val="nil"/>
            </w:tcBorders>
          </w:tcPr>
          <w:p>
            <w:pPr>
              <w:pStyle w:val="Normal6a"/>
            </w:pPr>
            <w:r>
              <w:t>7.</w:t>
            </w:r>
            <w:r>
              <w:tab/>
            </w:r>
            <w:r>
              <w:t>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 in zagonskim podjetjem, izboljšala konkurenčnost EU, spodbudila inovacije in ustvarila kakovostna delovna mesta; poziva k</w:t>
            </w:r>
            <w:r>
              <w:rPr>
                <w:b/>
                <w:i/>
              </w:rPr>
              <w:t> nujnemu</w:t>
            </w:r>
            <w:r>
              <w:t> izvajanju posebnih priporočil</w:t>
            </w:r>
            <w:r>
              <w:rPr>
                <w:b/>
                <w:i/>
              </w:rPr>
              <w:t>, da se olajšata razvoj notranjih trgov in dostop</w:t>
            </w:r>
            <w:r>
              <w:t xml:space="preserve"> do financiranja prek platform javno-zasebnega partnerstva</w:t>
            </w:r>
            <w:r>
              <w:rPr>
                <w:b/>
                <w:i/>
              </w:rPr>
              <w:t>, kolikor je sinergija med javnim in zasebnim sektorjem zelo verjetna in dokazana, pa tudi</w:t>
            </w:r>
            <w:r>
              <w:t xml:space="preserve"> socialnega gospodarstva, da se spodbudi dinamično poslovno okolje;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w:t>
            </w:r>
            <w:r>
              <w:rPr>
                <w:b/>
                <w:i/>
              </w:rPr>
              <w:t>podjetnikom, zlasti</w:t>
            </w:r>
            <w:r>
              <w:t xml:space="preserve"> malim in srednjim </w:t>
            </w:r>
            <w:r>
              <w:rPr>
                <w:b/>
                <w:i/>
              </w:rPr>
              <w:t>podjetjem in</w:t>
            </w:r>
            <w:r>
              <w:t xml:space="preserve"> zagonskim podjetjem</w:t>
            </w:r>
            <w:r>
              <w:rPr>
                <w:b/>
                <w:i/>
              </w:rPr>
              <w:t>,</w:t>
            </w:r>
            <w:r>
              <w:t xml:space="preserve"> izboljšala konkurenčnost EU, spodbudila inovacije in ustvarila kakovostna delovna mesta; nujno poziva k izvajanju posebnih priporočil za dokončanje enotnega trga </w:t>
            </w:r>
            <w:r>
              <w:rPr>
                <w:b/>
                <w:i/>
              </w:rPr>
              <w:t>in</w:t>
            </w:r>
            <w:r>
              <w:t xml:space="preserve"> olajšanje dostopa do financiranja prek platform javno-zasebnega partnerstva in socialnega gospodarstva, da se spodbudi dinamično poslovno okolje;</w:t>
            </w:r>
          </w:p>
        </w:tc>
        <w:tc>
          <w:tcPr>
            <w:tcW w:w="4876" w:type="dxa"/>
            <w:tcBorders>
              <w:top w:val="nil"/>
              <w:left w:val="nil"/>
              <w:bottom w:val="nil"/>
              <w:right w:val="nil"/>
            </w:tcBorders>
          </w:tcPr>
          <w:p>
            <w:pPr>
              <w:pStyle w:val="Normal6a"/>
            </w:pPr>
            <w:r>
              <w:t>7.</w:t>
            </w:r>
            <w:r>
              <w:tab/>
            </w:r>
            <w:r>
              <w:t xml:space="preserve">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malim in srednjim </w:t>
            </w:r>
            <w:r>
              <w:rPr>
                <w:b/>
                <w:i/>
              </w:rPr>
              <w:t>ter</w:t>
            </w:r>
            <w:r>
              <w:t xml:space="preserve"> zagonskim podjetjem izboljšala </w:t>
            </w:r>
            <w:r>
              <w:rPr>
                <w:b/>
                <w:i/>
              </w:rPr>
              <w:t>dolgoročno trajnostnost in</w:t>
            </w:r>
            <w:r>
              <w:t xml:space="preserve"> konkurenčnost EU, spodbudila inovacije in ustvarila kakovostna delovna mesta; nujno poziva k izvajanju posebnih priporočil za dokončanje enotnega trga</w:t>
            </w:r>
            <w:r>
              <w:rPr>
                <w:b/>
                <w:i/>
              </w:rPr>
              <w:t>, vključevanje socialnih načel in načel trajnostnosti ter</w:t>
            </w:r>
            <w:r>
              <w:t xml:space="preserve"> olajšanje dostopa do financiranja prek platform javno-zasebnega partnerstva in socialnega gospodarstva, da se spodbudi dinamično </w:t>
            </w:r>
            <w:r>
              <w:rPr>
                <w:b/>
                <w:i/>
              </w:rPr>
              <w:t>in vključujoče</w:t>
            </w:r>
            <w:r>
              <w:t xml:space="preserve"> poslovno okolje;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Komisijo in Svet, naj prednostno obravnavata zmanjšanje birokratskih </w:t>
            </w:r>
            <w:r>
              <w:rPr>
                <w:b/>
                <w:i/>
              </w:rPr>
              <w:t>in davčnih</w:t>
            </w:r>
            <w:r>
              <w:t xml:space="preserve"> ovir za podjetništvo, zlasti za mala in srednja podjetja ter zagonska podjetja, ki so bistvena za gospodarsko rast in konkurenčnost EU</w:t>
            </w:r>
            <w:r>
              <w:rPr>
                <w:b/>
                <w:i/>
              </w:rPr>
              <w:t>, s tem pa tudi za financiranje socialnih politik</w:t>
            </w:r>
            <w:r>
              <w:t>; 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w:t>
            </w:r>
          </w:p>
        </w:tc>
        <w:tc>
          <w:tcPr>
            <w:tcW w:w="4876" w:type="dxa"/>
            <w:tcBorders>
              <w:top w:val="nil"/>
              <w:left w:val="nil"/>
              <w:bottom w:val="nil"/>
              <w:right w:val="nil"/>
            </w:tcBorders>
          </w:tcPr>
          <w:p>
            <w:pPr>
              <w:pStyle w:val="Normal6a"/>
            </w:pPr>
            <w:r>
              <w:t>7.</w:t>
            </w:r>
            <w:r>
              <w:tab/>
            </w:r>
            <w:r>
              <w:t>poziva Komisijo in Svet, naj prednostno obravnavata zmanjšanje birokratskih ovir za podjetništvo, zlasti za mala in srednja podjetja ter zagonska podjetja, ki so bistvena za gospodarsko rast in konkurenčnost EU; meni, da bo boljša podpora podjetnikom, zlasti malim in srednjim podjetjem in zagonskim podjetjem, 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 </w:t>
            </w:r>
            <w:r>
              <w:rPr>
                <w:b/>
                <w:i/>
              </w:rPr>
              <w:t>in</w:t>
            </w:r>
            <w:r>
              <w:t xml:space="preserve"> zagonskim podjetjem, 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w:t>
            </w:r>
          </w:p>
        </w:tc>
        <w:tc>
          <w:tcPr>
            <w:tcW w:w="4876" w:type="dxa"/>
            <w:tcBorders>
              <w:top w:val="nil"/>
              <w:left w:val="nil"/>
              <w:bottom w:val="nil"/>
              <w:right w:val="nil"/>
            </w:tcBorders>
          </w:tcPr>
          <w:p>
            <w:pPr>
              <w:pStyle w:val="Normal6a"/>
            </w:pPr>
            <w:r>
              <w:t>7.</w:t>
            </w:r>
            <w:r>
              <w:tab/>
            </w:r>
            <w:r>
              <w:t>poziva Komisijo in Svet, naj prednostno obravnavata zmanjšanje birokratskih in davčnih ovir za podjetništvo, zlasti za mala in srednja podjetja ter zagonska podjetja, ki so bistvena za gospodarsko rast in konkurenčnost EU, s tem pa tudi za financiranje socialnih politik; meni, da bo boljša podpora podjetnikom, zlasti malim in srednjim podjetjem</w:t>
            </w:r>
            <w:r>
              <w:rPr>
                <w:b/>
                <w:i/>
              </w:rPr>
              <w:t>,</w:t>
            </w:r>
            <w:r>
              <w:t xml:space="preserve"> zagonskim podjetjem, </w:t>
            </w:r>
            <w:r>
              <w:rPr>
                <w:b/>
                <w:i/>
              </w:rPr>
              <w:t>in samozaposlenim ,</w:t>
            </w:r>
            <w:r>
              <w:t>izboljšala konkurenčnost EU, spodbudila inovacije in ustvarila kakovostna delovna mesta; nujno poziva k izvajanju posebnih priporočil za dokončanje enotnega trga in olajšanje dostopa do financiranja prek platform javno-zasebnega partnerstva in socialnega gospodarstva, da se spodbudi dinamično poslovno okolje;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opozarja, da je pomembno izboljšati dostop samozaposlenih do socialne zaščite, in poziva Komisijo, naj v okviru priporočil za posamezne države spremlja nacionalne načrte držav članic za izvajanje priporočila Sveta o dostopu delavcev in samozaposlenih oseb do socialne zaščite;</w:t>
            </w:r>
            <w:r>
              <w:t xml:space="preserve"> </w:t>
            </w:r>
            <w:r>
              <w:rPr>
                <w:b/>
                <w:i/>
              </w:rPr>
              <w:t>v zvezi s tem opozarja na 13 pobud iz odgovora Komisije z dne 21. februarja 2024 na resolucijo Evropskega parlamenta z dne 21. novembra 2023 o okviru EU za socialni in poklicni položaj umetnikov in delavcev v kulturnih in ustvarjalnih sektorjih, saj je delež samozaposlenih v kulturnih in ustvarjalnih sektorjih več kot dvakrat večji kot pri splošnem prebivalstvu, ter poziva Komisijo, naj jih začne izvajati v sodelovanju z državami članicami;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svari pred socialnimi tveganji, ki izhajajo iz krize avtomobilskega sektorja, ki se sooča z rekordnim pritiskom zunanjih in notranjih dejavnikov;</w:t>
            </w:r>
            <w:r>
              <w:t xml:space="preserve"> </w:t>
            </w:r>
            <w:r>
              <w:rPr>
                <w:b/>
                <w:i/>
              </w:rPr>
              <w:t>poziva Evropsko komisijo, naj bo pozorna na ta sektor in pri tem uporabi pregled socialnih kazalnikov za spremljanje varstva delavcev ter krepitev socialnega dialoga in udeležbe delavcev v procesih prehoda;</w:t>
            </w:r>
            <w:r>
              <w:t xml:space="preserve"> </w:t>
            </w:r>
            <w:r>
              <w:rPr>
                <w:b/>
                <w:i/>
              </w:rPr>
              <w:t>poudarja, da je nujno potreben usklajen odziv EU prek izredne projektne skupine sindikatov in delodajalcev, da bi se odzvali na sedanjo krizo;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poziva Komisijo, naj preveri konkurenčnost vsakega novega zakonodajnega predloga, pri čemer naj upošteva splošni učinek zakonodaje EU na podjetja ter na druge politike in programe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poudarja, da je treba spodbujati javno-zasebna partnerstva, da bi izboljšali učinkovitost pri zagotavljanju bistvenih socialnih storitev, kot so izobraževanje, zdravstvo in socialno varstvo;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poudarja, da je treba spodbujati javno-zasebna partnerstva, da bi izboljšali učinkovitost pri zagotavljanju bistvenih socialnih storitev, kot so izobraževanje, zdravstvo in socialno varstvo;</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w:t>
            </w:r>
            <w:r>
              <w:rPr>
                <w:b/>
                <w:i/>
              </w:rPr>
              <w:t>spodbujati javno-zasebna partnerstva, da bi izboljšali</w:t>
            </w:r>
            <w:r>
              <w:t xml:space="preserve"> učinkovitost pri zagotavljanju </w:t>
            </w:r>
            <w:r>
              <w:rPr>
                <w:b/>
                <w:i/>
              </w:rPr>
              <w:t>bistvenih</w:t>
            </w:r>
            <w:r>
              <w:t xml:space="preserve"> socialnih storitev, kot so izobraževanje, </w:t>
            </w:r>
            <w:r>
              <w:rPr>
                <w:b/>
                <w:i/>
              </w:rPr>
              <w:t>zdravstvo</w:t>
            </w:r>
            <w:r>
              <w:t xml:space="preserve"> in socialno varstvo;</w:t>
            </w:r>
          </w:p>
        </w:tc>
        <w:tc>
          <w:tcPr>
            <w:tcW w:w="4876" w:type="dxa"/>
            <w:tcBorders>
              <w:top w:val="nil"/>
              <w:left w:val="nil"/>
              <w:bottom w:val="nil"/>
              <w:right w:val="nil"/>
            </w:tcBorders>
          </w:tcPr>
          <w:p>
            <w:pPr>
              <w:pStyle w:val="Normal6a"/>
            </w:pPr>
            <w:r>
              <w:t>8.</w:t>
            </w:r>
            <w:r>
              <w:tab/>
            </w:r>
            <w:r>
              <w:t xml:space="preserve">poudarja, da je treba </w:t>
            </w:r>
            <w:r>
              <w:rPr>
                <w:b/>
                <w:i/>
              </w:rPr>
              <w:t>izboljšati kakovost, pokritost, cenovno dostopnost in</w:t>
            </w:r>
            <w:r>
              <w:t xml:space="preserve"> učinkovitost pri zagotavljanju </w:t>
            </w:r>
            <w:r>
              <w:rPr>
                <w:b/>
                <w:i/>
              </w:rPr>
              <w:t>osnovnih</w:t>
            </w:r>
            <w:r>
              <w:t xml:space="preserve"> socialnih storitev, kot so izobraževanje, </w:t>
            </w:r>
            <w:r>
              <w:rPr>
                <w:b/>
                <w:i/>
              </w:rPr>
              <w:t>zdravstveno</w:t>
            </w:r>
            <w:r>
              <w:t xml:space="preserve"> in socialno varstvo</w:t>
            </w:r>
            <w:r>
              <w:rPr>
                <w:b/>
                <w:i/>
              </w:rPr>
              <w:t>, vključno z otroškim varstvom in dolgotrajno oskrbo;</w:t>
            </w:r>
            <w:r>
              <w:t xml:space="preserve"> </w:t>
            </w:r>
            <w:r>
              <w:rPr>
                <w:b/>
                <w:i/>
              </w:rPr>
              <w:t>poziva države članice, naj še naprej izvajajo priporočilo Sveta o dostopu do cenovno dostopne in kakovostne dolgotrajne oskrbe, da bi zagotovile dostop do kakovostne oskrbe in dostojne delovne pogoje za delavce v sektorju oskrbe, pa tudi za neformalne oskrbovalce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w:t>
            </w:r>
            <w:r>
              <w:rPr>
                <w:b/>
                <w:i/>
              </w:rPr>
              <w:t>je treba</w:t>
            </w:r>
            <w:r>
              <w:t xml:space="preserve"> spodbujati javno-zasebna partnerstva, da bi izboljšali učinkovitost pri zagotavljanju </w:t>
            </w:r>
            <w:r>
              <w:rPr>
                <w:b/>
                <w:i/>
              </w:rPr>
              <w:t>bistvenih</w:t>
            </w:r>
            <w:r>
              <w:t xml:space="preserve"> socialnih storitev, kot so izobraževanje, zdravstvo in socialno varstvo;</w:t>
            </w:r>
          </w:p>
        </w:tc>
        <w:tc>
          <w:tcPr>
            <w:tcW w:w="4876" w:type="dxa"/>
            <w:tcBorders>
              <w:top w:val="nil"/>
              <w:left w:val="nil"/>
              <w:bottom w:val="nil"/>
              <w:right w:val="nil"/>
            </w:tcBorders>
          </w:tcPr>
          <w:p>
            <w:pPr>
              <w:pStyle w:val="Normal6a"/>
            </w:pPr>
            <w:r>
              <w:t>8.</w:t>
            </w:r>
            <w:r>
              <w:tab/>
            </w:r>
            <w:r>
              <w:t xml:space="preserve">poudarja, da </w:t>
            </w:r>
            <w:r>
              <w:rPr>
                <w:b/>
                <w:i/>
              </w:rPr>
              <w:t>morajo države članice</w:t>
            </w:r>
            <w:r>
              <w:t xml:space="preserve"> spodbujati javno-zasebna partnerstva, da bi izboljšali učinkovitost pri zagotavljanju </w:t>
            </w:r>
            <w:r>
              <w:rPr>
                <w:b/>
                <w:i/>
              </w:rPr>
              <w:t>javnih</w:t>
            </w:r>
            <w:r>
              <w:t xml:space="preserve"> socialnih storitev, kot so izobraževanje, zdravstvo</w:t>
            </w:r>
            <w:r>
              <w:rPr>
                <w:b/>
                <w:i/>
              </w:rPr>
              <w:t>, stanovanja</w:t>
            </w:r>
            <w:r>
              <w:t xml:space="preserve"> in socialno varstvo </w:t>
            </w:r>
            <w:r>
              <w:rPr>
                <w:b/>
                <w:i/>
              </w:rPr>
              <w:t>ter zaščita otrok, hkrati pa je treba zagotoviti odgovornost držav članic pri zagotavljanju kakovostnih javnih storitev na teh področjih in dostopa do njih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poudarja, da je treba spodbujati javno-zasebna partnerstva, da bi izboljšali učinkovitost pri zagotavljanju bistvenih socialnih storitev, kot so izobraževanje, zdravstvo in socialno varstvo</w:t>
            </w:r>
            <w:r>
              <w:rPr>
                <w:b/>
                <w:i/>
              </w:rPr>
              <w:t>;</w:t>
            </w:r>
          </w:p>
        </w:tc>
        <w:tc>
          <w:tcPr>
            <w:tcW w:w="4876" w:type="dxa"/>
            <w:tcBorders>
              <w:top w:val="nil"/>
              <w:left w:val="nil"/>
              <w:bottom w:val="nil"/>
              <w:right w:val="nil"/>
            </w:tcBorders>
          </w:tcPr>
          <w:p>
            <w:pPr>
              <w:pStyle w:val="Normal6a"/>
            </w:pPr>
            <w:r>
              <w:t>8.</w:t>
            </w:r>
            <w:r>
              <w:tab/>
            </w:r>
            <w:r>
              <w:t>poudarja, da je treba spodbujati javno-zasebna partnerstva, da bi izboljšali učinkovitost pri zagotavljanju bistvenih socialnih storitev, kot so izobraževanje, zdravstvo in socialno varstvo</w:t>
            </w:r>
            <w:r>
              <w:rPr>
                <w:b/>
                <w:i/>
              </w:rPr>
              <w:t>, vendar le, če je sinergija med javnim in zasebnim sektorjem verjetna in dokazana ter ne vodi v ideološko in nesmiselno privatizacijo.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poudarja, da je treba </w:t>
            </w:r>
            <w:r>
              <w:rPr>
                <w:b/>
                <w:i/>
              </w:rPr>
              <w:t>spodbujati</w:t>
            </w:r>
            <w:r>
              <w:t xml:space="preserve"> javno-zasebna partnerstva, da bi izboljšali učinkovitost pri zagotavljanju bistvenih socialnih storitev, kot so izobraževanje, zdravstvo in socialno varstvo;</w:t>
            </w:r>
          </w:p>
        </w:tc>
        <w:tc>
          <w:tcPr>
            <w:tcW w:w="4876" w:type="dxa"/>
            <w:tcBorders>
              <w:top w:val="nil"/>
              <w:left w:val="nil"/>
              <w:bottom w:val="nil"/>
              <w:right w:val="nil"/>
            </w:tcBorders>
          </w:tcPr>
          <w:p>
            <w:pPr>
              <w:pStyle w:val="Normal6a"/>
            </w:pPr>
            <w:r>
              <w:t>8.</w:t>
            </w:r>
            <w:r>
              <w:tab/>
            </w:r>
            <w:r>
              <w:rPr>
                <w:b/>
                <w:i/>
              </w:rPr>
              <w:t>se strinja s predlogom Enrica Lette za tako imenovano peto svoboščino, s katero bi okrepili raziskav,e inovacije in izobraževanje na enotnem trgu, ter v zvezi s tem</w:t>
            </w:r>
            <w:r>
              <w:t xml:space="preserve"> poudarja, da je treba </w:t>
            </w:r>
            <w:r>
              <w:rPr>
                <w:b/>
                <w:i/>
              </w:rPr>
              <w:t>dobro izkoristiti</w:t>
            </w:r>
            <w:r>
              <w:t xml:space="preserve"> javno-zasebna partnerstva, da bi izboljšali učinkovitost pri zagotavljanju bistvenih socialnih storitev, kot so izobraževanje, zdravstvo in socialno varstvo;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 zaskrbljen zaradi večjega števila nacionalnih politik, ki še vedno povzročajo vrzeli v zdravstvenem varstvu in povečujejo neenakosti znotraj držav članic in med njimi, kot so privatizacija javnih sistemov zdravstvenega varstva, doplačila in pomanjkanje pokritosti;</w:t>
            </w:r>
            <w:r>
              <w:t xml:space="preserve"> </w:t>
            </w:r>
            <w:r>
              <w:rPr>
                <w:b/>
                <w:i/>
              </w:rPr>
              <w:t>poudarja, da poglabljajo revščino, zmanjšujejo zdravje in dobro počutje ter povečujejo socialne neenakosti v državah EU in med njimi;</w:t>
            </w:r>
            <w:r>
              <w:t xml:space="preserve"> </w:t>
            </w:r>
            <w:r>
              <w:rPr>
                <w:b/>
                <w:i/>
              </w:rPr>
              <w:t>opozarja, da to ogroža tudi izvajanje načela 16 stebra in cilja trajnostnega razvoja 3.8 o splošnem zdravstvenem varstvu ter splošni cilj stebra, tj. spodbujanje navzgor usmerjene socialne konvergence v EU, pri čemer nihče ne sme biti zapostavljen;</w:t>
            </w:r>
            <w:r>
              <w:t xml:space="preserve"> </w:t>
            </w:r>
            <w:r>
              <w:rPr>
                <w:b/>
                <w:i/>
              </w:rPr>
              <w:t>meni, da kazalniki, uporabljeni v pregledu socialnih kazalnikov, ne omogočajo celovitega pregleda cenovne dostopnosti zdravstvenega varstva;</w:t>
            </w:r>
            <w:r>
              <w:t xml:space="preserve"> </w:t>
            </w:r>
            <w:r>
              <w:rPr>
                <w:b/>
                <w:i/>
              </w:rPr>
              <w:t>poziva Komisijo, naj v pregled socialnih kazalnikov vključi naslednje kazalnike finančnih težav, kot so osiromašenje in katastrofalni izdatki za zdravstvo, pa tudi kvalitativno analizo različnih razsežnosti politike pokritosti (pokritje prebivalstva, sveženj socialnih prejemkov, uporabnine ali doplačila) v državah članicah, da bi opredelili spremembe, potrebne za izboljšanje cenovno ugodnega dostopa do zdravstvenega varstva;</w:t>
            </w:r>
            <w:r>
              <w:t xml:space="preserve"> </w:t>
            </w:r>
            <w:r>
              <w:rPr>
                <w:b/>
                <w:i/>
              </w:rPr>
              <w:t>poziva Komisijo, naj predstavi pobudo za zagotovitev ustreznega splošnega zdravstvenega varstva za vse, da bi imeli vsi dostop do kakovostnega zdravstvenega varstva brez finančnih težav;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meni, da je socialno gospodarstvo bistven sestavni del socialnega tržnega gospodarstva EU in gonilo izvajanja evropskega stebra socialnih pravic in njegovih ciljev, saj pogosto zagotavlja zaposlitev ranljivim in izključenim skupinam;</w:t>
            </w:r>
            <w:r>
              <w:t xml:space="preserve"> </w:t>
            </w:r>
            <w:r>
              <w:rPr>
                <w:b/>
                <w:i/>
              </w:rPr>
              <w:t>poziva države članice, naj še naprej krepijo socialno gospodarstvo v skladu z akcijskim načrtom EU za socialno gospodarstvo in načrtom iz Liègea za socialno gospodarstvo v Evropski uniji;</w:t>
            </w:r>
            <w:r>
              <w:t xml:space="preserve"> </w:t>
            </w:r>
            <w:r>
              <w:rPr>
                <w:b/>
                <w:i/>
              </w:rPr>
              <w:t>ponovno poziva Komisijo, naj preuči inovativne mehanizme financiranja, kot so obveznice s socialnim učinkom, za financiranje projektov v podporo razvoju socialnega gospodarstva v Evropi</w:t>
            </w:r>
            <w:r>
              <w:rPr>
                <w:b/>
                <w:i/>
                <w:vertAlign w:val="superscript"/>
              </w:rPr>
              <w:t>19a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19a</w:t>
            </w:r>
            <w:r>
              <w:t xml:space="preserve"> </w:t>
            </w:r>
            <w:r>
              <w:rPr>
                <w:b/>
                <w:i/>
              </w:rPr>
              <w:t>Resolucija Evropskega parlamenta z dne 6. julija 2022 o akcijskem načrtu EU za socialno gospodarstvo (2021/2179(INI)).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poziva, naj države članice v tem prehodnem letu, ko se izvajajo spremenjena pravila gospodarskega upravljanja, dobijo priložnost za uskladitev javnofinančne odgovornosti s trajnostno rastjo, in ugotavlja, da bi morala biti v srednjeročnih fiskalnih načrtih prednostna naloga vzdržnost dolga in pa strateške naložbe v izobraževanje, zdravstvo in stanovanja;</w:t>
            </w:r>
            <w:r>
              <w:t xml:space="preserve"> </w:t>
            </w:r>
            <w:r>
              <w:rPr>
                <w:b/>
                <w:i/>
              </w:rPr>
              <w:t>poudarja, da je sodelovanje med javnimi in zasebnimi subjekti ključno za optimizacijo virov in zagotavljanje preudarne uporabe javnih sredstev;</w:t>
            </w:r>
            <w:r>
              <w:t xml:space="preserve"> </w:t>
            </w:r>
            <w:r>
              <w:rPr>
                <w:b/>
                <w:i/>
              </w:rPr>
              <w:t>meni, da je treba učinkovito izvajati priporočila za posamezne države za spodbujanje trajnostnih javnih pokojninskih sistemov in zdravstvenega varstva ter spodbujati konkurenčnost in dolgoročno blaginjo za vse državljane;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naj države članice v tem prehodnem letu, ko se izvajajo spremenjena pravila gospodarskega upravljanja, dobijo priložnost za uskladitev javnofinančne odgovornosti s trajnostno rastjo</w:t>
            </w:r>
            <w:r>
              <w:rPr>
                <w:b/>
                <w:i/>
              </w:rPr>
              <w:t>, in ugotavlja</w:t>
            </w:r>
            <w:r>
              <w:t xml:space="preserve">, da bi </w:t>
            </w:r>
            <w:r>
              <w:rPr>
                <w:b/>
                <w:i/>
              </w:rPr>
              <w:t>morala biti v</w:t>
            </w:r>
            <w:r>
              <w:t xml:space="preserve"> srednjeročnih </w:t>
            </w:r>
            <w:r>
              <w:rPr>
                <w:b/>
                <w:i/>
              </w:rPr>
              <w:t>fiskalnih načrtih prednostna naloga</w:t>
            </w:r>
            <w:r>
              <w:t xml:space="preserve"> vzdržnost dolga </w:t>
            </w:r>
            <w:r>
              <w:rPr>
                <w:b/>
                <w:i/>
              </w:rPr>
              <w:t>in pa strateške naložbe v</w:t>
            </w:r>
            <w:r>
              <w:t xml:space="preserve"> izobraževanje, zdravstvo in stanovanja; poudarja, da je sodelovanje med javnimi in zasebnimi subjekti </w:t>
            </w:r>
            <w:r>
              <w:rPr>
                <w:b/>
                <w:i/>
              </w:rPr>
              <w:t>ključno</w:t>
            </w:r>
            <w:r>
              <w:t xml:space="preserve"> za optimizacijo virov in zagotavljanje preudarne uporabe javnih sredstev; meni, da </w:t>
            </w:r>
            <w:r>
              <w:rPr>
                <w:b/>
                <w:i/>
              </w:rPr>
              <w:t>je treba učinkovito izvajati</w:t>
            </w:r>
            <w:r>
              <w:t xml:space="preserve"> priporočila za posamezne države za spodbujanje trajnostnih javnih pokojninskih sistemov in zdravstvenega varstva </w:t>
            </w:r>
            <w:r>
              <w:rPr>
                <w:b/>
                <w:i/>
              </w:rPr>
              <w:t>ter spodbujati konkurenčnost in dolgoročno blaginjo</w:t>
            </w:r>
            <w:r>
              <w:t xml:space="preserve"> za vse </w:t>
            </w:r>
            <w:r>
              <w:rPr>
                <w:b/>
                <w:i/>
              </w:rPr>
              <w:t>državljane</w:t>
            </w:r>
            <w:r>
              <w:t>;</w:t>
            </w:r>
          </w:p>
        </w:tc>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trajnostno </w:t>
            </w:r>
            <w:r>
              <w:rPr>
                <w:b/>
                <w:i/>
              </w:rPr>
              <w:t>in vključujočo</w:t>
            </w:r>
            <w:r>
              <w:t xml:space="preserve"> rastjo</w:t>
            </w:r>
            <w:r>
              <w:rPr>
                <w:b/>
                <w:i/>
              </w:rPr>
              <w:t>; ugotavlja, da bi bilo treba okrepiti sodelovanje socialnih partnerjev na vseh ravneh</w:t>
            </w:r>
            <w:r>
              <w:t xml:space="preserve">, da bi </w:t>
            </w:r>
            <w:r>
              <w:rPr>
                <w:b/>
                <w:i/>
              </w:rPr>
              <w:t>prispevali k ciljem novega okvira ekonomskega upravljanja za leto 2024, zlasti pa bi bilo treba pred predložitvijo</w:t>
            </w:r>
            <w:r>
              <w:t xml:space="preserve"> srednjeročnih </w:t>
            </w:r>
            <w:r>
              <w:rPr>
                <w:b/>
                <w:i/>
              </w:rPr>
              <w:t>fiskalno-strukturnih načrtov zagotoviti predhodno posvetovanje s socialnimi partnerji;</w:t>
            </w:r>
            <w:r>
              <w:t xml:space="preserve"> </w:t>
            </w:r>
            <w:r>
              <w:rPr>
                <w:b/>
                <w:i/>
              </w:rPr>
              <w:t>ugotavlja, da bi morali srednjeročni fiskalni načrti zagotoviti</w:t>
            </w:r>
            <w:r>
              <w:t xml:space="preserve"> vzdržnost dolga </w:t>
            </w:r>
            <w:r>
              <w:rPr>
                <w:b/>
                <w:i/>
              </w:rPr>
              <w:t>ob strateškem vlaganju v kakovostno</w:t>
            </w:r>
            <w:r>
              <w:t xml:space="preserve"> izobraževanje, </w:t>
            </w:r>
            <w:r>
              <w:rPr>
                <w:b/>
                <w:i/>
              </w:rPr>
              <w:t>kakovostno usposabljanje, kakovostne javne in socialne storitve,</w:t>
            </w:r>
            <w:r>
              <w:t xml:space="preserve"> zdravstvo in </w:t>
            </w:r>
            <w:r>
              <w:rPr>
                <w:b/>
                <w:i/>
              </w:rPr>
              <w:t>dolgotrajno oskrbo ter cenovno dostopna</w:t>
            </w:r>
            <w:r>
              <w:t xml:space="preserve"> stanovanja </w:t>
            </w:r>
            <w:r>
              <w:rPr>
                <w:b/>
                <w:i/>
              </w:rPr>
              <w:t>in socialne storitve;</w:t>
            </w:r>
            <w:r>
              <w:t xml:space="preserve"> </w:t>
            </w:r>
            <w:r>
              <w:rPr>
                <w:b/>
                <w:i/>
              </w:rPr>
              <w:t>priporoča uporabo primerjalnih statističnih podatkov, kot so ugotovitve indeksa socialnih storitev, za opredelitev vrzeli v zakonodaji o socialnih storitvah, financiranju in dostopu ter za usmerjanje strateških naložb na področjih, kot so zaščita otrok, dolgotrajna oskrba in podpora v skupnosti</w:t>
            </w:r>
            <w:r>
              <w:t xml:space="preserve">; poudarja, da je sodelovanje med javnimi in zasebnimi subjekti </w:t>
            </w:r>
            <w:r>
              <w:rPr>
                <w:b/>
                <w:i/>
              </w:rPr>
              <w:t>včasih dober način</w:t>
            </w:r>
            <w:r>
              <w:t xml:space="preserve"> za optimizacijo virov in zagotavljanje preudarne uporabe javnih sredstev; meni, da </w:t>
            </w:r>
            <w:r>
              <w:rPr>
                <w:b/>
                <w:i/>
              </w:rPr>
              <w:t>bi morala</w:t>
            </w:r>
            <w:r>
              <w:t xml:space="preserve"> priporočila za posamezne države za spodbujanje trajnostnih javnih pokojninskih sistemov in zdravstvenega varstva </w:t>
            </w:r>
            <w:r>
              <w:rPr>
                <w:b/>
                <w:i/>
              </w:rPr>
              <w:t>podpirati pokojnine, ki zagotavljajo dostojno življenje in dobro počutje ter kakovostno in cenovno dostopno zdravstvo, spodbujanje zdravja in preventivo</w:t>
            </w:r>
            <w:r>
              <w:t xml:space="preserve"> za vse;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w:t>
            </w:r>
            <w:r>
              <w:rPr>
                <w:b/>
                <w:i/>
              </w:rPr>
              <w:t>trajnostno rastjo</w:t>
            </w:r>
            <w:r>
              <w:t xml:space="preserve">, in ugotavlja, da bi morala biti v srednjeročnih fiskalnih načrtih prednostna naloga </w:t>
            </w:r>
            <w:r>
              <w:rPr>
                <w:b/>
                <w:i/>
              </w:rPr>
              <w:t>vzdržnost dolga</w:t>
            </w:r>
            <w:r>
              <w:t xml:space="preserve"> in pa strateške naložbe v izobraževanje, zdravstvo in stanovanja; poudarja, da je sodelovanje med javnimi in zasebnimi subjekti ključno za optimizacijo virov </w:t>
            </w:r>
            <w:r>
              <w:rPr>
                <w:b/>
                <w:i/>
              </w:rPr>
              <w:t>in zagotavljanje preudarne uporabe javnih sredstev</w:t>
            </w:r>
            <w:r>
              <w:t xml:space="preserve">; meni, da </w:t>
            </w:r>
            <w:r>
              <w:rPr>
                <w:b/>
                <w:i/>
              </w:rPr>
              <w:t>je treba učinkovito izvajati</w:t>
            </w:r>
            <w:r>
              <w:t xml:space="preserve"> priporočila za posamezne države </w:t>
            </w:r>
            <w:r>
              <w:rPr>
                <w:b/>
                <w:i/>
              </w:rPr>
              <w:t>za spodbujanje trajnostnih</w:t>
            </w:r>
            <w:r>
              <w:t xml:space="preserve"> javnih pokojninskih </w:t>
            </w:r>
            <w:r>
              <w:rPr>
                <w:b/>
                <w:i/>
              </w:rPr>
              <w:t>sistemov in zdravstvenega varstva ter spodbujati konkurenčnost in dolgoročno</w:t>
            </w:r>
            <w:r>
              <w:t xml:space="preserve"> blaginjo za vse </w:t>
            </w:r>
            <w:r>
              <w:rPr>
                <w:b/>
                <w:i/>
              </w:rPr>
              <w:t>državljane</w:t>
            </w:r>
            <w:r>
              <w:t>;</w:t>
            </w:r>
          </w:p>
        </w:tc>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w:t>
            </w:r>
            <w:r>
              <w:rPr>
                <w:b/>
                <w:i/>
              </w:rPr>
              <w:t>trajnostjo in blaginjo</w:t>
            </w:r>
            <w:r>
              <w:t xml:space="preserve">, in ugotavlja, da bi morala biti v srednjeročnih fiskalnih načrtih prednostna naloga </w:t>
            </w:r>
            <w:r>
              <w:rPr>
                <w:b/>
                <w:i/>
              </w:rPr>
              <w:t>socialna trajnostnost</w:t>
            </w:r>
            <w:r>
              <w:t xml:space="preserve"> in pa strateške naložbe v </w:t>
            </w:r>
            <w:r>
              <w:rPr>
                <w:b/>
                <w:i/>
              </w:rPr>
              <w:t>javno</w:t>
            </w:r>
            <w:r>
              <w:t xml:space="preserve"> izobraževanje, zdravstvo in stanovanja; poudarja, da je sodelovanje med javnimi in zasebnimi subjekti ključno za optimizacijo virov; meni, da </w:t>
            </w:r>
            <w:r>
              <w:rPr>
                <w:b/>
                <w:i/>
              </w:rPr>
              <w:t>bi se morala</w:t>
            </w:r>
            <w:r>
              <w:t xml:space="preserve"> priporočila za posamezne države </w:t>
            </w:r>
            <w:r>
              <w:rPr>
                <w:b/>
                <w:i/>
              </w:rPr>
              <w:t>oddaljiti od logike stalnega zmanjševanja proračunskih sredstev v</w:t>
            </w:r>
            <w:r>
              <w:t xml:space="preserve"> javnih pokojninskih </w:t>
            </w:r>
            <w:r>
              <w:rPr>
                <w:b/>
                <w:i/>
              </w:rPr>
              <w:t>in zdravstvenih sistemih ter namesto tega pripraviti predloge reform, ki spodbujajo ekonomsko in socialno</w:t>
            </w:r>
            <w:r>
              <w:t xml:space="preserve"> blaginjo </w:t>
            </w:r>
            <w:r>
              <w:rPr>
                <w:b/>
                <w:i/>
              </w:rPr>
              <w:t>vseh državljanov;</w:t>
            </w:r>
            <w:r>
              <w:t xml:space="preserve"> </w:t>
            </w:r>
            <w:r>
              <w:rPr>
                <w:b/>
                <w:i/>
              </w:rPr>
              <w:t>opozarja, kako pomembno je, da se</w:t>
            </w:r>
            <w:r>
              <w:t xml:space="preserve"> za vse </w:t>
            </w:r>
            <w:r>
              <w:rPr>
                <w:b/>
                <w:i/>
              </w:rPr>
              <w:t>delavce ohrani ustrezen dohodek za dostojno življenje med obdobjem upokojitve, pri čemer je treba upoštevati ranljivost tistih delavcev, ki imajo segmentirane in priložnostne zaposlitve ter prehajajo na trgu dela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naj države članice v tem prehodnem letu</w:t>
            </w:r>
            <w:r>
              <w:rPr>
                <w:b/>
                <w:i/>
              </w:rPr>
              <w:t>, ko se izvajajo spremenjena pravila gospodarskega upravljanja,</w:t>
            </w:r>
            <w:r>
              <w:t xml:space="preserve"> dobijo priložnost </w:t>
            </w:r>
            <w:r>
              <w:rPr>
                <w:b/>
                <w:i/>
              </w:rPr>
              <w:t>za uskladitev javnofinančne odgovornosti s</w:t>
            </w:r>
            <w:r>
              <w:t xml:space="preserve"> trajnostno </w:t>
            </w:r>
            <w:r>
              <w:rPr>
                <w:b/>
                <w:i/>
              </w:rPr>
              <w:t>rastjo</w:t>
            </w:r>
            <w:r>
              <w:t>, in ugotavlja, da bi morala biti v srednjeročnih fiskalnih načrtih prednostna naloga vzdržnost dolga in pa strateške naložbe v izobraževanje, zdravstvo in stanovanja</w:t>
            </w:r>
            <w:r>
              <w:rPr>
                <w:b/>
                <w:i/>
              </w:rPr>
              <w:t>;</w:t>
            </w:r>
            <w:r>
              <w:t xml:space="preserve"> </w:t>
            </w:r>
            <w:r>
              <w:rPr>
                <w:b/>
                <w:i/>
              </w:rPr>
              <w:t>poudarja, da je sodelovanje med javnimi in zasebnimi subjekti ključno za optimizacijo virov in zagotavljanje preudarne uporabe javnih sredstev;</w:t>
            </w:r>
            <w:r>
              <w:t xml:space="preserve"> </w:t>
            </w:r>
            <w:r>
              <w:rPr>
                <w:b/>
                <w:i/>
              </w:rPr>
              <w:t>meni, da je treba učinkovito izvajati priporočila za posamezne države za spodbujanje trajnostnih javnih pokojninskih sistemov in zdravstvenega varstva ter spodbujati konkurenčnost</w:t>
            </w:r>
            <w:r>
              <w:t xml:space="preserve"> in dolgoročno blaginjo za vse državljane;</w:t>
            </w:r>
          </w:p>
        </w:tc>
        <w:tc>
          <w:tcPr>
            <w:tcW w:w="4876" w:type="dxa"/>
            <w:tcBorders>
              <w:top w:val="nil"/>
              <w:left w:val="nil"/>
              <w:bottom w:val="nil"/>
              <w:right w:val="nil"/>
            </w:tcBorders>
          </w:tcPr>
          <w:p>
            <w:pPr>
              <w:pStyle w:val="Normal6a"/>
            </w:pPr>
            <w:r>
              <w:t>9.</w:t>
            </w:r>
            <w:r>
              <w:tab/>
            </w:r>
            <w:r>
              <w:t>poziva, naj države članice v tem prehodnem letu dobijo priložnost</w:t>
            </w:r>
            <w:r>
              <w:rPr>
                <w:b/>
                <w:i/>
              </w:rPr>
              <w:t>, da si prizadevajo za</w:t>
            </w:r>
            <w:r>
              <w:t xml:space="preserve"> trajnostno </w:t>
            </w:r>
            <w:r>
              <w:rPr>
                <w:b/>
                <w:i/>
              </w:rPr>
              <w:t>rast</w:t>
            </w:r>
            <w:r>
              <w:t>, in ugotavlja, da bi morala biti v srednjeročnih fiskalnih načrtih prednostna naloga vzdržnost dolga in pa strateške naložbe v izobraževanje, zdravstvo in stanovanja</w:t>
            </w:r>
            <w:r>
              <w:rPr>
                <w:b/>
                <w:i/>
              </w:rPr>
              <w:t>, da bi spodbudili socialno kohezijo</w:t>
            </w:r>
            <w:r>
              <w:t xml:space="preserve"> in dolgoročno blaginjo za vse državljane;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trajnostno rastjo, in ugotavlja, da bi morala biti v srednjeročnih fiskalnih načrtih prednostna naloga vzdržnost dolga </w:t>
            </w:r>
            <w:r>
              <w:rPr>
                <w:b/>
                <w:i/>
              </w:rPr>
              <w:t>in pa</w:t>
            </w:r>
            <w:r>
              <w:t xml:space="preserve"> strateške naložbe v izobraževanje, zdravstvo in stanovanja; poudarja, da je sodelovanje med javnimi in zasebnimi subjekti ključno za optimizacijo virov in zagotavljanje preudarne uporabe javnih sredstev; meni, da je treba učinkovito izvajati priporočila za posamezne države za spodbujanje </w:t>
            </w:r>
            <w:r>
              <w:rPr>
                <w:b/>
                <w:i/>
              </w:rPr>
              <w:t>trajnostnih javnih</w:t>
            </w:r>
            <w:r>
              <w:t xml:space="preserve"> pokojninskih sistemov in zdravstvenega varstva ter spodbujati </w:t>
            </w:r>
            <w:r>
              <w:rPr>
                <w:b/>
                <w:i/>
              </w:rPr>
              <w:t>konkurenčnost</w:t>
            </w:r>
            <w:r>
              <w:t xml:space="preserve"> in dolgoročno blaginjo za vse državljane;</w:t>
            </w:r>
          </w:p>
        </w:tc>
        <w:tc>
          <w:tcPr>
            <w:tcW w:w="4876" w:type="dxa"/>
            <w:tcBorders>
              <w:top w:val="nil"/>
              <w:left w:val="nil"/>
              <w:bottom w:val="nil"/>
              <w:right w:val="nil"/>
            </w:tcBorders>
          </w:tcPr>
          <w:p>
            <w:pPr>
              <w:pStyle w:val="Normal6a"/>
            </w:pPr>
            <w:r>
              <w:t>9.</w:t>
            </w:r>
            <w:r>
              <w:tab/>
            </w:r>
            <w:r>
              <w:t>poziva, naj države članice v tem prehodnem letu, ko se izvajajo spremenjena pravila gospodarskega upravljanja, dobijo priložnost za uskladitev javnofinančne odgovornosti s trajnostno rastjo, in ugotavlja, da bi morala biti v srednjeročnih fiskalnih načrtih prednostna naloga vzdržnost dolga</w:t>
            </w:r>
            <w:r>
              <w:rPr>
                <w:b/>
                <w:i/>
              </w:rPr>
              <w:t>, obenem pa tudi</w:t>
            </w:r>
            <w:r>
              <w:t xml:space="preserve"> strateške naložbe v </w:t>
            </w:r>
            <w:r>
              <w:rPr>
                <w:b/>
                <w:i/>
              </w:rPr>
              <w:t>cilje evropskega stebra socialnih pravic, kot so</w:t>
            </w:r>
            <w:r>
              <w:t xml:space="preserve"> izobraževanje, </w:t>
            </w:r>
            <w:r>
              <w:rPr>
                <w:b/>
                <w:i/>
              </w:rPr>
              <w:t>usposabljanje, socialna zaščita in vključevanje,</w:t>
            </w:r>
            <w:r>
              <w:t xml:space="preserve"> zdravstvo in stanovanja; poudarja, da je sodelovanje med javnimi in zasebnimi subjekti ključno za optimizacijo virov in zagotavljanje preudarne uporabe javnih sredstev </w:t>
            </w:r>
            <w:r>
              <w:rPr>
                <w:b/>
                <w:i/>
              </w:rPr>
              <w:t>za spodbujanje konkurenčnosti</w:t>
            </w:r>
            <w:r>
              <w:t xml:space="preserve">; meni, da je treba učinkovito izvajati priporočila za posamezne države za spodbujanje </w:t>
            </w:r>
            <w:r>
              <w:rPr>
                <w:b/>
                <w:i/>
              </w:rPr>
              <w:t>večstebrnih</w:t>
            </w:r>
            <w:r>
              <w:t xml:space="preserve"> pokojninskih sistemov in </w:t>
            </w:r>
            <w:r>
              <w:rPr>
                <w:b/>
                <w:i/>
              </w:rPr>
              <w:t>kakovostnega</w:t>
            </w:r>
            <w:r>
              <w:t xml:space="preserve"> zdravstvenega varstva ter spodbujati </w:t>
            </w:r>
            <w:r>
              <w:rPr>
                <w:b/>
                <w:i/>
              </w:rPr>
              <w:t>vzdržnost, dostojanstvo</w:t>
            </w:r>
            <w:r>
              <w:t xml:space="preserve"> in dolgoročno blaginjo za vse državljane;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poziva, naj države članice v tem prehodnem letu, ko se izvajajo spremenjena pravila gospodarskega</w:t>
            </w:r>
            <w:r>
              <w:t xml:space="preserve"> upravljanja</w:t>
            </w:r>
            <w:r>
              <w:rPr>
                <w:b/>
                <w:i/>
              </w:rPr>
              <w:t>, dobijo</w:t>
            </w:r>
            <w:r>
              <w:t xml:space="preserve"> priložnost za uskladitev javnofinančne odgovornosti s trajnostno rastjo, in ugotavlja, da bi morala biti v srednjeročnih fiskalnih načrtih prednostna naloga vzdržnost dolga in pa strateške naložbe v izobraževanje, zdravstvo in stanovanja; poudarja, da je sodelovanje med javnimi in zasebnimi subjekti ključno za optimizacijo virov in zagotavljanje preudarne uporabe javnih sredstev; meni, da je treba učinkovito izvajati priporočila za posamezne države za spodbujanje trajnostnih javnih pokojninskih sistemov in zdravstvenega varstva ter spodbujati konkurenčnost in dolgoročno blaginjo za vse državljane;</w:t>
            </w:r>
          </w:p>
        </w:tc>
        <w:tc>
          <w:tcPr>
            <w:tcW w:w="4876" w:type="dxa"/>
            <w:tcBorders>
              <w:top w:val="nil"/>
              <w:left w:val="nil"/>
              <w:bottom w:val="nil"/>
              <w:right w:val="nil"/>
            </w:tcBorders>
          </w:tcPr>
          <w:p>
            <w:pPr>
              <w:pStyle w:val="Normal6a"/>
            </w:pPr>
            <w:r>
              <w:t>9.</w:t>
            </w:r>
            <w:r>
              <w:tab/>
            </w:r>
            <w:r>
              <w:rPr>
                <w:b/>
                <w:i/>
              </w:rPr>
              <w:t>poudarja, da je glavni cilj novih pravil gospodarskega upravljanja najti ravnovesje med odgovornim upravljanjem proračuna (zmanjšanje dolga) in trajnostno gospodarsko rastjo (poraba, ki spodbuja rast), zato je treba pravilom ekonomskega</w:t>
            </w:r>
            <w:r>
              <w:t xml:space="preserve"> upravljanja </w:t>
            </w:r>
            <w:r>
              <w:rPr>
                <w:b/>
                <w:i/>
              </w:rPr>
              <w:t>dati</w:t>
            </w:r>
            <w:r>
              <w:t xml:space="preserve"> priložnost za uskladitev javnofinančne odgovornosti s trajnostno rastjo, in ugotavlja, da bi morala biti v srednjeročnih fiskalnih načrtih prednostna naloga vzdržnost dolga in pa strateške naložbe v izobraževanje, zdravstvo in stanovanja; poudarja, da je sodelovanje med javnimi in zasebnimi subjekti ključno za optimizacijo virov in zagotavljanje preudarne uporabe javnih sredstev; meni, da je treba učinkovito izvajati priporočila za posamezne države za spodbujanje trajnostnih javnih pokojninskih sistemov in zdravstvenega varstva ter spodbujati konkurenčnost in dolgoročno blaginjo za vse državljane;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trajnostno rastjo, in ugotavlja, da bi </w:t>
            </w:r>
            <w:r>
              <w:rPr>
                <w:b/>
                <w:i/>
              </w:rPr>
              <w:t>morala biti</w:t>
            </w:r>
            <w:r>
              <w:t xml:space="preserve"> v srednjeročnih fiskalnih načrtih </w:t>
            </w:r>
            <w:r>
              <w:rPr>
                <w:b/>
                <w:i/>
              </w:rPr>
              <w:t>prednostna naloga vzdržnost</w:t>
            </w:r>
            <w:r>
              <w:t xml:space="preserve"> dolga in </w:t>
            </w:r>
            <w:r>
              <w:rPr>
                <w:b/>
                <w:i/>
              </w:rPr>
              <w:t>pa strateške naložbe</w:t>
            </w:r>
            <w:r>
              <w:t xml:space="preserve"> v izobraževanje, zdravstvo in stanovanja; poudarja, da je sodelovanje med javnimi in zasebnimi subjekti ključno za optimizacijo virov in zagotavljanje preudarne uporabe javnih sredstev; meni, da je treba učinkovito izvajati priporočila za posamezne države za spodbujanje trajnostnih javnih pokojninskih sistemov in zdravstvenega varstva ter spodbujati konkurenčnost in dolgoročno blaginjo za vse državljane;</w:t>
            </w:r>
          </w:p>
        </w:tc>
        <w:tc>
          <w:tcPr>
            <w:tcW w:w="4876" w:type="dxa"/>
            <w:tcBorders>
              <w:top w:val="nil"/>
              <w:left w:val="nil"/>
              <w:bottom w:val="nil"/>
              <w:right w:val="nil"/>
            </w:tcBorders>
          </w:tcPr>
          <w:p>
            <w:pPr>
              <w:pStyle w:val="Normal6a"/>
            </w:pPr>
            <w:r>
              <w:t>9.</w:t>
            </w:r>
            <w:r>
              <w:tab/>
            </w:r>
            <w:r>
              <w:t xml:space="preserve">poziva, naj države članice v tem prehodnem letu, ko se izvajajo spremenjena pravila gospodarskega upravljanja, dobijo priložnost za uskladitev javnofinančne odgovornosti s trajnostno rastjo, in ugotavlja, da bi </w:t>
            </w:r>
            <w:r>
              <w:rPr>
                <w:b/>
                <w:i/>
              </w:rPr>
              <w:t>se moralo</w:t>
            </w:r>
            <w:r>
              <w:t xml:space="preserve"> v srednjeročnih fiskalnih načrtih </w:t>
            </w:r>
            <w:r>
              <w:rPr>
                <w:b/>
                <w:i/>
              </w:rPr>
              <w:t>najti ravnovesje med vzdržnostjo</w:t>
            </w:r>
            <w:r>
              <w:t xml:space="preserve"> dolga in </w:t>
            </w:r>
            <w:r>
              <w:rPr>
                <w:b/>
                <w:i/>
              </w:rPr>
              <w:t>socialnimi naložbami</w:t>
            </w:r>
            <w:r>
              <w:t xml:space="preserve"> v izobraževanje, zdravstvo in stanovanja; poudarja, da je sodelovanje med javnimi in zasebnimi subjekti ključno za optimizacijo virov in zagotavljanje preudarne uporabe javnih sredstev; meni, da je treba učinkovito izvajati priporočila za posamezne države za spodbujanje trajnostnih javnih pokojninskih sistemov in zdravstvenega varstva ter spodbujati konkurenčnost in dolgoročno blaginjo za vse državljane;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 točka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priznava uničujoče učinke, ki so jih imele varčevalne politike na družbo kot celoto in jih imajo še naprej.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pozdravlja dejstvo, da morajo nacionalni srednjeročni fiskalno-strukturni načrti v okviru novega okvira ekonomskega upravljanja vključevati reforme in naložbe, ki se odzivajo na glavne izzive, opredeljene v okviru evropskega semestra, zlasti v priporočilih za posamezne države;</w:t>
            </w:r>
            <w:r>
              <w:t xml:space="preserve"> </w:t>
            </w:r>
            <w:r>
              <w:rPr>
                <w:b/>
                <w:i/>
              </w:rPr>
              <w:t>opozarja, da morajo države članice pojasniti, kako se bo z izvajanjem reform in naložb obravnavala socialna in gospodarska odpornost, vključno z evropskim stebrom socialnih pravic, kot del skupnih prednostnih nalog Unije;</w:t>
            </w:r>
            <w:r>
              <w:t xml:space="preserve"> </w:t>
            </w:r>
            <w:r>
              <w:rPr>
                <w:b/>
                <w:i/>
              </w:rPr>
              <w:t>je zadovoljen, da je Komisija potrdila, da so vse države članice v načrtih poročale o nameravanih politikah glede reform in naložb, s katerimi se obravnavajo izzivi, ugotovljeni v okviru evropskega semestra, ter skupne prednostne naloge EU</w:t>
            </w:r>
            <w:r>
              <w:rPr>
                <w:b/>
                <w:i/>
                <w:vertAlign w:val="superscript"/>
              </w:rPr>
              <w:t>19b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19b</w:t>
            </w:r>
            <w:r>
              <w:t xml:space="preserve"> </w:t>
            </w:r>
            <w:r>
              <w:rPr>
                <w:b/>
                <w:i/>
              </w:rPr>
              <w:t>Sporočilo Komisije z naslovom Evropski semester 2025: novi okvir ekonomskega upravljanja je zaživel (COM(2024)0705), str.</w:t>
            </w:r>
            <w:r>
              <w:t xml:space="preserve"> </w:t>
            </w:r>
            <w:r>
              <w:rPr>
                <w:b/>
                <w:i/>
              </w:rPr>
              <w:t>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Komisijo, naj spremlja podatke o prestrukturiranju in njegovem vplivu na zaposlovanje, na primer z uporabo evropskega centra za spremljanje prestrukturiranja, da bi olajšala ukrepe v podporo prestrukturiranju in prehajanju na trgu dela, ter razmisli o tem, da bi v evropskem semestru izpostavila nacionalne ukrepe, ki podpirajo družbeno odgovoren način prestrukturiranja;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priznava, kako pomemben je javni nadzor nad javno-zasebnimi partnerstvi, zlasti v boju proti razsipanju javnega denarja in korupciji,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pozdravlja zlasti odločitev, da se za pet držav članic obdobje fiskalne prilagoditve podaljša s štirih na sedem let, da bi imele več prožnosti pri izvajanju reform in naložb;</w:t>
            </w:r>
            <w:r>
              <w:t xml:space="preserve"> </w:t>
            </w:r>
            <w:r>
              <w:rPr>
                <w:b/>
                <w:i/>
              </w:rPr>
              <w:t>opozarja, da to podaljšanje temelji na sklopu dodatnih reformnih in naložbenih zavez v skladu s skupnimi prednostnimi nalogami EU, kot je socialna odpornost, ter da mora biti vsaka od reform in naložb dovolj podrobna, predvidena na začetku obdobja, časovno omejena in preverljiva;</w:t>
            </w:r>
            <w:r>
              <w:t xml:space="preserve"> </w:t>
            </w:r>
            <w:r>
              <w:rPr>
                <w:b/>
                <w:i/>
              </w:rPr>
              <w:t>pozdravlja dejstvo, da so v več državah članicah, za katere je bilo obdobje fiskalne prilagoditve podaljšano, reforme povezane s socialno odpornostjo, na primer z načrti za pokojninsko reformo, reformo socialne varnosti ali reformo vizumskega sistema za delo in iskanje zaposlitve;</w:t>
            </w:r>
            <w:r>
              <w:t xml:space="preserve"> </w:t>
            </w:r>
            <w:r>
              <w:rPr>
                <w:b/>
                <w:i/>
              </w:rPr>
              <w:t>poudarja, da bi morala letna poročila o napredku držav članic vključevati napredek pri teh reformah in naložbah;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poudarja, da imajo javno-zasebna partnerstva pogoste pomanjkljivosti in okrnjene koristi, kot je poudarjeno v poročilu Evropskega računskega sodišča iz leta 2018</w:t>
            </w:r>
            <w:r>
              <w:rPr>
                <w:b/>
                <w:i/>
                <w:vertAlign w:val="superscript"/>
              </w:rPr>
              <w:t>5a</w:t>
            </w:r>
            <w:r>
              <w:rPr>
                <w:b/>
                <w:i/>
              </w:rPr>
              <w:t>;</w:t>
            </w:r>
            <w:r>
              <w:t xml:space="preserve"> </w:t>
            </w:r>
            <w:r>
              <w:rPr>
                <w:b/>
                <w:i/>
              </w:rPr>
              <w:t>poudarja, da so ta partnerstva zelo neučinkovita zaradi zamud in velikega povečanja stroškov ter da je porazdelitev tveganja med javnimi in zasebnimi partnerji pogosto neustrezna, neskladna in neučinkovita, visoke stopnje nadomestila za tvegani kapital zasebnega partnerja pa redko odražajo zajeta tveganja;</w:t>
            </w:r>
            <w:r>
              <w:t xml:space="preserve"> </w:t>
            </w:r>
            <w:r>
              <w:rPr>
                <w:b/>
                <w:i/>
              </w:rPr>
              <w:t>poudarja, da je potreben vsaj javni nadzor nad javno-zasebnimi partnerstvi, zlasti v boju proti razsipanju javnega denarja in korupciji,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https://www.eca.europa.eu/lists/ecadocuments/sr18_09/sr_ppp_sl.pdf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poziva Evropsko komisijo, naj spremlja razvoj minimalnih plač v državah članicah po prenosu direktive o minimalnih plačah, da bi ugotovila, ali je dosežen cilj ustreznosti minimalnih plač;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je zaskrbljen, ker je skladnost s priporočili za posamezne države še vedno nizka;</w:t>
            </w:r>
            <w:r>
              <w:t xml:space="preserve"> </w:t>
            </w:r>
            <w:r>
              <w:rPr>
                <w:b/>
                <w:i/>
              </w:rPr>
              <w:t>poziva države članice, naj v skladu z novim okvirom ekonomskega upravljanja in njegovim ciljem krepitve nacionalne odgovornosti bolje upoštevajo priporočila za posamezne države na področju politik zaposlovanja in socialnih politik v okviru evropskega semestra;</w:t>
            </w:r>
            <w:r>
              <w:t xml:space="preserve"> </w:t>
            </w:r>
            <w:r>
              <w:rPr>
                <w:b/>
                <w:i/>
              </w:rPr>
              <w:t>poziva Komisijo, naj okrepi dialog z državami članicami o izvajanju obstoječih priporočil in smernic za zaposlovanje ter o sedanjih ali prihodnjih političnih ukrepih za reševanje opredeljenih izzivov;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priznava krizo življenjskih stroškov, ki je še bolj obremenila gospodinjstva, in naraščajoče stanovanjske stroške, kar prispeva k visoki ravni energetske revščine po vsej EU.</w:t>
            </w:r>
            <w:r>
              <w:t xml:space="preserve"> </w:t>
            </w:r>
            <w:r>
              <w:rPr>
                <w:b/>
                <w:i/>
              </w:rPr>
              <w:t>poudarja, da je to zgodovinska kriza, ki jo deloma še zaostrujejo varčevalne politike, ki jih izvajajo EU in več držav članic.</w:t>
            </w:r>
            <w:r>
              <w:t xml:space="preserve"> </w:t>
            </w:r>
            <w:r>
              <w:rPr>
                <w:b/>
                <w:i/>
              </w:rPr>
              <w:t>zato poziva Komisijo in države članice, naj celovito obravnavajo temeljne vzroke te krize, tako da dajo prednost politikam, ki spodbujajo ekonomsko odpornost, socialno kohezijo in trajnostni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pozdravlja vzpostavitev okvira za opredelitev tveganj za socialno konvergenco v okviru evropskega semestra, kar je Evropski parlament tudi odločno zahteval;</w:t>
            </w:r>
            <w:r>
              <w:t xml:space="preserve"> </w:t>
            </w:r>
            <w:r>
              <w:rPr>
                <w:b/>
                <w:i/>
              </w:rPr>
              <w:t>opozarja, da Komisija v tem okviru ocenjuje tveganja navzgor usmerjene socialne konvergence v državah članicah ter spremlja napredek pri izvajanju evropskega stebra socialnih pravic na podlagi pregleda socialnih kazalnikov in načel okvira za socialno konvergenco.</w:t>
            </w:r>
            <w:r>
              <w:t xml:space="preserve"> </w:t>
            </w:r>
            <w:r>
              <w:rPr>
                <w:b/>
                <w:i/>
              </w:rPr>
              <w:t>pozdravlja, da skupno poročilo o zaposlovanju za leto 2025 vsebuje analizo za posamezne države na podlagi načel okvira za socialno konvergenco;</w:t>
            </w:r>
            <w:r>
              <w:t xml:space="preserve"> </w:t>
            </w:r>
            <w:r>
              <w:rPr>
                <w:b/>
                <w:i/>
              </w:rPr>
              <w:t>poziva Komisijo, naj v tem novem okviru še naprej razvija inovativna orodja za kvantitativno in kvalitativno analizo, da bi ga čim bolje izkoristili v prihodnjih ciklih evropskega semestra;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9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pozdravlja, da prva analiza, ki temelji na načelih okvira za socialno konvergenco, kaže na navzgor usmerjeno konvergenco na trgu dela v letu 2023</w:t>
            </w:r>
            <w:r>
              <w:rPr>
                <w:b/>
                <w:i/>
                <w:vertAlign w:val="superscript"/>
              </w:rPr>
              <w:t>1a</w:t>
            </w:r>
            <w:r>
              <w:rPr>
                <w:b/>
                <w:i/>
              </w:rPr>
              <w:t>;</w:t>
            </w:r>
            <w:r>
              <w:t xml:space="preserve"> </w:t>
            </w:r>
            <w:r>
              <w:rPr>
                <w:b/>
                <w:i/>
              </w:rPr>
              <w:t>z zaskrbljenostjo ugotavlja, da je treba izboljšati rezultate na področju zaposlovanja premalo zastopanih skupin in da na evropski ravni še obstajajo tveganja za navzgor usmerjeno konvergenco v zvezi z razvojem znanj in spretnosti, ki segajo od zgodnjega izobraževanja do vseživljenjskega učenja, ter socialnimi rezultati stopenj tveganja revščine in socialne izključenosti;</w:t>
            </w:r>
            <w:r>
              <w:t xml:space="preserve"> </w:t>
            </w:r>
            <w:r>
              <w:rPr>
                <w:b/>
                <w:i/>
              </w:rPr>
              <w:t>poziva Komisijo, naj v drugi fazi analize dodatno analizira ta tveganja za navzgor usmerjeno socialno konvergenco in z zadevnimi državami članicami razpravlja o sprejetih ali predvidenih ukrepih za obravnavanje teh tveganj;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Skupno poročilo o zaposlovanju za leto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 xml:space="preserve">je zaskrbljen zaradi revizij preglednice v okviru postopka v zvezi z makroekonomskimi neravnotežji, ki jih je opravila Komisija, predvsem zaradi zmanjšanja zaposlitvenih in socialnih kazalnikov, ki so ključni za oceno socialnih razmer </w:t>
            </w:r>
            <w:r>
              <w:rPr>
                <w:b/>
                <w:i/>
              </w:rPr>
              <w:t>in razmer na trgu</w:t>
            </w:r>
            <w:r>
              <w:t xml:space="preserve"> v državah članicah; </w:t>
            </w:r>
            <w:r>
              <w:rPr>
                <w:b/>
                <w:i/>
              </w:rPr>
              <w:t>zlasti obžaluje, da se je pri sklopu, ki zajema zaposlitvene in socialne kazalnike, stopnja brezposelnosti mladih kljub zaskrbljujočim razmeram v več državah članicah padla z glavnega na pomožni kazalnik;</w:t>
            </w:r>
            <w:r>
              <w:t xml:space="preserve"> </w:t>
            </w:r>
            <w:r>
              <w:rPr>
                <w:b/>
                <w:i/>
              </w:rPr>
              <w:t>opozarja Komisijo na njeno obveznost, da pri pripravi preglednice ter sklopa makroekonomskih in makrofinančnih kazalnikov za države članice tesno sodeluje z Evropskim parlamentom in Svetom</w:t>
            </w:r>
            <w:r>
              <w:rPr>
                <w:b/>
                <w:i/>
                <w:vertAlign w:val="superscript"/>
              </w:rPr>
              <w:t>20a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20a</w:t>
            </w:r>
            <w:r>
              <w:t xml:space="preserve"> </w:t>
            </w:r>
            <w:r>
              <w:rPr>
                <w:b/>
                <w:i/>
              </w:rPr>
              <w:t>Uredba (EU) št. 1176/2011 o preprečevanju in odpravljanju makroekonomskih neravnotežij, Uvodna izjava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 xml:space="preserve">je zaskrbljen zaradi revizij preglednice v okviru postopka v zvezi z makroekonomskimi neravnotežji, ki jih je opravila Komisija, predvsem zaradi zmanjšanja zaposlitvenih in socialnih kazalnikov, ki so ključni za oceno socialnih razmer v državah članicah; </w:t>
            </w:r>
            <w:r>
              <w:rPr>
                <w:b/>
                <w:i/>
              </w:rPr>
              <w:t>obžaluje, da se stopnja dolgotrajne brezposelnosti in brezposelnosti mladih ne štejeta več za glavna kazalnika, čeprav sta pomembni pri opredeljevanju in obravnavanju specifičnih izzivov na trgu dela ter pri sprejemanju ustreznih javnih politik;</w:t>
            </w:r>
            <w:r>
              <w:t xml:space="preserve"> </w:t>
            </w:r>
            <w:r>
              <w:rPr>
                <w:b/>
                <w:i/>
              </w:rPr>
              <w:t>obžaluje odsotnost simetrije kazalnika trenutnega bilančnega presežka v preglednici v okviru postopka v zvezi z makroekonomskimi neravnotežji;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r>
              <w:rPr>
                <w:b/>
                <w:i/>
              </w:rPr>
              <w:t> in usmerjanje političnih odločitev;</w:t>
            </w:r>
            <w:r>
              <w:t xml:space="preserve"> </w:t>
            </w:r>
            <w:r>
              <w:rPr>
                <w:b/>
                <w:i/>
              </w:rPr>
              <w:t>poudarja, da morata biti socialna odpornost in izvajanje načel evropskega stebra socialnih pravic del preglednice v okviru postopka v zvezi z makroekonomskimi neravnotežji;</w:t>
            </w:r>
            <w:r>
              <w:t xml:space="preserve"> </w:t>
            </w:r>
            <w:r>
              <w:rPr>
                <w:b/>
                <w:i/>
              </w:rPr>
              <w:t>poziva države članice, naj uskladijo fiskalne politike s prednostnimi nalogami na področju socialnih naložb v skladu z novim okvirom ekonomskega upravljanja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 xml:space="preserve">je zaskrbljen zaradi revizij preglednice v okviru postopka v zvezi z makroekonomskimi neravnotežji, ki jih je opravila Komisija, predvsem zaradi zmanjšanja zaposlitvenih in socialnih kazalnikov, ki so ključni za oceno socialnih razmer v državah članicah; </w:t>
            </w:r>
            <w:r>
              <w:rPr>
                <w:b/>
                <w:i/>
              </w:rPr>
              <w:t>poudarja, da bi bilo treba v postopku odločanja življenjski standard izenačiti s tradicionalnimi ekonomskimi kazalniki.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je zaskrbljen zaradi revizij preglednice v okviru postopka v zvezi z makroekonomskimi neravnotežji, ki jih je opravila Komisija, predvsem zaradi zmanjšanja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 xml:space="preserve">je zaskrbljen zaradi revizij preglednice v okviru postopka v zvezi z makroekonomskimi neravnotežji, ki jih je opravila Komisija, predvsem zaradi zmanjšanja zaposlitvenih in socialnih kazalnikov, ki so ključni za oceno </w:t>
            </w:r>
            <w:r>
              <w:rPr>
                <w:b/>
                <w:i/>
              </w:rPr>
              <w:t>in izboljšanje</w:t>
            </w:r>
            <w:r>
              <w:t xml:space="preserve"> socialnih razmer v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je </w:t>
            </w:r>
            <w:r>
              <w:rPr>
                <w:b/>
                <w:i/>
              </w:rPr>
              <w:t>zaskrbljen zaradi revizij</w:t>
            </w:r>
            <w:r>
              <w:t xml:space="preserve"> preglednice v okviru postopka v zvezi z makroekonomskimi neravnotežji, ki jih je opravila Komisija, predvsem </w:t>
            </w:r>
            <w:r>
              <w:rPr>
                <w:b/>
                <w:i/>
              </w:rPr>
              <w:t>zaradi zmanjšanja</w:t>
            </w:r>
            <w:r>
              <w:t xml:space="preserve"> zaposlitvenih in socialnih kazalnikov, ki so ključni za oceno socialnih razmer v državah članicah;</w:t>
            </w:r>
          </w:p>
        </w:tc>
        <w:tc>
          <w:tcPr>
            <w:tcW w:w="4876" w:type="dxa"/>
            <w:tcBorders>
              <w:top w:val="nil"/>
              <w:left w:val="nil"/>
              <w:bottom w:val="nil"/>
              <w:right w:val="nil"/>
            </w:tcBorders>
          </w:tcPr>
          <w:p>
            <w:pPr>
              <w:pStyle w:val="Normal6a"/>
            </w:pPr>
            <w:r>
              <w:t>10.</w:t>
            </w:r>
            <w:r>
              <w:tab/>
            </w:r>
            <w:r>
              <w:t xml:space="preserve">je </w:t>
            </w:r>
            <w:r>
              <w:rPr>
                <w:b/>
                <w:i/>
              </w:rPr>
              <w:t>seznanjen z revizijami</w:t>
            </w:r>
            <w:r>
              <w:t xml:space="preserve"> preglednice v okviru postopka v zvezi z makroekonomskimi neravnotežji, ki jih je opravila Komisija, predvsem </w:t>
            </w:r>
            <w:r>
              <w:rPr>
                <w:b/>
                <w:i/>
              </w:rPr>
              <w:t>z zmanjšanjem</w:t>
            </w:r>
            <w:r>
              <w:t xml:space="preserve"> zaposlitvenih in socialnih kazalnikov, ki so ključni za oceno socialnih razmer v državah članicah;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meni, da bo zaradi odsotnosti stabilizatorja izdatkov za socialne naložbe in socialne izdatke, ki bi ga financirala EU, sedanja fiskalna konsolidacija nacionalnih proračunov škodovala socialnim ciljem gospodarskega upravljanja, in sicer ustvarjanju kakovostnih delovnih mest, zaščiti delavcev, ki prehajajo med trgi dela, ter prilagajanju sistemov varstva in socialne zaščite demografskim trendom.</w:t>
            </w:r>
            <w:r>
              <w:t xml:space="preserve"> </w:t>
            </w:r>
            <w:r>
              <w:rPr>
                <w:b/>
                <w:i/>
              </w:rPr>
              <w:t>meni, da sta teritorialna in socialna kohezija bistvena elementa agende za konkurenčnost in da so instrumenti, kot je evropski instrument za začasno podporo za ublažitev tveganj za brezposelnost v izrednih razmerah (SURE), še vedno pozitiven zgled in navdih za prihodnje pobude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meni, da bi morale Komisija in države članice zagotoviti, da bodo fiskalne politike v okviru evropskega semestra podpirale naložbe, usklajene s službo Evropskega parlamenta za raziskave, zlasti na področjih, kot so dostojna in cenovno dostopna stanovanja, kakovostno zdravstveno varstvo, izobraževanje in sistemi socialne zaščite, saj so ti ključni za socialno kohezijo in dolgoročno gospodarsko vzdržnost ter za reševanje izzivov, opredeljenih s socialnimi kazalniki;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obžaluje, da se Evropska komisija ni posvetovala z Evropskim parlamentom glede načrtovanih sprememb preglednice v okviru postopka v zvezi z makroekonomskimi neravnotežji, je pa o teh spremembah razpravljala s Svetom;</w:t>
            </w:r>
            <w:r>
              <w:t xml:space="preserve"> </w:t>
            </w:r>
            <w:r>
              <w:rPr>
                <w:b/>
                <w:i/>
              </w:rPr>
              <w:t>globoko obžaluje, da Svet in Evropski parlament nista bila obravnavana enakopravno;</w:t>
            </w:r>
            <w:r>
              <w:t xml:space="preserve"> </w:t>
            </w:r>
            <w:r>
              <w:rPr>
                <w:b/>
                <w:i/>
              </w:rPr>
              <w:t>poziva Komisijo, naj se pred uvedbo nadaljnjih sprememb ustrezno posvetuje z Evropskim parlamentom;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v imenu skupine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poudarja, da je treba obravnavati ključne izzive, ki so v pregledu socialnih kazalnikov opredeljeni kot kritični in jih je treba spremljati, vključno z otroškim varstvom, vrzeljo stopnje zaposlenosti invalidov, vplivom socialnih transferjev na zmanjševanje revščine in osnovnim digitalnim znanjem</w:t>
            </w:r>
            <w:r>
              <w:rPr>
                <w:vertAlign w:val="superscript"/>
              </w:rPr>
              <w:t>3</w:t>
            </w:r>
            <w:r>
              <w:t>;</w:t>
            </w:r>
          </w:p>
        </w:tc>
        <w:tc>
          <w:tcPr>
            <w:tcW w:w="4876" w:type="dxa"/>
            <w:tcBorders>
              <w:top w:val="nil"/>
              <w:left w:val="nil"/>
              <w:bottom w:val="nil"/>
              <w:right w:val="nil"/>
            </w:tcBorders>
          </w:tcPr>
          <w:p>
            <w:pPr>
              <w:pStyle w:val="Normal6a"/>
            </w:pPr>
            <w:r>
              <w:t>11.</w:t>
            </w:r>
            <w:r>
              <w:tab/>
            </w:r>
            <w:r>
              <w:t>poudarja, da je treba obravnavati ključne izzive, ki so v pregledu socialnih kazalnikov opredeljeni kot kritični in jih je treba spremljati, vključno z otroškim varstvom, vrzeljo stopnje zaposlenosti invalidov, vplivom socialnih transferjev na zmanjševanje revščine in osnovnim digitalnim znanjem</w:t>
            </w:r>
            <w:r>
              <w:rPr>
                <w:vertAlign w:val="superscript"/>
              </w:rPr>
              <w:t>3</w:t>
            </w:r>
            <w:r>
              <w:t xml:space="preserve">; </w:t>
            </w:r>
            <w:r>
              <w:rPr>
                <w:b/>
                <w:i/>
              </w:rPr>
              <w:t>te izzive je treba obravnavati na način, ki ceni prispevek socialnih partnerjev, s katerimi je treba tesneje sodelovati pri izvajanju okvira socialne konvergence v skladu s skupno izjavo ETUC, SGIEurope in SMEUnited o dejanskem in pomembnem vključevanju socialnih partnerjev v gospodarsko upravljanje in evropski semester;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poudarja, da je treba obravnavati ključne izzive, ki so v pregledu socialnih kazalnikov opredeljeni kot kritični in jih je treba spremljati, vključno z otroškim varstvom, vrzeljo stopnje zaposlenosti invalidov, vplivom socialnih transferjev na zmanjševanje revščine in osnovnim digitalnim znanjem</w:t>
            </w:r>
            <w:r>
              <w:rPr>
                <w:vertAlign w:val="superscript"/>
              </w:rPr>
              <w:t>3</w:t>
            </w:r>
            <w:r>
              <w:t>;</w:t>
            </w:r>
          </w:p>
        </w:tc>
        <w:tc>
          <w:tcPr>
            <w:tcW w:w="4876" w:type="dxa"/>
            <w:tcBorders>
              <w:top w:val="nil"/>
              <w:left w:val="nil"/>
              <w:bottom w:val="nil"/>
              <w:right w:val="nil"/>
            </w:tcBorders>
          </w:tcPr>
          <w:p>
            <w:pPr>
              <w:pStyle w:val="Normal6a"/>
            </w:pPr>
            <w:r>
              <w:t>11.</w:t>
            </w:r>
            <w:r>
              <w:tab/>
            </w:r>
            <w:r>
              <w:t xml:space="preserve">poudarja, da je treba obravnavati ključne izzive, ki so v pregledu socialnih kazalnikov opredeljeni kot kritični in jih je treba spremljati, vključno z otroškim varstvom </w:t>
            </w:r>
            <w:r>
              <w:rPr>
                <w:b/>
                <w:i/>
              </w:rPr>
              <w:t>in dolgotrajno oskrbo</w:t>
            </w:r>
            <w:r>
              <w:t>, vrzeljo stopnje zaposlenosti invalidov, vplivom socialnih transferjev na zmanjševanje revščine in osnovnim digitalnim znanjem</w:t>
            </w:r>
            <w:r>
              <w:rPr>
                <w:vertAlign w:val="superscript"/>
              </w:rPr>
              <w:t>3</w:t>
            </w:r>
            <w:r>
              <w:rPr>
                <w:b/>
                <w:i/>
              </w:rPr>
              <w:t>, zlasti za ranljive skupine, kot so mladi in starejši, invalidi in migranti</w:t>
            </w:r>
            <w:r>
              <w:rPr>
                <w:b/>
                <w:i/>
                <w:vertAlign w:val="superscript"/>
              </w:rPr>
              <w:t>5a</w:t>
            </w:r>
            <w:r>
              <w:rPr>
                <w:b/>
                <w:i/>
              </w:rPr>
              <w:t>, dostopom do stanovanj, revščino otrok in zdravstvenim varstvom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Predlog skupnega poročila Komisije in Sveta o zaposlovanju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poudarja, da je treba obravnavati ključne izzive, ki so v pregledu socialnih kazalnikov opredeljeni kot kritični in jih je treba spremljati, vključno z otroškim varstvom, vrzeljo stopnje zaposlenosti invalidov, vplivom socialnih transferjev na zmanjševanje revščine in osnovnim digitalnim znanjem</w:t>
            </w:r>
            <w:r>
              <w:rPr>
                <w:vertAlign w:val="superscript"/>
              </w:rPr>
              <w:t>3</w:t>
            </w:r>
            <w:r>
              <w:t>;</w:t>
            </w:r>
          </w:p>
        </w:tc>
        <w:tc>
          <w:tcPr>
            <w:tcW w:w="4876" w:type="dxa"/>
            <w:tcBorders>
              <w:top w:val="nil"/>
              <w:left w:val="nil"/>
              <w:bottom w:val="nil"/>
              <w:right w:val="nil"/>
            </w:tcBorders>
          </w:tcPr>
          <w:p>
            <w:pPr>
              <w:pStyle w:val="Normal6a"/>
            </w:pPr>
            <w:r>
              <w:t>11.</w:t>
            </w:r>
            <w:r>
              <w:tab/>
            </w:r>
            <w:r>
              <w:t xml:space="preserve">poudarja, da je treba obravnavati ključne izzive, ki so v pregledu socialnih kazalnikov opredeljeni kot kritični in jih je treba spremljati, vključno z </w:t>
            </w:r>
            <w:r>
              <w:rPr>
                <w:b/>
                <w:i/>
              </w:rPr>
              <w:t>otroki, ki jim grozi revščina ali socialna izključenost,</w:t>
            </w:r>
            <w:r>
              <w:t xml:space="preserve"> otroškim varstvom, vrzeljo stopnje zaposlenosti invalidov</w:t>
            </w:r>
            <w:r>
              <w:rPr>
                <w:b/>
                <w:i/>
              </w:rPr>
              <w:t>, vrzeljo stopnje zaposlenosti med spoloma, preobremenjenostjo s stanovanjskimi stroški</w:t>
            </w:r>
            <w:r>
              <w:t>, vplivom socialnih transferjev na zmanjševanje revščine in osnovnim digitalnim znanjem</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poudarja, da je treba obravnavati ključne izzive, ki so v pregledu socialnih kazalnikov opredeljeni kot kritični in jih je treba spremljati, vključno z otroškim varstvom, vrzeljo stopnje</w:t>
            </w:r>
            <w:r>
              <w:t xml:space="preserve"> zaposlenosti invalidov</w:t>
            </w:r>
            <w:r>
              <w:rPr>
                <w:b/>
                <w:i/>
              </w:rPr>
              <w:t>, vplivom socialnih transferjev na zmanjševanje revščine in osnovnim digitalnim znanjem</w:t>
            </w:r>
            <w:r>
              <w:rPr>
                <w:vertAlign w:val="superscript"/>
              </w:rPr>
              <w:t>3</w:t>
            </w:r>
            <w:r>
              <w:t>;</w:t>
            </w:r>
          </w:p>
        </w:tc>
        <w:tc>
          <w:tcPr>
            <w:tcW w:w="4876" w:type="dxa"/>
            <w:tcBorders>
              <w:top w:val="nil"/>
              <w:left w:val="nil"/>
              <w:bottom w:val="nil"/>
              <w:right w:val="nil"/>
            </w:tcBorders>
          </w:tcPr>
          <w:p>
            <w:pPr>
              <w:pStyle w:val="Normal6a"/>
            </w:pPr>
            <w:r>
              <w:t>11.</w:t>
            </w:r>
            <w:r>
              <w:tab/>
            </w:r>
            <w:r>
              <w:rPr>
                <w:b/>
                <w:i/>
              </w:rPr>
              <w:t>poziva države članice, naj sprejmejo nadaljnje ukrepe za zagotavljanje zgodnjega otroškega varstva, zmanjšanje vrzeli v</w:t>
            </w:r>
            <w:r>
              <w:t xml:space="preserve"> zaposlenosti invalidov </w:t>
            </w:r>
            <w:r>
              <w:rPr>
                <w:b/>
                <w:i/>
              </w:rPr>
              <w:t>in revščine ter spodbujanje osnovnih digitalnih znanj in spretnosti</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c>
          <w:tcPr>
            <w:tcW w:w="4876" w:type="dxa"/>
            <w:tcBorders>
              <w:top w:val="nil"/>
              <w:left w:val="nil"/>
              <w:bottom w:val="nil"/>
              <w:right w:val="nil"/>
            </w:tcBorders>
          </w:tcPr>
          <w:p>
            <w:pPr>
              <w:pStyle w:val="Normal6a"/>
            </w:pPr>
            <w:r>
              <w:rPr>
                <w:vertAlign w:val="superscript"/>
              </w:rPr>
              <w:t>3</w:t>
            </w:r>
            <w:r>
              <w:t xml:space="preserve"> </w:t>
            </w:r>
            <w:r>
              <w:t>Predlog skupnega poročila Komisije in Sveta o zaposlovanju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poudarja, da je kriza življenjskih stroškov negativno vplivala na invalide;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poziva države članice in Komisijo, naj se odločneje borijo proti revščini;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poziva države članice, naj obravnavajo težave, s katerimi se spoprijemajo revni zaposleni, in priznava, da velik delež delovne sile v EU kljub zaposlitvi živi v revščini.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poziva države članice, naj razmislijo o trdnih politikah, ki bodo zagotavljale poštene plače in boljše delovne pogoje, zlasti za delavce z nizkimi dohodki in prekarne delavce.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poziva države članice, naj okrepijo socialnovarstvene mreže, da bodo lahko ustrezno podprle osebe, katerih dohodek iz zaposlitve ne zadostuje za kritje osnovnih življenjskih stroškov.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w:t>
            </w:r>
            <w:r>
              <w:rPr>
                <w:b/>
                <w:i/>
              </w:rPr>
              <w:t>k izboljšanju pregleda socialnih kazalnikov z uvedbo kazalnikov, ki bi odražali trende in vzroke neenakosti, kot so kakovost delovnih mest, porazdelitev bogastva, dostop do javnih storitev,</w:t>
            </w:r>
            <w:r>
              <w:t xml:space="preserve"> ustrezne pokojnine, duševno zdravje </w:t>
            </w:r>
            <w:r>
              <w:rPr>
                <w:b/>
                <w:i/>
              </w:rPr>
              <w:t>in brezposelnost</w:t>
            </w:r>
            <w:r>
              <w:t>; opozarja, da kazalnik tveganja revščine ali socialne izključenosti ne razkriva vzrokov za veliko neenakost;</w:t>
            </w:r>
          </w:p>
        </w:tc>
        <w:tc>
          <w:tcPr>
            <w:tcW w:w="4876" w:type="dxa"/>
            <w:tcBorders>
              <w:top w:val="nil"/>
              <w:left w:val="nil"/>
              <w:bottom w:val="nil"/>
              <w:right w:val="nil"/>
            </w:tcBorders>
          </w:tcPr>
          <w:p>
            <w:pPr>
              <w:pStyle w:val="Normal6a"/>
            </w:pPr>
            <w:r>
              <w:t>12.</w:t>
            </w:r>
            <w:r>
              <w:tab/>
            </w:r>
            <w:r>
              <w:t xml:space="preserve">poziva </w:t>
            </w:r>
            <w:r>
              <w:rPr>
                <w:b/>
                <w:i/>
              </w:rPr>
              <w:t>države članice, naj spodbujajo navzgor usmerjeno socialno konvergenco, izboljšajo dostop do kakovostne zaposlitve in kakovostnih javnih storitev ter dodatno povečajo udeležbo otrok, mlajših od treh let, v formalnem otroškem varstvu, zlasti za ranljive skupine;</w:t>
            </w:r>
            <w:r>
              <w:t xml:space="preserve"> </w:t>
            </w:r>
            <w:r>
              <w:rPr>
                <w:b/>
                <w:i/>
              </w:rPr>
              <w:t>sprejmejo dejavne ukrepe za zmanjšanje zgodnjega opuščanja šolanja in brezposelnosti mladih, zagotovijo</w:t>
            </w:r>
            <w:r>
              <w:t xml:space="preserve"> ustrezne pokojnine, </w:t>
            </w:r>
            <w:r>
              <w:rPr>
                <w:b/>
                <w:i/>
              </w:rPr>
              <w:t>povečajo učinkovitost socialnih transferjev in spodbujajo</w:t>
            </w:r>
            <w:r>
              <w:t xml:space="preserve"> duševno zdravje </w:t>
            </w:r>
            <w:r>
              <w:rPr>
                <w:b/>
                <w:i/>
              </w:rPr>
              <w:t>pri vseh starostnih skupinah</w:t>
            </w:r>
            <w:r>
              <w:t>; opozarja, da kazalnik tveganja revščine ali socialne izključenosti ne razkriva vzrokov za veliko neenakost</w:t>
            </w:r>
            <w:r>
              <w:rPr>
                <w:b/>
                <w:i/>
              </w:rPr>
              <w:t>, vendar priznava, da se je delež ljudi, ki jim grozi revščina ali socialna izključenost, v letu 2023 v EU nekoliko zmanjšal zaradi odločnih političnih ukrepov za ublažitev negativnih socialnih učinkov visokih življenjskih stroškov, ter poziva k ustreznim ukrepom za nadaljnje zmanjšanje revščine in socialne izključenosti, zlasti med otroki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poziva k izboljšanju pregleda socialnih kazalnikov z uvedbo kazalnikov, ki bi odražali trende in vzroke neenakosti, kot so </w:t>
            </w:r>
            <w:r>
              <w:rPr>
                <w:b/>
                <w:i/>
              </w:rPr>
              <w:t>kakovost delovnih mest</w:t>
            </w:r>
            <w:r>
              <w:t>, porazdelitev bogastva, dostop do javnih storitev, ustrezne pokojnine, duševno zdravje in brezposelnost; opozarja, da kazalnik tveganja revščine ali socialne izključenosti ne razkriva vzrokov za veliko neenakost;</w:t>
            </w:r>
          </w:p>
        </w:tc>
        <w:tc>
          <w:tcPr>
            <w:tcW w:w="4876" w:type="dxa"/>
            <w:tcBorders>
              <w:top w:val="nil"/>
              <w:left w:val="nil"/>
              <w:bottom w:val="nil"/>
              <w:right w:val="nil"/>
            </w:tcBorders>
          </w:tcPr>
          <w:p>
            <w:pPr>
              <w:pStyle w:val="Normal6a"/>
            </w:pPr>
            <w:r>
              <w:t>12.</w:t>
            </w:r>
            <w:r>
              <w:tab/>
            </w:r>
            <w:r>
              <w:t xml:space="preserve">poziva k izboljšanju pregleda socialnih kazalnikov z uvedbo </w:t>
            </w:r>
            <w:r>
              <w:rPr>
                <w:b/>
                <w:i/>
              </w:rPr>
              <w:t>ustreznih</w:t>
            </w:r>
            <w:r>
              <w:t xml:space="preserve"> kazalnikov, ki bi odražali trende in vzroke neenakosti, kot so </w:t>
            </w:r>
            <w:r>
              <w:rPr>
                <w:b/>
                <w:i/>
              </w:rPr>
              <w:t>kazalniki za enake možnosti, kakovostna delovna mesta</w:t>
            </w:r>
            <w:r>
              <w:t xml:space="preserve">, porazdelitev bogastva, dostop do javnih storitev, </w:t>
            </w:r>
            <w:r>
              <w:rPr>
                <w:b/>
                <w:i/>
              </w:rPr>
              <w:t>obseg socialnih storitev, vključno z energijo, vodo in sanitarno oskrbo, storitve oskrbe,</w:t>
            </w:r>
            <w:r>
              <w:t xml:space="preserve"> ustrezne pokojnine, </w:t>
            </w:r>
            <w:r>
              <w:rPr>
                <w:b/>
                <w:i/>
              </w:rPr>
              <w:t>stopnjo brezdomstva,</w:t>
            </w:r>
            <w:r>
              <w:t xml:space="preserve"> duševno zdravje in brezposelnost</w:t>
            </w:r>
            <w:r>
              <w:rPr>
                <w:b/>
                <w:i/>
              </w:rPr>
              <w:t>, nadomestila, pa tudi kazalniki, ki merijo socialni vpliv degradacije okolja in podnebnih sprememb;</w:t>
            </w:r>
            <w:r>
              <w:t xml:space="preserve"> </w:t>
            </w:r>
            <w:r>
              <w:rPr>
                <w:b/>
                <w:i/>
              </w:rPr>
              <w:t>poudarja, da je treba vključiti kazalnike o obsegu socialnih storitev in izdatkih zanje</w:t>
            </w:r>
            <w:r>
              <w:t>; opozarja, da kazalnik tveganja revščine ali socialne izključenosti ne razkriva vzrokov za veliko neenakost;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poziva k izboljšanju pregleda socialnih kazalnikov z uvedbo kazalnikov, ki bi odražali trende in vzroke neenakosti, kot so kakovost delovnih mest, porazdelitev bogastva, dostop do javnih storitev, ustrezne pokojnine, duševno zdravje in brezposelnost; opozarja, da kazalnik tveganja revščine ali socialne izključenosti ne razkriva vzrokov za veliko neenakost;</w:t>
            </w:r>
          </w:p>
        </w:tc>
        <w:tc>
          <w:tcPr>
            <w:tcW w:w="4876" w:type="dxa"/>
            <w:tcBorders>
              <w:top w:val="nil"/>
              <w:left w:val="nil"/>
              <w:bottom w:val="nil"/>
              <w:right w:val="nil"/>
            </w:tcBorders>
          </w:tcPr>
          <w:p>
            <w:pPr>
              <w:pStyle w:val="Normal6a"/>
            </w:pPr>
            <w:r>
              <w:t>12.</w:t>
            </w:r>
            <w:r>
              <w:tab/>
            </w:r>
            <w:r>
              <w:rPr>
                <w:b/>
                <w:i/>
              </w:rPr>
              <w:t>poudarja, da so potrebni pravočasni in usklajeni podatki o socialnih politikah, da bi izboljšali z dokazi podprto oblikovanje politik in ciljno usmerjene socialne naložbe;</w:t>
            </w:r>
            <w:r>
              <w:t xml:space="preserve"> poziva k izboljšanju pregleda socialnih kazalnikov</w:t>
            </w:r>
            <w:r>
              <w:rPr>
                <w:b/>
                <w:i/>
              </w:rPr>
              <w:t>, da bi zajeli 20 načel evropskega stebra socialnih pravic, in sicer</w:t>
            </w:r>
            <w:r>
              <w:t xml:space="preserve"> z uvedbo kazalnikov, ki bi odražali trende in vzroke neenakosti, kot so kakovost delovnih mest, porazdelitev bogastva, dostop do javnih storitev, </w:t>
            </w:r>
            <w:r>
              <w:rPr>
                <w:b/>
                <w:i/>
              </w:rPr>
              <w:t>obseg socialnih storitev,</w:t>
            </w:r>
            <w:r>
              <w:t xml:space="preserve"> ustrezne pokojnine, duševno zdravje</w:t>
            </w:r>
            <w:r>
              <w:rPr>
                <w:b/>
                <w:i/>
              </w:rPr>
              <w:t>, diskriminacija</w:t>
            </w:r>
            <w:r>
              <w:t xml:space="preserve"> in brezposelnost; opozarja, da kazalnik tveganja revščine ali socialne izključenosti ne razkriva vzrokov za veliko neenakost;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Evropsko komisijo in države članice EU, naj razvijejo trden evropski okvir za zbiranje podatkov o socialnih storitvah, da bi spremljali naložbe v socialne storitve in obseg teh storitev;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resolucije</w:t>
      </w:r>
      <w:r>
        <w:rPr>
          <w:rStyle w:val="HideTWBExt"/>
        </w:rPr>
        <w:t>&lt;/DocAmend&gt;</w:t>
      </w:r>
    </w:p>
    <w:p>
      <w:pPr>
        <w:pStyle w:val="NormalBold"/>
      </w:pPr>
      <w:r>
        <w:rPr>
          <w:rStyle w:val="HideTWBExt"/>
        </w:rPr>
        <w:t>&lt;Article&gt;</w:t>
      </w:r>
      <w:r>
        <w:t>Odstavek 12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Predlog resolucije</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priporoča, naj se v evropski semester vključijo podatki o regulaciji socialnih storitev, izdatkih in obsegu, da se okrepi poročanje o zmogljivosti držav članic EU za zagotavljanje socialnih storitev, vključno z njihovim dostopom in razpoložljivostjo za prebivalstvo;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142</w:t>
    </w:r>
    <w:r>
      <w:fldChar w:fldCharType="end"/>
    </w:r>
    <w:r>
      <w:t>/</w:t>
    </w:r>
    <w:r>
      <w:fldChar w:fldCharType="begin"/>
    </w:r>
    <w:r>
      <w:instrText xml:space="preserve"> NUMPAGES </w:instrText>
    </w:r>
    <w:r>
      <w:fldChar w:fldCharType="separate"/>
    </w:r>
    <w:r>
      <w:t>143</w:t>
    </w:r>
    <w:r>
      <w:fldChar w:fldCharType="end"/>
    </w:r>
    <w:r>
      <w:tab/>
    </w:r>
    <w:r>
      <w:rPr>
        <w:rStyle w:val="HideTWBExt"/>
      </w:rPr>
      <w:t>&lt;PathFdR&gt;</w:t>
    </w:r>
    <w:r>
      <w:t>AM\1312899SL.docx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AM\1312899SL.docx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143</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AM\1312899SL.docx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143</Pages>
  <Words>28340</Words>
  <Characters>175524</Characters>
  <Application>Microsoft Office Word</Application>
  <DocSecurity>0</DocSecurity>
  <Lines>1</Lines>
  <Paragraphs>2409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115899</vt:lpwstr>
  </property>
  <property fmtid="{D5CDD505-2E9C-101B-9397-08002B2CF9AE}" pid="7" name="dmxml.render.traceId">
    <vt:lpwstr>6792653315297ee5189ac9bfc7d3d1ee</vt:lpwstr>
  </property>
  <property fmtid="{D5CDD505-2E9C-101B-9397-08002B2CF9AE}" pid="8" name="FooterPath">
    <vt:lpwstr>AM\1312899SL.docx</vt:lpwstr>
  </property>
  <property fmtid="{D5CDD505-2E9C-101B-9397-08002B2CF9AE}" pid="9" name="PE Number">
    <vt:lpwstr>767.871</vt:lpwstr>
  </property>
  <property fmtid="{D5CDD505-2E9C-101B-9397-08002B2CF9AE}" pid="10" name="UID">
    <vt:lpwstr>eu.europa.europarl-DIN1-2025-0000002210_02.00-sl-01.00_text-xml</vt:lpwstr>
  </property>
</Properties>
</file>