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Utskottet för sysselsättning och sociala frågor</w:t>
      </w:r>
      <w:r>
        <w:rPr>
          <w:rStyle w:val="HideTWBExt"/>
        </w:rPr>
        <w:t>&lt;/Commission&gt;</w:t>
      </w:r>
    </w:p>
    <w:p>
      <w:pPr>
        <w:pStyle w:val="LineBottom"/>
      </w:pPr>
      <w:r>
        <w:t xml:space="preserve"> </w:t>
      </w:r>
    </w:p>
    <w:p>
      <w:pPr>
        <w:pStyle w:val="CoverReference"/>
      </w:pPr>
      <w:r>
        <w:rPr>
          <w:rStyle w:val="HideTWBExt"/>
        </w:rPr>
        <w:t>&lt;RefProc&gt;</w:t>
      </w:r>
      <w:r>
        <w:t>2024/2084</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{10/01/2025}</w:t>
      </w:r>
      <w:r>
        <w:t>10.1.2025</w:t>
      </w:r>
      <w:r>
        <w:rPr>
          <w:rStyle w:val="HideTWBExt"/>
        </w:rPr>
        <w:t>&lt;/Date&gt;</w:t>
      </w:r>
    </w:p>
    <w:p>
      <w:pPr>
        <w:pStyle w:val="CoverDocType"/>
      </w:pPr>
      <w:r>
        <w:rPr>
          <w:rStyle w:val="HideTWBExt"/>
        </w:rPr>
        <w:t>&lt;TypeAM&gt;</w:t>
      </w:r>
      <w:r>
        <w:t>ÄNDRINGSFÖRSLAG</w:t>
      </w:r>
      <w:r>
        <w:rPr>
          <w:rStyle w:val="HideTWBExt"/>
        </w:rPr>
        <w:t>&lt;/TypeAM&gt;</w:t>
      </w:r>
    </w:p>
    <w:p>
      <w:pPr>
        <w:pStyle w:val="CoverDocType24a"/>
      </w:pPr>
      <w:r>
        <w:rPr>
          <w:rStyle w:val="HideTWBExt"/>
        </w:rPr>
        <w:t>&lt;RangeAM&gt;</w:t>
      </w:r>
      <w:r>
        <w:t>1</w:t>
      </w:r>
      <w:r>
        <w:t xml:space="preserve"> - </w:t>
      </w:r>
      <w:r>
        <w:t>271</w:t>
      </w:r>
      <w:r>
        <w:rPr>
          <w:rStyle w:val="HideTWBExt"/>
        </w:rPr>
        <w:t>&lt;/RangeAM&gt;</w:t>
      </w:r>
    </w:p>
    <w:p>
      <w:pPr>
        <w:pStyle w:val="CoverBold"/>
      </w:pPr>
      <w:r>
        <w:rPr>
          <w:rStyle w:val="HideTWBExt"/>
        </w:rPr>
        <w:t>&lt;TitreType&gt;</w:t>
      </w:r>
      <w:r>
        <w:t>Förslag till betänkande</w:t>
      </w:r>
      <w:r>
        <w:rPr>
          <w:rStyle w:val="HideTWBExt"/>
        </w:rPr>
        <w:t>&lt;/TitreType&gt;</w:t>
      </w:r>
    </w:p>
    <w:p>
      <w:pPr>
        <w:pStyle w:val="CoverBold"/>
      </w:pPr>
      <w:r>
        <w:rPr>
          <w:rStyle w:val="HideTWBExt"/>
        </w:rPr>
        <w:t>&lt;Rapporteur&gt;</w:t>
      </w:r>
      <w:r>
        <w:t>Maravillas Abadía Jover</w:t>
      </w:r>
      <w:r>
        <w:rPr>
          <w:rStyle w:val="HideTWBExt"/>
        </w:rPr>
        <w:t>&lt;/Rapporteur&gt;</w:t>
      </w:r>
    </w:p>
    <w:p>
      <w:pPr>
        <w:pStyle w:val="CoverNormal24a"/>
      </w:pPr>
      <w:r>
        <w:rPr>
          <w:rStyle w:val="HideTWBExt"/>
        </w:rPr>
        <w:t>&lt;DocRefPE&gt;</w:t>
      </w:r>
      <w:r>
        <w:t>(PE766.649v02-00)</w:t>
      </w:r>
      <w:r>
        <w:rPr>
          <w:rStyle w:val="HideTWBExt"/>
        </w:rPr>
        <w:t>&lt;/DocRefPE&gt;</w:t>
      </w:r>
    </w:p>
    <w:p>
      <w:pPr>
        <w:pStyle w:val="CoverNormal"/>
      </w:pPr>
      <w:r>
        <w:rPr>
          <w:rStyle w:val="HideTWBExt"/>
        </w:rPr>
        <w:t>&lt;Titre&gt;</w:t>
      </w:r>
      <w:r>
        <w:t>Den europeiska planeringsterminen för samordning av den ekonomiska politiken: sysselsättningsprioriteringar och sociala prioriteringar för 2025</w:t>
      </w:r>
      <w:r>
        <w:rPr>
          <w:rStyle w:val="HideTWBExt"/>
        </w:rPr>
        <w:t>&lt;/Titre&gt;</w:t>
      </w:r>
    </w:p>
    <w:p>
      <w:pPr>
        <w:pStyle w:val="CoverNormal24a"/>
      </w:pPr>
      <w:r>
        <w:rPr>
          <w:rStyle w:val="HideTWBExt"/>
        </w:rPr>
        <w:t>&lt;DocRef&gt;</w:t>
      </w:r>
      <w:r>
        <w:t>(2024/2084(INI))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Ändringsförslag</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den europeiska pelaren för sociala rättigheter, som proklamerades och undertecknades av parlamentet, rådet och kommissionen den 17 november 2017,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artiklarna 121 och 148 i fördraget om Europeiska unionens funktionssätt (EUF-fördraget),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principerna i den europeiska pelaren för sociala rättigheter, särskilt princip 11 om barnomsorg och stöd för barn,</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EU:s sociala resultattavla och dess huvudsakliga och sekundära indikatorer,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meddelande av den 4 mars 2021 ”Handlingsplan för den europeiska pelaren för sociala rättigheter” (COM(2021)0102) och dess föreslagna överordnade mål för 2030 för sysselsättning, kompetens och fattigdomsminskning,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2021 års handlingsplan för den europeiska pelaren för sociala rättigheter till stöd för uppåtgående social konvergens fram till 2030, särskilt dess överordnade mål 3,</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La Hulpe-förklaringen om framtiden för den europeiska pelaren för sociala rättigheter, som undertecknades av parlamentet, kommissionen, Europeiska ekonomiska och sociala kommittén och rådet den 16 april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Europaparlamentets och rådets förordning (EU) 2023/955 av den 10 maj 2023 om inrättande av en social klimatfond och om upphävande av förordning (EU) 2021/1060</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EUT L 130, 16.5.2023, s.</w:t>
            </w:r>
            <w:r>
              <w:t xml:space="preserve"> </w:t>
            </w:r>
            <w:r>
              <w:rPr>
                <w:b/>
                <w:i/>
              </w:rPr>
              <w:t>1–51.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2f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Europaparlamentets och rådets förordning (EU) 2024/1263 av den 29 april 2024 om en effektiv samordning av den ekonomiska politiken och om multilateral budgetövervakning samt om upphävande av rådets förordning (EG) nr 1466/97, särskilt artiklarna 3, 4, 13 och 27</w:t>
            </w:r>
            <w:r>
              <w:rPr>
                <w:b/>
                <w:i/>
                <w:vertAlign w:val="superscript"/>
              </w:rPr>
              <w:t>2a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EUT L, 2024/1263, 30.4.2024.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2g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meddelande av den 7 oktober 2020 ”En jämlikhetsunion: EU:s strategiska ram för romers jämlikhet, inkludering och deltagande för 2020–2030” (COM(2020)0620),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2h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meddelande av den 3 mars 2021 ”En jämlikhetsunion: EU:s strategi för rättigheter för personer med funktionsnedsättning 2021–2030” (COM(2021)0101),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2i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meddelande av den 17 januari 2023 om att utnyttja talangen i Europas regioner (COM(2023)0032),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2j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meddelande av den 20 mars 2023 ”Arbetskrafts- och kompetensbrist i EU: en handlingsplan” (COM(2024)0031),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2k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rapport av den 19 september 2024 ”Employment and Social Developments in Europe (ESDE): upward social convergence in the EU and the role of social investment”,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3a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meddelande av den 26 november 2024 ”Europeiska planeringsterminen 2025: det nya ramverket för ekonomisk styrning i praktisk tillämpning” (COM(2024)0705),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3b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meddelande av den 17 december 2024 ”Europeiska planeringsterminen 2025 – Höstpaketet” (COM(2024)0700),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med beaktande av kommissionens utkast av den </w:t>
            </w:r>
            <w:r>
              <w:rPr>
                <w:b/>
                <w:i/>
              </w:rPr>
              <w:t>XXX</w:t>
            </w:r>
            <w:r>
              <w:t xml:space="preserve"> 2024 till gemensam sysselsättningsrapport från kommissionen och rådet (</w:t>
            </w:r>
            <w:r>
              <w:rPr>
                <w:b/>
                <w:i/>
              </w:rPr>
              <w:t>COM(2024)XXX</w:t>
            </w:r>
            <w:r>
              <w:t>),</w:t>
            </w:r>
          </w:p>
        </w:tc>
        <w:tc>
          <w:tcPr>
            <w:tcW w:w="4876" w:type="dxa"/>
            <w:tcBorders>
              <w:top w:val="nil"/>
              <w:left w:val="nil"/>
              <w:bottom w:val="nil"/>
              <w:right w:val="nil"/>
            </w:tcBorders>
          </w:tcPr>
          <w:p>
            <w:pPr>
              <w:pStyle w:val="Normal6a"/>
            </w:pPr>
            <w:r>
              <w:rPr>
                <w:b/>
                <w:i/>
              </w:rPr>
              <w:t>–</w:t>
            </w:r>
            <w:r>
              <w:tab/>
            </w:r>
            <w:r>
              <w:t xml:space="preserve">med beaktande av kommissionens utkast av den </w:t>
            </w:r>
            <w:r>
              <w:rPr>
                <w:b/>
                <w:i/>
              </w:rPr>
              <w:t>17 december</w:t>
            </w:r>
            <w:r>
              <w:t xml:space="preserve"> 2024 till gemensam sysselsättningsrapport från kommissionen och rådet (</w:t>
            </w:r>
            <w:r>
              <w:rPr>
                <w:b/>
                <w:i/>
              </w:rPr>
              <w:t>COM(2024)0701</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med beaktande av kommissionens rekommendation av den </w:t>
            </w:r>
            <w:r>
              <w:rPr>
                <w:b/>
                <w:i/>
              </w:rPr>
              <w:t>XXX</w:t>
            </w:r>
            <w:r>
              <w:t xml:space="preserve"> 2024 till rådets rekommendation om den ekonomiska politiken i euroområdet (</w:t>
            </w:r>
            <w:r>
              <w:rPr>
                <w:b/>
                <w:i/>
              </w:rPr>
              <w:t>COM(2024)XXX)</w:t>
            </w:r>
            <w:r>
              <w:t>,</w:t>
            </w:r>
          </w:p>
        </w:tc>
        <w:tc>
          <w:tcPr>
            <w:tcW w:w="4876" w:type="dxa"/>
            <w:tcBorders>
              <w:top w:val="nil"/>
              <w:left w:val="nil"/>
              <w:bottom w:val="nil"/>
              <w:right w:val="nil"/>
            </w:tcBorders>
          </w:tcPr>
          <w:p>
            <w:pPr>
              <w:pStyle w:val="Normal6a"/>
            </w:pPr>
            <w:r>
              <w:rPr>
                <w:b/>
                <w:i/>
              </w:rPr>
              <w:t>–</w:t>
            </w:r>
            <w:r>
              <w:tab/>
            </w:r>
            <w:r>
              <w:t xml:space="preserve">med beaktande av kommissionens rekommendation av den </w:t>
            </w:r>
            <w:r>
              <w:rPr>
                <w:b/>
                <w:i/>
              </w:rPr>
              <w:t>17 december</w:t>
            </w:r>
            <w:r>
              <w:t xml:space="preserve"> 2024 till rådets rekommendation om den ekonomiska politiken i euroområdet (</w:t>
            </w:r>
            <w:r>
              <w:rPr>
                <w:b/>
                <w:i/>
              </w:rPr>
              <w:t>COM(2024)0704</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med beaktande av kommissionens rapport av den </w:t>
            </w:r>
            <w:r>
              <w:rPr>
                <w:b/>
                <w:i/>
              </w:rPr>
              <w:t>XXX 2024</w:t>
            </w:r>
            <w:r>
              <w:t xml:space="preserve"> om förvarningsmekanismen 2025,</w:t>
            </w:r>
          </w:p>
        </w:tc>
        <w:tc>
          <w:tcPr>
            <w:tcW w:w="4876" w:type="dxa"/>
            <w:tcBorders>
              <w:top w:val="nil"/>
              <w:left w:val="nil"/>
              <w:bottom w:val="nil"/>
              <w:right w:val="nil"/>
            </w:tcBorders>
          </w:tcPr>
          <w:p>
            <w:pPr>
              <w:pStyle w:val="Normal6a"/>
            </w:pPr>
            <w:r>
              <w:rPr>
                <w:b/>
                <w:i/>
              </w:rPr>
              <w:t>–</w:t>
            </w:r>
            <w:r>
              <w:tab/>
            </w:r>
            <w:r>
              <w:t xml:space="preserve">med beaktande av kommissionens rapport av den </w:t>
            </w:r>
            <w:r>
              <w:rPr>
                <w:b/>
                <w:i/>
              </w:rPr>
              <w:t>17 december 2024 ”Rapport</w:t>
            </w:r>
            <w:r>
              <w:t xml:space="preserve"> om förvarningsmekanismen 2025</w:t>
            </w:r>
            <w:r>
              <w:rPr>
                <w:b/>
                <w:i/>
              </w:rPr>
              <w:t>” (COM(2024)0702)</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 xml:space="preserve">med beaktande av utkastet till arbetsdokument från kommissionens avdelningar om </w:t>
            </w:r>
            <w:r>
              <w:rPr>
                <w:b/>
                <w:i/>
              </w:rPr>
              <w:t>de planerade revideringarna av</w:t>
            </w:r>
            <w:r>
              <w:t xml:space="preserve"> resultattavlan för förfarandet vid makroekonomiska obalanser </w:t>
            </w:r>
            <w:r>
              <w:rPr>
                <w:b/>
                <w:i/>
              </w:rPr>
              <w:t>i samband med den regelbundna översynen (SWD(2024) XXX</w:t>
            </w:r>
            <w:r>
              <w:t>),</w:t>
            </w:r>
          </w:p>
        </w:tc>
        <w:tc>
          <w:tcPr>
            <w:tcW w:w="4876" w:type="dxa"/>
            <w:tcBorders>
              <w:top w:val="nil"/>
              <w:left w:val="nil"/>
              <w:bottom w:val="nil"/>
              <w:right w:val="nil"/>
            </w:tcBorders>
          </w:tcPr>
          <w:p>
            <w:pPr>
              <w:pStyle w:val="Normal6a"/>
            </w:pPr>
            <w:r>
              <w:rPr>
                <w:b/>
                <w:i/>
              </w:rPr>
              <w:t>–</w:t>
            </w:r>
            <w:r>
              <w:tab/>
            </w:r>
            <w:r>
              <w:t xml:space="preserve">med beaktande av utkastet till arbetsdokument från kommissionens avdelningar om </w:t>
            </w:r>
            <w:r>
              <w:rPr>
                <w:b/>
                <w:i/>
              </w:rPr>
              <w:t>ändringarna i</w:t>
            </w:r>
            <w:r>
              <w:t xml:space="preserve"> resultattavlan för förfarandet vid makroekonomiska obalanser </w:t>
            </w:r>
            <w:r>
              <w:rPr>
                <w:b/>
                <w:i/>
              </w:rPr>
              <w:t>(SWD (2024)0702</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Branislav Ondruš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11a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den interinstitutionella La Hulpe-förklaringen om framtiden för den europeiska pelaren för sociala rättigheter, som undertecknats av EU-institutionerna, arbetsmarknadens parter och det civila samhället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Europaparlamentets och rådets förordning (EU) 2024/1263 av den 29 april 2024 om en effektiv samordning av den ekonomiska politiken och om multilateral budgetövervakning samt om upphävande av rådets förordning (EG) nr 1466/97,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Budapestförklaringen om den nya given för den europeiska konkurrenskraften av den 8 november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rådets beslut om sysselsättningsriktlinjer, som antogs av rådet (sysselsättning, socialpolitik, hälso- och sjukvård samt konsumentfrågor) den 2 december 2024, och i vilka sysselsättningsrelaterade och sociala prioriteringar fastställs i linje med principerna i den europeiska pelaren för sociala rättigheter,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rapport om sysselsättning och social utveckling i Europa, som offentliggjordes i september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La Hulpe-förklaringen om framtiden för den europeiska pelaren för sociala rättigheter</w:t>
            </w:r>
            <w:r>
              <w:rPr>
                <w:b/>
                <w:i/>
                <w:vertAlign w:val="superscript"/>
              </w:rPr>
              <w:t>2a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https://wayback.archive-it.org/12710/20240718201828/https://belgian-presidency.consilium.europa.eu/media/bj0adazv/declaration-finale.pdf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trepartsförklaringen om en en dynamisk europeisk social dialog och den kommande pakten för en europeisk arbetsmarknadsdialog,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den europeiska kompetensagendan 2020,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13f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meddelande av den 7 september 2022 om en europeisk strategi för vård och omsorg (COM(2022)0440),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13g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den europeiska pelaren för sociala rättigheter, som proklamerades av rådet, parlamentet och kommissionen i november 2017, och den åtföljande handlingsplan som antogs 2021,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13h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meddelande av den 17 december 2024 om den Europeiska planeringsterminen 2025 – Höstpaketet (COM(2024)0700),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13i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kommissionens förslag av den 17 december 2025 till gemensam sysselsättningsrapport 2025 (COM (2024)0701),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13j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Europaparlamentets och rådets direktiv (EU) 2022/2041 av den 19 oktober 2022 om tillräckliga minimilöner i Europeiska unionen,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13k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den europeiska sociala stadgan, som det hänvisas till i ingressen till den europeiska pelaren för sociala rättigheter,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13l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rådets rekommendation om tillgång till högkvalitativ långvarig vård och omsorg till ett rimligt pris,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13m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FN:s mål för hållbar utveckling,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13n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jämställdhetsstrategin 2020–2025,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13o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EU:s handlingsplan mot rasism 2020–2025,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13p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EU:s strategiska ram för romers jämlikhet, inkludering och deltagande 2020–2030,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13q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jämlikhetsstrategin för hbtqi-personer (2020–2025),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13r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strategin för rättigheter för personer med funktionsnedsättning 2021–2030,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Beaktandeled 13s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med beaktande av Europaparlamentets och rådets förordning (EU) 2024/1263 av den 29 april 2024 om en effektiv samordning av den ekonomiska politiken och om multilateral budgetövervakning samt om upphävande av rådets förordning (EG) nr 1466/97,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rPr>
                <w:b/>
                <w:i/>
              </w:rPr>
              <w:t>Framsteg har gjorts mot att uppnå EU:s sysselsättningsmål</w:t>
            </w:r>
            <w:r>
              <w:t xml:space="preserve"> trots den osäkerhet som orsakats av Rysslands anfallskrig mot Ukraina och effekterna av den höga inflationen. </w:t>
            </w:r>
            <w:r>
              <w:rPr>
                <w:b/>
                <w:i/>
              </w:rPr>
              <w:t>Ökningen av sysselsättningen i EU förblev stabil under 2023, även om höga arbetslöshetsnivåer, särskilt bland ungdomar, kvarstår i vissa medlemsstater, liksom betydande</w:t>
            </w:r>
            <w:r>
              <w:t xml:space="preserve"> ojämlikheter mellan sektorer </w:t>
            </w:r>
            <w:r>
              <w:rPr>
                <w:b/>
                <w:i/>
              </w:rPr>
              <w:t>och regioner</w:t>
            </w:r>
            <w:r>
              <w:t>, vilket kan inverka negativt på den sociala sammanhållningen och EU-medborgarnas välbefinnande på lång sikt.</w:t>
            </w:r>
          </w:p>
        </w:tc>
        <w:tc>
          <w:tcPr>
            <w:tcW w:w="4876" w:type="dxa"/>
            <w:tcBorders>
              <w:top w:val="nil"/>
              <w:left w:val="nil"/>
              <w:bottom w:val="nil"/>
              <w:right w:val="nil"/>
            </w:tcBorders>
          </w:tcPr>
          <w:p>
            <w:pPr>
              <w:pStyle w:val="Normal6a"/>
            </w:pPr>
            <w:r>
              <w:t>A.</w:t>
            </w:r>
            <w:r>
              <w:tab/>
            </w:r>
            <w:r>
              <w:rPr>
                <w:b/>
                <w:i/>
              </w:rPr>
              <w:t>Enligt kommissionens ekonomiska höstprognos 2025 har sysselsättningsgraden i EU nått 75,3 %.</w:t>
            </w:r>
            <w:r>
              <w:t xml:space="preserve"> </w:t>
            </w:r>
            <w:r>
              <w:rPr>
                <w:b/>
                <w:i/>
              </w:rPr>
              <w:t>Betoningen måste ligga på den ekonomiska avkastningen av investeringar i social välfärd som inte bara förbättrar levnadsstandarden utan också leder till ekonomisk tillväxt och högre sysselsättningsgrad.</w:t>
            </w:r>
            <w:r>
              <w:t xml:space="preserve"> </w:t>
            </w:r>
            <w:r>
              <w:rPr>
                <w:b/>
                <w:i/>
              </w:rPr>
              <w:t>Vissa medlemsstater når aldrig tidigare skådade sysselsättningsnivåer och konstaterar en ökning av sysselsättningsgraden</w:t>
            </w:r>
            <w:r>
              <w:t xml:space="preserve"> trots den osäkerhet som orsakats av Rysslands anfallskrig mot Ukraina och effekterna av den höga inflationen. </w:t>
            </w:r>
            <w:r>
              <w:rPr>
                <w:b/>
                <w:i/>
              </w:rPr>
              <w:t>Betydande utmaningar kvarstår dock i EU, bland annat höga arbetslöshetsnivåer bland ungdomar, kvinnor, äldre, låg- och medelkvalificerade personer, migranter och personer med funktionsnedsättning, tillsammans med otrygga arbetsvillkor, strukturella</w:t>
            </w:r>
            <w:r>
              <w:t xml:space="preserve"> ojämlikheter </w:t>
            </w:r>
            <w:r>
              <w:rPr>
                <w:b/>
                <w:i/>
              </w:rPr>
              <w:t>och klyftor i det sociala skyddet</w:t>
            </w:r>
            <w:r>
              <w:t xml:space="preserve"> mellan sektorer</w:t>
            </w:r>
            <w:r>
              <w:rPr>
                <w:b/>
                <w:i/>
              </w:rPr>
              <w:t>, regioner och sociala grupper</w:t>
            </w:r>
            <w:r>
              <w:t>, vilket kan inverka negativt på den sociala sammanhållningen och EU-medborgarnas välbefinnande på lång sikt.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Framsteg har gjorts mot att uppnå EU:s sysselsättningsmål trots den osäkerhet som orsakats av Rysslands anfallskrig mot Ukraina och effekterna av den höga inflationen. Ökningen av sysselsättningen i EU förblev stabil under 2023, </w:t>
            </w:r>
            <w:r>
              <w:rPr>
                <w:b/>
                <w:i/>
              </w:rPr>
              <w:t>även om</w:t>
            </w:r>
            <w:r>
              <w:t xml:space="preserve"> höga arbetslöshetsnivåer, särskilt bland ungdomar, kvarstår i vissa medlemsstater, liksom betydande </w:t>
            </w:r>
            <w:r>
              <w:rPr>
                <w:b/>
                <w:i/>
              </w:rPr>
              <w:t>ojämlikheter</w:t>
            </w:r>
            <w:r>
              <w:t xml:space="preserve"> mellan sektorer och regioner, vilket kan inverka negativt på den sociala sammanhållningen och EU-medborgarnas välbefinnande på lång sikt.</w:t>
            </w:r>
          </w:p>
        </w:tc>
        <w:tc>
          <w:tcPr>
            <w:tcW w:w="4876" w:type="dxa"/>
            <w:tcBorders>
              <w:top w:val="nil"/>
              <w:left w:val="nil"/>
              <w:bottom w:val="nil"/>
              <w:right w:val="nil"/>
            </w:tcBorders>
          </w:tcPr>
          <w:p>
            <w:pPr>
              <w:pStyle w:val="Normal6a"/>
            </w:pPr>
            <w:r>
              <w:t>A.</w:t>
            </w:r>
            <w:r>
              <w:tab/>
            </w:r>
            <w:r>
              <w:t>Framsteg har gjorts mot att uppnå EU:s sysselsättningsmål</w:t>
            </w:r>
            <w:r>
              <w:rPr>
                <w:b/>
                <w:i/>
              </w:rPr>
              <w:t>, närmare bestämt att minst 78 % av befolkningen i åldern 20–64 år ska vara sysselsatta senast 2030,</w:t>
            </w:r>
            <w:r>
              <w:t xml:space="preserve"> trots den osäkerhet som orsakats av Rysslands anfallskrig mot Ukraina</w:t>
            </w:r>
            <w:r>
              <w:rPr>
                <w:b/>
                <w:i/>
              </w:rPr>
              <w:t>, ekonomisk stagnation</w:t>
            </w:r>
            <w:r>
              <w:t xml:space="preserve"> och effekterna av den höga inflationen. Ökningen av sysselsättningen i EU förblev stabil under 2023, </w:t>
            </w:r>
            <w:r>
              <w:rPr>
                <w:b/>
                <w:i/>
              </w:rPr>
              <w:t>och nådde en rekordhög nivå på 75,3 %.</w:t>
            </w:r>
            <w:r>
              <w:t xml:space="preserve"> </w:t>
            </w:r>
            <w:r>
              <w:rPr>
                <w:b/>
                <w:i/>
              </w:rPr>
              <w:t>Medlemsstaterna har förbundit sig till nationella mål för att uppnå detta överordnade mål, och i två tredjedelar av medlemsstaterna var sysselsättningstillväxten under 2023 på god väg att nå det nationella målet för 2030.</w:t>
            </w:r>
            <w:r>
              <w:t xml:space="preserve"> Höga arbetslöshetsnivåer, särskilt bland ungdomar, </w:t>
            </w:r>
            <w:r>
              <w:rPr>
                <w:b/>
                <w:i/>
              </w:rPr>
              <w:t>personer med funktionsnedsättning, äldre arbetstagare och kvinnor,</w:t>
            </w:r>
            <w:r>
              <w:t xml:space="preserve"> kvarstår </w:t>
            </w:r>
            <w:r>
              <w:rPr>
                <w:b/>
                <w:i/>
              </w:rPr>
              <w:t>emellertid</w:t>
            </w:r>
            <w:r>
              <w:t xml:space="preserve"> i vissa medlemsstater, liksom betydande </w:t>
            </w:r>
            <w:r>
              <w:rPr>
                <w:b/>
                <w:i/>
              </w:rPr>
              <w:t>skillnader</w:t>
            </w:r>
            <w:r>
              <w:t xml:space="preserve"> mellan sektorer och regioner, vilket kan inverka negativt på den sociala sammanhållningen och EU-medborgarnas välbefinnande på lång sikt.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Framsteg har gjorts mot att uppnå EU:s sysselsättningsmål trots den osäkerhet som orsakats av Rysslands anfallskrig mot Ukraina och effekterna av den höga inflationen</w:t>
            </w:r>
            <w:r>
              <w:rPr>
                <w:b/>
                <w:i/>
              </w:rPr>
              <w:t>.</w:t>
            </w:r>
            <w:r>
              <w:t xml:space="preserve"> Ökningen av sysselsättningen i EU förblev stabil under 2023</w:t>
            </w:r>
            <w:r>
              <w:rPr>
                <w:b/>
                <w:i/>
              </w:rPr>
              <w:t>, även om höga arbetslöshetsnivåer, särskilt bland ungdomar, kvarstår i</w:t>
            </w:r>
            <w:r>
              <w:t xml:space="preserve"> vissa </w:t>
            </w:r>
            <w:r>
              <w:rPr>
                <w:b/>
                <w:i/>
              </w:rPr>
              <w:t>medlemsstater, liksom</w:t>
            </w:r>
            <w:r>
              <w:t xml:space="preserve"> betydande ojämlikheter mellan sektorer och regioner, vilket kan inverka negativt på den sociala sammanhållningen och EU-medborgarnas välbefinnande på lång sikt.</w:t>
            </w:r>
          </w:p>
        </w:tc>
        <w:tc>
          <w:tcPr>
            <w:tcW w:w="4876" w:type="dxa"/>
            <w:tcBorders>
              <w:top w:val="nil"/>
              <w:left w:val="nil"/>
              <w:bottom w:val="nil"/>
              <w:right w:val="nil"/>
            </w:tcBorders>
          </w:tcPr>
          <w:p>
            <w:pPr>
              <w:pStyle w:val="Normal6a"/>
            </w:pPr>
            <w:r>
              <w:t>A.</w:t>
            </w:r>
            <w:r>
              <w:tab/>
            </w:r>
            <w:r>
              <w:t>Framsteg har gjorts mot att uppnå EU:s sysselsättningsmål trots den osäkerhet som orsakats av Rysslands anfallskrig mot Ukraina och effekterna av den höga inflationen</w:t>
            </w:r>
            <w:r>
              <w:rPr>
                <w:b/>
                <w:i/>
              </w:rPr>
              <w:t>, och</w:t>
            </w:r>
            <w:r>
              <w:t xml:space="preserve"> ökningen av sysselsättningen i EU förblev stabil under 2023 </w:t>
            </w:r>
            <w:r>
              <w:rPr>
                <w:b/>
                <w:i/>
              </w:rPr>
              <w:t>och överstiger nu 75 % enligt Eurostat.</w:t>
            </w:r>
            <w:r>
              <w:t xml:space="preserve"> </w:t>
            </w:r>
            <w:r>
              <w:rPr>
                <w:b/>
                <w:i/>
              </w:rPr>
              <w:t>Långtidsarbetslösheten i EU var historiskt låg sedan 2009 och uppgick till 2,1 % 2023, och ungdomsarbetslösheten i EU var 6,3 %, dvs. den lägsta sedan dess.</w:t>
            </w:r>
            <w:r>
              <w:t xml:space="preserve"> </w:t>
            </w:r>
            <w:r>
              <w:rPr>
                <w:b/>
                <w:i/>
              </w:rPr>
              <w:t>Arbetsmarknaderna fortsatte att vara anmärkningsvärt motståndskraftiga och de sociala resultaten visade</w:t>
            </w:r>
            <w:r>
              <w:t xml:space="preserve"> vissa </w:t>
            </w:r>
            <w:r>
              <w:rPr>
                <w:b/>
                <w:i/>
              </w:rPr>
              <w:t>tecken på förbättringar, men den ekonomiska tillväxten i EU 2024 släpade efter andra utvecklade ekonomier och</w:t>
            </w:r>
            <w:r>
              <w:t xml:space="preserve"> betydande ojämlikheter </w:t>
            </w:r>
            <w:r>
              <w:rPr>
                <w:b/>
                <w:i/>
              </w:rPr>
              <w:t>kvarstod</w:t>
            </w:r>
            <w:r>
              <w:t xml:space="preserve"> mellan sektorer och regioner, vilket kan inverka negativt på den sociala sammanhållningen och EU-medborgarnas välbefinnande på lång sikt.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Framsteg har gjorts mot att uppnå EU:s sysselsättningsmål trots den osäkerhet som orsakats av Rysslands anfallskrig mot Ukraina och effekterna av den höga inflationen. Ökningen av sysselsättningen i EU förblev stabil under 2023, även om höga arbetslöshetsnivåer, särskilt bland ungdomar, kvarstår i vissa medlemsstater, liksom betydande ojämlikheter mellan sektorer och regioner, vilket kan inverka negativt på den sociala sammanhållningen och EU-medborgarnas välbefinnande på lång sikt.</w:t>
            </w:r>
          </w:p>
        </w:tc>
        <w:tc>
          <w:tcPr>
            <w:tcW w:w="4876" w:type="dxa"/>
            <w:tcBorders>
              <w:top w:val="nil"/>
              <w:left w:val="nil"/>
              <w:bottom w:val="nil"/>
              <w:right w:val="nil"/>
            </w:tcBorders>
          </w:tcPr>
          <w:p>
            <w:pPr>
              <w:pStyle w:val="Normal6a"/>
            </w:pPr>
            <w:r>
              <w:t>A.</w:t>
            </w:r>
            <w:r>
              <w:tab/>
            </w:r>
            <w:r>
              <w:t xml:space="preserve">Framsteg har gjorts mot att uppnå EU:s sysselsättningsmål trots den osäkerhet som orsakats av Rysslands anfallskrig mot Ukraina och effekterna av den höga inflationen. Ökningen av sysselsättningen i EU förblev stabil under 2023, även om höga arbetslöshetsnivåer, särskilt bland ungdomar, </w:t>
            </w:r>
            <w:r>
              <w:rPr>
                <w:b/>
                <w:i/>
              </w:rPr>
              <w:t>samt arbetslöshet bland personer med funktionsnedsättning,</w:t>
            </w:r>
            <w:r>
              <w:t xml:space="preserve"> kvarstår i vissa medlemsstater, liksom betydande ojämlikheter mellan sektorer och regioner, vilket kan inverka negativt på den sociala sammanhållningen och EU-medborgarnas välbefinnande på lång sikt.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Branislav Ondruš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Framsteg har gjorts mot att uppnå EU:s sysselsättningsmål trots den osäkerhet som orsakats av Rysslands anfallskrig mot Ukraina och effekterna av den höga inflationen. Ökningen av sysselsättningen i EU förblev stabil under 2023, även om höga arbetslöshetsnivåer, särskilt bland ungdomar, kvarstår i vissa medlemsstater, liksom betydande ojämlikheter mellan sektorer och regioner, vilket kan inverka negativt på den sociala sammanhållningen och EU-medborgarnas välbefinnande på lång sikt.</w:t>
            </w:r>
          </w:p>
        </w:tc>
        <w:tc>
          <w:tcPr>
            <w:tcW w:w="4876" w:type="dxa"/>
            <w:tcBorders>
              <w:top w:val="nil"/>
              <w:left w:val="nil"/>
              <w:bottom w:val="nil"/>
              <w:right w:val="nil"/>
            </w:tcBorders>
          </w:tcPr>
          <w:p>
            <w:pPr>
              <w:pStyle w:val="Normal6a"/>
            </w:pPr>
            <w:r>
              <w:t>A.</w:t>
            </w:r>
            <w:r>
              <w:tab/>
            </w:r>
            <w:r>
              <w:rPr>
                <w:b/>
                <w:i/>
              </w:rPr>
              <w:t>Vissa</w:t>
            </w:r>
            <w:r>
              <w:t xml:space="preserve"> framsteg har gjorts mot att uppnå EU:s sysselsättningsmål trots den osäkerhet som orsakats av Rysslands anfallskrig mot Ukraina och effekterna av den höga inflationen. Ökningen av sysselsättningen i EU förblev stabil under 2023, även om höga arbetslöshetsnivåer, särskilt bland ungdomar, kvarstår i vissa medlemsstater, liksom betydande ojämlikheter mellan sektorer och regioner, vilket kan inverka negativt på den sociala sammanhållningen och EU-medborgarnas välbefinnande på lång sikt.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Framsteg har gjorts mot att uppnå EU:s sysselsättningsmål trots den </w:t>
            </w:r>
            <w:r>
              <w:rPr>
                <w:b/>
                <w:i/>
              </w:rPr>
              <w:t>osäkerhet som orsakats av</w:t>
            </w:r>
            <w:r>
              <w:t xml:space="preserve"> Rysslands anfallskrig mot Ukraina </w:t>
            </w:r>
            <w:r>
              <w:rPr>
                <w:b/>
                <w:i/>
              </w:rPr>
              <w:t>och effekterna av den höga inflationen</w:t>
            </w:r>
            <w:r>
              <w:t>. Ökningen av sysselsättningen i EU förblev stabil under 2023, även om höga arbetslöshetsnivåer, särskilt bland ungdomar, kvarstår i vissa medlemsstater, liksom betydande ojämlikheter mellan sektorer och regioner, vilket kan inverka negativt på den sociala sammanhållningen och EU-medborgarnas välbefinnande på lång sikt.</w:t>
            </w:r>
          </w:p>
        </w:tc>
        <w:tc>
          <w:tcPr>
            <w:tcW w:w="4876" w:type="dxa"/>
            <w:tcBorders>
              <w:top w:val="nil"/>
              <w:left w:val="nil"/>
              <w:bottom w:val="nil"/>
              <w:right w:val="nil"/>
            </w:tcBorders>
          </w:tcPr>
          <w:p>
            <w:pPr>
              <w:pStyle w:val="Normal6a"/>
            </w:pPr>
            <w:r>
              <w:t>A.</w:t>
            </w:r>
            <w:r>
              <w:tab/>
            </w:r>
            <w:r>
              <w:t xml:space="preserve">Framsteg har gjorts mot att uppnå EU:s sysselsättningsmål trots den </w:t>
            </w:r>
            <w:r>
              <w:rPr>
                <w:b/>
                <w:i/>
              </w:rPr>
              <w:t>allvarliga inflationskrisen till följd av bland annat</w:t>
            </w:r>
            <w:r>
              <w:t xml:space="preserve"> Rysslands anfallskrig mot Ukraina. Ökningen av sysselsättningen i EU förblev stabil under 2023, även om höga arbetslöshetsnivåer, särskilt bland ungdomar, kvarstår i vissa medlemsstater, liksom betydande ojämlikheter mellan sektorer och regioner, vilket kan inverka negativt på den sociala sammanhållningen och EU-medborgarnas välbefinnande på lång sikt.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Den europeiska planeringsterminen kombinerar olika instrument i en integrerad ram för multilateral samordning och övervakning av den ekonomiska politiken, sysselsättningspolitiken, socialpolitiken och miljöpolitiken inom EU, och den måste bli ett centralt verktyg för att främja uppåtgående social konvergens och säkerställa att den ekonomiska politiken och finanspolitiken inte bara driver på tillväxten utan också bidrar till ett socialt och hållbart EU.</w:t>
            </w:r>
            <w:r>
              <w:t xml:space="preserve"> </w:t>
            </w:r>
            <w:r>
              <w:rPr>
                <w:b/>
                <w:i/>
              </w:rPr>
              <w:t>Som en del av den integrerade analysen av sysselsättningen och den sociala utvecklingen inom ramen för den europeiska planeringsterminen bör riskerna för uppåtgående social konvergens i medlemsstaterna bedömas, och framstegen för genomförandet av principerna i den europeiska pelaren för sociala rättigheter övervakas, på grundval av den sociala resultattavlan och principerna i ramen för social konvergens.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Europeiska unionen har antagit målet att minst 60 % av de vuxna ska delta i utbildning varje år senast 2030.</w:t>
            </w:r>
            <w:r>
              <w:t xml:space="preserve"> </w:t>
            </w:r>
            <w:r>
              <w:rPr>
                <w:b/>
                <w:i/>
              </w:rPr>
              <w:t>Medlemsstaterna har förbundit sig till nationella mål för att uppnå detta överordnade mål, men i majoriteten av medlemsstaterna har det skett en tillbakagång i uppnåendet av dessa nationella mål.</w:t>
            </w:r>
            <w:r>
              <w:t xml:space="preserve"> </w:t>
            </w:r>
            <w:r>
              <w:rPr>
                <w:b/>
                <w:i/>
              </w:rPr>
              <w:t>År 2022 var andelen vuxna som deltog i utbildning 39,5 %, vilket fortfarande är långt under Europa 2030-målet.</w:t>
            </w:r>
            <w:r>
              <w:t xml:space="preserve"> </w:t>
            </w:r>
            <w:r>
              <w:rPr>
                <w:b/>
                <w:i/>
              </w:rPr>
              <w:t>Det krävs ytterligare betydande insatser för att säkerställa tillhandahållande av och tillgång till en utbildningspolitik av god kvalitet som främjar livslångt lärande och stärker EU:s konkurrenskraft och resiliens och inkluderingen av EU:s arbetskraft.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Europeiska unionen har antagit målet för 2030 om att minska antalet människor som riskerar fattigdom och social utestängning med minst 15 miljoner jämfört med 2019, inklusive minst 5 miljoner barn.</w:t>
            </w:r>
            <w:r>
              <w:t xml:space="preserve"> </w:t>
            </w:r>
            <w:r>
              <w:rPr>
                <w:b/>
                <w:i/>
              </w:rPr>
              <w:t>Medlemsstaterna har förbundit sig till nationella mål för att uppnå detta överordnade mål, men trenden pekar i motsatt riktning för nästan hälften av medlemsstaterna.</w:t>
            </w:r>
            <w:r>
              <w:t xml:space="preserve"> </w:t>
            </w:r>
            <w:r>
              <w:rPr>
                <w:b/>
                <w:i/>
              </w:rPr>
              <w:t>Under 2023 riskerade 94,6 miljoner människor i EU (21,4 % av befolkningen)</w:t>
            </w:r>
            <w:r>
              <w:rPr>
                <w:b/>
                <w:i/>
                <w:vertAlign w:val="superscript"/>
              </w:rPr>
              <w:t>3a</w:t>
            </w:r>
            <w:r>
              <w:t xml:space="preserve"> </w:t>
            </w:r>
            <w:r>
              <w:rPr>
                <w:b/>
                <w:i/>
              </w:rPr>
              <w:t>att drabbas av fattigdom eller social utestängning, vilket endast är något lägre än 2019 års nivå.</w:t>
            </w:r>
            <w:r>
              <w:t xml:space="preserve"> </w:t>
            </w:r>
            <w:r>
              <w:rPr>
                <w:b/>
                <w:i/>
              </w:rPr>
              <w:t>Utan en förändring av strategin för att bekämpa fattigdom på europeisk nivå kommer det inte att vara möjligt att vända trenden och säkerställa att alla medborgare har lika möjligheter att delta i samhället.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People at risk of poverty or social exclusion in 2023, Eurostat, https://ec.europa.eu/eurostat/web/products-eurostat-news/w/ddn-20240612-1#:~:text=In%202023%2C%2094.6%20million%20people,household%20with%20very%20low%20work.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Den europeiska pelaren för sociala rättigheter måste vara den kompass som styr EU:s sociala och ekonomiska politik och säkerställer att unionen tar en ledande roll när det gäller att främja sociala framsteg.</w:t>
            </w:r>
            <w:r>
              <w:t xml:space="preserve"> </w:t>
            </w:r>
            <w:r>
              <w:rPr>
                <w:b/>
                <w:i/>
              </w:rPr>
              <w:t>Kommissionen måste bedöma riskerna för uppåtgående social konvergens i medlemsstaterna och övervaka framstegen med genomförandet av den europeiska pelaren för sociala rättigheter med hjälp av den sociala resultattavlan och ramen för social konvergens.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Ac.</w:t>
            </w:r>
            <w:r>
              <w:tab/>
            </w:r>
            <w:r>
              <w:rPr>
                <w:b/>
                <w:i/>
              </w:rPr>
              <w:t>Ett av fyra barn löper fortfarande risk för fattigdom och social utestängning inom EU, och enligt den nuvarande trenden kommer vi inte att nå målet att minska antalet barn som lever i fattigdom med minst 5 miljoner fram till 2030.</w:t>
            </w:r>
            <w:r>
              <w:t xml:space="preserve"> </w:t>
            </w:r>
            <w:r>
              <w:rPr>
                <w:b/>
                <w:i/>
              </w:rPr>
              <w:t>Betydande skillnader kan konstateras bland barn med etnisk bakgrund eller invandrarbakgrund och barn med funktionsnedsättning.</w:t>
            </w:r>
            <w:r>
              <w:t xml:space="preserve"> </w:t>
            </w:r>
            <w:r>
              <w:rPr>
                <w:b/>
                <w:i/>
              </w:rPr>
              <w:t>83 % av de romska barnen bodde i hushåll som riskerade att drabbas av fattigdom.</w:t>
            </w:r>
            <w:r>
              <w:t xml:space="preserve"> </w:t>
            </w:r>
            <w:r>
              <w:rPr>
                <w:b/>
                <w:i/>
              </w:rPr>
              <w:t>De EU-medel och nationella resurser som för närvarande utnyttjas är inte på något sätt tillräckliga för att råda bot på problemet med barnfattigdom i EU, och därför är ett särskilt finansieringsinstrument för den europeiska barngarantin samt synergier med annan europeisk och nationell finansiering av yttersta vikt både i den nuvarande och i nästa fleråriga budgetram.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Ac.</w:t>
            </w:r>
            <w:r>
              <w:tab/>
            </w:r>
            <w:r>
              <w:rPr>
                <w:b/>
                <w:i/>
              </w:rPr>
              <w:t>Ramen för social konvergens är ett viktigt verktyg för att bedöma sociala utmaningar och uppåtgående konvergens inom den europeiska planeringsterminen och för att övervaka sociala skillnader mellan medlemsstaterna.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Ad.</w:t>
            </w:r>
            <w:r>
              <w:tab/>
            </w:r>
            <w:r>
              <w:rPr>
                <w:b/>
                <w:i/>
              </w:rPr>
              <w:t>Offentliga utgifter för barn och ungdomar bör inte bara ses som sociala utgifter utan som en investering i framtiden.</w:t>
            </w:r>
            <w:r>
              <w:t xml:space="preserve"> </w:t>
            </w:r>
            <w:r>
              <w:rPr>
                <w:b/>
                <w:i/>
              </w:rPr>
              <w:t>För barn leder sociala investeringar till bättre utbildnings- och sysselsättningsutsikter, vilket i sin tur stärker de ekonomiska indikatorerna.</w:t>
            </w:r>
            <w:r>
              <w:t xml:space="preserve"> </w:t>
            </w:r>
            <w:r>
              <w:rPr>
                <w:b/>
                <w:i/>
              </w:rPr>
              <w:t>Barn som kan dra störst nytta av att delta i förskoleverksamhet och barnomsorg, såsom barn från missgynnade miljöer, tenderar att delta minst och möter fortfarande hinder för att få tillgång till sådana tjänster.</w:t>
            </w:r>
            <w:r>
              <w:t xml:space="preserve"> </w:t>
            </w:r>
            <w:r>
              <w:rPr>
                <w:b/>
                <w:i/>
              </w:rPr>
              <w:t>För att uppfylla Barcelonamålen för förskoleverksamhet och barnomsorg 2030 bör EU investera ytterligare 11 miljarder euro per år</w:t>
            </w:r>
            <w:r>
              <w:rPr>
                <w:b/>
                <w:i/>
                <w:vertAlign w:val="superscript"/>
              </w:rPr>
              <w:t>4a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Employment and Social Developments in Europe 2014, Europeiska kommissionen.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Ad.</w:t>
            </w:r>
            <w:r>
              <w:tab/>
            </w:r>
            <w:r>
              <w:rPr>
                <w:b/>
                <w:i/>
              </w:rPr>
              <w:t>Hanteringen av de utmaningar som identifieras i den gemensamma sysselsättningsrapporten kommer att bidra till att uppnå uppåtgående social konvergens, stödja en rättvis grön och digital omställning, hantera demografiska förändringar och bidra till att uppnå målen för hållbar utveckling.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Ae.</w:t>
            </w:r>
            <w:r>
              <w:tab/>
            </w:r>
            <w:r>
              <w:rPr>
                <w:b/>
                <w:i/>
              </w:rPr>
              <w:t>Det finns fortfarande 1,4 miljoner människor som bor på institutioner i EU.</w:t>
            </w:r>
            <w:r>
              <w:t xml:space="preserve"> </w:t>
            </w:r>
            <w:r>
              <w:rPr>
                <w:b/>
                <w:i/>
              </w:rPr>
              <w:t>Personer som är bosatta på institutioner är isolerade från samhället i stort och har inte tillräcklig kontroll över sina liv och de beslut som påverkar dem.</w:t>
            </w:r>
            <w:r>
              <w:t xml:space="preserve"> </w:t>
            </w:r>
            <w:r>
              <w:rPr>
                <w:b/>
                <w:i/>
              </w:rPr>
              <w:t>Trots att Europeiska unionen länge har engagerat sig i avinstitutionaliseringsprocessen krävs det fortfarande insatser på både europeisk och nationell nivå för att utsatta grupper ska kunna leva självständigt i en samhällsmiljö.</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Ae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Ae.</w:t>
            </w:r>
            <w:r>
              <w:tab/>
            </w:r>
            <w:r>
              <w:rPr>
                <w:b/>
                <w:i/>
              </w:rPr>
              <w:t>Andelen egenföretagare minskar, även bland ungdomar, och arbeten av låg kvalitet bland egenföretagare är oproportionerligt många.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Demografiska utmaningar, bland annat en åldrande befolkning, låga födelsetal och avfolkning av landsbygden, påverkar </w:t>
            </w:r>
            <w:r>
              <w:rPr>
                <w:b/>
                <w:i/>
              </w:rPr>
              <w:t>välfärdssystemens hållbarhet i grunden och</w:t>
            </w:r>
            <w:r>
              <w:t xml:space="preserve"> utgör därmed en strukturell utmaning för EU:s ekonomi. I Draghi-rapporten betonas just att hållbar tillväxt i Europa i stor utsträckning är beroende av att den aktiva befolkningen inkluderas på arbetsmarknaden och av ett starkt välfärdssystem.</w:t>
            </w:r>
          </w:p>
        </w:tc>
        <w:tc>
          <w:tcPr>
            <w:tcW w:w="4876" w:type="dxa"/>
            <w:tcBorders>
              <w:top w:val="nil"/>
              <w:left w:val="nil"/>
              <w:bottom w:val="nil"/>
              <w:right w:val="nil"/>
            </w:tcBorders>
          </w:tcPr>
          <w:p>
            <w:pPr>
              <w:pStyle w:val="Normal6a"/>
            </w:pPr>
            <w:r>
              <w:t>B.</w:t>
            </w:r>
            <w:r>
              <w:tab/>
            </w:r>
            <w:r>
              <w:t xml:space="preserve">Demografiska utmaningar, bland annat en åldrande befolkning, låga födelsetal och avfolkning av landsbygden, påverkar </w:t>
            </w:r>
            <w:r>
              <w:rPr>
                <w:b/>
                <w:i/>
              </w:rPr>
              <w:t>i hög grad arbetskraftens storlek, EU:s produktivitet och arbetsmarknaderna där bristen på arbetskraft och kompetens ligger kvar på historiskt höga nivåer, och välfärdssystemens hållbarhet</w:t>
            </w:r>
            <w:r>
              <w:t xml:space="preserve"> utgör därmed en strukturell utmaning för EU:s ekonomi. I Draghi-rapporten betonas just att hållbar tillväxt </w:t>
            </w:r>
            <w:r>
              <w:rPr>
                <w:b/>
                <w:i/>
              </w:rPr>
              <w:t>och konkurrenskraft</w:t>
            </w:r>
            <w:r>
              <w:t xml:space="preserve"> i Europa i stor utsträckning är beroende av att </w:t>
            </w:r>
            <w:r>
              <w:rPr>
                <w:b/>
                <w:i/>
              </w:rPr>
              <w:t>utbildningssystemen anpassas till nya kompetensbehov, att vuxenlärande och yrkesutbildning och högre utbildning prioriteras, att</w:t>
            </w:r>
            <w:r>
              <w:t xml:space="preserve"> den aktiva befolkningen inkluderas på arbetsmarknaden och av ett starkt välfärdssystem </w:t>
            </w:r>
            <w:r>
              <w:rPr>
                <w:b/>
                <w:i/>
              </w:rPr>
              <w:t>som tillhandahåller starka offentliga tjänster.</w:t>
            </w:r>
            <w:r>
              <w:t xml:space="preserve"> </w:t>
            </w:r>
            <w:r>
              <w:rPr>
                <w:b/>
                <w:i/>
              </w:rPr>
              <w:t>ESF+-investeringar i aktiva arbetsmarknadsåtgärder förväntas öka sysselsättningen efter investeringsperioden, särskilt för låginkomstgrupper</w:t>
            </w:r>
            <w:r>
              <w:rPr>
                <w:b/>
                <w:i/>
                <w:vertAlign w:val="superscript"/>
              </w:rPr>
              <w:t>5a</w:t>
            </w:r>
            <w:r>
              <w:rPr>
                <w:b/>
                <w:i/>
              </w:rPr>
              <w:t>.</w:t>
            </w:r>
            <w:r>
              <w:t xml:space="preserve"> </w:t>
            </w:r>
            <w:r>
              <w:rPr>
                <w:b/>
                <w:i/>
              </w:rPr>
              <w:t>Fram till 2030 förväntas den förvärvsarbetande befolkningen i EU minska med 7 miljoner arbetstagare</w:t>
            </w:r>
            <w:r>
              <w:rPr>
                <w:b/>
                <w:i/>
                <w:vertAlign w:val="superscript"/>
              </w:rPr>
              <w:t>6a</w:t>
            </w:r>
            <w:r>
              <w:rPr>
                <w:b/>
                <w:i/>
              </w:rPr>
              <w:t>, och detta antal förväntas öka med ytterligare 35 miljoner personer fram till 2050</w:t>
            </w:r>
            <w:r>
              <w:rPr>
                <w:b/>
                <w:i/>
                <w:vertAlign w:val="superscript"/>
              </w:rPr>
              <w:t>7a</w:t>
            </w:r>
            <w:r>
              <w:rPr>
                <w:b/>
                <w:i/>
              </w:rPr>
              <w:t>, vilket tyder på att laglig arbetskraftsmigration kommer att vara nödvändig för att komplettera den europeiska arbetskraften</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5a</w:t>
            </w:r>
            <w:r>
              <w:t xml:space="preserve"> </w:t>
            </w:r>
            <w:r>
              <w:rPr>
                <w:b/>
                <w:i/>
              </w:rPr>
              <w:t>Employment and Social Developments in Europe (ESDE) 2024, Europeiska kommissionen, september 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6a</w:t>
            </w:r>
            <w:r>
              <w:t xml:space="preserve"> </w:t>
            </w:r>
            <w:r>
              <w:rPr>
                <w:b/>
                <w:i/>
              </w:rPr>
              <w:t>Employment and Social Developments in Europe (ESDE) 2023, Europeiska kommissionen, juli 2023.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7a</w:t>
            </w:r>
            <w:r>
              <w:t xml:space="preserve"> </w:t>
            </w:r>
            <w:r>
              <w:rPr>
                <w:b/>
                <w:i/>
              </w:rPr>
              <w:t>Kommissionens meddelande Utnyttja talangen i Europas regioner, COM(2023)0032.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Demografiska utmaningar, bland annat en åldrande befolkning, låga födelsetal och avfolkning av landsbygden, påverkar </w:t>
            </w:r>
            <w:r>
              <w:rPr>
                <w:b/>
                <w:i/>
              </w:rPr>
              <w:t>välfärdssystemens hållbarhet</w:t>
            </w:r>
            <w:r>
              <w:t xml:space="preserve"> i grunden och utgör därmed en strukturell utmaning för EU:s ekonomi. I Draghi-rapporten betonas just att hållbar tillväxt i Europa </w:t>
            </w:r>
            <w:r>
              <w:rPr>
                <w:b/>
                <w:i/>
              </w:rPr>
              <w:t>i stor utsträckning är beroende av</w:t>
            </w:r>
            <w:r>
              <w:t xml:space="preserve"> att den aktiva befolkningen inkluderas på arbetsmarknaden och av ett starkt välfärdssystem.</w:t>
            </w:r>
          </w:p>
        </w:tc>
        <w:tc>
          <w:tcPr>
            <w:tcW w:w="4876" w:type="dxa"/>
            <w:tcBorders>
              <w:top w:val="nil"/>
              <w:left w:val="nil"/>
              <w:bottom w:val="nil"/>
              <w:right w:val="nil"/>
            </w:tcBorders>
          </w:tcPr>
          <w:p>
            <w:pPr>
              <w:pStyle w:val="Normal6a"/>
            </w:pPr>
            <w:r>
              <w:t>B.</w:t>
            </w:r>
            <w:r>
              <w:tab/>
            </w:r>
            <w:r>
              <w:t xml:space="preserve">Demografiska utmaningar, bland annat en åldrande befolkning, låga födelsetal och avfolkning av landsbygden, </w:t>
            </w:r>
            <w:r>
              <w:rPr>
                <w:b/>
                <w:i/>
              </w:rPr>
              <w:t>särskilt genom att ungdomar flyttar till städerna,</w:t>
            </w:r>
            <w:r>
              <w:t xml:space="preserve"> påverkar </w:t>
            </w:r>
            <w:r>
              <w:rPr>
                <w:b/>
                <w:i/>
              </w:rPr>
              <w:t>den ekonomiska livskraften och attraktionskraften för EU:s regioner</w:t>
            </w:r>
            <w:r>
              <w:t xml:space="preserve"> i grunden och utgör därmed en strukturell utmaning för EU:s ekonomi. I Draghi-rapporten betonas just att hållbar tillväxt i Europa </w:t>
            </w:r>
            <w:r>
              <w:rPr>
                <w:b/>
                <w:i/>
              </w:rPr>
              <w:t>är beroende av att ett starkt system för socialt skydd upprätthålls, att det finns tillgång till offenbtliga tjänster,</w:t>
            </w:r>
            <w:r>
              <w:t xml:space="preserve"> att den aktiva befolkningen inkluderas på arbetsmarknaden och av ett starkt välfärdssystem.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Demografiska utmaningar, bland annat en åldrande befolkning, låga födelsetal och avfolkning av landsbygden, påverkar välfärdssystemens hållbarhet i grunden och utgör därmed en strukturell utmaning för EU:s ekonomi. I Draghi-rapporten betonas just att hållbar tillväxt i Europa i stor utsträckning är beroende av att den aktiva befolkningen inkluderas på arbetsmarknaden och av ett starkt välfärdssystem.</w:t>
            </w:r>
          </w:p>
        </w:tc>
        <w:tc>
          <w:tcPr>
            <w:tcW w:w="4876" w:type="dxa"/>
            <w:tcBorders>
              <w:top w:val="nil"/>
              <w:left w:val="nil"/>
              <w:bottom w:val="nil"/>
              <w:right w:val="nil"/>
            </w:tcBorders>
          </w:tcPr>
          <w:p>
            <w:pPr>
              <w:pStyle w:val="Normal6a"/>
            </w:pPr>
            <w:r>
              <w:t>B.</w:t>
            </w:r>
            <w:r>
              <w:tab/>
            </w:r>
            <w:r>
              <w:t xml:space="preserve">Demografiska utmaningar, bland annat en åldrande befolkning, låga födelsetal och avfolkning av landsbygden, påverkar välfärdssystemens hållbarhet i grunden och utgör därmed en strukturell utmaning för EU:s ekonomi. I Draghi-rapporten betonas just att hållbar tillväxt i Europa i stor utsträckning är beroende av att den aktiva befolkningen inkluderas på arbetsmarknaden och av ett starkt välfärdssystem. </w:t>
            </w:r>
            <w:r>
              <w:rPr>
                <w:b/>
                <w:i/>
              </w:rPr>
              <w:t>Vissa sektorer behöver snabbare automatisering och robotisering för att undvika en drastisk produktivitetsminskning på grund av bristen på anställda.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Demografiska utmaningar, bland annat en åldrande befolkning, låga födelsetal och avfolkning av landsbygden, påverkar välfärdssystemens hållbarhet i grunden och utgör därmed en strukturell utmaning för EU:s ekonomi. I Draghi-rapporten betonas just att hållbar tillväxt i Europa i stor utsträckning är beroende av att den aktiva befolkningen inkluderas på arbetsmarknaden och av ett starkt välfärdssystem.</w:t>
            </w:r>
          </w:p>
        </w:tc>
        <w:tc>
          <w:tcPr>
            <w:tcW w:w="4876" w:type="dxa"/>
            <w:tcBorders>
              <w:top w:val="nil"/>
              <w:left w:val="nil"/>
              <w:bottom w:val="nil"/>
              <w:right w:val="nil"/>
            </w:tcBorders>
          </w:tcPr>
          <w:p>
            <w:pPr>
              <w:pStyle w:val="Normal6a"/>
            </w:pPr>
            <w:r>
              <w:t>B.</w:t>
            </w:r>
            <w:r>
              <w:tab/>
            </w:r>
            <w:r>
              <w:t xml:space="preserve">Demografiska utmaningar, bland annat en åldrande befolkning, låga födelsetal och avfolkning av landsbygden, påverkar välfärdssystemens hållbarhet i grunden och utgör därmed en strukturell utmaning för EU:s ekonomi. I Draghi-rapporten betonas just att hållbar tillväxt i Europa i stor utsträckning är beroende av att den aktiva </w:t>
            </w:r>
            <w:r>
              <w:rPr>
                <w:b/>
                <w:i/>
              </w:rPr>
              <w:t>nationella befolkningen i ett första skede och därefter den europeiska</w:t>
            </w:r>
            <w:r>
              <w:t xml:space="preserve"> befolkningen inkluderas på arbetsmarknaden och av ett starkt välfärdssystem </w:t>
            </w:r>
            <w:r>
              <w:rPr>
                <w:b/>
                <w:i/>
              </w:rPr>
              <w:t>som inte på något sätt skulle ersätta nationella särdrag</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Marlena Maląg, Georgiana Teodorescu, Elena Donazzan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Demografiska utmaningar, bland annat en åldrande befolkning, låga födelsetal och avfolkning av landsbygden, påverkar välfärdssystemens hållbarhet i grunden och utgör därmed en strukturell utmaning för EU:s ekonomi. I Draghi-rapporten betonas just att hållbar tillväxt i Europa i stor utsträckning är beroende av att den aktiva befolkningen inkluderas på arbetsmarknaden och av ett starkt välfärdssystem.</w:t>
            </w:r>
          </w:p>
        </w:tc>
        <w:tc>
          <w:tcPr>
            <w:tcW w:w="4876" w:type="dxa"/>
            <w:tcBorders>
              <w:top w:val="nil"/>
              <w:left w:val="nil"/>
              <w:bottom w:val="nil"/>
              <w:right w:val="nil"/>
            </w:tcBorders>
          </w:tcPr>
          <w:p>
            <w:pPr>
              <w:pStyle w:val="Normal6a"/>
            </w:pPr>
            <w:r>
              <w:t>B.</w:t>
            </w:r>
            <w:r>
              <w:tab/>
            </w:r>
            <w:r>
              <w:t xml:space="preserve">Demografiska utmaningar, bland annat en åldrande befolkning, låga födelsetal och avfolkning av landsbygden, påverkar välfärdssystemens hållbarhet i grunden och </w:t>
            </w:r>
            <w:r>
              <w:rPr>
                <w:b/>
                <w:i/>
              </w:rPr>
              <w:t>förvärrar de regionala skillnaderna i EU och</w:t>
            </w:r>
            <w:r>
              <w:t xml:space="preserve"> utgör därmed en strukturell utmaning för EU:s ekonomi. I Draghi-rapporten betonas just att hållbar tillväxt i Europa i stor utsträckning är beroende av att den aktiva befolkningen inkluderas på arbetsmarknaden och av ett starkt välfärdssystem.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rPr>
                <w:b/>
                <w:i/>
              </w:rPr>
              <w:t>Demografiska utmaningar, bland annat en åldrande befolkning, låga födelsetal och avfolkning av landsbygden, påverkar välfärdssystemens hållbarhet i grunden</w:t>
            </w:r>
            <w:r>
              <w:t xml:space="preserve"> och utgör </w:t>
            </w:r>
            <w:r>
              <w:rPr>
                <w:b/>
                <w:i/>
              </w:rPr>
              <w:t>därmed</w:t>
            </w:r>
            <w:r>
              <w:t xml:space="preserve"> en strukturell utmaning för EU</w:t>
            </w:r>
            <w:r>
              <w:rPr>
                <w:b/>
                <w:i/>
              </w:rPr>
              <w:t>:s ekonomi</w:t>
            </w:r>
            <w:r>
              <w:t xml:space="preserve">. I Draghi-rapporten betonas just att hållbar tillväxt i Europa i stor utsträckning är beroende av </w:t>
            </w:r>
            <w:r>
              <w:rPr>
                <w:b/>
                <w:i/>
              </w:rPr>
              <w:t>att den aktiva befolkningen inkluderas</w:t>
            </w:r>
            <w:r>
              <w:t xml:space="preserve"> på arbetsmarknaden </w:t>
            </w:r>
            <w:r>
              <w:rPr>
                <w:b/>
                <w:i/>
              </w:rPr>
              <w:t>och</w:t>
            </w:r>
            <w:r>
              <w:t xml:space="preserve"> av ett starkt välfärdssystem.</w:t>
            </w:r>
          </w:p>
        </w:tc>
        <w:tc>
          <w:tcPr>
            <w:tcW w:w="4876" w:type="dxa"/>
            <w:tcBorders>
              <w:top w:val="nil"/>
              <w:left w:val="nil"/>
              <w:bottom w:val="nil"/>
              <w:right w:val="nil"/>
            </w:tcBorders>
          </w:tcPr>
          <w:p>
            <w:pPr>
              <w:pStyle w:val="Normal6a"/>
            </w:pPr>
            <w:r>
              <w:t>B.</w:t>
            </w:r>
            <w:r>
              <w:tab/>
            </w:r>
            <w:r>
              <w:rPr>
                <w:b/>
                <w:i/>
              </w:rPr>
              <w:t>Demografisk utveckling, ökad livslängd och avfolkningen av landsbygden påverkar hållbarheten i systemen för socialt skydd och sociala tjänster</w:t>
            </w:r>
            <w:r>
              <w:t xml:space="preserve"> och utgör </w:t>
            </w:r>
            <w:r>
              <w:rPr>
                <w:b/>
                <w:i/>
              </w:rPr>
              <w:t>därför</w:t>
            </w:r>
            <w:r>
              <w:t xml:space="preserve"> en strukturell utmaning för EU </w:t>
            </w:r>
            <w:r>
              <w:rPr>
                <w:b/>
                <w:i/>
              </w:rPr>
              <w:t>när det gäller ekonomin</w:t>
            </w:r>
            <w:r>
              <w:t xml:space="preserve">. I Draghi-rapporten betonas just att hållbar tillväxt i Europa i stor utsträckning är beroende av </w:t>
            </w:r>
            <w:r>
              <w:rPr>
                <w:b/>
                <w:i/>
              </w:rPr>
              <w:t>en effektiv och rättvis integration</w:t>
            </w:r>
            <w:r>
              <w:t xml:space="preserve"> på arbetsmarknaden </w:t>
            </w:r>
            <w:r>
              <w:rPr>
                <w:b/>
                <w:i/>
              </w:rPr>
              <w:t>samt</w:t>
            </w:r>
            <w:r>
              <w:t xml:space="preserve"> av ett starkt välfärdssystem.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I Draghi-rapporten betonas just att migrerande arbetstagare har varit en viktig faktor för att minska bristen på arbetskraft och att de är mer benägna att arbeta inom yrken med ihållande brist på arbetskraft än arbetstagare som är födda 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Bb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70 % av arbetstagarna i Europa har arbeten av god kvalitet, medan 30 % har ansträngda arbeten där efterfrågan är större än de resurser som står till förfogande för att balansera den, vilket leder till överlag låg kvalitet i arbetet.</w:t>
            </w:r>
            <w:r>
              <w:t xml:space="preserve"> </w:t>
            </w:r>
            <w:r>
              <w:rPr>
                <w:b/>
                <w:i/>
              </w:rPr>
              <w:t>Inom många yrken med ihållande brist på arbetskraft är andelen arbetstillfällen av låg kvalitet högre än 30 %.</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I Letta-rapporten beklagar man de sjunkande födelsetalen, och noterar vikten av att skapa en ram för att stödja alla familjer, som ett led i en strategi för tillväxt för alla, samt betonar behovet av att främja strategier för balans mellan arbetsliv och privatliv.</w:t>
            </w:r>
          </w:p>
        </w:tc>
        <w:tc>
          <w:tcPr>
            <w:tcW w:w="4876" w:type="dxa"/>
            <w:tcBorders>
              <w:top w:val="nil"/>
              <w:left w:val="nil"/>
              <w:bottom w:val="nil"/>
              <w:right w:val="nil"/>
            </w:tcBorders>
          </w:tcPr>
          <w:p>
            <w:pPr>
              <w:pStyle w:val="Normal6a"/>
            </w:pPr>
            <w:r>
              <w:t>C.</w:t>
            </w:r>
            <w:r>
              <w:tab/>
            </w:r>
            <w:r>
              <w:t xml:space="preserve">I Letta-rapporten beklagar man de sjunkande födelsetalen, och noterar vikten av att skapa en ram för att </w:t>
            </w:r>
            <w:r>
              <w:rPr>
                <w:b/>
                <w:i/>
              </w:rPr>
              <w:t>förbättra jämställdheten och</w:t>
            </w:r>
            <w:r>
              <w:t xml:space="preserve"> stödja alla </w:t>
            </w:r>
            <w:r>
              <w:rPr>
                <w:b/>
                <w:i/>
              </w:rPr>
              <w:t>typer av</w:t>
            </w:r>
            <w:r>
              <w:t xml:space="preserve"> familjer </w:t>
            </w:r>
            <w:r>
              <w:rPr>
                <w:b/>
                <w:i/>
              </w:rPr>
              <w:t>och personer, inbegripet ensamstående föräldrar</w:t>
            </w:r>
            <w:r>
              <w:t xml:space="preserve">, som ett led i en strategi för tillväxt för alla, samt betonar behovet av att främja strategier för balans mellan arbetsliv och privatliv </w:t>
            </w:r>
            <w:r>
              <w:rPr>
                <w:b/>
                <w:i/>
              </w:rPr>
              <w:t>genom att införa tillgängliga och professionella omsorgssystem och säkra offentlig utbildning av god kvalitet, familjerelaterad ledighet och flexibla arbetsformer i linje med den europeiska strategin för vård och omsorg.</w:t>
            </w:r>
            <w:r>
              <w:t xml:space="preserve"> </w:t>
            </w:r>
            <w:r>
              <w:rPr>
                <w:b/>
                <w:i/>
              </w:rPr>
              <w:t>Eurostat betonar ökningen av EU:s befolkning på grund av migration och behovet av att satsa mer på migranternas integration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I Letta-rapporten </w:t>
            </w:r>
            <w:r>
              <w:rPr>
                <w:b/>
                <w:i/>
              </w:rPr>
              <w:t>beklagar man de sjunkande födelsetalen, och noterar vikten av att skapa en ram för att stödja alla familjer, som ett led i en strategi för</w:t>
            </w:r>
            <w:r>
              <w:t xml:space="preserve"> tillväxt för alla</w:t>
            </w:r>
            <w:r>
              <w:rPr>
                <w:b/>
                <w:i/>
              </w:rPr>
              <w:t>, samt betonar behovet av att främja strategier för balans mellan arbetsliv och privatliv</w:t>
            </w:r>
            <w:r>
              <w:t>.</w:t>
            </w:r>
          </w:p>
        </w:tc>
        <w:tc>
          <w:tcPr>
            <w:tcW w:w="4876" w:type="dxa"/>
            <w:tcBorders>
              <w:top w:val="nil"/>
              <w:left w:val="nil"/>
              <w:bottom w:val="nil"/>
              <w:right w:val="nil"/>
            </w:tcBorders>
          </w:tcPr>
          <w:p>
            <w:pPr>
              <w:pStyle w:val="Normal6a"/>
            </w:pPr>
            <w:r>
              <w:t>C.</w:t>
            </w:r>
            <w:r>
              <w:tab/>
            </w:r>
            <w:r>
              <w:t xml:space="preserve">I Letta-rapporten </w:t>
            </w:r>
            <w:r>
              <w:rPr>
                <w:b/>
                <w:i/>
              </w:rPr>
              <w:t>betonas behovet av en stark social dimension på EU:s inre marknad för att förhindra stora ekonomiska och sociala obalanser, främja välstånd, säkerställa rättvisa möjligheter, arbetstagares rättigheter och socialt skydd för alla, samtidigt som man bidrar till</w:t>
            </w:r>
            <w:r>
              <w:t xml:space="preserve"> tillväxt för alla </w:t>
            </w:r>
            <w:r>
              <w:rPr>
                <w:b/>
                <w:i/>
              </w:rPr>
              <w:t>och konkurrenskraft i linje med pelaren för sociala rättigheter.</w:t>
            </w:r>
            <w:r>
              <w:t xml:space="preserve"> </w:t>
            </w:r>
            <w:r>
              <w:rPr>
                <w:b/>
                <w:i/>
              </w:rPr>
              <w:t>I rapporten konstaterar man att den fria rörligheten för personer fortfarande är den minst utvecklade av de fyra friheterna och att hindren för yrkesmässig rörlighet inom EU måste minskas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I Letta-rapporten </w:t>
            </w:r>
            <w:r>
              <w:rPr>
                <w:b/>
                <w:i/>
              </w:rPr>
              <w:t>beklagar</w:t>
            </w:r>
            <w:r>
              <w:t xml:space="preserve"> man de sjunkande födelsetalen</w:t>
            </w:r>
            <w:r>
              <w:rPr>
                <w:b/>
                <w:i/>
              </w:rPr>
              <w:t>, och noterar</w:t>
            </w:r>
            <w:r>
              <w:t xml:space="preserve"> vikten av att skapa en ram för att stödja alla </w:t>
            </w:r>
            <w:r>
              <w:rPr>
                <w:b/>
                <w:i/>
              </w:rPr>
              <w:t>familjer</w:t>
            </w:r>
            <w:r>
              <w:t xml:space="preserve">, som ett led i en strategi för tillväxt för alla, samt </w:t>
            </w:r>
            <w:r>
              <w:rPr>
                <w:b/>
                <w:i/>
              </w:rPr>
              <w:t>betonar</w:t>
            </w:r>
            <w:r>
              <w:t xml:space="preserve"> behovet av att främja strategier för balans mellan arbetsliv och privatliv.</w:t>
            </w:r>
          </w:p>
        </w:tc>
        <w:tc>
          <w:tcPr>
            <w:tcW w:w="4876" w:type="dxa"/>
            <w:tcBorders>
              <w:top w:val="nil"/>
              <w:left w:val="nil"/>
              <w:bottom w:val="nil"/>
              <w:right w:val="nil"/>
            </w:tcBorders>
          </w:tcPr>
          <w:p>
            <w:pPr>
              <w:pStyle w:val="Normal6a"/>
            </w:pPr>
            <w:r>
              <w:t>C.</w:t>
            </w:r>
            <w:r>
              <w:tab/>
            </w:r>
            <w:r>
              <w:t xml:space="preserve">I Letta-rapporten </w:t>
            </w:r>
            <w:r>
              <w:rPr>
                <w:b/>
                <w:i/>
              </w:rPr>
              <w:t>noterar</w:t>
            </w:r>
            <w:r>
              <w:t xml:space="preserve"> man de sjunkande födelsetalen </w:t>
            </w:r>
            <w:r>
              <w:rPr>
                <w:b/>
                <w:i/>
              </w:rPr>
              <w:t>och betonar</w:t>
            </w:r>
            <w:r>
              <w:t xml:space="preserve"> vikten av att skapa en ram för att stödja alla </w:t>
            </w:r>
            <w:r>
              <w:rPr>
                <w:b/>
                <w:i/>
              </w:rPr>
              <w:t>i våra samhällen under denna extrema levnadskostnadskris</w:t>
            </w:r>
            <w:r>
              <w:t xml:space="preserve">, som ett led i en strategi för tillväxt för alla, samt </w:t>
            </w:r>
            <w:r>
              <w:rPr>
                <w:b/>
                <w:i/>
              </w:rPr>
              <w:t>understryker</w:t>
            </w:r>
            <w:r>
              <w:t xml:space="preserve"> behovet av att främja strategier för balans mellan arbetsliv och privatliv </w:t>
            </w:r>
            <w:r>
              <w:rPr>
                <w:b/>
                <w:i/>
              </w:rPr>
              <w:t>för alla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Branislav Ondruš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I Letta-rapporten beklagar man de sjunkande födelsetalen, och noterar vikten av att skapa en ram för att stödja alla familjer, som ett led i en strategi för tillväxt för alla, samt betonar behovet av att främja strategier för balans mellan arbetsliv och privatliv.</w:t>
            </w:r>
          </w:p>
        </w:tc>
        <w:tc>
          <w:tcPr>
            <w:tcW w:w="4876" w:type="dxa"/>
            <w:tcBorders>
              <w:top w:val="nil"/>
              <w:left w:val="nil"/>
              <w:bottom w:val="nil"/>
              <w:right w:val="nil"/>
            </w:tcBorders>
          </w:tcPr>
          <w:p>
            <w:pPr>
              <w:pStyle w:val="Normal6a"/>
            </w:pPr>
            <w:r>
              <w:t>C.</w:t>
            </w:r>
            <w:r>
              <w:tab/>
            </w:r>
            <w:r>
              <w:t xml:space="preserve">I Letta-rapporten beklagar man de sjunkande födelsetalen, och noterar vikten av att skapa en </w:t>
            </w:r>
            <w:r>
              <w:rPr>
                <w:b/>
                <w:i/>
              </w:rPr>
              <w:t>övergripande</w:t>
            </w:r>
            <w:r>
              <w:t xml:space="preserve"> ram för att stödja alla familjer, som ett led i en strategi för tillväxt för alla, samt betonar behovet av att främja strategier för balans mellan arbetsliv och privatliv.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I Letta-rapporten beklagar man de sjunkande födelsetalen, och noterar vikten av att skapa en ram för att stödja alla familjer, som ett led i en strategi för tillväxt för alla, samt betonar behovet av att främja </w:t>
            </w:r>
            <w:r>
              <w:rPr>
                <w:b/>
                <w:i/>
              </w:rPr>
              <w:t>strategier för balans mellan arbetsliv och privatliv</w:t>
            </w:r>
            <w:r>
              <w:t>.</w:t>
            </w:r>
          </w:p>
        </w:tc>
        <w:tc>
          <w:tcPr>
            <w:tcW w:w="4876" w:type="dxa"/>
            <w:tcBorders>
              <w:top w:val="nil"/>
              <w:left w:val="nil"/>
              <w:bottom w:val="nil"/>
              <w:right w:val="nil"/>
            </w:tcBorders>
          </w:tcPr>
          <w:p>
            <w:pPr>
              <w:pStyle w:val="Normal6a"/>
            </w:pPr>
            <w:r>
              <w:t>C.</w:t>
            </w:r>
            <w:r>
              <w:tab/>
            </w:r>
            <w:r>
              <w:t xml:space="preserve">I Letta-rapporten beklagar man de sjunkande födelsetalen, och noterar vikten av att skapa en ram för att stödja alla familjer </w:t>
            </w:r>
            <w:r>
              <w:rPr>
                <w:b/>
                <w:i/>
              </w:rPr>
              <w:t>bestående av europeiska medborgare</w:t>
            </w:r>
            <w:r>
              <w:t xml:space="preserve">, som ett led i en strategi för tillväxt för alla, samt betonar behovet av att främja </w:t>
            </w:r>
            <w:r>
              <w:rPr>
                <w:b/>
                <w:i/>
              </w:rPr>
              <w:t>familjevänliga strategier</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Främjandet av en stark, hållbar och inkluderande ekonomisk tillväxt med sysselsättningsskapande, i enlighet med rekommendationerna i den europeiska planeringsterminen, kan endast lyckas om barn tillåts utvecklas på sina egna villkor och utnyttja sin fulla (utbildnings)potential för att förbereda sig för den framtida kvalificerade arbetsmarknaden, samtidigt som man främjar lika möjligheter och social sammanhållning, minskar hälsomässiga och sociala ojämlikheter och stärker barns sociala delaktighet och välbefinnande.</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Cb.</w:t>
            </w:r>
            <w:r>
              <w:tab/>
            </w:r>
            <w:r>
              <w:rPr>
                <w:b/>
                <w:i/>
              </w:rPr>
              <w:t>I detta syfte måste barn ha ändamålsenlig tillgång till grundläggande omsorgstjänster, såsom förskoleverksamhet och barnomsorg, utbildnings- och skolverksamhet och framför allt grundläggande hälso- och sjukvård, genom ändamålsenlig tillgång till hälsosam mat, inbegripet minst ett mål hälsosam mat varje skoldag för att de ska kunna bygga upp sin motståndskraft.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Cc.</w:t>
            </w:r>
            <w:r>
              <w:tab/>
            </w:r>
            <w:r>
              <w:rPr>
                <w:b/>
                <w:i/>
              </w:rPr>
              <w:t>Det är nödvändigt att stärka familjer på ett målinriktat sätt för att säkerställa en bättre utveckling av kommande generationer.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Cd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Cd.</w:t>
            </w:r>
            <w:r>
              <w:tab/>
            </w:r>
            <w:r>
              <w:rPr>
                <w:b/>
                <w:i/>
              </w:rPr>
              <w:t>Det behövs betydande framsteg för att bekämpa fattigdom som drabbar barn och deras familjer och bidra till målet om att minska fattigdomen med minst 15 miljoner människor, däribland minst 5 miljoner barn i alla medlemsstater, fram till 2030.</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rPr>
                <w:b/>
                <w:i/>
              </w:rPr>
              <w:t>Inflationen</w:t>
            </w:r>
            <w:r>
              <w:t xml:space="preserve"> har ökat bördan för hushållen, </w:t>
            </w:r>
            <w:r>
              <w:rPr>
                <w:b/>
                <w:i/>
              </w:rPr>
              <w:t>och</w:t>
            </w:r>
            <w:r>
              <w:t xml:space="preserve"> boendekostnaderna </w:t>
            </w:r>
            <w:r>
              <w:rPr>
                <w:b/>
                <w:i/>
              </w:rPr>
              <w:t>och energifattigdomen är fortfarande stora problem</w:t>
            </w:r>
            <w:r>
              <w:t>.</w:t>
            </w:r>
          </w:p>
        </w:tc>
        <w:tc>
          <w:tcPr>
            <w:tcW w:w="4876" w:type="dxa"/>
            <w:tcBorders>
              <w:top w:val="nil"/>
              <w:left w:val="nil"/>
              <w:bottom w:val="nil"/>
              <w:right w:val="nil"/>
            </w:tcBorders>
          </w:tcPr>
          <w:p>
            <w:pPr>
              <w:pStyle w:val="Normal6a"/>
            </w:pPr>
            <w:r>
              <w:t>D.</w:t>
            </w:r>
            <w:r>
              <w:tab/>
            </w:r>
            <w:r>
              <w:rPr>
                <w:b/>
                <w:i/>
              </w:rPr>
              <w:t>Den höga inflationstakten</w:t>
            </w:r>
            <w:r>
              <w:t xml:space="preserve"> har ökat </w:t>
            </w:r>
            <w:r>
              <w:rPr>
                <w:b/>
                <w:i/>
              </w:rPr>
              <w:t>levnadskostnaderna, och</w:t>
            </w:r>
            <w:r>
              <w:t xml:space="preserve"> bördan för hushållen, </w:t>
            </w:r>
            <w:r>
              <w:rPr>
                <w:b/>
                <w:i/>
              </w:rPr>
              <w:t>boendekostnaderna, energifattigdomen och den sociala utestängningen är fortfarande kritiska utmaningar i EU, vilket särskilt drabbar kvinnor, ungdomar, barn, personer med funktionsnedsättning, hbti-personer, personer med invandrarbakgrund och romer, med betydande skillnader både mellan och inom medlemsstater och befolkningsgrupper.</w:t>
            </w:r>
            <w:r>
              <w:t xml:space="preserve"> </w:t>
            </w:r>
            <w:r>
              <w:rPr>
                <w:b/>
                <w:i/>
              </w:rPr>
              <w:t>Bostäderna håller på att bli oöverkomliga för många européer som bor i hushåll där</w:t>
            </w:r>
            <w:r>
              <w:t xml:space="preserve"> boendekostnaderna </w:t>
            </w:r>
            <w:r>
              <w:rPr>
                <w:b/>
                <w:i/>
              </w:rPr>
              <w:t>utgör 40 % av deras totala disponibla inkomst.</w:t>
            </w:r>
            <w:r>
              <w:t xml:space="preserve"> </w:t>
            </w:r>
            <w:r>
              <w:rPr>
                <w:b/>
                <w:i/>
              </w:rPr>
              <w:t>Anständiga bostäder av god kvalitet till överkomliga priser, bland annat genom subventionerat boende, är en grundläggande förutsättning för att säkerställa lika möjligheter och bekämpa fattigdom och/eller social utestängning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Inflationen har ökat bördan för hushållen</w:t>
            </w:r>
            <w:r>
              <w:rPr>
                <w:b/>
                <w:i/>
              </w:rPr>
              <w:t>, och boendekostnaderna och energifattigdomen</w:t>
            </w:r>
            <w:r>
              <w:t xml:space="preserve"> är fortfarande stora problem.</w:t>
            </w:r>
          </w:p>
        </w:tc>
        <w:tc>
          <w:tcPr>
            <w:tcW w:w="4876" w:type="dxa"/>
            <w:tcBorders>
              <w:top w:val="nil"/>
              <w:left w:val="nil"/>
              <w:bottom w:val="nil"/>
              <w:right w:val="nil"/>
            </w:tcBorders>
          </w:tcPr>
          <w:p>
            <w:pPr>
              <w:pStyle w:val="Normal6a"/>
            </w:pPr>
            <w:r>
              <w:t>D.</w:t>
            </w:r>
            <w:r>
              <w:tab/>
            </w:r>
            <w:r>
              <w:t xml:space="preserve">Inflationen har ökat bördan för hushållen </w:t>
            </w:r>
            <w:r>
              <w:rPr>
                <w:b/>
                <w:i/>
              </w:rPr>
              <w:t>och små och medelstora företag, vilket har ökat risken för fattigdom och social utestängning.</w:t>
            </w:r>
            <w:r>
              <w:t xml:space="preserve"> </w:t>
            </w:r>
            <w:r>
              <w:rPr>
                <w:b/>
                <w:i/>
              </w:rPr>
              <w:t>Levnadskostnader, tillgång till bostäder till överkomliga priser samt energi- och transportfattigdom</w:t>
            </w:r>
            <w:r>
              <w:t xml:space="preserve"> är fortfarande stora problem. </w:t>
            </w:r>
            <w:r>
              <w:rPr>
                <w:b/>
                <w:i/>
              </w:rPr>
              <w:t>Investeringar i sociala tjänster och ökat bostadsutbud, inbegripet subventionerat boende, samt bostadsbidrag, spelar en viktig roll för att minska fattigdomen bland utsatta hushåll och förbättra överkomligheten.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Inflationen har ökat bördan för hushållen, och </w:t>
            </w:r>
            <w:r>
              <w:rPr>
                <w:b/>
                <w:i/>
              </w:rPr>
              <w:t>boendekostnaderna</w:t>
            </w:r>
            <w:r>
              <w:t xml:space="preserve"> och energifattigdomen </w:t>
            </w:r>
            <w:r>
              <w:rPr>
                <w:b/>
                <w:i/>
              </w:rPr>
              <w:t>är fortfarande stora problem</w:t>
            </w:r>
            <w:r>
              <w:t>.</w:t>
            </w:r>
          </w:p>
        </w:tc>
        <w:tc>
          <w:tcPr>
            <w:tcW w:w="4876" w:type="dxa"/>
            <w:tcBorders>
              <w:top w:val="nil"/>
              <w:left w:val="nil"/>
              <w:bottom w:val="nil"/>
              <w:right w:val="nil"/>
            </w:tcBorders>
          </w:tcPr>
          <w:p>
            <w:pPr>
              <w:pStyle w:val="Normal6a"/>
            </w:pPr>
            <w:r>
              <w:t>D.</w:t>
            </w:r>
            <w:r>
              <w:tab/>
            </w:r>
            <w:r>
              <w:t xml:space="preserve">Inflationen har ökat bördan för hushållen, och </w:t>
            </w:r>
            <w:r>
              <w:rPr>
                <w:b/>
                <w:i/>
              </w:rPr>
              <w:t>bostadskostnaderna</w:t>
            </w:r>
            <w:r>
              <w:t xml:space="preserve"> och energifattigdomen </w:t>
            </w:r>
            <w:r>
              <w:rPr>
                <w:b/>
                <w:i/>
              </w:rPr>
              <w:t>ökade under 2023 i EU för andra året i rad, vilket återspeglar effekterna av de höga energikostnaderna och kräver aktiva åtgärder från medlemsstaternas sida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Inflationen har ökat bördan för hushållen, och boendekostnaderna och energifattigdomen är fortfarande stora problem.</w:t>
            </w:r>
          </w:p>
        </w:tc>
        <w:tc>
          <w:tcPr>
            <w:tcW w:w="4876" w:type="dxa"/>
            <w:tcBorders>
              <w:top w:val="nil"/>
              <w:left w:val="nil"/>
              <w:bottom w:val="nil"/>
              <w:right w:val="nil"/>
            </w:tcBorders>
          </w:tcPr>
          <w:p>
            <w:pPr>
              <w:pStyle w:val="Normal6a"/>
            </w:pPr>
            <w:r>
              <w:t>D.</w:t>
            </w:r>
            <w:r>
              <w:tab/>
            </w:r>
            <w:r>
              <w:t xml:space="preserve">Inflationen har ökat bördan för hushållen, </w:t>
            </w:r>
            <w:r>
              <w:rPr>
                <w:b/>
                <w:i/>
              </w:rPr>
              <w:t>med särskilt negativ inverkan på ensamstående föräldrar, stora familjer, äldre eller personer med funktionsnedsättning,</w:t>
            </w:r>
            <w:r>
              <w:t xml:space="preserve"> och boendekostnaderna och energifattigdomen är fortfarande stora problem.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Inflationen har ökat bördan för hushållen, </w:t>
            </w:r>
            <w:r>
              <w:rPr>
                <w:b/>
                <w:i/>
              </w:rPr>
              <w:t>och</w:t>
            </w:r>
            <w:r>
              <w:t xml:space="preserve"> boendekostnaderna och energifattigdomen är fortfarande stora problem.</w:t>
            </w:r>
          </w:p>
        </w:tc>
        <w:tc>
          <w:tcPr>
            <w:tcW w:w="4876" w:type="dxa"/>
            <w:tcBorders>
              <w:top w:val="nil"/>
              <w:left w:val="nil"/>
              <w:bottom w:val="nil"/>
              <w:right w:val="nil"/>
            </w:tcBorders>
          </w:tcPr>
          <w:p>
            <w:pPr>
              <w:pStyle w:val="Normal6a"/>
            </w:pPr>
            <w:r>
              <w:t>D.</w:t>
            </w:r>
            <w:r>
              <w:tab/>
            </w:r>
            <w:r>
              <w:t xml:space="preserve">Inflationen </w:t>
            </w:r>
            <w:r>
              <w:rPr>
                <w:b/>
                <w:i/>
              </w:rPr>
              <w:t>och bristen på omfördelningspolitik</w:t>
            </w:r>
            <w:r>
              <w:t xml:space="preserve"> har ökat </w:t>
            </w:r>
            <w:r>
              <w:rPr>
                <w:b/>
                <w:i/>
              </w:rPr>
              <w:t>den ekonomiska</w:t>
            </w:r>
            <w:r>
              <w:t xml:space="preserve"> bördan för hushållen, </w:t>
            </w:r>
            <w:r>
              <w:rPr>
                <w:b/>
                <w:i/>
              </w:rPr>
              <w:t>särskilt för de mest utsatta.</w:t>
            </w:r>
            <w:r>
              <w:t xml:space="preserve"> Boendekostnaderna och energifattigdomen är fortfarande stora problem </w:t>
            </w:r>
            <w:r>
              <w:rPr>
                <w:b/>
                <w:i/>
              </w:rPr>
              <w:t>i hela EU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Inflationen har ökat bördan för hushållen, och boendekostnaderna och energifattigdomen är fortfarande stora problem.</w:t>
            </w:r>
          </w:p>
        </w:tc>
        <w:tc>
          <w:tcPr>
            <w:tcW w:w="4876" w:type="dxa"/>
            <w:tcBorders>
              <w:top w:val="nil"/>
              <w:left w:val="nil"/>
              <w:bottom w:val="nil"/>
              <w:right w:val="nil"/>
            </w:tcBorders>
          </w:tcPr>
          <w:p>
            <w:pPr>
              <w:pStyle w:val="Normal6a"/>
            </w:pPr>
            <w:r>
              <w:t>D.</w:t>
            </w:r>
            <w:r>
              <w:tab/>
            </w:r>
            <w:r>
              <w:t xml:space="preserve">Inflationen har ökat bördan för hushållen, och boendekostnaderna och energifattigdomen är fortfarande stora problem </w:t>
            </w:r>
            <w:r>
              <w:rPr>
                <w:b/>
                <w:i/>
              </w:rPr>
              <w:t>när de medför alltför höga standarder för bostäder och energi</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 finanspolitiska strukturplanerna på medellång sikt visar en finanspolitisk utveckling som bekräftar en framväxande kompromiss mellan ökade investeringar och tillräckliga sociala utgifter.</w:t>
            </w:r>
            <w:r>
              <w:t xml:space="preserve"> </w:t>
            </w:r>
            <w:r>
              <w:rPr>
                <w:b/>
                <w:i/>
              </w:rPr>
              <w:t>De visar vidare en bristande överensstämmelse mellan reformer och investeringar och offentliga investeringar och mål för offentliga finanser.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Trots en minimal minskning av antalet personer som riskerar fattigdom eller social utestängning i EU under 2023 står omkring en person av fem fortfarande inför denna utmaning, med betydande skillnader mellan barn, ungdomar och äldre, personer med funktionsnedsättning, hbti-personer, personer födda utanför EU och romska befolkningsgrupper.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Db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Europeiska mikroföretag samt små och medelstora företag står inför särskilda utmaningar, såsom att bevara sin konkurrenskraft i förhållande till aktörer i tredjeländer, upprätthålla produktionsnivåerna med allt högre energikostnader och hitta de färdigheter som krävs för den gröna och digitala omställningen.</w:t>
            </w:r>
            <w:r>
              <w:t xml:space="preserve"> </w:t>
            </w:r>
            <w:r>
              <w:rPr>
                <w:b/>
                <w:i/>
              </w:rPr>
              <w:t>De behöver ekonomiskt och tekniskt stöd för att uppfylla de lagstadgade krav som härrör från de möjligheter som erbjuds genom den dubbla omställningen.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Bristen på </w:t>
            </w:r>
            <w:r>
              <w:rPr>
                <w:b/>
                <w:i/>
              </w:rPr>
              <w:t>arbetskraft och kompetens</w:t>
            </w:r>
            <w:r>
              <w:t xml:space="preserve"> är fortfarande ett problem på alla nivåer och förvärras av bristen på sökande till viktiga befattningar inom </w:t>
            </w:r>
            <w:r>
              <w:rPr>
                <w:b/>
                <w:i/>
              </w:rPr>
              <w:t>nyckelsektorer</w:t>
            </w:r>
            <w:r>
              <w:t xml:space="preserve"> såsom </w:t>
            </w:r>
            <w:r>
              <w:rPr>
                <w:b/>
                <w:i/>
              </w:rPr>
              <w:t>utbildning, hälso- och sjukvård och byggbranschen</w:t>
            </w:r>
            <w:r>
              <w:t>, särskilt i områden som drabbats av avfolkning.</w:t>
            </w:r>
          </w:p>
        </w:tc>
        <w:tc>
          <w:tcPr>
            <w:tcW w:w="4876" w:type="dxa"/>
            <w:tcBorders>
              <w:top w:val="nil"/>
              <w:left w:val="nil"/>
              <w:bottom w:val="nil"/>
              <w:right w:val="nil"/>
            </w:tcBorders>
          </w:tcPr>
          <w:p>
            <w:pPr>
              <w:pStyle w:val="Normal6a"/>
            </w:pPr>
            <w:r>
              <w:t>E.</w:t>
            </w:r>
            <w:r>
              <w:tab/>
            </w:r>
            <w:r>
              <w:t xml:space="preserve">Bristen på </w:t>
            </w:r>
            <w:r>
              <w:rPr>
                <w:b/>
                <w:i/>
              </w:rPr>
              <w:t>attraktionskraft och investeringar i offentliga tjänster av god kvalitet, dåliga arbetsvillkor och låga löner</w:t>
            </w:r>
            <w:r>
              <w:t xml:space="preserve"> är fortfarande ett problem på alla nivåer och förvärras av bristen på sökande till viktiga befattningar inom </w:t>
            </w:r>
            <w:r>
              <w:rPr>
                <w:b/>
                <w:i/>
              </w:rPr>
              <w:t>vissa sektorer</w:t>
            </w:r>
            <w:r>
              <w:t xml:space="preserve"> såsom </w:t>
            </w:r>
            <w:r>
              <w:rPr>
                <w:b/>
                <w:i/>
              </w:rPr>
              <w:t>vetenskap och teknik</w:t>
            </w:r>
            <w:r>
              <w:t xml:space="preserve">, särskilt i områden som drabbats av avfolkning. </w:t>
            </w:r>
            <w:r>
              <w:rPr>
                <w:b/>
                <w:i/>
              </w:rPr>
              <w:t>EU:s förmåga att hantera framtida chocker, kriser och samverkande kriser samtidigt som man navigerar i den demografiska, digitala och gröna omställningen kommer i hög grad att bero på de förhållanden under vilka personal inom samhällsviktig verksamhet kommer att kunna utföra sitt arbete.</w:t>
            </w:r>
            <w:r>
              <w:t xml:space="preserve"> </w:t>
            </w:r>
            <w:r>
              <w:rPr>
                <w:b/>
                <w:i/>
              </w:rPr>
              <w:t>För att åtgärda bristerna och hålla kvar alla typer av talanger krävs anständiga arbetsvillkor, tillgång till sociala trygghetssystem och möjligheter till kompetensutveckling som är anpassad till behoven.</w:t>
            </w:r>
            <w:r>
              <w:t xml:space="preserve"> </w:t>
            </w:r>
            <w:r>
              <w:rPr>
                <w:b/>
                <w:i/>
              </w:rPr>
              <w:t>Att ta itu med kompetensbristen är avgörande för att uppnå den digitala och gröna omställningen och inkluderande och hållbar tillväxt och för att stärka EU:s konkurrenskraft.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Bristen</w:t>
            </w:r>
            <w:r>
              <w:t xml:space="preserve"> på arbetskraft och kompetens </w:t>
            </w:r>
            <w:r>
              <w:rPr>
                <w:b/>
                <w:i/>
              </w:rPr>
              <w:t>är fortfarande ett problem på alla nivåer</w:t>
            </w:r>
            <w:r>
              <w:t xml:space="preserve"> och förvärras av bristen på sökande till viktiga befattningar inom nyckelsektorer såsom utbildning, hälso- och sjukvård </w:t>
            </w:r>
            <w:r>
              <w:rPr>
                <w:b/>
                <w:i/>
              </w:rPr>
              <w:t>och byggbranschen</w:t>
            </w:r>
            <w:r>
              <w:t>, särskilt i områden som drabbats av avfolkning.</w:t>
            </w:r>
          </w:p>
        </w:tc>
        <w:tc>
          <w:tcPr>
            <w:tcW w:w="4876" w:type="dxa"/>
            <w:tcBorders>
              <w:top w:val="nil"/>
              <w:left w:val="nil"/>
              <w:bottom w:val="nil"/>
              <w:right w:val="nil"/>
            </w:tcBorders>
          </w:tcPr>
          <w:p>
            <w:pPr>
              <w:pStyle w:val="Normal6a"/>
            </w:pPr>
            <w:r>
              <w:t>E.</w:t>
            </w:r>
            <w:r>
              <w:tab/>
            </w:r>
            <w:r>
              <w:rPr>
                <w:b/>
                <w:i/>
              </w:rPr>
              <w:t>Brist</w:t>
            </w:r>
            <w:r>
              <w:t xml:space="preserve"> på arbetskraft och kompetens </w:t>
            </w:r>
            <w:r>
              <w:rPr>
                <w:b/>
                <w:i/>
              </w:rPr>
              <w:t>rapporteras av företag av alla storlekar och inom alla sektorer</w:t>
            </w:r>
            <w:r>
              <w:t xml:space="preserve"> och förvärras av bristen på sökande till viktiga befattningar inom nyckelsektorer såsom utbildning, hälso- och sjukvård</w:t>
            </w:r>
            <w:r>
              <w:rPr>
                <w:b/>
                <w:i/>
              </w:rPr>
              <w:t>, byggbranschen, hotell- och restaurangbranschen, vård och omsorg, transport, naturteknik och ingenjörsvetenskap</w:t>
            </w:r>
            <w:r>
              <w:t xml:space="preserve">, särskilt i områden som drabbats av avfolkning. </w:t>
            </w:r>
            <w:r>
              <w:rPr>
                <w:b/>
                <w:i/>
              </w:rPr>
              <w:t>EU har lanserat flera initiativ för att åtgärda kompetensbristen, såsom den europeiska kompetensagendan, kompetenspakten, Alma och nettonollakademierna.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Bristen på arbetskraft och kompetens är fortfarande ett problem på alla nivåer och </w:t>
            </w:r>
            <w:r>
              <w:rPr>
                <w:b/>
                <w:i/>
              </w:rPr>
              <w:t>förvärras av bristen</w:t>
            </w:r>
            <w:r>
              <w:t xml:space="preserve"> på sökande till viktiga befattningar inom nyckelsektorer såsom utbildning, hälso- och sjukvård och byggbranschen, särskilt i områden som drabbats av avfolkning.</w:t>
            </w:r>
          </w:p>
        </w:tc>
        <w:tc>
          <w:tcPr>
            <w:tcW w:w="4876" w:type="dxa"/>
            <w:tcBorders>
              <w:top w:val="nil"/>
              <w:left w:val="nil"/>
              <w:bottom w:val="nil"/>
              <w:right w:val="nil"/>
            </w:tcBorders>
          </w:tcPr>
          <w:p>
            <w:pPr>
              <w:pStyle w:val="Normal6a"/>
            </w:pPr>
            <w:r>
              <w:t>E.</w:t>
            </w:r>
            <w:r>
              <w:tab/>
            </w:r>
            <w:r>
              <w:t xml:space="preserve">Bristen på arbetskraft och kompetens </w:t>
            </w:r>
            <w:r>
              <w:rPr>
                <w:b/>
                <w:i/>
              </w:rPr>
              <w:t>på grund av svåra arbetsvillkor, oattraktiva löner, brist på utbildning, hinder för tillgång till medel- och högre utbildning och bristande erkännande av kompetens och utbildning</w:t>
            </w:r>
            <w:r>
              <w:t xml:space="preserve"> är fortfarande ett problem på alla nivåer och </w:t>
            </w:r>
            <w:r>
              <w:rPr>
                <w:b/>
                <w:i/>
              </w:rPr>
              <w:t>leder till en brist</w:t>
            </w:r>
            <w:r>
              <w:t xml:space="preserve"> på sökande till viktiga befattningar inom nyckelsektorer såsom utbildning, hälso- och sjukvård och byggbranschen, särskilt i områden som drabbats av avfolkning.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Bristen på arbetskraft och kompetens är fortfarande ett problem på alla nivåer </w:t>
            </w:r>
            <w:r>
              <w:rPr>
                <w:b/>
                <w:i/>
              </w:rPr>
              <w:t>och förvärras av bristen</w:t>
            </w:r>
            <w:r>
              <w:t xml:space="preserve"> på sökande till viktiga befattningar inom </w:t>
            </w:r>
            <w:r>
              <w:rPr>
                <w:b/>
                <w:i/>
              </w:rPr>
              <w:t>nyckelsektorer</w:t>
            </w:r>
            <w:r>
              <w:t xml:space="preserve"> såsom utbildning, hälso- och sjukvård och byggbranschen, särskilt i områden som drabbats av avfolkning.</w:t>
            </w:r>
          </w:p>
        </w:tc>
        <w:tc>
          <w:tcPr>
            <w:tcW w:w="4876" w:type="dxa"/>
            <w:tcBorders>
              <w:top w:val="nil"/>
              <w:left w:val="nil"/>
              <w:bottom w:val="nil"/>
              <w:right w:val="nil"/>
            </w:tcBorders>
          </w:tcPr>
          <w:p>
            <w:pPr>
              <w:pStyle w:val="Normal6a"/>
            </w:pPr>
            <w:r>
              <w:t>E.</w:t>
            </w:r>
            <w:r>
              <w:tab/>
            </w:r>
            <w:r>
              <w:t>Bristen på arbetskraft och kompetens är fortfarande ett problem på alla nivåer</w:t>
            </w:r>
            <w:r>
              <w:rPr>
                <w:b/>
                <w:i/>
              </w:rPr>
              <w:t>, och ändå låg vuxnas deltagande i utbildning fortfarande långt under EU:s mål, vilket leder till en brist</w:t>
            </w:r>
            <w:r>
              <w:t xml:space="preserve"> på sökande till viktiga befattningar inom </w:t>
            </w:r>
            <w:r>
              <w:rPr>
                <w:b/>
                <w:i/>
              </w:rPr>
              <w:t>sektorer där det är svårt att ersätta mänskligt arbete,</w:t>
            </w:r>
            <w:r>
              <w:t xml:space="preserve"> såsom utbildning, hälso- och sjukvård och byggbranschen, särskilt i områden som drabbats av avfolkning.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Bristen på arbetskraft och kompetens är fortfarande ett problem på alla nivåer och förvärras av bristen på sökande till viktiga befattningar inom nyckelsektorer såsom utbildning, </w:t>
            </w:r>
            <w:r>
              <w:rPr>
                <w:b/>
                <w:i/>
              </w:rPr>
              <w:t>hälso- och sjukvård</w:t>
            </w:r>
            <w:r>
              <w:t xml:space="preserve"> och byggbranschen, särskilt i områden som drabbats av avfolkning.</w:t>
            </w:r>
          </w:p>
        </w:tc>
        <w:tc>
          <w:tcPr>
            <w:tcW w:w="4876" w:type="dxa"/>
            <w:tcBorders>
              <w:top w:val="nil"/>
              <w:left w:val="nil"/>
              <w:bottom w:val="nil"/>
              <w:right w:val="nil"/>
            </w:tcBorders>
          </w:tcPr>
          <w:p>
            <w:pPr>
              <w:pStyle w:val="Normal6a"/>
            </w:pPr>
            <w:r>
              <w:t>E.</w:t>
            </w:r>
            <w:r>
              <w:tab/>
            </w:r>
            <w:r>
              <w:t xml:space="preserve">Bristen på arbetskraft och kompetens är fortfarande ett problem på alla nivåer och förvärras av bristen på sökande till viktiga befattningar inom nyckelsektorer såsom utbildning, </w:t>
            </w:r>
            <w:r>
              <w:rPr>
                <w:b/>
                <w:i/>
              </w:rPr>
              <w:t>hälsa och omsorg</w:t>
            </w:r>
            <w:r>
              <w:t xml:space="preserve"> och byggbranschen, särskilt i områden som drabbats av avfolkning.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Branislav Ondruš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Bristen på </w:t>
            </w:r>
            <w:r>
              <w:rPr>
                <w:b/>
                <w:i/>
              </w:rPr>
              <w:t>arbetskraft och kompetens är fortfarande ett problem på alla nivåer och förvärras av bristen på sökande till</w:t>
            </w:r>
            <w:r>
              <w:t xml:space="preserve"> viktiga befattningar inom nyckelsektorer såsom utbildning, hälso- och sjukvård och byggbranschen, särskilt i områden som drabbats av avfolkning.</w:t>
            </w:r>
          </w:p>
        </w:tc>
        <w:tc>
          <w:tcPr>
            <w:tcW w:w="4876" w:type="dxa"/>
            <w:tcBorders>
              <w:top w:val="nil"/>
              <w:left w:val="nil"/>
              <w:bottom w:val="nil"/>
              <w:right w:val="nil"/>
            </w:tcBorders>
          </w:tcPr>
          <w:p>
            <w:pPr>
              <w:pStyle w:val="Normal6a"/>
            </w:pPr>
            <w:r>
              <w:t>E.</w:t>
            </w:r>
            <w:r>
              <w:tab/>
            </w:r>
            <w:r>
              <w:t xml:space="preserve">Bristen på </w:t>
            </w:r>
            <w:r>
              <w:rPr>
                <w:b/>
                <w:i/>
              </w:rPr>
              <w:t>skälig ersättning och anständiga arbetsvillkor bidrar avsevärt till bristen på arbetskraft och kompetens på</w:t>
            </w:r>
            <w:r>
              <w:t xml:space="preserve"> viktiga befattningar inom nyckelsektorer såsom utbildning, hälso- och sjukvård och byggbranschen, särskilt i områden som drabbats av avfolkning.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Att främja rörlighet inom EU och överväga att locka kvalificerade arbetstagare från tredjeländer säkerställer dessutom respekt för och efterlevnad av arbetstagarrättigheter och sociala rättigheter och kanaliserar tredjelandsmedborgare som kommer in i EU genom lagliga migrationsvägar till yrken där det råder brist, med stöd av en effektiv integrationspolitik som fullt ut kompletterar utnyttjandet av talanger inom unionen.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Kvalificerad arbetskraft och tillgång till utbildning av god kvalitet, yrkesutbildning och livslångt lärande är avgörande för att säkerställa en hållbar och rättvis dubbel omställning av den europeiska ekonomin.</w:t>
            </w:r>
            <w:r>
              <w:t xml:space="preserve"> </w:t>
            </w:r>
            <w:r>
              <w:rPr>
                <w:b/>
                <w:i/>
              </w:rPr>
              <w:t>Program för kompetensutveckling, omskolning och utbildning måste finnas tillgängliga för alla arbetstagare, även de med funktionsnedsättning, och bör också anpassas till arbetstagarnas behov och kapacitet.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Under 2022 minskade genomsnittspoängen inom programmet för internationell utvärdering av elevprestationer (Pisa) för mått på 15-åringars grundläggande färdigheter (läsning, matematik och naturvetenskap) med 10 poäng jämfört med den senaste vågen 2018.</w:t>
            </w:r>
            <w:r>
              <w:t xml:space="preserve"> </w:t>
            </w:r>
            <w:r>
              <w:rPr>
                <w:b/>
                <w:i/>
              </w:rPr>
              <w:t>Underprestationerna är vanligt förekommande bland mindre gynnade elever, vilket visar på ökande ojämlikheter i utbildningen.</w:t>
            </w:r>
            <w:r>
              <w:t xml:space="preserve"> </w:t>
            </w:r>
            <w:r>
              <w:rPr>
                <w:b/>
                <w:i/>
              </w:rPr>
              <w:t>Denna oroväckande försämring kräver reformer och investeringar i utbildning.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Löneskillnaderna mellan könen är fortfarande stora i de flesta EU-medlemsstater, och omsorgsansvar är en viktig faktor som fortsätter att tvinga kvinnor till deltidsanställning eller leder till att de utestängs från arbetsmarknaden, vilket resulterar i större skillnader i sysselsättning mellan kvinnor och män.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Ec.</w:t>
            </w:r>
            <w:r>
              <w:tab/>
            </w:r>
            <w:r>
              <w:rPr>
                <w:b/>
                <w:i/>
              </w:rPr>
              <w:t>Den gröna och digitala omställningen måste vara socialt rättvis och inkluderande, ta vara på möjligheten att skapa arbetstillfällen av hög kvalitet, motverka diskriminering på arbetsplatsen, skydda arbetstagarnas rättigheter och höja arbetsnormerna.</w:t>
            </w:r>
            <w:r>
              <w:t xml:space="preserve"> </w:t>
            </w:r>
            <w:r>
              <w:rPr>
                <w:b/>
                <w:i/>
              </w:rPr>
              <w:t>Det är viktigt att främja skapandet av arbetstillfällen av god kvalitet, ett starkt socialt skydd och riktade investeringar i kompetens som matchar nya arbetsmöjligheter inom de gröna och digitala sektorerna i kombination med vuxenutbildningsbidrag för att säkerställa tillgång till kompetenshöjning och omskolning av hög kvalitet för alla.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Ed.</w:t>
            </w:r>
            <w:r>
              <w:tab/>
            </w:r>
            <w:r>
              <w:rPr>
                <w:b/>
                <w:i/>
              </w:rPr>
              <w:t>Den gemensamma sysselsättningsrapporten lyfter fram rätten att inte vara uppkopplad, särskilt i samband med distansarbete, och erkänner den avgörande roll som denna rättighet spelar för att säkerställa balans mellan arbetsliv och privatliv i en situation med ökande digitalisering och mer distansarbete.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Ee.</w:t>
            </w:r>
            <w:r>
              <w:tab/>
            </w:r>
            <w:r>
              <w:rPr>
                <w:b/>
                <w:i/>
              </w:rPr>
              <w:t>Svårigheterna för flera sektorer såsom biltillverkning och energiintensiva industrier blev uppenbara 2024, och storskalig omstrukturering utlovades av företagen.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Ef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Ef.</w:t>
            </w:r>
            <w:r>
              <w:tab/>
            </w:r>
            <w:r>
              <w:rPr>
                <w:b/>
                <w:i/>
              </w:rPr>
              <w:t>För närvarande finns det ingen EU-omfattande regelbunden datainsamling om investeringar i och täckning av sociala tjänster.</w:t>
            </w:r>
            <w:r>
              <w:t xml:space="preserve"> </w:t>
            </w:r>
            <w:r>
              <w:rPr>
                <w:b/>
                <w:i/>
              </w:rPr>
              <w:t>Insamlingen av sådana uppgifter är avgörande för en evidensbaserad analys av den nationella socialpolitiken i den europeiska planeringsterminens analyser.</w:t>
            </w:r>
            <w:r>
              <w:t xml:space="preserve"> </w:t>
            </w:r>
            <w:r>
              <w:rPr>
                <w:b/>
                <w:i/>
              </w:rPr>
              <w:t>Detta bör hanteras genom gemensamt överenskomna kriterier och datainsamlingsstandarder för investeringar i och täckning av sociala tjänster i EU:s medlemsstater.</w:t>
            </w:r>
            <w:r>
              <w:t xml:space="preserve"> </w:t>
            </w:r>
            <w:r>
              <w:rPr>
                <w:b/>
                <w:i/>
              </w:rPr>
              <w:t>Det europeiska sociala nätverkets index för sociala tjänster är ett exempel på hur sådan datainsamling kan bidra till den europeiska planeringsterminens analyser.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Eg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Eg.</w:t>
            </w:r>
            <w:r>
              <w:tab/>
            </w:r>
            <w:r>
              <w:rPr>
                <w:b/>
                <w:i/>
              </w:rPr>
              <w:t>Det finns skillnader i täckningen av sociala tjänster, inbegripet långvarig vård och omsorg, skydd av barn, stöd vid våld i hemmet och stöd för hemlöshet, som måste åtgärdas inom ramen för den europeiska planeringsterminen.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Idoia Mendia, Alicia Homs Ginel, Isilda Gomes,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rPr>
                <w:b/>
                <w:i/>
              </w:rPr>
              <w:t>Krisen när det gäller generationsskifte och bristande</w:t>
            </w:r>
            <w:r>
              <w:t xml:space="preserve"> tillgång till offentliga tjänster har </w:t>
            </w:r>
            <w:r>
              <w:rPr>
                <w:b/>
                <w:i/>
              </w:rPr>
              <w:t>lett till en ökad risk</w:t>
            </w:r>
            <w:r>
              <w:t xml:space="preserve"> för fattigdom och social utestängning, vilket särskilt drabbar barn och äldre.</w:t>
            </w:r>
          </w:p>
        </w:tc>
        <w:tc>
          <w:tcPr>
            <w:tcW w:w="4876" w:type="dxa"/>
            <w:tcBorders>
              <w:top w:val="nil"/>
              <w:left w:val="nil"/>
              <w:bottom w:val="nil"/>
              <w:right w:val="nil"/>
            </w:tcBorders>
          </w:tcPr>
          <w:p>
            <w:pPr>
              <w:pStyle w:val="Normal6a"/>
            </w:pPr>
            <w:r>
              <w:t>F.</w:t>
            </w:r>
            <w:r>
              <w:tab/>
            </w:r>
            <w:r>
              <w:rPr>
                <w:b/>
                <w:i/>
              </w:rPr>
              <w:t>Ekonomiska och sociala ojämlikheter liksom begränsad</w:t>
            </w:r>
            <w:r>
              <w:t xml:space="preserve"> tillgång till </w:t>
            </w:r>
            <w:r>
              <w:rPr>
                <w:b/>
                <w:i/>
              </w:rPr>
              <w:t>finansiering och</w:t>
            </w:r>
            <w:r>
              <w:t xml:space="preserve"> offentliga tjänster har </w:t>
            </w:r>
            <w:r>
              <w:rPr>
                <w:b/>
                <w:i/>
              </w:rPr>
              <w:t>ökat risken</w:t>
            </w:r>
            <w:r>
              <w:t xml:space="preserve"> för fattigdom och social utestängning, vilket särskilt drabbar barn</w:t>
            </w:r>
            <w:r>
              <w:rPr>
                <w:b/>
                <w:i/>
              </w:rPr>
              <w:t>, ensamstående föräldrar, ungdomar</w:t>
            </w:r>
            <w:r>
              <w:t xml:space="preserve"> och äldre </w:t>
            </w:r>
            <w:r>
              <w:rPr>
                <w:b/>
                <w:i/>
              </w:rPr>
              <w:t>samt andra utsatta grupper såsom migranter, romer, människor som bor i avfolkade områden och personer med funktionsnedsättning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rPr>
                <w:b/>
                <w:i/>
              </w:rPr>
              <w:t>Krisen när det gäller generationsskifte och bristande tillgång till offentliga tjänster har lett till en ökad risk</w:t>
            </w:r>
            <w:r>
              <w:t xml:space="preserve"> för fattigdom och social utestängning, vilket särskilt drabbar barn och äldre.</w:t>
            </w:r>
          </w:p>
        </w:tc>
        <w:tc>
          <w:tcPr>
            <w:tcW w:w="4876" w:type="dxa"/>
            <w:tcBorders>
              <w:top w:val="nil"/>
              <w:left w:val="nil"/>
              <w:bottom w:val="nil"/>
              <w:right w:val="nil"/>
            </w:tcBorders>
          </w:tcPr>
          <w:p>
            <w:pPr>
              <w:pStyle w:val="Normal6a"/>
            </w:pPr>
            <w:r>
              <w:t>F.</w:t>
            </w:r>
            <w:r>
              <w:tab/>
            </w:r>
            <w:r>
              <w:rPr>
                <w:b/>
                <w:i/>
              </w:rPr>
              <w:t>Bristen på tillräckliga sociala investeringar har förvärrat risken</w:t>
            </w:r>
            <w:r>
              <w:t xml:space="preserve"> för fattigdom och social utestängning, vilket särskilt drabbar barn</w:t>
            </w:r>
            <w:r>
              <w:rPr>
                <w:b/>
                <w:i/>
              </w:rPr>
              <w:t>, ensamstående föräldrar</w:t>
            </w:r>
            <w:r>
              <w:t xml:space="preserve"> och äldre. </w:t>
            </w:r>
            <w:r>
              <w:rPr>
                <w:b/>
                <w:i/>
              </w:rPr>
              <w:t>Detta fenomen påverkar också ett segment av arbetskraften, där 1 av 12 arbetstagare under 2023 bor i hushåll som riskerar att drabbas av fattigdom.</w:t>
            </w:r>
            <w:r>
              <w:t xml:space="preserve"> </w:t>
            </w:r>
            <w:r>
              <w:rPr>
                <w:b/>
                <w:i/>
              </w:rPr>
              <w:t>En ambitiös EU-strategi mot fattigdom kommer att vara avgörande för att vända denna trend och ge svar på det flerdimensionella fenomenet fattigdom.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Krisen när det gäller generationsskifte och bristande tillgång till offentliga tjänster har lett till en ökad risk för fattigdom och social utestängning, vilket särskilt drabbar barn </w:t>
            </w:r>
            <w:r>
              <w:rPr>
                <w:b/>
                <w:i/>
              </w:rPr>
              <w:t>och äldre</w:t>
            </w:r>
            <w:r>
              <w:t>.</w:t>
            </w:r>
          </w:p>
        </w:tc>
        <w:tc>
          <w:tcPr>
            <w:tcW w:w="4876" w:type="dxa"/>
            <w:tcBorders>
              <w:top w:val="nil"/>
              <w:left w:val="nil"/>
              <w:bottom w:val="nil"/>
              <w:right w:val="nil"/>
            </w:tcBorders>
          </w:tcPr>
          <w:p>
            <w:pPr>
              <w:pStyle w:val="Normal6a"/>
            </w:pPr>
            <w:r>
              <w:t>F.</w:t>
            </w:r>
            <w:r>
              <w:tab/>
            </w:r>
            <w:r>
              <w:t>Krisen när det gäller generationsskifte och bristande tillgång till offentliga tjänster</w:t>
            </w:r>
            <w:r>
              <w:rPr>
                <w:b/>
                <w:i/>
              </w:rPr>
              <w:t>, på grund av bristen på långsiktig och hållbar planering när det gäller bostäder, infrastruktur och samhällsutveckling,</w:t>
            </w:r>
            <w:r>
              <w:t xml:space="preserve"> har lett till en ökad risk för fattigdom och social utestängning, vilket särskilt drabbar barn</w:t>
            </w:r>
            <w:r>
              <w:rPr>
                <w:b/>
                <w:i/>
              </w:rPr>
              <w:t>, äldre och personer från marginaliserade miljöer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Krisen när det gäller generationsskifte och bristande tillgång till offentliga tjänster har lett till en ökad risk för fattigdom och social utestängning, vilket särskilt drabbar barn och äldre.</w:t>
            </w:r>
          </w:p>
        </w:tc>
        <w:tc>
          <w:tcPr>
            <w:tcW w:w="4876" w:type="dxa"/>
            <w:tcBorders>
              <w:top w:val="nil"/>
              <w:left w:val="nil"/>
              <w:bottom w:val="nil"/>
              <w:right w:val="nil"/>
            </w:tcBorders>
          </w:tcPr>
          <w:p>
            <w:pPr>
              <w:pStyle w:val="Normal6a"/>
            </w:pPr>
            <w:r>
              <w:t>F.</w:t>
            </w:r>
            <w:r>
              <w:tab/>
            </w:r>
            <w:r>
              <w:t>Krisen när det gäller generationsskifte och bristande tillgång till offentliga tjänster har lett till en ökad risk för fattigdom och social utestängning, vilket särskilt drabbar barn och äldre</w:t>
            </w:r>
            <w:r>
              <w:rPr>
                <w:b/>
                <w:i/>
              </w:rPr>
              <w:t>, ensamstående föräldrar och stora familjer liksom personer med funktionsnedsättning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rPr>
                <w:b/>
                <w:i/>
              </w:rPr>
              <w:t>Krisen när det gäller generationsskifte och</w:t>
            </w:r>
            <w:r>
              <w:t xml:space="preserve"> bristande </w:t>
            </w:r>
            <w:r>
              <w:rPr>
                <w:b/>
                <w:i/>
              </w:rPr>
              <w:t>tillgång till</w:t>
            </w:r>
            <w:r>
              <w:t xml:space="preserve"> offentliga tjänster har lett till en ökad risk för fattigdom och social utestängning, vilket särskilt drabbar barn </w:t>
            </w:r>
            <w:r>
              <w:rPr>
                <w:b/>
                <w:i/>
              </w:rPr>
              <w:t>och äldre</w:t>
            </w:r>
            <w:r>
              <w:t>.</w:t>
            </w:r>
          </w:p>
        </w:tc>
        <w:tc>
          <w:tcPr>
            <w:tcW w:w="4876" w:type="dxa"/>
            <w:tcBorders>
              <w:top w:val="nil"/>
              <w:left w:val="nil"/>
              <w:bottom w:val="nil"/>
              <w:right w:val="nil"/>
            </w:tcBorders>
          </w:tcPr>
          <w:p>
            <w:pPr>
              <w:pStyle w:val="Normal6a"/>
            </w:pPr>
            <w:r>
              <w:t>F.</w:t>
            </w:r>
            <w:r>
              <w:tab/>
            </w:r>
            <w:r>
              <w:rPr>
                <w:b/>
                <w:i/>
              </w:rPr>
              <w:t>De demografiska förändringarna, den</w:t>
            </w:r>
            <w:r>
              <w:t xml:space="preserve"> bristande </w:t>
            </w:r>
            <w:r>
              <w:rPr>
                <w:b/>
                <w:i/>
              </w:rPr>
              <w:t>tillgången till och underinvesteringarna i</w:t>
            </w:r>
            <w:r>
              <w:t xml:space="preserve"> offentliga tjänster har lett till en ökad risk för fattigdom och social utestängning, vilket särskilt drabbar barn</w:t>
            </w:r>
            <w:r>
              <w:rPr>
                <w:b/>
                <w:i/>
              </w:rPr>
              <w:t>, äldre och utsatta grupper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Fa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I Eurobarometern från april 2024 betonas att 88 % av EU-medborgarna anser att ett socialt Europa är viktigt för dem personligen</w:t>
            </w:r>
            <w:r>
              <w:rPr>
                <w:b/>
                <w:i/>
                <w:vertAlign w:val="superscript"/>
              </w:rPr>
              <w:t>8a</w:t>
            </w:r>
            <w:r>
              <w:rPr>
                <w:b/>
                <w:i/>
              </w:rPr>
              <w:t>.</w:t>
            </w:r>
            <w:r>
              <w:t xml:space="preserve"> </w:t>
            </w:r>
            <w:r>
              <w:rPr>
                <w:b/>
                <w:i/>
              </w:rPr>
              <w:t>Detta resultat bekräftades i EU:s undersökning efter valet 2024, där EU-medborgarna angav de stigande priserna och levnadskostnaderna (42 %) och den ekonomiska situationen (41 %) som de viktigaste frågorna som motiverade dem att rösta i det senaste valet till Europaparlamentet</w:t>
            </w:r>
            <w:r>
              <w:rPr>
                <w:b/>
                <w:i/>
                <w:vertAlign w:val="superscript"/>
              </w:rPr>
              <w:t>9a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8a</w:t>
            </w:r>
            <w:r>
              <w:t xml:space="preserve"> </w:t>
            </w:r>
            <w:r>
              <w:rPr>
                <w:b/>
                <w:i/>
              </w:rPr>
              <w:t>https://europa.eu/eurobarometer/surveys/detail/3187.</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9a</w:t>
            </w:r>
            <w:r>
              <w:t xml:space="preserve"> </w:t>
            </w:r>
            <w:r>
              <w:rPr>
                <w:b/>
                <w:i/>
              </w:rPr>
              <w:t>https://europa.eu/eurobarometer/surveys/detail/3292.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rPr>
                <w:b/>
                <w:i/>
              </w:rPr>
              <w:t>De</w:t>
            </w:r>
            <w:r>
              <w:t xml:space="preserve"> sociala </w:t>
            </w:r>
            <w:r>
              <w:rPr>
                <w:b/>
                <w:i/>
              </w:rPr>
              <w:t>framstegen i EU måste fortsätta på ett sätt som är förenligt med stabilitetsmålen i Maastrichtkriterierna för att se till att den ekonomiska integrationen inte förvärrar ojämlikheten</w:t>
            </w:r>
            <w:r>
              <w:t xml:space="preserve"> mellan </w:t>
            </w:r>
            <w:r>
              <w:rPr>
                <w:b/>
                <w:i/>
              </w:rPr>
              <w:t>generationer och regioner</w:t>
            </w:r>
            <w:r>
              <w:t>.</w:t>
            </w:r>
          </w:p>
        </w:tc>
        <w:tc>
          <w:tcPr>
            <w:tcW w:w="4876" w:type="dxa"/>
            <w:tcBorders>
              <w:top w:val="nil"/>
              <w:left w:val="nil"/>
              <w:bottom w:val="nil"/>
              <w:right w:val="nil"/>
            </w:tcBorders>
          </w:tcPr>
          <w:p>
            <w:pPr>
              <w:pStyle w:val="Normal6a"/>
            </w:pPr>
            <w:r>
              <w:t>G.</w:t>
            </w:r>
            <w:r>
              <w:tab/>
            </w:r>
            <w:r>
              <w:rPr>
                <w:b/>
                <w:i/>
              </w:rPr>
              <w:t>Enligt artikel 3 i EU-fördraget är</w:t>
            </w:r>
            <w:r>
              <w:t xml:space="preserve"> sociala </w:t>
            </w:r>
            <w:r>
              <w:rPr>
                <w:b/>
                <w:i/>
              </w:rPr>
              <w:t>framsteg i EU ett av målen för en social marknadsekonomi med hög konkurrenskraft, tillsammans med full sysselsättning, hög skyddsnivå och bättre miljö.</w:t>
            </w:r>
            <w:r>
              <w:t xml:space="preserve"> </w:t>
            </w:r>
            <w:r>
              <w:rPr>
                <w:b/>
                <w:i/>
              </w:rPr>
              <w:t>I enlighet med artikel 3 ska EU bekämpa social utestängning och diskriminering samt främja social rättvisa och socialt skydd, jämställdhet</w:t>
            </w:r>
            <w:r>
              <w:t xml:space="preserve"> mellan </w:t>
            </w:r>
            <w:r>
              <w:rPr>
                <w:b/>
                <w:i/>
              </w:rPr>
              <w:t>kvinnor och män, solidaritet mellan generationerna och skydd av barnets rättigheter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De sociala framstegen i EU måste </w:t>
            </w:r>
            <w:r>
              <w:rPr>
                <w:b/>
                <w:i/>
              </w:rPr>
              <w:t>fortsätta på ett sätt som är förenligt med stabilitetsmålen i Maastrichtkriterierna för att se till</w:t>
            </w:r>
            <w:r>
              <w:t xml:space="preserve"> att den ekonomiska integrationen inte förvärrar ojämlikheten mellan generationer och regioner.</w:t>
            </w:r>
          </w:p>
        </w:tc>
        <w:tc>
          <w:tcPr>
            <w:tcW w:w="4876" w:type="dxa"/>
            <w:tcBorders>
              <w:top w:val="nil"/>
              <w:left w:val="nil"/>
              <w:bottom w:val="nil"/>
              <w:right w:val="nil"/>
            </w:tcBorders>
          </w:tcPr>
          <w:p>
            <w:pPr>
              <w:pStyle w:val="Normal6a"/>
            </w:pPr>
            <w:r>
              <w:t>G.</w:t>
            </w:r>
            <w:r>
              <w:tab/>
            </w:r>
            <w:r>
              <w:t xml:space="preserve">De sociala framstegen i EU måste </w:t>
            </w:r>
            <w:r>
              <w:rPr>
                <w:b/>
                <w:i/>
              </w:rPr>
              <w:t>säkerställa</w:t>
            </w:r>
            <w:r>
              <w:t xml:space="preserve"> att den ekonomiska integrationen inte förvärrar ojämlikheten mellan generationer och regioner.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De sociala framstegen i EU </w:t>
            </w:r>
            <w:r>
              <w:rPr>
                <w:b/>
                <w:i/>
              </w:rPr>
              <w:t>måste fortsätta på ett sätt som är förenligt med stabilitetsmålen i Maastrichtkriterierna</w:t>
            </w:r>
            <w:r>
              <w:t xml:space="preserve"> för att se till att </w:t>
            </w:r>
            <w:r>
              <w:rPr>
                <w:b/>
                <w:i/>
              </w:rPr>
              <w:t>den ekonomiska integrationen</w:t>
            </w:r>
            <w:r>
              <w:t xml:space="preserve"> inte förvärrar </w:t>
            </w:r>
            <w:r>
              <w:rPr>
                <w:b/>
                <w:i/>
              </w:rPr>
              <w:t>ojämlikheten</w:t>
            </w:r>
            <w:r>
              <w:t xml:space="preserve"> mellan generationer och regioner.</w:t>
            </w:r>
          </w:p>
        </w:tc>
        <w:tc>
          <w:tcPr>
            <w:tcW w:w="4876" w:type="dxa"/>
            <w:tcBorders>
              <w:top w:val="nil"/>
              <w:left w:val="nil"/>
              <w:bottom w:val="nil"/>
              <w:right w:val="nil"/>
            </w:tcBorders>
          </w:tcPr>
          <w:p>
            <w:pPr>
              <w:pStyle w:val="Normal6a"/>
            </w:pPr>
            <w:r>
              <w:t>G.</w:t>
            </w:r>
            <w:r>
              <w:tab/>
            </w:r>
            <w:r>
              <w:t xml:space="preserve">De sociala framstegen i EU </w:t>
            </w:r>
            <w:r>
              <w:rPr>
                <w:b/>
                <w:i/>
              </w:rPr>
              <w:t>är de mest konkreta och effektiva investeringarna i våra samhällens långsiktiga resiliens och hållbarhet,</w:t>
            </w:r>
            <w:r>
              <w:t xml:space="preserve"> för att se till att </w:t>
            </w:r>
            <w:r>
              <w:rPr>
                <w:b/>
                <w:i/>
              </w:rPr>
              <w:t>ytterligare ekonomisk integration</w:t>
            </w:r>
            <w:r>
              <w:t xml:space="preserve"> inte förvärrar </w:t>
            </w:r>
            <w:r>
              <w:rPr>
                <w:b/>
                <w:i/>
              </w:rPr>
              <w:t>de sociala ojämlikheterna</w:t>
            </w:r>
            <w:r>
              <w:t xml:space="preserve"> mellan generationer och regioner.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Branislav Ondruš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 xml:space="preserve">De sociala framstegen i EU </w:t>
            </w:r>
            <w:r>
              <w:rPr>
                <w:b/>
                <w:i/>
              </w:rPr>
              <w:t>måste fortsätta på ett sätt som är förenligt med</w:t>
            </w:r>
            <w:r>
              <w:t xml:space="preserve"> stabilitetsmålen i Maastrichtkriterierna för att se till att den ekonomiska integrationen inte förvärrar ojämlikheten mellan generationer och regioner.</w:t>
            </w:r>
          </w:p>
        </w:tc>
        <w:tc>
          <w:tcPr>
            <w:tcW w:w="4876" w:type="dxa"/>
            <w:tcBorders>
              <w:top w:val="nil"/>
              <w:left w:val="nil"/>
              <w:bottom w:val="nil"/>
              <w:right w:val="nil"/>
            </w:tcBorders>
          </w:tcPr>
          <w:p>
            <w:pPr>
              <w:pStyle w:val="Normal6a"/>
            </w:pPr>
            <w:r>
              <w:t>G.</w:t>
            </w:r>
            <w:r>
              <w:tab/>
            </w:r>
            <w:r>
              <w:t xml:space="preserve">De sociala framstegen i EU </w:t>
            </w:r>
            <w:r>
              <w:rPr>
                <w:b/>
                <w:i/>
              </w:rPr>
              <w:t>får inte äventyras av</w:t>
            </w:r>
            <w:r>
              <w:t xml:space="preserve"> stabilitetsmålen i Maastrichtkriterierna för att se till att den ekonomiska integrationen inte förvärrar ojämlikheten mellan generationer och regioner.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EU:s nya ram för ekonomisk styrning trädde i kraft i april 2024 och syftar till att främja hållbar tillväxt för alla samt ge mer utrymme för sociala investeringar och förverkliga målen i den europeiska pelaren för sociala rättigheter.</w:t>
            </w:r>
            <w:r>
              <w:t xml:space="preserve"> </w:t>
            </w:r>
            <w:r>
              <w:rPr>
                <w:b/>
                <w:i/>
              </w:rPr>
              <w:t>Översynen omfattar för första gången en ram för social konvergens som en integrerad del av den europeiska planeringsterminen.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De europeiska arbetsmarknadsparterna har i samband med den makroekonomiska dialogen beklagatr det senaste deltagandet av arbetsmarknadens parter i utarbetandet av de medelfristiga finanspolitiska strukturplanerna, och EFS, SMEUnited och SGI Europe har undertecknat ett gemensamt uttalande om ett väsentligt och verkligt deltagande av arbetsmarknadens parter i den ekonomiska styrningen och den europeiska planeringsterminen.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Risken för fattigdom eller social utestängning är större för kvinnor, unga vuxna, lågutbildade och arbetslösa.</w:t>
            </w:r>
            <w:r>
              <w:t xml:space="preserve"> </w:t>
            </w:r>
            <w:r>
              <w:rPr>
                <w:b/>
                <w:i/>
              </w:rPr>
              <w:t>Det finns fortfarande många klyftor när det gäller tillgången till arbetslöshetsförmåner - 66 % av de arbetslösa uppger att de inte får förmåner eller stöd.</w:t>
            </w:r>
            <w:r>
              <w:rPr>
                <w:b/>
                <w:i/>
                <w:vertAlign w:val="superscript"/>
              </w:rPr>
              <w:t>1a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Socialt skydd 2.0:</w:t>
            </w:r>
            <w:r>
              <w:t xml:space="preserve"> </w:t>
            </w:r>
            <w:r>
              <w:rPr>
                <w:b/>
                <w:i/>
              </w:rPr>
              <w:t>Arbetslöshets- och minimiinkomstförmåner.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Strukturreformer måste prioritera sociala framsteg, säkerställa tillgång till fullgott socialt skydd, anständiga och rimligt prissatta bostäder och grundläggande tjänster för alla typer av familjer, inbegripet utsatta grupper såsom hushåll med ensamstående föräldrar och personer med funktionsnedsättning.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Vi ska skapa en mer konkurrenskraftig, produktiv, innovativ och hållbar union som bygger på en ekonomisk, social och territoriell sammanhållning och som säkerställer konvergens och lika villkor både inom unionen och globalt.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Enligt OECD står de yrken som löper störst risk för automatisering i genomsnitt för omkring 28 % av sysselsättningen i OECD-länderna</w:t>
            </w:r>
            <w:r>
              <w:rPr>
                <w:b/>
                <w:i/>
                <w:vertAlign w:val="superscript"/>
              </w:rPr>
              <w:t>2a</w:t>
            </w:r>
            <w:r>
              <w:rPr>
                <w:b/>
                <w:i/>
              </w:rPr>
              <w:t>.</w:t>
            </w:r>
            <w:r>
              <w:t xml:space="preserve"> </w:t>
            </w:r>
            <w:r>
              <w:rPr>
                <w:b/>
                <w:i/>
              </w:rPr>
              <w:t>Social dialog och kollektivförhandlingar är avgörande i ett sådant sammanhang för att säkerställa en delaktighetsbaserad strategi i syfte att hantera förändringar på grund av teknisk utveckling, ta itu med potentiella problem och samtidigt främja arbetstagarnas anpassning (bland annat genom tillhandahållande av kompetens).</w:t>
            </w:r>
            <w:r>
              <w:t xml:space="preserve"> </w:t>
            </w:r>
            <w:r>
              <w:rPr>
                <w:b/>
                <w:i/>
              </w:rPr>
              <w:t>Digitalisering, robotisering, automatisering och artificiell intelligens måste gynna arbetstagarna och samhället genom att förbättra arbetsvillkoren och livskvaliteten, säkerställa en god balans mellan arbete och privatliv, skapa bättre sysselsättningsmöjligheter och bidra till socioekonomisk konvergens.</w:t>
            </w:r>
            <w:r>
              <w:t xml:space="preserve"> </w:t>
            </w:r>
            <w:r>
              <w:rPr>
                <w:b/>
                <w:i/>
              </w:rPr>
              <w:t>Arbetstagare och deras fackföreningar kommer att spela en avgörande roll för att förutse och hantera risker som uppstår till följd av dessa utmaningar.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OECD Social, Employment and Migration Working Papers No. 282.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Enligt EU:s nya ram för ekonomisk styrning måste alla medlemsstater inkludera reformer och investeringar i sina medelfristiga planer för att ta itu med EU:s gemensamma prioriteringar och utmaningar som fastställs i landsspecifika rekommendationer inom ramen för den europeiska planeringsterminen.</w:t>
            </w:r>
            <w:r>
              <w:t xml:space="preserve"> </w:t>
            </w:r>
            <w:r>
              <w:rPr>
                <w:b/>
                <w:i/>
              </w:rPr>
              <w:t>EU:s gemensamma prioriteringar omfattar social och ekonomisk motståndskraft, inbegripet den europeiska pelaren för sociala rättigheter.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EU:s åtgärder såsom NextGenerationEU och Sure har säkrat tillväxt och ekonomisk motståndskraft och minskat ojämlikheter.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Gb.</w:t>
            </w:r>
            <w:r>
              <w:tab/>
            </w:r>
            <w:r>
              <w:rPr>
                <w:b/>
                <w:i/>
              </w:rPr>
              <w:t>Vi måste arbeta i enighet och solidaritet, till gagn för alla EU:s medborgare, företag och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Gc.</w:t>
            </w:r>
            <w:r>
              <w:tab/>
            </w:r>
            <w:r>
              <w:rPr>
                <w:b/>
                <w:i/>
              </w:rPr>
              <w:t>Det inträffade mer än 3 300 arbetsolyckor med dödlig utgång och nästan 3 miljoner arbetsolyckor utan dödlig utgång i EU-27 under 2021.</w:t>
            </w:r>
            <w:r>
              <w:t xml:space="preserve"> </w:t>
            </w:r>
            <w:r>
              <w:rPr>
                <w:b/>
                <w:i/>
              </w:rPr>
              <w:t>Över 200 000 arbetstagare dör varje år i arbetsrelaterade sjukdomar.</w:t>
            </w:r>
            <w:r>
              <w:t xml:space="preserve"> </w:t>
            </w:r>
            <w:r>
              <w:rPr>
                <w:b/>
                <w:i/>
              </w:rPr>
              <w:t>Dessa uppgifter inkluderar inte alla olyckor som orsakats av odeklarerat arbete, vilket gör det rimligt att anta att de egentliga siffrorna är betydligt högre än de som redovisas i den officiella statistiken.</w:t>
            </w:r>
            <w:r>
              <w:t xml:space="preserve"> </w:t>
            </w:r>
            <w:r>
              <w:rPr>
                <w:b/>
                <w:i/>
              </w:rPr>
              <w:t>Enligt Eurofound var 20 % av arbetstillfällena i Europa under 2017 av ”dålig kvalitet” och arbetstagarna utsattes för förhöjda risker sett till deras fysiska eller psykiska hälsa.</w:t>
            </w:r>
            <w:r>
              <w:t xml:space="preserve"> </w:t>
            </w:r>
            <w:r>
              <w:rPr>
                <w:b/>
                <w:i/>
              </w:rPr>
              <w:t>14 % av arbetstagarna har utsatts för allvarliga psykosociala risker.</w:t>
            </w:r>
            <w:r>
              <w:t xml:space="preserve"> </w:t>
            </w:r>
            <w:r>
              <w:rPr>
                <w:b/>
                <w:i/>
              </w:rPr>
              <w:t>23 % av de europeiska arbetstagarna anser att deras arbete utsätter dem för säkerhets- eller hälsorisker.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Gc.</w:t>
            </w:r>
            <w:r>
              <w:tab/>
            </w:r>
            <w:r>
              <w:rPr>
                <w:b/>
                <w:i/>
              </w:rPr>
              <w:t>De offentliga investeringarna förväntas öka i nästan alla medlemsstater under 2025 med ett betydande bidrag från NextGenerationEU:s facilitet för återhämtning och resiliens och EU-medel i flera medlemsstater.</w:t>
            </w:r>
            <w:r>
              <w:t xml:space="preserve"> </w:t>
            </w:r>
            <w:r>
              <w:rPr>
                <w:b/>
                <w:i/>
              </w:rPr>
              <w:t>Omkring 162,5 miljarder euro som anslagits till medlemsstaterna inom ramen för faciliteten för återhämtning och resiliens går till sociala utgifter, vilket motsvarar omkring 25 % av de totala beräknade utgifterna</w:t>
            </w:r>
            <w:r>
              <w:rPr>
                <w:b/>
                <w:i/>
                <w:vertAlign w:val="superscript"/>
              </w:rPr>
              <w:t>10a</w:t>
            </w:r>
            <w:r>
              <w:rPr>
                <w:b/>
                <w:i/>
              </w:rPr>
              <w:t>.</w:t>
            </w:r>
            <w:r>
              <w:t xml:space="preserve"> </w:t>
            </w:r>
            <w:r>
              <w:rPr>
                <w:b/>
                <w:i/>
              </w:rPr>
              <w:t>Sociala investeringar och reformer på viktiga områden kan främja sysselsättning, social inkludering, konkurrenskraft och ekonomisk tillväxt</w:t>
            </w:r>
            <w:r>
              <w:rPr>
                <w:b/>
                <w:i/>
                <w:vertAlign w:val="superscript"/>
              </w:rPr>
              <w:t>11a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10a</w:t>
            </w:r>
            <w:r>
              <w:t xml:space="preserve"> </w:t>
            </w:r>
            <w:r>
              <w:rPr>
                <w:b/>
                <w:i/>
              </w:rPr>
              <w:t>Europeiska planeringsterminen 2025:</w:t>
            </w:r>
            <w:r>
              <w:t xml:space="preserve"> </w:t>
            </w:r>
            <w:r>
              <w:rPr>
                <w:b/>
                <w:i/>
              </w:rPr>
              <w:t>förslag till gemensam sysselsättningsrapport.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11a</w:t>
            </w:r>
            <w:r>
              <w:t xml:space="preserve"> </w:t>
            </w:r>
            <w:r>
              <w:rPr>
                <w:b/>
                <w:i/>
              </w:rPr>
              <w:t>Employment and Social Developments in Europe 2014, Europeiska kommissionen.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Gc.</w:t>
            </w:r>
            <w:r>
              <w:tab/>
            </w:r>
            <w:r>
              <w:rPr>
                <w:b/>
                <w:i/>
              </w:rPr>
              <w:t>Social dialog och kollektivförhandlingar är avgörande för EU:s konkurrenskraft, arbetsproduktivitet och sociala sammanhållning.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Gc.</w:t>
            </w:r>
            <w:r>
              <w:tab/>
            </w:r>
            <w:r>
              <w:rPr>
                <w:b/>
                <w:i/>
              </w:rPr>
              <w:t>Vi ska eftersträva det dubbla målet om strategisk energisuveränitet och klimatneutralitet senast 2050.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Gd.</w:t>
            </w:r>
            <w:r>
              <w:tab/>
            </w:r>
            <w:r>
              <w:rPr>
                <w:b/>
                <w:i/>
              </w:rPr>
              <w:t>Arbetsmarknadens parter behövs för att utforma och genomföra politik som främjar hållbar tillväxt för alla, anständiga arbetsvillkor och kvalitetsarbete, och måste involveras på alla förvaltningsnivåer i enlighet med EUF-fördraget.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Ge.</w:t>
            </w:r>
            <w:r>
              <w:tab/>
            </w:r>
            <w:r>
              <w:rPr>
                <w:b/>
                <w:i/>
              </w:rPr>
              <w:t>Medlemsstaterna bör utan dröjsmål genomföra direktivet om tillräckliga minimilöner och utarbeta handlingsplaner som ökar kollektivavtalstäckningen i linje med direktivet, i tillämpliga fall.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Skäl Gf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Gf.</w:t>
            </w:r>
            <w:r>
              <w:tab/>
            </w:r>
            <w:r>
              <w:rPr>
                <w:b/>
                <w:i/>
              </w:rPr>
              <w:t>Eurofounds forskning visar att självmordsfrekvensen, efter årtionden av nedgång, har ökat sedan 2021, och att mer måste göras för att komma åt orsakerna till den psykiska ohälsa som rör arbets- och levnadsvillkoren (särskilt social delaktighet), och tillgången till stöd för personer med sviktande psykisk hälsa är fortfarande ett problem.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Europaparlamentet </w:t>
            </w:r>
            <w:r>
              <w:rPr>
                <w:b/>
                <w:i/>
              </w:rPr>
              <w:t>anser att</w:t>
            </w:r>
            <w:r>
              <w:t xml:space="preserve"> kommissionen och </w:t>
            </w:r>
            <w:r>
              <w:rPr>
                <w:b/>
                <w:i/>
              </w:rPr>
              <w:t>rådet bör</w:t>
            </w:r>
            <w:r>
              <w:t xml:space="preserve"> fortsätta att genomföra den europeiska pelaren för sociala rättigheter, i linje med handlingsplanen från mars 2021.</w:t>
            </w:r>
          </w:p>
        </w:tc>
        <w:tc>
          <w:tcPr>
            <w:tcW w:w="4876" w:type="dxa"/>
            <w:tcBorders>
              <w:top w:val="nil"/>
              <w:left w:val="nil"/>
              <w:bottom w:val="nil"/>
              <w:right w:val="nil"/>
            </w:tcBorders>
          </w:tcPr>
          <w:p>
            <w:pPr>
              <w:pStyle w:val="Normal6a"/>
            </w:pPr>
            <w:r>
              <w:t>1.</w:t>
            </w:r>
            <w:r>
              <w:tab/>
            </w:r>
            <w:r>
              <w:t xml:space="preserve">Europaparlamentet </w:t>
            </w:r>
            <w:r>
              <w:rPr>
                <w:b/>
                <w:i/>
              </w:rPr>
              <w:t>uppmanar</w:t>
            </w:r>
            <w:r>
              <w:t xml:space="preserve"> kommissionen och </w:t>
            </w:r>
            <w:r>
              <w:rPr>
                <w:b/>
                <w:i/>
              </w:rPr>
              <w:t>medlemsstaterna att</w:t>
            </w:r>
            <w:r>
              <w:t xml:space="preserve"> fortsätta att genomföra den europeiska pelaren för sociala rättigheter, i linje med handlingsplanen från mars 2021 </w:t>
            </w:r>
            <w:r>
              <w:rPr>
                <w:b/>
                <w:i/>
              </w:rPr>
              <w:t>och La Hulpe-förklaringen för att uppnå de överordnade målen för 2030.</w:t>
            </w:r>
            <w:r>
              <w:t xml:space="preserve"> </w:t>
            </w:r>
            <w:r>
              <w:rPr>
                <w:b/>
                <w:i/>
              </w:rPr>
              <w:t>Parlamentet välkomnar i detta avseende tillkännagivandet av en ny handlingsplan för genomförandet av den europeiska pelaren för sociala rättigheter</w:t>
            </w:r>
            <w:r>
              <w:rPr>
                <w:b/>
                <w:i/>
                <w:vertAlign w:val="superscript"/>
              </w:rPr>
              <w:t>12a</w:t>
            </w:r>
            <w:r>
              <w:t xml:space="preserve"> </w:t>
            </w:r>
            <w:r>
              <w:rPr>
                <w:b/>
                <w:i/>
              </w:rPr>
              <w:t>för 2025 i syfte att ge ny kraft åt sociala framsteg.</w:t>
            </w:r>
            <w:r>
              <w:t xml:space="preserve"> </w:t>
            </w:r>
            <w:r>
              <w:rPr>
                <w:b/>
                <w:i/>
              </w:rPr>
              <w:t>Parlamentet betonar att den uppdaterade handlingsplanen måste innehålla ambitiösa förslag för att ta itu med fattigdom och social utestängning, och stödåtgärder för arbetstagare som måste hantera den dubbla omställningen, särskilt när det gäller kompetens, yrkesutbildning och livslångt lärande</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12a</w:t>
            </w:r>
            <w:r>
              <w:t xml:space="preserve"> </w:t>
            </w:r>
            <w:r>
              <w:rPr>
                <w:b/>
                <w:i/>
              </w:rPr>
              <w:t>Europas val, politiska riktlinjer för nästa Europeiska kommission 2024–2029, Ursula von der Leyen (juli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Europaparlamentet anser att kommissionen och rådet bör </w:t>
            </w:r>
            <w:r>
              <w:rPr>
                <w:b/>
                <w:i/>
              </w:rPr>
              <w:t>fortsätta att genomföra</w:t>
            </w:r>
            <w:r>
              <w:t xml:space="preserve"> den europeiska pelaren för sociala rättigheter, i linje med handlingsplanen från mars 2021.</w:t>
            </w:r>
          </w:p>
        </w:tc>
        <w:tc>
          <w:tcPr>
            <w:tcW w:w="4876" w:type="dxa"/>
            <w:tcBorders>
              <w:top w:val="nil"/>
              <w:left w:val="nil"/>
              <w:bottom w:val="nil"/>
              <w:right w:val="nil"/>
            </w:tcBorders>
          </w:tcPr>
          <w:p>
            <w:pPr>
              <w:pStyle w:val="Normal6a"/>
            </w:pPr>
            <w:r>
              <w:t>1.</w:t>
            </w:r>
            <w:r>
              <w:tab/>
            </w:r>
            <w:r>
              <w:t xml:space="preserve">Europaparlamentet anser att kommissionen och rådet bör </w:t>
            </w:r>
            <w:r>
              <w:rPr>
                <w:b/>
                <w:i/>
              </w:rPr>
              <w:t>påskynda ett fullständigt genomförande av</w:t>
            </w:r>
            <w:r>
              <w:t xml:space="preserve"> den europeiska pelaren för sociala rättigheter, i linje med handlingsplanen från mars 2021. </w:t>
            </w:r>
            <w:r>
              <w:rPr>
                <w:b/>
                <w:i/>
              </w:rPr>
              <w:t>Parlamentet uppmanar kommissionen att lägga fram en uppdaterad plan för den europeiska pelaren för sociala rättigheter för perioden 2025–2029, för att säkerställa att nya prioriteringar integreras.</w:t>
            </w:r>
            <w:r>
              <w:t xml:space="preserve"> </w:t>
            </w:r>
            <w:r>
              <w:rPr>
                <w:b/>
                <w:i/>
              </w:rPr>
              <w:t>Parlamentet betonar vikten av att använda den sociala resultattavlan och ramen för social konvergens för att identifiera risker och följa de framsteg som görs för att minska ojämlikheter, stärka de sociala trygghetssystemen och främja goda arbetsvillkor.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Europaparlamentet anser att kommissionen och rådet bör fortsätta att genomföra den europeiska pelaren för sociala rättigheter, i linje med handlingsplanen från mars 2021.</w:t>
            </w:r>
          </w:p>
        </w:tc>
        <w:tc>
          <w:tcPr>
            <w:tcW w:w="4876" w:type="dxa"/>
            <w:tcBorders>
              <w:top w:val="nil"/>
              <w:left w:val="nil"/>
              <w:bottom w:val="nil"/>
              <w:right w:val="nil"/>
            </w:tcBorders>
          </w:tcPr>
          <w:p>
            <w:pPr>
              <w:pStyle w:val="Normal6a"/>
            </w:pPr>
            <w:r>
              <w:t>1.</w:t>
            </w:r>
            <w:r>
              <w:tab/>
            </w:r>
            <w:r>
              <w:t xml:space="preserve">Europaparlamentet anser att kommissionen och rådet bör fortsätta att genomföra den europeiska pelaren för sociala rättigheter, i linje med handlingsplanen från mars 2021. </w:t>
            </w:r>
            <w:r>
              <w:rPr>
                <w:b/>
                <w:i/>
              </w:rPr>
              <w:t>Parlamentet efterlyser en förstärkning av den sociala dialogen, samtidigt som lika möjligheter upprätthålls och ojämlikheter minskas i linje med den europeiska pelaren för sociala rättigheter, samtidigt som medlemsstaternas befogenheter respekteras.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Europaparlamentet anser att kommissionen och rådet bör fortsätta att genomföra den europeiska pelaren för sociala rättigheter, i </w:t>
            </w:r>
            <w:r>
              <w:rPr>
                <w:b/>
                <w:i/>
              </w:rPr>
              <w:t>linje med handlingsplanen från mars 2021</w:t>
            </w:r>
            <w:r>
              <w:t>.</w:t>
            </w:r>
          </w:p>
        </w:tc>
        <w:tc>
          <w:tcPr>
            <w:tcW w:w="4876" w:type="dxa"/>
            <w:tcBorders>
              <w:top w:val="nil"/>
              <w:left w:val="nil"/>
              <w:bottom w:val="nil"/>
              <w:right w:val="nil"/>
            </w:tcBorders>
          </w:tcPr>
          <w:p>
            <w:pPr>
              <w:pStyle w:val="Normal6a"/>
            </w:pPr>
            <w:r>
              <w:t>1.</w:t>
            </w:r>
            <w:r>
              <w:tab/>
            </w:r>
            <w:r>
              <w:t xml:space="preserve">Europaparlamentet anser att kommissionen och rådet bör fortsätta att genomföra den europeiska pelaren för sociala rättigheter, i </w:t>
            </w:r>
            <w:r>
              <w:rPr>
                <w:b/>
                <w:i/>
              </w:rPr>
              <w:t>total överensstämmelse med nationell rätt, på ett kompletterande och obegränsat sätt</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Europaparlamentet anser att kommissionen och rådet bör </w:t>
            </w:r>
            <w:r>
              <w:rPr>
                <w:b/>
                <w:i/>
              </w:rPr>
              <w:t>fortsätta</w:t>
            </w:r>
            <w:r>
              <w:t xml:space="preserve"> att genomföra den europeiska pelaren för sociala rättigheter, </w:t>
            </w:r>
            <w:r>
              <w:rPr>
                <w:b/>
                <w:i/>
              </w:rPr>
              <w:t>i linje med handlingsplanen från mars 2021</w:t>
            </w:r>
            <w:r>
              <w:t>.</w:t>
            </w:r>
          </w:p>
        </w:tc>
        <w:tc>
          <w:tcPr>
            <w:tcW w:w="4876" w:type="dxa"/>
            <w:tcBorders>
              <w:top w:val="nil"/>
              <w:left w:val="nil"/>
              <w:bottom w:val="nil"/>
              <w:right w:val="nil"/>
            </w:tcBorders>
          </w:tcPr>
          <w:p>
            <w:pPr>
              <w:pStyle w:val="Normal6a"/>
            </w:pPr>
            <w:r>
              <w:t>1.</w:t>
            </w:r>
            <w:r>
              <w:tab/>
            </w:r>
            <w:r>
              <w:t xml:space="preserve">Europaparlamentet anser att kommissionen och rådet bör </w:t>
            </w:r>
            <w:r>
              <w:rPr>
                <w:b/>
                <w:i/>
              </w:rPr>
              <w:t>öka sina insatser för</w:t>
            </w:r>
            <w:r>
              <w:t xml:space="preserve"> att genomföra den europeiska pelaren för sociala rättigheter, </w:t>
            </w:r>
            <w:r>
              <w:rPr>
                <w:b/>
                <w:i/>
              </w:rPr>
              <w:t>med tanke på den kommande översynen av handlingsplanen under 2025</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Europaparlamentet påminner om att EU:s medborgare gång på gång anger målen för ett socialt Europa som prioriteringar. </w:t>
            </w:r>
            <w:r>
              <w:t xml:space="preserve"> </w:t>
            </w:r>
            <w:r>
              <w:rPr>
                <w:b/>
                <w:i/>
              </w:rPr>
              <w:t>Parlamentet betonar att för att förverkliga ett socialt Europa och säkerställa en hög social skyddsnivå vid omställningar är det nödvändigt att skapa ett hållbart, rättvist och inkluderande Europa där de sociala rättigheterna skyddas fullt ut och på samma sätt som de ekonomiska friheterna, och att överväga metoder för att skydda det europeiska sociala kontraktet.</w:t>
            </w:r>
            <w:r>
              <w:t xml:space="preserve"> </w:t>
            </w:r>
            <w:r>
              <w:rPr>
                <w:b/>
                <w:i/>
              </w:rPr>
              <w:t>Parlamentet upprepar här sitt krav på att ett protokoll om sociala framsteg ska fogas till fördragen</w:t>
            </w:r>
            <w:r>
              <w:rPr>
                <w:b/>
                <w:i/>
                <w:vertAlign w:val="superscript"/>
              </w:rPr>
              <w:t>13a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13a</w:t>
            </w:r>
            <w:r>
              <w:t xml:space="preserve"> </w:t>
            </w:r>
            <w:r>
              <w:rPr>
                <w:b/>
                <w:i/>
              </w:rPr>
              <w:t>Europaparlamentets resolution av den 22 november 2023 om Europaparlamentets förslag till ändringar av fördragen (2022/2051(INL)).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Europaparlamentet efterlyser genomförandet av uppåtgående konvergens genom omedelbara åtgärder för att säkerställa högklassig offentlig omsorg, utbildning och kompetens för nästa generation och i synnerhet genom ytterligare investeringar i ändamålsenlig tillgång till hälsosam mat genom tillhandahållande av åtminstone ett gratis mål varm mat per dag till varje barn i EU vid alla inrättningar för barnomsorg och skolor.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Europaparlamentet uppmanar kommissionen att säkerställa att 2026 års gemensamma sysselsättningsrapport analyserar genomförandet av alla principer i den europeiska pelaren för sociala rättigheter i linje med förordning (EU) 2024/1263, och att i den gemensamma sysselsättningsrapporten integrera analysen av den sociala dimensionen av de nationella medelfristiga finans- och strukturpolitiska planer som rör social resiliens, inbegripet den europeiska pelaren för sociala rättigheter.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Europaparlamentet är bekymrat över att det 2023 fortfarande var 94,6 miljoner människor i EU som riskerade att drabbas av fattigdom eller social utestängning.</w:t>
            </w:r>
            <w:r>
              <w:t xml:space="preserve"> </w:t>
            </w:r>
            <w:r>
              <w:rPr>
                <w:b/>
                <w:i/>
              </w:rPr>
              <w:t>Parlamentet betonar att utan ett paradigmskifte i kampen mot fattigdom kommer EU och dess medlemsstater inte att uppnå sina mål för fattigdomsminskning.</w:t>
            </w:r>
            <w:r>
              <w:t xml:space="preserve"> </w:t>
            </w:r>
            <w:r>
              <w:rPr>
                <w:b/>
                <w:i/>
              </w:rPr>
              <w:t>Parlamentet anser att tillkännagivandet av EU:s första strategi mot fattigdom någonsin är ett steg i rätt riktning mot att vända trenden, men att det måste finnas en övergripande metod för att komma till rätta med de flerdimensionella aspekterna av fattigdom och social utestängning med konkreta åtgärder samt ett effektivt genomförande och en tydlig övervakning.</w:t>
            </w:r>
            <w:r>
              <w:t xml:space="preserve"> </w:t>
            </w:r>
            <w:r>
              <w:rPr>
                <w:b/>
                <w:i/>
              </w:rPr>
              <w:t>Parlamentet kräver att denna strategi ska omfatta alla människor som lever i fattigdom och är socialt utestängda, först och främst de mest missgynnade, men också särskilda åtgärder för olika grupper, såsom fattiga förvärvsarbetande, hemlösa, personer med funktionsnedsättning, familjer med en ensamstående förälder och framför allt barn, för att på ett varaktigt sätt bryta fattigdomscykeln.</w:t>
            </w:r>
            <w:r>
              <w:t xml:space="preserve"> </w:t>
            </w:r>
            <w:r>
              <w:rPr>
                <w:b/>
                <w:i/>
              </w:rPr>
              <w:t>Parlamentet betonar att införlivandet av direktivet om tillräckliga minimilöner kommer att vara avgörande för att förebygga och bekämpa risken för fattigdom bland arbetstagare, samtidigt som incitamenten för att arbeta stärks, och välkomnar att flera medlemsstater har ändrat eller planerar att ändra sina regler för minimilöner.</w:t>
            </w:r>
            <w:r>
              <w:t xml:space="preserve"> </w:t>
            </w:r>
            <w:r>
              <w:rPr>
                <w:b/>
                <w:i/>
              </w:rPr>
              <w:t>Parlamentet betonar att ett EU-ramdirektiv om tillräcklig minimiinkomst och aktiv inkludering, i enlighet med subsidiaritetsprincipen, skulle bidra till målen att minska fattigdomen och främja integrationen av människor som inte deltar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Europaparlamentet beklagar bristen på information om och analys av förmögenhetsklyftor och förmögenhetskoncentration i EU, eftersom detta är en av de viktigaste orsakerna till fattigdom.</w:t>
            </w:r>
            <w:r>
              <w:t xml:space="preserve"> </w:t>
            </w:r>
            <w:r>
              <w:rPr>
                <w:b/>
                <w:i/>
              </w:rPr>
              <w:t>Parlamentet påpekar att enligt redovisningen av förmögenhetsfördelningen (Distributional Wealth Accounts, DWA), ett dataset som utvecklats av Europeiska centralbankssystemet (ECBS), uppgick de högsta 10 procentens förmögenhetsandel till 56 procent under fjärde kvartalet 2023, medan den nedre hälften hamnade på endast 5 procent.</w:t>
            </w:r>
            <w:r>
              <w:t xml:space="preserve"> </w:t>
            </w:r>
            <w:r>
              <w:rPr>
                <w:b/>
                <w:i/>
              </w:rPr>
              <w:t>Parlamentet uppmanar kommissionen och medlemsstaterna att göra en bedömning av de socioekonomiska konsekvenserna av förmögenhetsklyftor och att snabbt föreslå åtgärder som säkerställer en rättvisare fördelning av förmögenheter och resurser för att fattigdomen 2030 ska kunna minskas med 15 miljoner och en större medelklass skapas.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Europaparlamentet upprepar sin uppmaning till kommissionen att noggrant övervaka genomförandet av barngarantin i samtliga medlemsstater som en del av den europeiska planeringsterminen och de landsspecifika rekommendationerna.</w:t>
            </w:r>
            <w:r>
              <w:t xml:space="preserve"> </w:t>
            </w:r>
            <w:r>
              <w:rPr>
                <w:b/>
                <w:i/>
              </w:rPr>
              <w:t>Parlamentet upprepar sitt krav på ökad finansiering av den europeiska barngarantin med en särskild budget på minst 20 miljarder euro och på att samtliga medlemsstater anslår minst 5 % av sina tilldelade ESF+-medel till att bekämpa barnfattigdom och främja barns välbefinnande.</w:t>
            </w:r>
            <w:r>
              <w:t xml:space="preserve"> </w:t>
            </w:r>
            <w:r>
              <w:rPr>
                <w:b/>
                <w:i/>
              </w:rPr>
              <w:t>Parlamentet anser att de landsspecifika rekommendationerna bör återspegla medlemsstaternas budgetmässiga efterlevnad av det minimikrav på anslag för att bekämpa barnfattigdom som fastställs i ESF+- förordningen</w:t>
            </w:r>
            <w:r>
              <w:rPr>
                <w:b/>
                <w:i/>
                <w:vertAlign w:val="superscript"/>
              </w:rPr>
              <w:t>14a</w:t>
            </w:r>
            <w:r>
              <w:rPr>
                <w:b/>
                <w:i/>
              </w:rPr>
              <w:t>.</w:t>
            </w:r>
            <w:r>
              <w:t xml:space="preserve"> </w:t>
            </w:r>
            <w:r>
              <w:rPr>
                <w:b/>
                <w:i/>
              </w:rPr>
              <w:t>Parlamentet uppmanar kommissionen att tillhandahålla en ambitiös budget för barngarantin i nästa fleråriga budgetram för att möta den växande utmaningen med barnfattigdom och social utestängning.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14a</w:t>
            </w:r>
            <w:r>
              <w:t xml:space="preserve"> </w:t>
            </w:r>
            <w:r>
              <w:rPr>
                <w:b/>
                <w:i/>
              </w:rPr>
              <w:t>Artikel 7.3 i förordning (EU) 2021/1057 om inrättande av Europeiska socialfonden+.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1c.</w:t>
            </w:r>
            <w:r>
              <w:tab/>
            </w:r>
            <w:r>
              <w:rPr>
                <w:b/>
                <w:i/>
              </w:rPr>
              <w:t>Europaparlamentet välkomnar att en analys av det positiva bidraget från målen för hållbar utveckling och de europeiska jämlikhetsstrategierna införs i 2025 års gemensamma sysselsättningsrapport, och uppmanar kommissionen att se till att 2026 års gemensamma sysselsättningsrapport innehåller både ett avsnitt som analyserar framstegen mot målen för hållbar utveckling med anknytning till sysselsättnings- och socialpolitiken och ett annat om framstegen mot att avskaffa social diskriminering och diskriminering på arbetsmarknaden i linje med jämställdhetsstrategin 2020–2025, EU:s handlingsplan mot rasism 2020–2025, EU:s strategiska ram för romers jämlikhet, inkludering och deltagande 2020–2030, jämlikhetsstrategin för hbtqi-personer 2020–2025 och strategin för rättigheter för personer med funktionsnedsättning 2021–2030.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Europaparlamentet är bekymrat över att fabriker inom olika sektorer i Europeiska unionen så ofta stängs ned och över konsekvenserna för de arbetstagare som förlorar sina jobb.</w:t>
            </w:r>
            <w:r>
              <w:t xml:space="preserve"> </w:t>
            </w:r>
            <w:r>
              <w:rPr>
                <w:b/>
                <w:i/>
              </w:rPr>
              <w:t>Parlamentet uppmanar kommissionen att säkerställa att kompetens- och utbildningsstrategier för arbetstagare och skapande av arbetstillfällen av hög kvalitet integreras i den kommande given för ren industri i linje med Draghi-rapporten.</w:t>
            </w:r>
            <w:r>
              <w:t xml:space="preserve"> </w:t>
            </w:r>
            <w:r>
              <w:rPr>
                <w:b/>
                <w:i/>
              </w:rPr>
              <w:t>Parlamentet påminner om den viktiga roll som Europeiska fonden för justering för globaliseringseffekter för uppsagda arbetstagare kan spela när det gäller att stödja och omskola arbetstagare som sagts upp till följd av större omstruktureringar i samband med exempelvis globalisering, övergången till en koldioxidsnål ekonomi eller till följd av digitalisering eller automatisering.</w:t>
            </w:r>
            <w:r>
              <w:t xml:space="preserve"> </w:t>
            </w:r>
            <w:r>
              <w:rPr>
                <w:b/>
                <w:i/>
              </w:rPr>
              <w:t>Parlamentet uppmanar medlemsstaterna att utnyttja fonden och att på bred front sprida information om möjligheterna att stödja arbetstagarna.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1d.</w:t>
            </w:r>
            <w:r>
              <w:tab/>
            </w:r>
            <w:r>
              <w:rPr>
                <w:b/>
                <w:i/>
              </w:rPr>
              <w:t>Europaparlamentet uppmanar medlemsstaterna att genomföra de uppdaterade sysselsättningsriktlinjerna, med tonvikt på utbildning för alla, ny teknik såsom artificiell intelligens samt nya politiska initiativ om plattformsarbete, anständiga och rimligt prissatta bostäder, och åtgärder mot bristen på arbetskraft och kompetens</w:t>
            </w:r>
            <w:r>
              <w:t xml:space="preserve"> </w:t>
            </w:r>
            <w:r>
              <w:rPr>
                <w:b/>
                <w:i/>
              </w:rPr>
              <w:t>i syfte att stärka det demokratiska beslutsfattandet.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1e.</w:t>
            </w:r>
            <w:r>
              <w:tab/>
            </w:r>
            <w:r>
              <w:rPr>
                <w:b/>
                <w:i/>
              </w:rPr>
              <w:t>Europaparlamentet betonar behovet av att verkligen investera i arbetstagares kompetens och av att fastställa en individuell rätt till utbildning och livslångt lärande.</w:t>
            </w:r>
            <w:r>
              <w:t xml:space="preserve"> </w:t>
            </w:r>
            <w:r>
              <w:rPr>
                <w:b/>
                <w:i/>
              </w:rPr>
              <w:t>Parlamentet uppmanar medlemsstaterna att utveckla åtgärder för kompetenshöjning och omskolning i samarbete med lokala intressenter, inbegripet utbildningsorgan och arbetsmarknadens parter, för att stärka kopplingen mellan utbildningssystem och arbetsmarknader och för att förutse arbetsmarknadens behov.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1f.</w:t>
            </w:r>
            <w:r>
              <w:tab/>
            </w:r>
            <w:r>
              <w:rPr>
                <w:b/>
                <w:i/>
              </w:rPr>
              <w:t>Europaparlamentet välkomnar tillkännagivandet av en färdplan för sysselsättning av god kvalitet för att säkerställa en rättvis omställning för alla, genom stöd för rättvisa löner, goda arbetsvillkor, utbildning och rättvisa övergångar mellan arbeten för arbetstagare och egenföretagare, särskilt genom att öka kollektivavtalstäckningen.</w:t>
            </w:r>
            <w:r>
              <w:t xml:space="preserve"> </w:t>
            </w:r>
            <w:r>
              <w:rPr>
                <w:b/>
                <w:i/>
              </w:rPr>
              <w:t>Parlamentet uppmanar kommissionen att utveckla denna färdplan i samarbete med arbetsmarknadens parter.</w:t>
            </w:r>
            <w:r>
              <w:t xml:space="preserve"> </w:t>
            </w:r>
            <w:r>
              <w:rPr>
                <w:b/>
                <w:i/>
              </w:rPr>
              <w:t>Parlamentet uppmanar vidare kommissionen att i denna färdplan inkludera överväganden om åtgärder, inbegripet lagstiftningsförslag, som är kopplade till användningen av artificiell intelligens och algoritmisk verksamhetsledning i arbetslivet, så att ny teknik utnyttjas för att förbättra arbetsvillkoren och produktiviteten, samtidigt som arbetstagarnas rättigheter och balansen mellan arbete och privatliv respekteras.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1g.</w:t>
            </w:r>
            <w:r>
              <w:tab/>
            </w:r>
            <w:r>
              <w:rPr>
                <w:b/>
                <w:i/>
              </w:rPr>
              <w:t>Europaparlamentet välkomnar att nästan alla medlemsstater förväntas öka de offentliga investeringarna under 2025</w:t>
            </w:r>
            <w:r>
              <w:rPr>
                <w:b/>
                <w:i/>
                <w:vertAlign w:val="superscript"/>
              </w:rPr>
              <w:t>15a</w:t>
            </w:r>
            <w:r>
              <w:rPr>
                <w:b/>
                <w:i/>
              </w:rPr>
              <w:t>, vilket är nödvändigt för att säkerställa tillgång till offentliga tjänster av hög kvalitet och uppnå målen för den europeiska pelaren för sociala rättigheter.</w:t>
            </w:r>
            <w:r>
              <w:t xml:space="preserve"> </w:t>
            </w:r>
            <w:r>
              <w:rPr>
                <w:b/>
                <w:i/>
              </w:rPr>
              <w:t>Parlamentet påminner om att faciliteten för återhämtning och resiliens kan utnyttjas av medlemsstaterna till och med den 31 december 2026 och uppmanar dem att fullt ut och målinriktat använda dessa medel för att ta itu med de utmaningar som identifierats i de landsspecifika rekommendationerna inom ramen för den europeiska planeringsterminen, och fastställa strategier för smart och hållbar tillväxt för alla och nästa generation, barn och ungdomar, i enlighet med förordningen om faciliteten för återhämtning och resiliens</w:t>
            </w:r>
            <w:r>
              <w:rPr>
                <w:b/>
                <w:i/>
                <w:vertAlign w:val="superscript"/>
              </w:rPr>
              <w:t>16a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15a</w:t>
            </w:r>
            <w:r>
              <w:t xml:space="preserve"> </w:t>
            </w:r>
            <w:r>
              <w:rPr>
                <w:b/>
                <w:i/>
              </w:rPr>
              <w:t>Kommissionens meddelande "Europeiska planeringsterminen 2025: det nya ramverket för ekonomisk styrning i praktisk tillämpning" (COM(2024)0705),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16a</w:t>
            </w:r>
            <w:r>
              <w:t xml:space="preserve"> </w:t>
            </w:r>
            <w:r>
              <w:rPr>
                <w:b/>
                <w:i/>
              </w:rPr>
              <w:t>Förordning (EU) 2021/241 om inrättande av faciliteten för återhämtning och resiliens, artikel 3, pelare c och 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1h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1h.</w:t>
            </w:r>
            <w:r>
              <w:tab/>
            </w:r>
            <w:r>
              <w:rPr>
                <w:b/>
                <w:i/>
              </w:rPr>
              <w:t>Europaparlamentet välkomnar kommissionens tillkännagivande av offentliggörandet av en konkurrenskraftskompass i januari 2025.</w:t>
            </w:r>
            <w:r>
              <w:t xml:space="preserve"> </w:t>
            </w:r>
            <w:r>
              <w:rPr>
                <w:b/>
                <w:i/>
              </w:rPr>
              <w:t>Parlamentet anser att EU:s konkurrenskraftsmål inte kan uppnås om de europeiska arbetstagarna inte har tillräcklig kompetens.</w:t>
            </w:r>
            <w:r>
              <w:t xml:space="preserve"> </w:t>
            </w:r>
            <w:r>
              <w:rPr>
                <w:b/>
                <w:i/>
              </w:rPr>
              <w:t>Parlamentet uppmanar kommissionen att i konkurrenskraftskompassen inkludera åtgärder som rör den europeiska arbetskraftens kompetensutveckling.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Europaparlamentet upprepar betydelsen av att stödja arbetskraftens kompetensutveckling för att förbättra konkurrenskraften och säkerställa sysselsättning av god kvalitet. Parlamentet uppmanar med kraft medlemsstaterna att stärka yrkesutbildning och digital utbildning och samtidigt främja inkludering av personer med funktionsnedsättning i arbetskraften för att åtgärda bristen på arbetskraft och stödja lika möjligheter på arbetsmarknaden, eftersom personer med funktionsnedsättning fortfarande möter stora hinder på arbetsmarknaden, även om situationen har förbättrats.</w:t>
            </w:r>
          </w:p>
        </w:tc>
        <w:tc>
          <w:tcPr>
            <w:tcW w:w="4876" w:type="dxa"/>
            <w:tcBorders>
              <w:top w:val="nil"/>
              <w:left w:val="nil"/>
              <w:bottom w:val="nil"/>
              <w:right w:val="nil"/>
            </w:tcBorders>
          </w:tcPr>
          <w:p>
            <w:pPr>
              <w:pStyle w:val="Normal6a"/>
            </w:pPr>
            <w:r>
              <w:t>2.</w:t>
            </w:r>
            <w:r>
              <w:tab/>
            </w:r>
            <w:r>
              <w:t xml:space="preserve">Europaparlamentet upprepar betydelsen av att stödja arbetskraftens kompetensutveckling </w:t>
            </w:r>
            <w:r>
              <w:rPr>
                <w:b/>
                <w:i/>
              </w:rPr>
              <w:t>och en högkvalitativ och yrkesrelaterad utbildning som tillhandahålls under arbetstid och som finansieras av arbetsgivaren</w:t>
            </w:r>
            <w:r>
              <w:t xml:space="preserve"> för att förbättra konkurrenskraften och säkerställa </w:t>
            </w:r>
            <w:r>
              <w:rPr>
                <w:b/>
                <w:i/>
              </w:rPr>
              <w:t>inkluderande och rättvis</w:t>
            </w:r>
            <w:r>
              <w:t xml:space="preserve"> sysselsättning av god kvalitet. Parlamentet uppmanar med kraft </w:t>
            </w:r>
            <w:r>
              <w:rPr>
                <w:b/>
                <w:i/>
              </w:rPr>
              <w:t>kommissionen och</w:t>
            </w:r>
            <w:r>
              <w:t xml:space="preserve"> medlemsstaterna att stärka </w:t>
            </w:r>
            <w:r>
              <w:rPr>
                <w:b/>
                <w:i/>
              </w:rPr>
              <w:t>en högkvalitativ, inkluderande</w:t>
            </w:r>
            <w:r>
              <w:t xml:space="preserve"> yrkesutbildning och digital </w:t>
            </w:r>
            <w:r>
              <w:rPr>
                <w:b/>
                <w:i/>
              </w:rPr>
              <w:t>rätt till</w:t>
            </w:r>
            <w:r>
              <w:t xml:space="preserve"> utbildning </w:t>
            </w:r>
            <w:r>
              <w:rPr>
                <w:b/>
                <w:i/>
              </w:rPr>
              <w:t>för alla</w:t>
            </w:r>
            <w:r>
              <w:t xml:space="preserve"> och samtidigt främja inkludering av personer med funktionsnedsättning </w:t>
            </w:r>
            <w:r>
              <w:rPr>
                <w:b/>
                <w:i/>
              </w:rPr>
              <w:t>samt av unga och äldre arbetstagare</w:t>
            </w:r>
            <w:r>
              <w:t xml:space="preserve"> i arbetskraften för att åtgärda bristen på arbetskraft och stödja lika möjligheter på arbetsmarknaden</w:t>
            </w:r>
            <w:r>
              <w:rPr>
                <w:b/>
                <w:i/>
              </w:rPr>
              <w:t>.</w:t>
            </w:r>
            <w:r>
              <w:t xml:space="preserve"> </w:t>
            </w:r>
            <w:r>
              <w:rPr>
                <w:b/>
                <w:i/>
              </w:rPr>
              <w:t>Detta måste inbegripa att säkerställa tillgång till avlönade, högkvalitativa och inkluderande praktik- och lärlingsplatser för ungdomar, så att de kan få en meningsfull första arbetslivserfarenhet och deras övergång från utbildning till anställning underlättas, och att skapa arbetsvillkor som gör det möjligt för en åldrande arbetskraft att förbli friska och frivilliga på arbetsmarknaden.</w:t>
            </w:r>
            <w:r>
              <w:t xml:space="preserve"> </w:t>
            </w:r>
            <w:r>
              <w:rPr>
                <w:b/>
                <w:i/>
              </w:rPr>
              <w:t>Parlamentet betonar behovet av att öka möjligheterna till livslång kompetensutveckling</w:t>
            </w:r>
            <w:r>
              <w:t>, eftersom personer med funktionsnedsättning</w:t>
            </w:r>
            <w:r>
              <w:rPr>
                <w:b/>
                <w:i/>
              </w:rPr>
              <w:t>, särskilt kvinnor med funktionsnedsättning,</w:t>
            </w:r>
            <w:r>
              <w:t xml:space="preserve"> fortfarande möter stora hinder på arbetsmarknaden, även om situationen har förbättrats.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Europaparlamentet upprepar betydelsen av att stödja arbetskraftens kompetensutveckling för att förbättra konkurrenskraften och säkerställa sysselsättning av god kvalitet. Parlamentet uppmanar med kraft medlemsstaterna att stärka yrkesutbildning och digital utbildning och samtidigt främja inkludering av personer med funktionsnedsättning i arbetskraften för att åtgärda bristen på arbetskraft och stödja lika möjligheter på arbetsmarknaden</w:t>
            </w:r>
            <w:r>
              <w:rPr>
                <w:b/>
                <w:i/>
              </w:rPr>
              <w:t>, eftersom</w:t>
            </w:r>
            <w:r>
              <w:t xml:space="preserve"> personer med funktionsnedsättning </w:t>
            </w:r>
            <w:r>
              <w:rPr>
                <w:b/>
                <w:i/>
              </w:rPr>
              <w:t>fortfarande möter stora hinder på arbetsmarknaden, även om situationen har förbättrats</w:t>
            </w:r>
            <w:r>
              <w:t>.</w:t>
            </w:r>
          </w:p>
        </w:tc>
        <w:tc>
          <w:tcPr>
            <w:tcW w:w="4876" w:type="dxa"/>
            <w:tcBorders>
              <w:top w:val="nil"/>
              <w:left w:val="nil"/>
              <w:bottom w:val="nil"/>
              <w:right w:val="nil"/>
            </w:tcBorders>
          </w:tcPr>
          <w:p>
            <w:pPr>
              <w:pStyle w:val="Normal6a"/>
            </w:pPr>
            <w:r>
              <w:t>2.</w:t>
            </w:r>
            <w:r>
              <w:tab/>
            </w:r>
            <w:r>
              <w:t xml:space="preserve">Europaparlamentet upprepar betydelsen av att stödja arbetskraftens kompetensutveckling för att förbättra konkurrenskraften och säkerställa sysselsättning av god kvalitet. Parlamentet uppmanar med kraft medlemsstaterna att stärka yrkesutbildning och digital utbildning och samtidigt främja inkludering av personer </w:t>
            </w:r>
            <w:r>
              <w:rPr>
                <w:b/>
                <w:i/>
              </w:rPr>
              <w:t>från missgynnade grupper, såsom personer</w:t>
            </w:r>
            <w:r>
              <w:t xml:space="preserve"> med funktionsnedsättning</w:t>
            </w:r>
            <w:r>
              <w:rPr>
                <w:b/>
                <w:i/>
              </w:rPr>
              <w:t>,</w:t>
            </w:r>
            <w:r>
              <w:t xml:space="preserve"> i arbetskraften för att åtgärda bristen på arbetskraft och stödja lika möjligheter på arbetsmarknaden</w:t>
            </w:r>
            <w:r>
              <w:rPr>
                <w:b/>
                <w:i/>
              </w:rPr>
              <w:t>.</w:t>
            </w:r>
            <w:r>
              <w:t xml:space="preserve"> </w:t>
            </w:r>
            <w:r>
              <w:rPr>
                <w:b/>
                <w:i/>
              </w:rPr>
              <w:t>Parlamentet uppmanar medlemsstaterna att vidta fler utbildningsåtgärder, kompetenshöjande åtgärder och åtgärder för omskolning samt aktiva arbetsmarknadsåtgärder med inriktning på den inaktiva arbetskraften och grupper med lågt deltagande på arbetsmarknaden, däribland kvinnor,</w:t>
            </w:r>
            <w:r>
              <w:t xml:space="preserve"> personer med funktionsnedsättning</w:t>
            </w:r>
            <w:r>
              <w:rPr>
                <w:b/>
                <w:i/>
              </w:rPr>
              <w:t>, lågutbildade, ungdomar och unga som varken arbetar eller studerar, äldre arbetstagare och personer med invandrarbakgrund eller etnisk minoritetsbakgrund, såsom romer.</w:t>
            </w:r>
            <w:r>
              <w:t xml:space="preserve"> </w:t>
            </w:r>
            <w:r>
              <w:rPr>
                <w:b/>
                <w:i/>
              </w:rPr>
              <w:t>Parlamentet betonar att det är mycket viktigt att bekämpa alla former av diskriminering och stereotyper för att se till att dessa grupper inkluderas på arbetsmarknaden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Europaparlamentet upprepar betydelsen av att stödja arbetskraftens kompetensutveckling för att förbättra </w:t>
            </w:r>
            <w:r>
              <w:rPr>
                <w:b/>
                <w:i/>
              </w:rPr>
              <w:t>konkurrenskraften</w:t>
            </w:r>
            <w:r>
              <w:t xml:space="preserve"> och säkerställa sysselsättning av god kvalitet. Parlamentet uppmanar med kraft medlemsstaterna att stärka yrkesutbildning och digital utbildning och samtidigt främja inkludering </w:t>
            </w:r>
            <w:r>
              <w:rPr>
                <w:b/>
                <w:i/>
              </w:rPr>
              <w:t>av</w:t>
            </w:r>
            <w:r>
              <w:t xml:space="preserve"> personer med funktionsnedsättning </w:t>
            </w:r>
            <w:r>
              <w:rPr>
                <w:b/>
                <w:i/>
              </w:rPr>
              <w:t>i arbetskraften</w:t>
            </w:r>
            <w:r>
              <w:t xml:space="preserve"> för att åtgärda bristen på arbetskraft och stödja lika möjligheter på arbetsmarknaden, eftersom personer med funktionsnedsättning fortfarande möter </w:t>
            </w:r>
            <w:r>
              <w:rPr>
                <w:b/>
                <w:i/>
              </w:rPr>
              <w:t>stora</w:t>
            </w:r>
            <w:r>
              <w:t xml:space="preserve"> hinder på arbetsmarknaden</w:t>
            </w:r>
            <w:r>
              <w:rPr>
                <w:b/>
                <w:i/>
              </w:rPr>
              <w:t>, även om situationen har förbättrats</w:t>
            </w:r>
            <w:r>
              <w:t>.</w:t>
            </w:r>
          </w:p>
        </w:tc>
        <w:tc>
          <w:tcPr>
            <w:tcW w:w="4876" w:type="dxa"/>
            <w:tcBorders>
              <w:top w:val="nil"/>
              <w:left w:val="nil"/>
              <w:bottom w:val="nil"/>
              <w:right w:val="nil"/>
            </w:tcBorders>
          </w:tcPr>
          <w:p>
            <w:pPr>
              <w:pStyle w:val="Normal6a"/>
            </w:pPr>
            <w:r>
              <w:t>2.</w:t>
            </w:r>
            <w:r>
              <w:tab/>
            </w:r>
            <w:r>
              <w:t>Europaparlamentet upprepar betydelsen av att stödja arbetskraftens kompetensutveckling</w:t>
            </w:r>
            <w:r>
              <w:rPr>
                <w:b/>
                <w:i/>
              </w:rPr>
              <w:t>, omskolning och kompetenshöjning</w:t>
            </w:r>
            <w:r>
              <w:t xml:space="preserve"> för att förbättra </w:t>
            </w:r>
            <w:r>
              <w:rPr>
                <w:b/>
                <w:i/>
              </w:rPr>
              <w:t>den europeiska industrins och de små och medelstora företagens konkurrenskraft och långsiktiga hållbarhet,</w:t>
            </w:r>
            <w:r>
              <w:t xml:space="preserve"> och säkerställa sysselsättning av god kvalitet </w:t>
            </w:r>
            <w:r>
              <w:rPr>
                <w:b/>
                <w:i/>
              </w:rPr>
              <w:t>för arbetstagare, särskilt inom övergångssektorer</w:t>
            </w:r>
            <w:r>
              <w:t>. Parlamentet uppmanar med kraft medlemsstaterna att stärka yrkesutbildning och digital utbildning och samtidigt främja inkludering </w:t>
            </w:r>
            <w:r>
              <w:rPr>
                <w:b/>
                <w:i/>
              </w:rPr>
              <w:t>i arbetskraften av alla grupper som för närvarande kämpar för att få tillträde till arbetsmarknaden, inbegripet</w:t>
            </w:r>
            <w:r>
              <w:t xml:space="preserve"> personer med funktionsnedsättning</w:t>
            </w:r>
            <w:r>
              <w:rPr>
                <w:b/>
                <w:i/>
              </w:rPr>
              <w:t>,</w:t>
            </w:r>
            <w:r>
              <w:t xml:space="preserve"> för att åtgärda bristen på arbetskraft och stödja lika möjligheter på arbetsmarknaden, eftersom personer med funktionsnedsättning fortfarande möter </w:t>
            </w:r>
            <w:r>
              <w:rPr>
                <w:b/>
                <w:i/>
              </w:rPr>
              <w:t>betydande</w:t>
            </w:r>
            <w:r>
              <w:t xml:space="preserve"> hinder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Europaparlamentet upprepar betydelsen av att stödja arbetskraftens kompetensutveckling för att förbättra konkurrenskraften och säkerställa sysselsättning av god kvalitet. Parlamentet uppmanar med kraft medlemsstaterna att stärka yrkesutbildning och digital utbildning och samtidigt främja inkludering av personer med funktionsnedsättning i arbetskraften för att åtgärda bristen på arbetskraft och stödja lika möjligheter på arbetsmarknaden, eftersom personer med funktionsnedsättning fortfarande möter stora hinder på arbetsmarknaden, även om situationen har förbättrats.</w:t>
            </w:r>
          </w:p>
        </w:tc>
        <w:tc>
          <w:tcPr>
            <w:tcW w:w="4876" w:type="dxa"/>
            <w:tcBorders>
              <w:top w:val="nil"/>
              <w:left w:val="nil"/>
              <w:bottom w:val="nil"/>
              <w:right w:val="nil"/>
            </w:tcBorders>
          </w:tcPr>
          <w:p>
            <w:pPr>
              <w:pStyle w:val="Normal6a"/>
            </w:pPr>
            <w:r>
              <w:t>2.</w:t>
            </w:r>
            <w:r>
              <w:tab/>
            </w:r>
            <w:r>
              <w:t xml:space="preserve">Europaparlamentet upprepar betydelsen av att stödja arbetskraftens kompetensutveckling för att förbättra konkurrenskraften och säkerställa sysselsättning av god kvalitet </w:t>
            </w:r>
            <w:r>
              <w:rPr>
                <w:b/>
                <w:i/>
              </w:rPr>
              <w:t>samtidigt som arbetstagarnas individuella ambitioner respekteras</w:t>
            </w:r>
            <w:r>
              <w:t xml:space="preserve">. Parlamentet uppmanar med kraft medlemsstaterna att stärka yrkesutbildning och digital utbildning och samtidigt främja inkludering av personer med funktionsnedsättning </w:t>
            </w:r>
            <w:r>
              <w:rPr>
                <w:b/>
                <w:i/>
              </w:rPr>
              <w:t>och kroniskt sjuka personer</w:t>
            </w:r>
            <w:r>
              <w:t xml:space="preserve"> i arbetskraften </w:t>
            </w:r>
            <w:r>
              <w:rPr>
                <w:b/>
                <w:i/>
              </w:rPr>
              <w:t>och återintegrera arbetstagare efter längre frånvaro</w:t>
            </w:r>
            <w:r>
              <w:t xml:space="preserve"> för att åtgärda bristen på arbetskraft och stödja lika möjligheter på arbetsmarknaden, eftersom personer med funktionsnedsättning fortfarande möter stora hinder på arbetsmarknaden, även om situationen har förbättrats.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Europaparlamentet upprepar betydelsen av att stödja arbetskraftens kompetensutveckling för att förbättra konkurrenskraften och säkerställa sysselsättning av god kvalitet. Parlamentet uppmanar med kraft medlemsstaterna att stärka yrkesutbildning och digital utbildning och samtidigt främja inkludering av personer med funktionsnedsättning i arbetskraften för att åtgärda bristen på arbetskraft och stödja lika möjligheter på arbetsmarknaden, eftersom personer med funktionsnedsättning fortfarande möter stora hinder på arbetsmarknaden, även om situationen har förbättrats.</w:t>
            </w:r>
          </w:p>
        </w:tc>
        <w:tc>
          <w:tcPr>
            <w:tcW w:w="4876" w:type="dxa"/>
            <w:tcBorders>
              <w:top w:val="nil"/>
              <w:left w:val="nil"/>
              <w:bottom w:val="nil"/>
              <w:right w:val="nil"/>
            </w:tcBorders>
          </w:tcPr>
          <w:p>
            <w:pPr>
              <w:pStyle w:val="Normal6a"/>
            </w:pPr>
            <w:r>
              <w:t>2.</w:t>
            </w:r>
            <w:r>
              <w:tab/>
            </w:r>
            <w:r>
              <w:t xml:space="preserve">Europaparlamentet upprepar betydelsen av att stödja arbetskraftens kompetensutveckling för att förbättra konkurrenskraften och säkerställa sysselsättning av god kvalitet. Parlamentet uppmanar med kraft medlemsstaterna att stärka yrkesutbildning och digital utbildning och samtidigt främja inkludering av personer med funktionsnedsättning </w:t>
            </w:r>
            <w:r>
              <w:rPr>
                <w:b/>
                <w:i/>
              </w:rPr>
              <w:t>och personer från missgynnade och marginaliserade miljöer</w:t>
            </w:r>
            <w:r>
              <w:t xml:space="preserve"> i arbetskraften för att åtgärda bristen på arbetskraft och stödja lika möjligheter på arbetsmarknaden, eftersom personer med funktionsnedsättning fortfarande möter stora hinder på arbetsmarknaden, även om situationen har förbättrats.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Branislav Ondruš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Europaparlamentet upprepar betydelsen av </w:t>
            </w:r>
            <w:r>
              <w:rPr>
                <w:b/>
                <w:i/>
              </w:rPr>
              <w:t>att stödja</w:t>
            </w:r>
            <w:r>
              <w:t xml:space="preserve"> arbetskraftens kompetensutveckling för att förbättra konkurrenskraften och säkerställa sysselsättning av god kvalitet. Parlamentet uppmanar med kraft medlemsstaterna att stärka yrkesutbildning och digital utbildning och samtidigt främja inkludering av personer med funktionsnedsättning i arbetskraften för att åtgärda bristen på arbetskraft och stödja lika möjligheter på arbetsmarknaden, eftersom personer med funktionsnedsättning fortfarande möter stora hinder på arbetsmarknaden, även om situationen har förbättrats.</w:t>
            </w:r>
          </w:p>
        </w:tc>
        <w:tc>
          <w:tcPr>
            <w:tcW w:w="4876" w:type="dxa"/>
            <w:tcBorders>
              <w:top w:val="nil"/>
              <w:left w:val="nil"/>
              <w:bottom w:val="nil"/>
              <w:right w:val="nil"/>
            </w:tcBorders>
          </w:tcPr>
          <w:p>
            <w:pPr>
              <w:pStyle w:val="Normal6a"/>
            </w:pPr>
            <w:r>
              <w:t>2.</w:t>
            </w:r>
            <w:r>
              <w:tab/>
            </w:r>
            <w:r>
              <w:t xml:space="preserve">Europaparlamentet upprepar betydelsen av </w:t>
            </w:r>
            <w:r>
              <w:rPr>
                <w:b/>
                <w:i/>
              </w:rPr>
              <w:t>principen om kostnadsfördelning mellan statliga och privata aktörer när det gäller</w:t>
            </w:r>
            <w:r>
              <w:t xml:space="preserve"> arbetskraftens kompetensutveckling för att förbättra konkurrenskraften och säkerställa sysselsättning av god kvalitet. Parlamentet uppmanar med kraft medlemsstaterna att stärka yrkesutbildning och digital utbildning och samtidigt främja inkludering av personer med funktionsnedsättning i arbetskraften för att åtgärda bristen på arbetskraft och stödja lika möjligheter på arbetsmarknaden, eftersom personer med funktionsnedsättning fortfarande möter stora hinder på arbetsmarknaden, även om situationen har förbättrats.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Europaparlamentet </w:t>
            </w:r>
            <w:r>
              <w:rPr>
                <w:b/>
                <w:i/>
              </w:rPr>
              <w:t>upprepar betydelsen av att stödja arbetskraftens kompetensutveckling</w:t>
            </w:r>
            <w:r>
              <w:t xml:space="preserve"> för att förbättra konkurrenskraften och säkerställa sysselsättning av god kvalitet. Parlamentet uppmanar med kraft medlemsstaterna att stärka yrkesutbildning och digital utbildning och samtidigt främja inkludering av personer med funktionsnedsättning i arbetskraften för att åtgärda bristen på arbetskraft och stödja lika möjligheter på arbetsmarknaden, eftersom personer med funktionsnedsättning fortfarande möter stora hinder på arbetsmarknaden, även om situationen har förbättrats.</w:t>
            </w:r>
          </w:p>
        </w:tc>
        <w:tc>
          <w:tcPr>
            <w:tcW w:w="4876" w:type="dxa"/>
            <w:tcBorders>
              <w:top w:val="nil"/>
              <w:left w:val="nil"/>
              <w:bottom w:val="nil"/>
              <w:right w:val="nil"/>
            </w:tcBorders>
          </w:tcPr>
          <w:p>
            <w:pPr>
              <w:pStyle w:val="Normal6a"/>
            </w:pPr>
            <w:r>
              <w:t>2.</w:t>
            </w:r>
            <w:r>
              <w:tab/>
            </w:r>
            <w:r>
              <w:t xml:space="preserve">Europaparlamentet </w:t>
            </w:r>
            <w:r>
              <w:rPr>
                <w:b/>
                <w:i/>
              </w:rPr>
              <w:t>efterlyser ett tillvaratagande av Europas talanger liksom investeringar i kompetens i syfte att främja arbetstillfällen av hög kvalitet i hela unionen</w:t>
            </w:r>
            <w:r>
              <w:t xml:space="preserve"> för att förbättra konkurrenskraften och säkerställa sysselsättning av god kvalitet. Parlamentet uppmanar med kraft medlemsstaterna att stärka yrkesutbildning och digital utbildning och samtidigt främja inkludering av personer med funktionsnedsättning i arbetskraften för att åtgärda bristen på arbetskraft och stödja lika möjligheter på arbetsmarknaden, eftersom personer med funktionsnedsättning fortfarande möter stora hinder på arbetsmarknaden, även om situationen har förbättrats.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Europaparlamentet upprepar betydelsen av att stödja arbetskraftens kompetensutveckling för att förbättra konkurrenskraften och säkerställa sysselsättning av god kvalitet. Parlamentet uppmanar med kraft medlemsstaterna att stärka yrkesutbildning och digital utbildning och samtidigt främja inkludering av personer med funktionsnedsättning i arbetskraften för att åtgärda bristen på arbetskraft och stödja lika möjligheter på arbetsmarknaden, eftersom personer med funktionsnedsättning fortfarande möter stora hinder på arbetsmarknaden, även om situationen har förbättrats.</w:t>
            </w:r>
          </w:p>
        </w:tc>
        <w:tc>
          <w:tcPr>
            <w:tcW w:w="4876" w:type="dxa"/>
            <w:tcBorders>
              <w:top w:val="nil"/>
              <w:left w:val="nil"/>
              <w:bottom w:val="nil"/>
              <w:right w:val="nil"/>
            </w:tcBorders>
          </w:tcPr>
          <w:p>
            <w:pPr>
              <w:pStyle w:val="Normal6a"/>
            </w:pPr>
            <w:r>
              <w:t>2.</w:t>
            </w:r>
            <w:r>
              <w:tab/>
            </w:r>
            <w:r>
              <w:t xml:space="preserve">Europaparlamentet upprepar betydelsen av att stödja </w:t>
            </w:r>
            <w:r>
              <w:rPr>
                <w:b/>
                <w:i/>
              </w:rPr>
              <w:t>den europeiska</w:t>
            </w:r>
            <w:r>
              <w:t xml:space="preserve"> arbetskraftens kompetensutveckling för att förbättra konkurrenskraften och säkerställa sysselsättning av god kvalitet. Parlamentet uppmanar med kraft medlemsstaterna att stärka yrkesutbildning och digital utbildning och samtidigt främja inkludering av personer med funktionsnedsättning i arbetskraften för att åtgärda bristen på arbetskraft och stödja lika möjligheter på arbetsmarknaden, eftersom personer med funktionsnedsättning fortfarande möter stora hinder på arbetsmarknaden, även om situationen har förbättrats.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Europaparlamentet påminner om att skillnaden i sysselsättning för personer med funktionsnedsättning håller i sig - endast 51,3 % av personer med funktionsnedsättning i arbetsför ålder i EU har ett avlönat arbete.</w:t>
            </w:r>
            <w:r>
              <w:t xml:space="preserve"> </w:t>
            </w:r>
            <w:r>
              <w:rPr>
                <w:b/>
                <w:i/>
              </w:rPr>
              <w:t>Parlamentet uppmanar kommissionen att uppdatera EU:s handikappstrategi med nya flaggskeppsinitiativ och åtgärder från och med 2025.</w:t>
            </w:r>
            <w:r>
              <w:t xml:space="preserve"> </w:t>
            </w:r>
            <w:r>
              <w:rPr>
                <w:b/>
                <w:i/>
              </w:rPr>
              <w:t>Parlamentet betonar att kommissionen bör lägga fram förslag för att säkerställa EU:s och medlemsstaternas efterlevnad av FN:s konvention om rättigheter för personer med funktionsnedsättning, och framför allt ta itu med den sociala inkluderingen och det självständiga boendet för personer med funktionsnedsättning samt återstående hinder för deras fria rörlighet, och säkerställa deras tillgång till utbildning och sysselsättning av god kvalitet genom rådgivning om bibehållna invaliditetsförmåner och om inrättande av en europeisk sysselsättningsgaranti för personer med funktionsnedsättning.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Europaparlamentet är oroat över ökningen av atypiska anställningsavtal som skapar fattiga förvärvsarbetande utan lämpligt rättsligt skydd.</w:t>
            </w:r>
            <w:r>
              <w:t xml:space="preserve"> </w:t>
            </w:r>
            <w:r>
              <w:rPr>
                <w:b/>
                <w:i/>
              </w:rPr>
              <w:t>Parlamentet påminner om att en sådan försämring av anställningsvillkoren inte bara påverkar enskilda personers finansiella stabilitet utan även undergräver den bredare sociala strukturen, eftersom alltfler arbetstagare har svårt att få tillgång till grundläggande förmåner såsom hälso- och sjukvård, pensionsplaner och arbetsrelaterad utbildning.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Europaparlamentet betonar behovet av att uppmärksamma sociala och miljömässiga aspekter av konkurrenskraften och betonar behovet av investeringar i utbildning för alla för att säkerställa allmän tillgång till högkvalitativ offentlig utbildning och yrkesutbildning, och hållbara metoder för att främja tillväxt för alla, och understryker att arbetsmarknadens parter bör spela en nyckelroll när det gäller att identifiera och tillgodose kompetensbehov i hela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2a.</w:t>
            </w:r>
            <w:r>
              <w:tab/>
            </w:r>
            <w:r>
              <w:rPr>
                <w:b/>
                <w:i/>
              </w:rPr>
              <w:t>Europaparlamentet belyser den roll som sociala investeringar spelar och betydelsen av reformer och investeringar på viktiga områden såsom kompetenshöjning och omskolning, livslångt lärande, aktiva arbetsmarknadsåtgärder samt förskoleverksamhet och barnomsorg, som kan kompletteras med ökade investeringar i bostäder till överkomliga priser och socialt skydd.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2b.</w:t>
            </w:r>
            <w:r>
              <w:tab/>
            </w:r>
            <w:r>
              <w:rPr>
                <w:b/>
                <w:i/>
              </w:rPr>
              <w:t>Europaparlamentet uttrycker oro över att romer fortfarande har mycket svårt att få anställning, med ständiga fördomar som begränsar deras möjligheter.</w:t>
            </w:r>
            <w:r>
              <w:t xml:space="preserve"> </w:t>
            </w:r>
            <w:r>
              <w:rPr>
                <w:b/>
                <w:i/>
              </w:rPr>
              <w:t>Parlamentet noterar att EU:s strategiska ram för romers jämlikhet, inkludering och deltagande belyser bristen på framsteg när det gäller tillgång till sysselsättning och att andelen romska ungdomar som varken arbetar eller studerar ökar.</w:t>
            </w:r>
            <w:r>
              <w:t xml:space="preserve"> </w:t>
            </w:r>
            <w:r>
              <w:rPr>
                <w:b/>
                <w:i/>
              </w:rPr>
              <w:t>Parlamentet betonar ramens mål att halvera skillanden i sysselsättning mellan romer och befolkningen i stort och se till att minst 60 % av romerna har avlönat arbete senast 2030.</w:t>
            </w:r>
            <w:r>
              <w:t xml:space="preserve"> </w:t>
            </w:r>
            <w:r>
              <w:rPr>
                <w:b/>
                <w:i/>
              </w:rPr>
              <w:t>Parlamentet uppmanar med kraft medlemsstaterna att välja en integrerad, jämställdhetsinriktad strategi och se till att offentlig politik och offentliga tjänster verkligen når alla romer, även i avlägsna landsbygdsområden.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2c.</w:t>
            </w:r>
            <w:r>
              <w:tab/>
            </w:r>
            <w:r>
              <w:rPr>
                <w:b/>
                <w:i/>
              </w:rPr>
              <w:t>Europaparlamentet betonar att svaret på arbetskraftsbrist i EU också handlar om att förbättra och underlätta arbetskraftens rörlighet inom unionen.</w:t>
            </w:r>
            <w:r>
              <w:t xml:space="preserve"> </w:t>
            </w:r>
            <w:r>
              <w:rPr>
                <w:b/>
                <w:i/>
              </w:rPr>
              <w:t>Parlamentet uppmanar medlemsstaterna att stärka och underlätta erkännandet av färdigheter och kvalifikationer i unionen, även för tredjelandsmedborgare.</w:t>
            </w:r>
            <w:r>
              <w:t xml:space="preserve"> </w:t>
            </w:r>
            <w:r>
              <w:rPr>
                <w:b/>
                <w:i/>
              </w:rPr>
              <w:t>Parlamentet uppmanar kommissionen att analysera hur effektiv Euresplattformen är i syfte att eventuellt se över dess drift.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2d.</w:t>
            </w:r>
            <w:r>
              <w:tab/>
            </w:r>
            <w:r>
              <w:rPr>
                <w:b/>
                <w:i/>
              </w:rPr>
              <w:t>Europaparlamentet är bekymrat över ungdomars försämrade utbildningsresultat, särskilt när det gäller grundläggande färdigheter</w:t>
            </w:r>
            <w:r>
              <w:rPr>
                <w:b/>
                <w:i/>
                <w:vertAlign w:val="superscript"/>
              </w:rPr>
              <w:t>17a</w:t>
            </w:r>
            <w:r>
              <w:rPr>
                <w:b/>
                <w:i/>
              </w:rPr>
              <w:t>.</w:t>
            </w:r>
            <w:r>
              <w:t xml:space="preserve"> </w:t>
            </w:r>
            <w:r>
              <w:rPr>
                <w:b/>
                <w:i/>
              </w:rPr>
              <w:t>Parlamentet välkomnar i detta avseende tillkännagivandet av en handlingsplan för grundläggande färdigheter och en strategisk plan för utbildning inom naturvetenskap, teknik, ingenjörsvetenskap och matematik</w:t>
            </w:r>
            <w:r>
              <w:rPr>
                <w:b/>
                <w:i/>
                <w:vertAlign w:val="superscript"/>
              </w:rPr>
              <w:t>18a</w:t>
            </w:r>
            <w:r>
              <w:rPr>
                <w:b/>
                <w:i/>
              </w:rPr>
              <w:t>.</w:t>
            </w:r>
            <w:r>
              <w:t xml:space="preserve"> </w:t>
            </w:r>
            <w:r>
              <w:rPr>
                <w:b/>
                <w:i/>
              </w:rPr>
              <w:t>Parlamentet uppmanar medlemsstaterna att investera i program som ger studerande de grundläggande, digitala och övergripande färdigheter som behövs för arbetslivet och dess digitalisering samt för att på ett meningsfullt sätt bidra till samhället.</w:t>
            </w:r>
            <w:r>
              <w:t xml:space="preserve"> </w:t>
            </w:r>
            <w:r>
              <w:rPr>
                <w:b/>
                <w:i/>
              </w:rPr>
              <w:t>Parlamentet anser att digitala och övergripande färdigheter måste innehålla en komponent i kritiskt tänkande och mediekompetens för att kunna bemöta det hot som felaktig information utgör.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17a</w:t>
            </w:r>
            <w:r>
              <w:t xml:space="preserve"> </w:t>
            </w:r>
            <w:r>
              <w:rPr>
                <w:b/>
                <w:i/>
              </w:rPr>
              <w:t>Europeiska kommissionen, generaldirektoratet för utbildning, ungdom, idrott och kultur 2024 – Jämförande rapport, Europeiska unionens publikationsbyrå, 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18a</w:t>
            </w:r>
            <w:r>
              <w:t xml:space="preserve"> </w:t>
            </w:r>
            <w:r>
              <w:rPr>
                <w:b/>
                <w:i/>
              </w:rPr>
              <w:t>Uppdragsbeskrivning till kommissionens verkställande vice ordförande med ansvar för sociala rättigheter, kompetens, arbetstillfällen av god kvalitet och beredskap, december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2e.</w:t>
            </w:r>
            <w:r>
              <w:tab/>
            </w:r>
            <w:r>
              <w:rPr>
                <w:b/>
                <w:i/>
              </w:rPr>
              <w:t>Europaparlamentet konstaterar att antalet unga med högst grundskoleutbildning fortfarande är högt i flera medlemsstater, trots en nedåtgående trend i Europeiska unionen.</w:t>
            </w:r>
            <w:r>
              <w:t xml:space="preserve"> </w:t>
            </w:r>
            <w:r>
              <w:rPr>
                <w:b/>
                <w:i/>
              </w:rPr>
              <w:t>Parlamentet noterar att detta fenomen särskilt berör unga män, då 11,3 % av de unga männen i början av 2023 och 7,7 % av de unga kvinnorna i unionen inte gick vidare efter grundskolan.</w:t>
            </w:r>
            <w:r>
              <w:t xml:space="preserve"> </w:t>
            </w:r>
            <w:r>
              <w:rPr>
                <w:b/>
                <w:i/>
              </w:rPr>
              <w:t>Parlamentet är bekymrat över hur dessa avhopp påverkar deras framtid, med tanke på att bara 1 av 2 personer med högst grundskoleutbildning har anställning, att nästan 1 av 3 personer med högst grundskoleutbildning inte kan hitta ett arbete trots att de skulle vilja och att 1 av 5 väljer att förbli inaktiva.</w:t>
            </w:r>
            <w:r>
              <w:t xml:space="preserve"> </w:t>
            </w:r>
            <w:r>
              <w:rPr>
                <w:b/>
                <w:i/>
              </w:rPr>
              <w:t>Parlamentet uppmanar medlemsstaterna att komma till rätta med denna situation och utveckla individanpassade lösningar för att få barn och ungdomar att stanna kvar i skolan.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2f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2f.</w:t>
            </w:r>
            <w:r>
              <w:tab/>
            </w:r>
            <w:r>
              <w:rPr>
                <w:b/>
                <w:i/>
              </w:rPr>
              <w:t>Europaparlamentet är oroat över ungdomsarbetslösheten, som fortfarande är mycket hög i flera medlemsstater och mer än dubbelt så hög som den totala arbetslösheten på EU-nivå.</w:t>
            </w:r>
            <w:r>
              <w:t xml:space="preserve"> </w:t>
            </w:r>
            <w:r>
              <w:rPr>
                <w:b/>
                <w:i/>
              </w:rPr>
              <w:t>Parlamentet påminner om det åtagande som medlemsstaterna gjorde i och med inrättandet av ungdomsgarantin som innebar att alla personer under 30 år skulle få ett högkvalitativt erbjudande om sysselsättning, vidareutbildning, lärlingsutbildning eller praktik inom fyra månader efter det att de blivit arbetslösa eller avslutat sin utbildning.</w:t>
            </w:r>
            <w:r>
              <w:t xml:space="preserve"> </w:t>
            </w:r>
            <w:r>
              <w:rPr>
                <w:b/>
                <w:i/>
              </w:rPr>
              <w:t>Parlamentet anser att det behövs fler synergier mellan barngarantin och ungdomsgarantin för att säkerställa tillräckligt stöd till behövande ungdomar under hela deras personliga och yrkesmässiga utveckling.</w:t>
            </w:r>
            <w:r>
              <w:t xml:space="preserve"> </w:t>
            </w:r>
            <w:r>
              <w:rPr>
                <w:b/>
                <w:i/>
              </w:rPr>
              <w:t>Parlamentet välkomnar att sysselsättningsresultaten för nyutexaminerade från yrkesutbildningar fortsätter att förbättras i hela EU.</w:t>
            </w:r>
            <w:r>
              <w:t xml:space="preserve"> </w:t>
            </w:r>
            <w:r>
              <w:rPr>
                <w:b/>
                <w:i/>
              </w:rPr>
              <w:t>Parlamentet upprepar den avgörande roll som yrkesutbildning spelar när det gäller att tillhandahålla den kunskap, de färdigheter och den kompetens som krävs för att ungdomar ska kunna komma in på arbetsmarknaden.</w:t>
            </w:r>
            <w:r>
              <w:t xml:space="preserve"> </w:t>
            </w:r>
            <w:r>
              <w:rPr>
                <w:b/>
                <w:i/>
              </w:rPr>
              <w:t>Parlamentet betonar vikten av att investera i yrkesutbildningars kvalitet och attraktionskraft genom ESF+ och den utökade ungdomsgarantin.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Europaparlamentet uppmanar kommissionen att inkludera särskilda rekommendationer om bostäder till överkomlig kostnad i den europeiska planeringsterminen och att främja investeringar i bostäder, bland annat genom Europeiska investeringsbankens finansieringsinstrument. Parlamentet anser att översynen av EU:s regelverk för bostadssektorn bör dels göra det lättare att bygga </w:t>
            </w:r>
            <w:r>
              <w:rPr>
                <w:b/>
                <w:i/>
              </w:rPr>
              <w:t>tillgängliga och</w:t>
            </w:r>
            <w:r>
              <w:t xml:space="preserve"> energieffektiva bostäder som tillgodoser behoven bland ungdomar, personer med nedsatt rörlighet och utsatta familjer</w:t>
            </w:r>
            <w:r>
              <w:rPr>
                <w:b/>
                <w:i/>
              </w:rPr>
              <w:t>, dels skydda bostadsägare från ett ännu mindre utbud</w:t>
            </w:r>
            <w:r>
              <w:t>.</w:t>
            </w:r>
          </w:p>
        </w:tc>
        <w:tc>
          <w:tcPr>
            <w:tcW w:w="4876" w:type="dxa"/>
            <w:tcBorders>
              <w:top w:val="nil"/>
              <w:left w:val="nil"/>
              <w:bottom w:val="nil"/>
              <w:right w:val="nil"/>
            </w:tcBorders>
          </w:tcPr>
          <w:p>
            <w:pPr>
              <w:pStyle w:val="Normal6a"/>
            </w:pPr>
            <w:r>
              <w:t>3.</w:t>
            </w:r>
            <w:r>
              <w:tab/>
            </w:r>
            <w:r>
              <w:t xml:space="preserve">Europaparlamentet uppmanar kommissionen </w:t>
            </w:r>
            <w:r>
              <w:rPr>
                <w:b/>
                <w:i/>
              </w:rPr>
              <w:t>och medlemsstaterna att göra bostäder till en av hörnstenarna i EU:s politik.</w:t>
            </w:r>
            <w:r>
              <w:t xml:space="preserve"> </w:t>
            </w:r>
            <w:r>
              <w:rPr>
                <w:b/>
                <w:i/>
              </w:rPr>
              <w:t>Parlamentet betonar att EU och dess medlemsstater är skyldiga medborgarna att säkerställa allmän tillgång till anständiga och rimligt prissatta bostäder, i enlighet med grundläggande rättigheter i t.ex. artiklarna 16, 30 och 31 i den europeiska sociala stadgan och den europeiska pelaren för sociala rättigheter.</w:t>
            </w:r>
            <w:r>
              <w:t xml:space="preserve"> </w:t>
            </w:r>
            <w:r>
              <w:rPr>
                <w:b/>
                <w:i/>
              </w:rPr>
              <w:t>Parlamentet betonar att investeringar i subventionerade bostäder och rimligt prissatta bostäder är avgörande för att säkerställa och förbättra bostadskvaliteten för alla EU-medborgare.</w:t>
            </w:r>
            <w:r>
              <w:t xml:space="preserve"> </w:t>
            </w:r>
            <w:r>
              <w:rPr>
                <w:b/>
                <w:i/>
              </w:rPr>
              <w:t>Parlamentet uppmanar kommissionen att utveckla en social bostadspolitik i EU och</w:t>
            </w:r>
            <w:r>
              <w:t xml:space="preserve"> att inkludera särskilda rekommendationer om bostäder till överkomlig kostnad </w:t>
            </w:r>
            <w:r>
              <w:rPr>
                <w:b/>
                <w:i/>
              </w:rPr>
              <w:t>för alla</w:t>
            </w:r>
            <w:r>
              <w:t xml:space="preserve"> i den europeiska planeringsterminen och att främja investeringar i </w:t>
            </w:r>
            <w:r>
              <w:rPr>
                <w:b/>
                <w:i/>
              </w:rPr>
              <w:t>allmännyttiga</w:t>
            </w:r>
            <w:r>
              <w:t xml:space="preserve"> bostäder, bland annat genom </w:t>
            </w:r>
            <w:r>
              <w:rPr>
                <w:b/>
                <w:i/>
              </w:rPr>
              <w:t>EU-medel och</w:t>
            </w:r>
            <w:r>
              <w:t xml:space="preserve"> Europeiska investeringsbankens finansieringsinstrument. Parlamentet anser att översynen av EU:s regelverk för bostadssektorn bör dels göra det lättare att bygga </w:t>
            </w:r>
            <w:r>
              <w:rPr>
                <w:b/>
                <w:i/>
              </w:rPr>
              <w:t>allmännyttiga, anständiga</w:t>
            </w:r>
            <w:r>
              <w:t xml:space="preserve"> energieffektiva bostäder </w:t>
            </w:r>
            <w:r>
              <w:rPr>
                <w:b/>
                <w:i/>
              </w:rPr>
              <w:t>av god kvalitet</w:t>
            </w:r>
            <w:r>
              <w:t xml:space="preserve"> som tillgodoser behoven bland ungdomar, personer med nedsatt rörlighet och </w:t>
            </w:r>
            <w:r>
              <w:rPr>
                <w:b/>
                <w:i/>
              </w:rPr>
              <w:t>funktionsnedsättning, äldre och</w:t>
            </w:r>
            <w:r>
              <w:t xml:space="preserve"> utsatta familjer</w:t>
            </w:r>
            <w:r>
              <w:rPr>
                <w:b/>
                <w:i/>
              </w:rPr>
              <w:t>.</w:t>
            </w:r>
            <w:r>
              <w:t xml:space="preserve"> </w:t>
            </w:r>
            <w:r>
              <w:rPr>
                <w:b/>
                <w:i/>
              </w:rPr>
              <w:t>Parlamentet uppmanar kommissionen och medlemsstaterna att vidta beslutsamma åtgärder för att tillhandahålla rimligt prissatta bostäder för alla genom att stödja en stark europeisk bostadsstrategi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Europaparlamentet uppmanar kommissionen att inkludera särskilda rekommendationer om bostäder till överkomlig kostnad i den europeiska planeringsterminen och att främja investeringar i bostäder, bland annat genom Europeiska investeringsbankens finansieringsinstrument. Parlamentet anser att översynen av EU:s regelverk för bostadssektorn bör dels göra det lättare att bygga tillgängliga och energieffektiva bostäder som tillgodoser behoven bland ungdomar, personer med nedsatt rörlighet och utsatta familjer, dels skydda bostadsägare från ett ännu mindre utbud.</w:t>
            </w:r>
          </w:p>
        </w:tc>
        <w:tc>
          <w:tcPr>
            <w:tcW w:w="4876" w:type="dxa"/>
            <w:tcBorders>
              <w:top w:val="nil"/>
              <w:left w:val="nil"/>
              <w:bottom w:val="nil"/>
              <w:right w:val="nil"/>
            </w:tcBorders>
          </w:tcPr>
          <w:p>
            <w:pPr>
              <w:pStyle w:val="Normal6a"/>
            </w:pPr>
            <w:r>
              <w:t>3.</w:t>
            </w:r>
            <w:r>
              <w:tab/>
            </w:r>
            <w:r>
              <w:t xml:space="preserve">Europaparlamentet uppmanar kommissionen att </w:t>
            </w:r>
            <w:r>
              <w:rPr>
                <w:b/>
                <w:i/>
              </w:rPr>
              <w:t>notera medlemsstaternas bästa praxis i kampen mot energifattigdom, såsom prissubventioner för hushållskonsumenter,</w:t>
            </w:r>
            <w:r>
              <w:t xml:space="preserve"> </w:t>
            </w:r>
            <w:r>
              <w:rPr>
                <w:b/>
                <w:i/>
              </w:rPr>
              <w:t>att</w:t>
            </w:r>
            <w:r>
              <w:t xml:space="preserve"> inkludera särskilda rekommendationer om bostäder till överkomlig kostnad i den europeiska planeringsterminen och att främja investeringar i bostäder, bland annat genom Europeiska investeringsbankens finansieringsinstrument. Parlamentet anser att översynen av EU:s regelverk för bostadssektorn bör dels </w:t>
            </w:r>
            <w:r>
              <w:rPr>
                <w:b/>
                <w:i/>
              </w:rPr>
              <w:t>respektera medlemsstaternas befogenheter och samtidigt</w:t>
            </w:r>
            <w:r>
              <w:t xml:space="preserve"> göra det lättare att bygga tillgängliga och energieffektiva bostäder som tillgodoser behoven bland ungdomar, personer med nedsatt rörlighet och utsatta familjer, dels skydda bostadsägare från ett ännu mindre utbud. </w:t>
            </w:r>
            <w:r>
              <w:rPr>
                <w:b/>
                <w:i/>
              </w:rPr>
              <w:t>Parlamentet uppmanar kommissionen att undvika att lägga den börda som energieffektiviseringar av bostäder medför på familjerna.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Europaparlamentet uppmanar kommissionen att inkludera särskilda rekommendationer om bostäder till överkomlig kostnad i den europeiska planeringsterminen och att främja investeringar i bostäder, bland annat genom Europeiska investeringsbankens finansieringsinstrument. Parlamentet anser att </w:t>
            </w:r>
            <w:r>
              <w:rPr>
                <w:b/>
                <w:i/>
              </w:rPr>
              <w:t>översynen av</w:t>
            </w:r>
            <w:r>
              <w:t xml:space="preserve"> EU:s regelverk för bostadssektorn bör dels göra det lättare att bygga tillgängliga och energieffektiva bostäder som tillgodoser behoven bland ungdomar, personer med nedsatt rörlighet och utsatta familjer, dels skydda bostadsägare från ett ännu mindre utbud.</w:t>
            </w:r>
          </w:p>
        </w:tc>
        <w:tc>
          <w:tcPr>
            <w:tcW w:w="4876" w:type="dxa"/>
            <w:tcBorders>
              <w:top w:val="nil"/>
              <w:left w:val="nil"/>
              <w:bottom w:val="nil"/>
              <w:right w:val="nil"/>
            </w:tcBorders>
          </w:tcPr>
          <w:p>
            <w:pPr>
              <w:pStyle w:val="Normal6a"/>
            </w:pPr>
            <w:r>
              <w:t>3.</w:t>
            </w:r>
            <w:r>
              <w:tab/>
            </w:r>
            <w:r>
              <w:t xml:space="preserve">Europaparlamentet uppmanar kommissionen att inkludera särskilda rekommendationer om </w:t>
            </w:r>
            <w:r>
              <w:rPr>
                <w:b/>
                <w:i/>
              </w:rPr>
              <w:t>tillgång till bostäder och</w:t>
            </w:r>
            <w:r>
              <w:t xml:space="preserve"> bostäder till överkomlig kostnad i den europeiska planeringsterminen och att främja investeringar i bostäder, bland annat genom Europeiska investeringsbankens finansieringsinstrument. Parlamentet anser att </w:t>
            </w:r>
            <w:r>
              <w:rPr>
                <w:b/>
                <w:i/>
              </w:rPr>
              <w:t>en bedömning av unionens politik och fonder, inbegripet flaskhalsar i</w:t>
            </w:r>
            <w:r>
              <w:t xml:space="preserve"> EU:s regelverk för bostadssektorn</w:t>
            </w:r>
            <w:r>
              <w:rPr>
                <w:b/>
                <w:i/>
              </w:rPr>
              <w:t>, särskilt reglerna för statligt stöd,</w:t>
            </w:r>
            <w:r>
              <w:t xml:space="preserve"> bör dels göra det lättare att bygga</w:t>
            </w:r>
            <w:r>
              <w:rPr>
                <w:b/>
                <w:i/>
              </w:rPr>
              <w:t>, bygga om och renovera</w:t>
            </w:r>
            <w:r>
              <w:t xml:space="preserve"> tillgängliga och energieffektiva bostäder</w:t>
            </w:r>
            <w:r>
              <w:rPr>
                <w:b/>
                <w:i/>
              </w:rPr>
              <w:t>, inbegripet subventionerade bostäder,</w:t>
            </w:r>
            <w:r>
              <w:t xml:space="preserve"> som tillgodoser behoven bland </w:t>
            </w:r>
            <w:r>
              <w:rPr>
                <w:b/>
                <w:i/>
              </w:rPr>
              <w:t>låg- och medelinkomstgrupper samt</w:t>
            </w:r>
            <w:r>
              <w:t xml:space="preserve"> ungdomar, personer med </w:t>
            </w:r>
            <w:r>
              <w:rPr>
                <w:b/>
                <w:i/>
              </w:rPr>
              <w:t>funktionsnedsättning och</w:t>
            </w:r>
            <w:r>
              <w:t xml:space="preserve"> nedsatt rörlighet och utsatta familjer, dels skydda </w:t>
            </w:r>
            <w:r>
              <w:rPr>
                <w:b/>
                <w:i/>
              </w:rPr>
              <w:t>potentiella</w:t>
            </w:r>
            <w:r>
              <w:t xml:space="preserve"> bostadsägare från ett ännu mindre utbud.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Europaparlamentet uppmanar kommissionen att inkludera särskilda rekommendationer om bostäder till överkomlig kostnad i den europeiska planeringsterminen och att främja investeringar i bostäder, bland annat genom Europeiska investeringsbankens finansieringsinstrument. Parlamentet anser att översynen av EU:s regelverk för bostadssektorn bör dels göra det lättare att bygga tillgängliga och energieffektiva bostäder som tillgodoser behoven bland ungdomar, personer med nedsatt rörlighet och utsatta familjer, dels skydda bostadsägare från ett ännu mindre utbud.</w:t>
            </w:r>
          </w:p>
        </w:tc>
        <w:tc>
          <w:tcPr>
            <w:tcW w:w="4876" w:type="dxa"/>
            <w:tcBorders>
              <w:top w:val="nil"/>
              <w:left w:val="nil"/>
              <w:bottom w:val="nil"/>
              <w:right w:val="nil"/>
            </w:tcBorders>
          </w:tcPr>
          <w:p>
            <w:pPr>
              <w:pStyle w:val="Normal6a"/>
            </w:pPr>
            <w:r>
              <w:t>3.</w:t>
            </w:r>
            <w:r>
              <w:tab/>
            </w:r>
            <w:r>
              <w:t>Europaparlamentet uppmanar kommissionen att inkludera särskilda rekommendationer om bostäder till överkomlig kostnad i den europeiska planeringsterminen och att främja investeringar i bostäder, bland annat genom Europeiska investeringsbankens finansieringsinstrument. Parlamentet anser att översynen av EU:s regelverk för bostadssektorn bör dels göra det lättare att bygga tillgängliga och energieffektiva bostäder som tillgodoser behoven bland ungdomar, personer med nedsatt rörlighet och utsatta familjer, dels skydda bostadsägare från ett ännu mindre utbud</w:t>
            </w:r>
            <w:r>
              <w:rPr>
                <w:b/>
                <w:i/>
              </w:rPr>
              <w:t>,</w:t>
            </w:r>
            <w:r>
              <w:t xml:space="preserve"> </w:t>
            </w:r>
            <w:r>
              <w:rPr>
                <w:b/>
                <w:i/>
              </w:rPr>
              <w:t>vilket skulle försena genomförandet av tidsplanen för dåligt isolerade byggnader, som är en stor källa till osäkerhet och blockering av hyresmarknaden</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Europaparlamentet uppmanar kommissionen att inkludera särskilda rekommendationer om bostäder till överkomlig kostnad i den europeiska planeringsterminen och att främja investeringar i bostäder, bland annat genom Europeiska investeringsbankens finansieringsinstrument. Parlamentet anser att översynen av EU:s regelverk för bostadssektorn bör dels göra det lättare att bygga tillgängliga och energieffektiva bostäder som tillgodoser behoven bland ungdomar, personer med nedsatt rörlighet och utsatta familjer, dels skydda </w:t>
            </w:r>
            <w:r>
              <w:rPr>
                <w:b/>
                <w:i/>
              </w:rPr>
              <w:t>bostadsägare</w:t>
            </w:r>
            <w:r>
              <w:t xml:space="preserve"> från ett ännu mindre utbud.</w:t>
            </w:r>
          </w:p>
        </w:tc>
        <w:tc>
          <w:tcPr>
            <w:tcW w:w="4876" w:type="dxa"/>
            <w:tcBorders>
              <w:top w:val="nil"/>
              <w:left w:val="nil"/>
              <w:bottom w:val="nil"/>
              <w:right w:val="nil"/>
            </w:tcBorders>
          </w:tcPr>
          <w:p>
            <w:pPr>
              <w:pStyle w:val="Normal6a"/>
            </w:pPr>
            <w:r>
              <w:t>3.</w:t>
            </w:r>
            <w:r>
              <w:tab/>
            </w:r>
            <w:r>
              <w:t>Europaparlamentet uppmanar kommissionen att inkludera särskilda rekommendationer om bostäder till överkomlig kostnad i den europeiska planeringsterminen och att främja investeringar i bostäder, bland annat genom Europeiska investeringsbankens finansieringsinstrument. Parlamentet anser att översynen av EU:s regelverk för bostadssektorn bör dels göra det lättare att bygga tillgängliga</w:t>
            </w:r>
            <w:r>
              <w:rPr>
                <w:b/>
                <w:i/>
              </w:rPr>
              <w:t>, rimligt prissatta</w:t>
            </w:r>
            <w:r>
              <w:t xml:space="preserve"> och energieffektiva bostäder som tillgodoser behoven bland ungdomar, personer med nedsatt rörlighet och utsatta familjer, dels skydda </w:t>
            </w:r>
            <w:r>
              <w:rPr>
                <w:b/>
                <w:i/>
              </w:rPr>
              <w:t>personer som försöker att köpa en egen bostad</w:t>
            </w:r>
            <w:r>
              <w:t xml:space="preserve"> från ett ännu mindre utbud. </w:t>
            </w:r>
            <w:r>
              <w:rPr>
                <w:b/>
                <w:i/>
              </w:rPr>
              <w:t>Parlamentet uppmanar medlemsstaterna och kommissionen att erkänna ett adekvat boende som en rättighet.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Europaparlamentet uppmanar kommissionen att inkludera särskilda rekommendationer om bostäder till överkomlig kostnad i den europeiska planeringsterminen </w:t>
            </w:r>
            <w:r>
              <w:rPr>
                <w:b/>
                <w:i/>
              </w:rPr>
              <w:t>och att främja investeringar i bostäder, bland annat genom Europeiska investeringsbankens finansieringsinstrument.</w:t>
            </w:r>
            <w:r>
              <w:t xml:space="preserve"> </w:t>
            </w:r>
            <w:r>
              <w:rPr>
                <w:b/>
                <w:i/>
              </w:rPr>
              <w:t>Parlamentet anser att översynen av EU:s regelverk för bostadssektorn bör dels göra det lättare att bygga tillgängliga och energieffektiva bostäder som tillgodoser behoven bland ungdomar, personer med nedsatt rörlighet och utsatta familjer, dels skydda bostadsägare från ett ännu mindre utbud</w:t>
            </w:r>
            <w:r>
              <w:t>.</w:t>
            </w:r>
          </w:p>
        </w:tc>
        <w:tc>
          <w:tcPr>
            <w:tcW w:w="4876" w:type="dxa"/>
            <w:tcBorders>
              <w:top w:val="nil"/>
              <w:left w:val="nil"/>
              <w:bottom w:val="nil"/>
              <w:right w:val="nil"/>
            </w:tcBorders>
          </w:tcPr>
          <w:p>
            <w:pPr>
              <w:pStyle w:val="Normal6a"/>
            </w:pPr>
            <w:r>
              <w:t>3.</w:t>
            </w:r>
            <w:r>
              <w:tab/>
            </w:r>
            <w:r>
              <w:t>Europaparlamentet uppmanar kommissionen att inkludera särskilda rekommendationer om bostäder till överkomlig kostnad i den europeiska planeringsterminen</w:t>
            </w:r>
            <w:r>
              <w:rPr>
                <w:b/>
                <w:i/>
              </w:rPr>
              <w:t>.</w:t>
            </w:r>
            <w:r>
              <w:t xml:space="preserve"> </w:t>
            </w:r>
            <w:r>
              <w:rPr>
                <w:b/>
                <w:i/>
              </w:rPr>
              <w:t>Parlamentet påminner om behovet av att överbrygga det årliga investeringsgapet i subventionerade och överkomliga bostäder på 57 miljarder EUR och vikten av den aviserade europeiska investeringsplattformen för att främja bostadsinvesteringar, bland annat genom EU-medel och Europeiska investeringsbankens finansieringsinstrument.</w:t>
            </w:r>
            <w:r>
              <w:t xml:space="preserve"> </w:t>
            </w:r>
            <w:r>
              <w:rPr>
                <w:b/>
                <w:i/>
              </w:rPr>
              <w:t>Parlamentet framhåller den möjlighet som erbjuds genom att fördubbla de medel från Sammanhållningsfonden som är avsedda för subventionerade och överkomliga bostäder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Europaparlamentet uppmanar kommissionen att inkludera särskilda rekommendationer om bostäder till överkomlig kostnad i den europeiska planeringsterminen och att främja investeringar i bostäder, bland annat genom Europeiska investeringsbankens finansieringsinstrument. Parlamentet anser att översynen av EU:s regelverk för bostadssektorn bör dels göra det lättare att bygga tillgängliga och energieffektiva bostäder som tillgodoser behoven bland ungdomar, personer med nedsatt rörlighet och utsatta familjer, dels skydda bostadsägare från ett ännu mindre utbud.</w:t>
            </w:r>
          </w:p>
        </w:tc>
        <w:tc>
          <w:tcPr>
            <w:tcW w:w="4876" w:type="dxa"/>
            <w:tcBorders>
              <w:top w:val="nil"/>
              <w:left w:val="nil"/>
              <w:bottom w:val="nil"/>
              <w:right w:val="nil"/>
            </w:tcBorders>
          </w:tcPr>
          <w:p>
            <w:pPr>
              <w:pStyle w:val="Normal6a"/>
            </w:pPr>
            <w:r>
              <w:t>3.</w:t>
            </w:r>
            <w:r>
              <w:tab/>
            </w:r>
            <w:r>
              <w:t xml:space="preserve">Europaparlamentet uppmanar kommissionen att inkludera särskilda rekommendationer om bostäder till överkomlig kostnad i den europeiska planeringsterminen och att främja investeringar i bostäder, bland annat genom Europeiska investeringsbankens finansieringsinstrument. Parlamentet anser att översynen av EU:s regelverk för bostadssektorn bör dels göra det lättare att bygga tillgängliga och energieffektiva bostäder som tillgodoser behoven bland ungdomar, personer med nedsatt rörlighet och </w:t>
            </w:r>
            <w:r>
              <w:rPr>
                <w:b/>
                <w:i/>
              </w:rPr>
              <w:t>personer med funktionsnedsättning och</w:t>
            </w:r>
            <w:r>
              <w:t xml:space="preserve"> utsatta familjer, dels skydda bostadsägare från ett ännu mindre utbud.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 – punkt 1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Europaparlamentet beklagar att vissa av EU:s regler och direktiv, såsom direktivet om nödlidande lån, EU:s finanspolitiska regler och regler om statligt stöd har spelat en roll för att öka bostadspriserna och hemlösheten i hela unionen, eftersom de ofta kan hindra medlemsstaterna från att göra omfattande investeringar i hanteringen av de stigande bostadskostnaderna och den ökande hemlösheten.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Europaparlamentet uppmanar med kraft medlemsstaterna att säkerställa att bostadsinvesteringar stöder långsiktiga högkvalitativa bostadslösningar som faktiskt är överkomliga för låginkomsthushåll och medelinkomsthushåll genom sociala villkor och antispekulativa skyddsåtgärder.</w:t>
            </w:r>
            <w:r>
              <w:t xml:space="preserve"> </w:t>
            </w:r>
            <w:r>
              <w:rPr>
                <w:b/>
                <w:i/>
              </w:rPr>
              <w:t>Parlamentet anser att hanteringen av spekulativa investeringar och finansialisering måste vara en central del av den europeiska planen för bostäder till överkomlig kostnad.</w:t>
            </w:r>
            <w:r>
              <w:t xml:space="preserve"> </w:t>
            </w:r>
            <w:r>
              <w:rPr>
                <w:b/>
                <w:i/>
              </w:rPr>
              <w:t>Parlamentet välkomnar i detta avseende en djupgående analys av effekterna av bostadsspekulation och dess ekonomiska konsekvenser för att vid behov påskynda snabba svar och uppföljningsåtgärder.</w:t>
            </w:r>
            <w:r>
              <w:t xml:space="preserve"> </w:t>
            </w:r>
            <w:r>
              <w:rPr>
                <w:b/>
                <w:i/>
              </w:rPr>
              <w:t>Parlamentet anser att översynen av EU:s regelverk för bostadssektorn bör underlätta renovering och byggande, och undvika ökad markanvändning, av tillgängliga, överkomliga och energieffektiva bostäder som tillgodoser behoven hos ungdomar, personer med nedsatt rörlighet och personer i mer utsatta situationer.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Europaparlamentet anser att hemlöshet är ett dramatiskt socialt problem i EU och en av de mest extrema formerna av social utestängning, som hindrar människor från ett värdigt liv och deras deltagande på arbetsmarknaden. Parlamentet uppmanar kommissionen att utarbeta en handlingsplan för att få ett slut på hemlösheten i EU genom att främja tillgången till anständiga bostäder till överkomliga priser.</w:t>
            </w:r>
            <w:r>
              <w:t xml:space="preserve"> </w:t>
            </w:r>
            <w:r>
              <w:rPr>
                <w:b/>
                <w:i/>
              </w:rPr>
              <w:t>Parlamentet efterlyser en enhetlig definition av hemlöshet i EU som skulle möjliggöra en systematisk jämförelse och bedömning av hemlöshetens omfattning i olika EU-länder,</w:t>
            </w:r>
            <w:r>
              <w:t xml:space="preserve"> </w:t>
            </w:r>
            <w:r>
              <w:rPr>
                <w:b/>
                <w:i/>
              </w:rPr>
              <w:t>och skulle tillåta systematisk bevakning av hemlöshetssiffrorna på EU-nivå genom institutioner såsom Eurostat.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Europaparlamentet välkomnar den aviserade europeiska planen för överkomliga bostäder för att hjälpa medlemsstaterna att hantera bostadskrisen och de kraftigt stigande hyrorna och bostadspriserna.</w:t>
            </w:r>
            <w:r>
              <w:t xml:space="preserve"> </w:t>
            </w:r>
            <w:r>
              <w:rPr>
                <w:b/>
                <w:i/>
              </w:rPr>
              <w:t>Parlamentet uppmanar kommissionen att se över reglerna för statligt stöd för att möjliggöra åtgärder för bostadsstöd och subventionerat boende.</w:t>
            </w:r>
            <w:r>
              <w:t xml:space="preserve"> </w:t>
            </w:r>
            <w:r>
              <w:rPr>
                <w:b/>
                <w:i/>
              </w:rPr>
              <w:t>Parlamentet påminner om att den sociala klimatfonden kommer att ge ekonomiskt stöd till medlemsstaterna från och med 2026 för att stödja utsatta hushåll med tillfälligt direkt inkomststöd och åtgärder och investeringar som syftar till att öka energieffektiviteten i byggnader, minska koldioxidutsläppen från uppvärmning och kylning av byggnader och integrera produktion och lagring av förnybar energi i byggnader.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Europaparlamentet uppmanar kommissionen att lägga fram förslag om att stärka EU:s tekniska kapacitet, påskynda den digitala omvandlingen i alla industrier, utnyttja dataekonomins möjligheter och samtidigt säkerställa integritet och säkerhet samt främja utvecklingen av innovativ teknik.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Europaparlamentet påminner om unionens mål att övergå från institutionsvård till samhällsbaserad eller familjebaserad vård.</w:t>
            </w:r>
            <w:r>
              <w:t xml:space="preserve"> </w:t>
            </w:r>
            <w:r>
              <w:rPr>
                <w:b/>
                <w:i/>
              </w:rPr>
              <w:t>Parlamentet uppmanar kommissionen att lägga fram en handlingsplan för avinstitutionalisering.</w:t>
            </w:r>
            <w:r>
              <w:t xml:space="preserve"> </w:t>
            </w:r>
            <w:r>
              <w:rPr>
                <w:b/>
                <w:i/>
              </w:rPr>
              <w:t>Parlamentet betonar att denna handlingsplan bör omfatta alla grupper som fortfarande bor på institutioner, inbegripet barn, personer med funktionsnedsättning och personer med psykisk ohälsa, eller som drabbats av hemlöshet samt äldre.</w:t>
            </w:r>
            <w:r>
              <w:t xml:space="preserve"> </w:t>
            </w:r>
            <w:r>
              <w:rPr>
                <w:b/>
                <w:i/>
              </w:rPr>
              <w:t>Parlamentet uppmanar medlemsstaterna att fullt ut utnyttja ESF+-fonderna samt andra relevanta europeiska och nationella medel för att slutföra avinstitutionaliseringen, så att alla EU-medborgare kan leva i en familje- eller gemenskapsmiljö.</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Europaparlamentet anser att det finns ett akut behov av EU-åtgärder för att ta itu med de ihållande höga nivåerna av fattigdom och social utestängning i EU, särskilt bland barn, ungdomar och äldre, personer med funktionsnedsättning, personer födda utanför EU, hbti-personer och romska befolkningsgrupper.</w:t>
            </w:r>
            <w:r>
              <w:t xml:space="preserve"> </w:t>
            </w:r>
            <w:r>
              <w:rPr>
                <w:b/>
                <w:i/>
              </w:rPr>
              <w:t>Tillgång till sociala tjänster av god kvalitet bör prioriteras, med bindande mål för att minska hemlösheten och säkerställa energitrygghet för utsatta hushåll.</w:t>
            </w:r>
            <w:r>
              <w:t xml:space="preserve"> </w:t>
            </w:r>
            <w:r>
              <w:rPr>
                <w:b/>
                <w:i/>
              </w:rPr>
              <w:t>Parlamentet uppmanar kommissionen att anta EU:s första strategi mot fattigdom någonsin.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3b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Europaparlamentet påminner om målet att arbeta för att få ett slut på hemlösheten senast 2030.</w:t>
            </w:r>
            <w:r>
              <w:t xml:space="preserve"> </w:t>
            </w:r>
            <w:r>
              <w:rPr>
                <w:b/>
                <w:i/>
              </w:rPr>
              <w:t>Parlamentet uppmanar medlemsstaterna att utforma nationella strategier mot hemlöshet med fokus på bostadsbaserade lösningar för att anpassa sig till detta mål.</w:t>
            </w:r>
            <w:r>
              <w:t xml:space="preserve"> </w:t>
            </w:r>
            <w:r>
              <w:rPr>
                <w:b/>
                <w:i/>
              </w:rPr>
              <w:t>Parlamentet välkomnar avsikten att lägga fram en rådsrekommendation om hemlöshet.</w:t>
            </w:r>
            <w:r>
              <w:t xml:space="preserve"> </w:t>
            </w:r>
            <w:r>
              <w:rPr>
                <w:b/>
                <w:i/>
              </w:rPr>
              <w:t>Parlamentet uppmanar med kraft kommissionen att ytterligare höja ambitionsnivån för den europeiska plattformen för åtgärder mot hemlöshet, särskilt genom att förse den med en särskild budget.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efterlyser ett genomförande av en europeisk handlingsplan för psykisk hälsa, i linje med kommissionens senaste rekommendationer</w:t>
            </w:r>
            <w:r>
              <w:rPr>
                <w:vertAlign w:val="superscript"/>
              </w:rPr>
              <w:t>2</w:t>
            </w:r>
            <w:r>
              <w:t xml:space="preserve">. Parlamentet efterlyser en europeisk planeringstermin som tar itu med de socioekonomiska effekterna av ensamhet på produktiviteten och välbefinnandet genom att främja en EU-strategi mot </w:t>
            </w:r>
            <w:r>
              <w:rPr>
                <w:b/>
                <w:i/>
              </w:rPr>
              <w:t>oönskad</w:t>
            </w:r>
            <w:r>
              <w:t xml:space="preserve"> ensamhet </w:t>
            </w:r>
            <w:r>
              <w:rPr>
                <w:b/>
                <w:i/>
              </w:rPr>
              <w:t>som i sin tur kan främja solidaritet mellan generationerna och stärka emotionella</w:t>
            </w:r>
            <w:r>
              <w:t xml:space="preserve"> stödprogram för ungdomar och </w:t>
            </w:r>
            <w:r>
              <w:rPr>
                <w:b/>
                <w:i/>
              </w:rPr>
              <w:t>äldre</w:t>
            </w:r>
            <w:r>
              <w:t>.</w:t>
            </w:r>
          </w:p>
        </w:tc>
        <w:tc>
          <w:tcPr>
            <w:tcW w:w="4876" w:type="dxa"/>
            <w:tcBorders>
              <w:top w:val="nil"/>
              <w:left w:val="nil"/>
              <w:bottom w:val="nil"/>
              <w:right w:val="nil"/>
            </w:tcBorders>
          </w:tcPr>
          <w:p>
            <w:pPr>
              <w:pStyle w:val="Normal6a"/>
            </w:pPr>
            <w:r>
              <w:t>4.</w:t>
            </w:r>
            <w:r>
              <w:tab/>
            </w:r>
            <w:r>
              <w:t xml:space="preserve">Europaparlamentet efterlyser ett genomförande av en </w:t>
            </w:r>
            <w:r>
              <w:rPr>
                <w:b/>
                <w:i/>
              </w:rPr>
              <w:t>omfattande</w:t>
            </w:r>
            <w:r>
              <w:t xml:space="preserve"> europeisk handlingsplan för psykisk hälsa, i linje med kommissionens senaste rekommendationer</w:t>
            </w:r>
            <w:r>
              <w:rPr>
                <w:vertAlign w:val="superscript"/>
              </w:rPr>
              <w:t>2</w:t>
            </w:r>
            <w:r>
              <w:t xml:space="preserve">. Parlamentet efterlyser en europeisk planeringstermin som tar itu med de socioekonomiska effekterna av ensamhet på produktiviteten och välbefinnandet genom att främja en EU-strategi mot ensamhet </w:t>
            </w:r>
            <w:r>
              <w:rPr>
                <w:b/>
                <w:i/>
              </w:rPr>
              <w:t>och solidaritet mellan generationerna.</w:t>
            </w:r>
            <w:r>
              <w:t xml:space="preserve"> </w:t>
            </w:r>
            <w:r>
              <w:rPr>
                <w:b/>
                <w:i/>
              </w:rPr>
              <w:t>Parlamentet uppmanar medlemsstaterna att stärka tillgången till tjänster för psykisk hälsa och känslomässiga</w:t>
            </w:r>
            <w:r>
              <w:t xml:space="preserve"> stödprogram för </w:t>
            </w:r>
            <w:r>
              <w:rPr>
                <w:b/>
                <w:i/>
              </w:rPr>
              <w:t>barn,</w:t>
            </w:r>
            <w:r>
              <w:t xml:space="preserve"> ungdomar och </w:t>
            </w:r>
            <w:r>
              <w:rPr>
                <w:b/>
                <w:i/>
              </w:rPr>
              <w:t>vuxna, särskilt i avlägsna och mindre utvecklade regioner</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Kommissionens meddelande av den 7 juni 2023 om en övergripande strategi för psykisk hälsa (COM(2023)0298),</w:t>
            </w:r>
          </w:p>
        </w:tc>
        <w:tc>
          <w:tcPr>
            <w:tcW w:w="4876" w:type="dxa"/>
            <w:tcBorders>
              <w:top w:val="nil"/>
              <w:left w:val="nil"/>
              <w:bottom w:val="nil"/>
              <w:right w:val="nil"/>
            </w:tcBorders>
          </w:tcPr>
          <w:p>
            <w:pPr>
              <w:pStyle w:val="Normal6a"/>
            </w:pPr>
            <w:r>
              <w:rPr>
                <w:vertAlign w:val="superscript"/>
              </w:rPr>
              <w:t>2</w:t>
            </w:r>
            <w:r>
              <w:t xml:space="preserve"> </w:t>
            </w:r>
            <w:r>
              <w:t>Kommissionens meddelande av den 7 juni 2023 om en övergripande strategi för psykisk hälsa (COM(2023)0298),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efterlyser ett genomförande av en europeisk handlingsplan för psykisk hälsa, i linje med kommissionens senaste rekommendationer</w:t>
            </w:r>
            <w:r>
              <w:rPr>
                <w:vertAlign w:val="superscript"/>
              </w:rPr>
              <w:t>2</w:t>
            </w:r>
            <w:r>
              <w:t xml:space="preserve">. Parlamentet </w:t>
            </w:r>
            <w:r>
              <w:rPr>
                <w:b/>
                <w:i/>
              </w:rPr>
              <w:t>efterlyser en europeisk planeringstermin som tar itu med de socioekonomiska effekterna av ensamhet på produktiviteten och välbefinnandet genom att främja en EU-strategi mot oönskad</w:t>
            </w:r>
            <w:r>
              <w:t xml:space="preserve"> ensamhet </w:t>
            </w:r>
            <w:r>
              <w:rPr>
                <w:b/>
                <w:i/>
              </w:rPr>
              <w:t>som i sin tur kan främja solidaritet mellan generationerna och stärka emotionella stödprogram för ungdomar och äldre</w:t>
            </w:r>
            <w:r>
              <w:t>.</w:t>
            </w:r>
          </w:p>
        </w:tc>
        <w:tc>
          <w:tcPr>
            <w:tcW w:w="4876" w:type="dxa"/>
            <w:tcBorders>
              <w:top w:val="nil"/>
              <w:left w:val="nil"/>
              <w:bottom w:val="nil"/>
              <w:right w:val="nil"/>
            </w:tcBorders>
          </w:tcPr>
          <w:p>
            <w:pPr>
              <w:pStyle w:val="Normal6a"/>
            </w:pPr>
            <w:r>
              <w:t>4.</w:t>
            </w:r>
            <w:r>
              <w:tab/>
            </w:r>
            <w:r>
              <w:t>Europaparlamentet efterlyser ett genomförande av en europeisk handlingsplan för psykisk hälsa, i linje med kommissionens senaste rekommendationer</w:t>
            </w:r>
            <w:r>
              <w:rPr>
                <w:vertAlign w:val="superscript"/>
              </w:rPr>
              <w:t>2</w:t>
            </w:r>
            <w:r>
              <w:t xml:space="preserve">. Parlamentet </w:t>
            </w:r>
            <w:r>
              <w:rPr>
                <w:b/>
                <w:i/>
              </w:rPr>
              <w:t>begär att den europeiska planeringsterminen ska använda indikatorerna i den sociala resultattavlan för att ta itu med de socioekonomiska effekterna av</w:t>
            </w:r>
            <w:r>
              <w:t xml:space="preserve"> ensamhet </w:t>
            </w:r>
            <w:r>
              <w:rPr>
                <w:b/>
                <w:i/>
              </w:rPr>
              <w:t>och otrygga levnadsvillkor och osäkerhet på välbefinnande, psykisk hälsa och människors deltagande i samhället och på arbetsmarknaden</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Kommissionens meddelande av den 7 juni 2023 om en övergripande strategi för psykisk hälsa (COM(2023)0298),</w:t>
            </w:r>
          </w:p>
        </w:tc>
        <w:tc>
          <w:tcPr>
            <w:tcW w:w="4876" w:type="dxa"/>
            <w:tcBorders>
              <w:top w:val="nil"/>
              <w:left w:val="nil"/>
              <w:bottom w:val="nil"/>
              <w:right w:val="nil"/>
            </w:tcBorders>
          </w:tcPr>
          <w:p>
            <w:pPr>
              <w:pStyle w:val="Normal6a"/>
            </w:pPr>
            <w:r>
              <w:rPr>
                <w:vertAlign w:val="superscript"/>
              </w:rPr>
              <w:t>2</w:t>
            </w:r>
            <w:r>
              <w:t xml:space="preserve"> </w:t>
            </w:r>
            <w:r>
              <w:t>Kommissionens meddelande av den 7 juni 2023 om en övergripande strategi för psykisk hälsa (COM(2023)0298),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Marlena Maląg, Georgiana Teodorescu, Elena Donazzan, Chiara Gemma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efterlyser ett genomförande av en europeisk handlingsplan för psykisk hälsa, i linje med kommissionens senaste rekommendationer</w:t>
            </w:r>
            <w:r>
              <w:rPr>
                <w:vertAlign w:val="superscript"/>
              </w:rPr>
              <w:t>2</w:t>
            </w:r>
            <w:r>
              <w:t>. Parlamentet efterlyser en europeisk planeringstermin som tar itu med de socioekonomiska effekterna av ensamhet på produktiviteten och välbefinnandet genom att främja en EU-strategi mot oönskad ensamhet som i sin tur kan främja solidaritet mellan generationerna och stärka emotionella stödprogram för ungdomar och äldre.</w:t>
            </w:r>
          </w:p>
        </w:tc>
        <w:tc>
          <w:tcPr>
            <w:tcW w:w="4876" w:type="dxa"/>
            <w:tcBorders>
              <w:top w:val="nil"/>
              <w:left w:val="nil"/>
              <w:bottom w:val="nil"/>
              <w:right w:val="nil"/>
            </w:tcBorders>
          </w:tcPr>
          <w:p>
            <w:pPr>
              <w:pStyle w:val="Normal6a"/>
            </w:pPr>
            <w:r>
              <w:t>4.</w:t>
            </w:r>
            <w:r>
              <w:tab/>
            </w:r>
            <w:r>
              <w:t>Europaparlamentet efterlyser ett genomförande av en europeisk handlingsplan för psykisk hälsa, i linje med kommissionens senaste rekommendationer</w:t>
            </w:r>
            <w:r>
              <w:rPr>
                <w:vertAlign w:val="superscript"/>
              </w:rPr>
              <w:t>2</w:t>
            </w:r>
            <w:r>
              <w:t xml:space="preserve">. Parlamentet efterlyser en europeisk planeringstermin som tar itu med de socioekonomiska effekterna av ensamhet på produktiviteten och välbefinnandet genom att främja en EU-strategi mot oönskad ensamhet som i sin tur kan främja solidaritet mellan generationerna och </w:t>
            </w:r>
            <w:r>
              <w:rPr>
                <w:b/>
                <w:i/>
              </w:rPr>
              <w:t>silverekonomi och</w:t>
            </w:r>
            <w:r>
              <w:t xml:space="preserve"> stärka emotionella stödprogram för ungdomar och äldre.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Kommissionens meddelande av den 7 juni 2023 om en övergripande strategi för psykisk hälsa (COM(2023)0298),</w:t>
            </w:r>
          </w:p>
        </w:tc>
        <w:tc>
          <w:tcPr>
            <w:tcW w:w="4876" w:type="dxa"/>
            <w:tcBorders>
              <w:top w:val="nil"/>
              <w:left w:val="nil"/>
              <w:bottom w:val="nil"/>
              <w:right w:val="nil"/>
            </w:tcBorders>
          </w:tcPr>
          <w:p>
            <w:pPr>
              <w:pStyle w:val="Normal6a"/>
            </w:pPr>
            <w:r>
              <w:rPr>
                <w:vertAlign w:val="superscript"/>
              </w:rPr>
              <w:t>2</w:t>
            </w:r>
            <w:r>
              <w:t xml:space="preserve"> </w:t>
            </w:r>
            <w:r>
              <w:t>Kommissionens meddelande av den 7 juni 2023 om en övergripande strategi för psykisk hälsa (COM(2023)0298),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efterlyser ett genomförande av en europeisk handlingsplan för psykisk hälsa, i linje med kommissionens senaste rekommendationer</w:t>
            </w:r>
            <w:r>
              <w:rPr>
                <w:vertAlign w:val="superscript"/>
              </w:rPr>
              <w:t>2</w:t>
            </w:r>
            <w:r>
              <w:rPr>
                <w:b/>
                <w:i/>
              </w:rPr>
              <w:t>.</w:t>
            </w:r>
            <w:r>
              <w:t xml:space="preserve"> </w:t>
            </w:r>
            <w:r>
              <w:rPr>
                <w:b/>
                <w:i/>
              </w:rPr>
              <w:t>Parlamentet efterlyser en europeisk planeringstermin som tar itu med de socioekonomiska effekterna av ensamhet på produktiviteten och välbefinnandet genom att främja en EU-strategi mot oönskad</w:t>
            </w:r>
            <w:r>
              <w:t xml:space="preserve"> ensamhet </w:t>
            </w:r>
            <w:r>
              <w:rPr>
                <w:b/>
                <w:i/>
              </w:rPr>
              <w:t>som i sin tur kan</w:t>
            </w:r>
            <w:r>
              <w:t xml:space="preserve"> främja solidaritet mellan generationerna och stärka emotionella stödprogram för ungdomar och äldre.</w:t>
            </w:r>
          </w:p>
        </w:tc>
        <w:tc>
          <w:tcPr>
            <w:tcW w:w="4876" w:type="dxa"/>
            <w:tcBorders>
              <w:top w:val="nil"/>
              <w:left w:val="nil"/>
              <w:bottom w:val="nil"/>
              <w:right w:val="nil"/>
            </w:tcBorders>
          </w:tcPr>
          <w:p>
            <w:pPr>
              <w:pStyle w:val="Normal6a"/>
            </w:pPr>
            <w:r>
              <w:t>4.</w:t>
            </w:r>
            <w:r>
              <w:tab/>
            </w:r>
            <w:r>
              <w:t>Europaparlamentet efterlyser ett genomförande av en europeisk handlingsplan för psykisk hälsa, i linje med kommissionens senaste rekommendationer</w:t>
            </w:r>
            <w:r>
              <w:rPr>
                <w:vertAlign w:val="superscript"/>
              </w:rPr>
              <w:t>2</w:t>
            </w:r>
            <w:r>
              <w:rPr>
                <w:b/>
                <w:i/>
              </w:rPr>
              <w:t>, och att främja social förskrivning som ett första steg mot psykisk hälsa.</w:t>
            </w:r>
            <w:r>
              <w:t xml:space="preserve"> </w:t>
            </w:r>
            <w:r>
              <w:rPr>
                <w:b/>
                <w:i/>
              </w:rPr>
              <w:t>Parlamentet uppmanar EU:s medlemsstater att ta itu med de socioekonomiska effekterna av</w:t>
            </w:r>
            <w:r>
              <w:t xml:space="preserve"> ensamhet </w:t>
            </w:r>
            <w:r>
              <w:rPr>
                <w:b/>
                <w:i/>
              </w:rPr>
              <w:t>på produktiviteten och välbefinnandet och</w:t>
            </w:r>
            <w:r>
              <w:t xml:space="preserve"> främja solidaritet mellan generationerna och stärka emotionella stödprogram för ungdomar och äldre.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Kommissionens meddelande av den 7 juni 2023 om en övergripande strategi för psykisk hälsa (COM(2023)0298),</w:t>
            </w:r>
          </w:p>
        </w:tc>
        <w:tc>
          <w:tcPr>
            <w:tcW w:w="4876" w:type="dxa"/>
            <w:tcBorders>
              <w:top w:val="nil"/>
              <w:left w:val="nil"/>
              <w:bottom w:val="nil"/>
              <w:right w:val="nil"/>
            </w:tcBorders>
          </w:tcPr>
          <w:p>
            <w:pPr>
              <w:pStyle w:val="Normal6a"/>
            </w:pPr>
            <w:r>
              <w:rPr>
                <w:vertAlign w:val="superscript"/>
              </w:rPr>
              <w:t>2</w:t>
            </w:r>
            <w:r>
              <w:t xml:space="preserve"> </w:t>
            </w:r>
            <w:r>
              <w:t>Kommissionens meddelande av den 7 juni 2023 om en övergripande strategi för psykisk hälsa (COM(2023)0298),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Europaparlamentet efterlyser ett genomförande av en europeisk handlingsplan för psykisk hälsa, i linje med kommissionens senaste rekommendationer</w:t>
            </w:r>
            <w:r>
              <w:rPr>
                <w:vertAlign w:val="superscript"/>
              </w:rPr>
              <w:t>2</w:t>
            </w:r>
            <w:r>
              <w:t xml:space="preserve">. Parlamentet efterlyser </w:t>
            </w:r>
            <w:r>
              <w:rPr>
                <w:b/>
                <w:i/>
              </w:rPr>
              <w:t>en europeisk planeringstermin som tar itu med de socioekonomiska effekterna av ensamhet på produktiviteten och välbefinnandet genom att främja en EU-strategi mot oönskad ensamhet som i sin tur kan främja solidaritet mellan generationerna och stärka emotionella stödprogram för ungdomar och äldre</w:t>
            </w:r>
            <w:r>
              <w:t>.</w:t>
            </w:r>
          </w:p>
        </w:tc>
        <w:tc>
          <w:tcPr>
            <w:tcW w:w="4876" w:type="dxa"/>
            <w:tcBorders>
              <w:top w:val="nil"/>
              <w:left w:val="nil"/>
              <w:bottom w:val="nil"/>
              <w:right w:val="nil"/>
            </w:tcBorders>
          </w:tcPr>
          <w:p>
            <w:pPr>
              <w:pStyle w:val="Normal6a"/>
            </w:pPr>
            <w:r>
              <w:t>4.</w:t>
            </w:r>
            <w:r>
              <w:tab/>
            </w:r>
            <w:r>
              <w:t>Europaparlamentet efterlyser ett genomförande av en europeisk handlingsplan för psykisk hälsa, i linje med kommissionens senaste rekommendationer</w:t>
            </w:r>
            <w:r>
              <w:rPr>
                <w:vertAlign w:val="superscript"/>
              </w:rPr>
              <w:t>2</w:t>
            </w:r>
            <w:r>
              <w:t xml:space="preserve">. Parlamentet efterlyser </w:t>
            </w:r>
            <w:r>
              <w:rPr>
                <w:b/>
                <w:i/>
              </w:rPr>
              <w:t>ett direktiv på EU-nivå om psykosociala risker för att ta itu med den ökade förekomsten av vissa psykosociala risker på EU:s arbetsplatser för att säkerställa att principerna om hälsa och säkerhet på arbetsplatsen i ramdirektivet genomförs effektivt även när det gäller psykosociala risker</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2</w:t>
            </w:r>
            <w:r>
              <w:t xml:space="preserve"> </w:t>
            </w:r>
            <w:r>
              <w:t>Kommissionens meddelande av den 7 juni 2023 om en övergripande strategi för psykisk hälsa (COM(2023)0298),</w:t>
            </w:r>
          </w:p>
        </w:tc>
        <w:tc>
          <w:tcPr>
            <w:tcW w:w="4876" w:type="dxa"/>
            <w:tcBorders>
              <w:top w:val="nil"/>
              <w:left w:val="nil"/>
              <w:bottom w:val="nil"/>
              <w:right w:val="nil"/>
            </w:tcBorders>
          </w:tcPr>
          <w:p>
            <w:pPr>
              <w:pStyle w:val="Normal6a"/>
            </w:pPr>
            <w:r>
              <w:rPr>
                <w:vertAlign w:val="superscript"/>
              </w:rPr>
              <w:t>2</w:t>
            </w:r>
            <w:r>
              <w:t xml:space="preserve"> </w:t>
            </w:r>
            <w:r>
              <w:t>Kommissionens meddelande av den 7 juni 2023 om en övergripande strategi för psykisk hälsa (COM(2023)0298),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Europaparlamentetbegär att den europeiska planeringsterminen ska ta itu med de socioekonomiska utmaningarna och möjligheterna som demografiska förändringar och åldrande skapar avseende ensamhet, när det gäller produktivitet, välbefinnande och social sammanhållning, genom att främja en holistisk EU-strategi för åldrande som tar itu med oönskad ensamhet, behovet av anständiga, ekonomiskt tillgängliga och anpassade bostäder, tillgång till professionell och inkluderande vård och långtidsvård och främjande av aktiv inkludering och lika möjligheter för äldre arbetstagare på arbetsmarknaden, vilket i sin tur kan främja solidaritet mellan generationerna och stärka känslomässiga stödprogram för ungdomar och äldre.</w:t>
            </w:r>
            <w:r>
              <w:t xml:space="preserve"> </w:t>
            </w:r>
            <w:r>
              <w:rPr>
                <w:b/>
                <w:i/>
              </w:rPr>
              <w:t>Europaparlamentet efterlyser genomförandet av den europeiska strategin för vård och omsorg, särskilt när det gäller tillgången till högkvalitativ och överkomlig barnomsorg och långvarig vård och omsorg, och säkerställande av rättvisa arbetsvillkor och utbildning för vårdpersonal, inbegripet anhörigvård.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Marlena Maląg, Georgiana Teodorescu, Elena Donazzan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Europaparlamentet understryker att arbetsgivare måste främja kontakter mellan generationerna inom företaget och att unga lär sig av äldre och tvärtom.</w:t>
            </w:r>
            <w:r>
              <w:t xml:space="preserve"> </w:t>
            </w:r>
            <w:r>
              <w:rPr>
                <w:b/>
                <w:i/>
              </w:rPr>
              <w:t>Parlamentet understryker att en åldrande arbetskraft kan hjälpa ett företag att ta fram nya produkter och tjänster för att anpassa sig till behoven i ett åldrande samhälle på ett mer kreativt och produktivt sätt.</w:t>
            </w:r>
            <w:r>
              <w:t xml:space="preserve"> </w:t>
            </w:r>
            <w:r>
              <w:rPr>
                <w:b/>
                <w:i/>
              </w:rPr>
              <w:t>Parlamentet uppmanar dessutom till att inrätta incitament för att uppmuntra frivilligarbete och mentorskap för att möjliggöra överföringen av kunskap mellan generationer.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Europaparlamentet efterlyser initiativ för att bekämpa utestängning av arbetskraft till följd av längre sjukfrånvaro till följd av allvarliga icke-smittsamma sjukdomar som cancer, hjärt- och kärlsjukdomar, diabetes, kroniska luftvägssjukdomar, psykisk ohälsa och neurologiska störningar samt reumatiska och muskuloskeletala sjukdomar, särskilt initiativ som fokuserar på anpassning av arbetsplatsen, flexibla arbetsvillkor och strategier för att stödja arbetstagares återvändande efter längre frånvaro.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Europaparlamentet uppmanar den europeiska planeringsterminen att ta itu med de socioekonomiska konsekvenserna av barn-, ungdomars och unga vuxnas psykiska ohälsa för deras långsiktiga välbefinnande och levnadsstandard.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Europaparlamentet varnar för att reallönerna enligt ECB:s rapporter fortfarande ligger under nivån före pandemin, medan produktiviteten var ungefär densamma.</w:t>
            </w:r>
            <w:r>
              <w:t xml:space="preserve"> </w:t>
            </w:r>
            <w:r>
              <w:rPr>
                <w:b/>
                <w:i/>
              </w:rPr>
              <w:t>Parlamentet håller med om att detta skapar ett visst utrymme för en icke-inflatorisk återhämtning av reallönerna och varnar för att om reallönerna inte återhämtar sig skulle detta öka risken för utdragna ekonomiska svagheter, vilket skulle kunna orsaka skrämmande effekter och ytterligare försämra produktiviteten i euroområdet jämfört med andra delar av världen.</w:t>
            </w:r>
            <w:r>
              <w:t xml:space="preserve"> </w:t>
            </w:r>
            <w:r>
              <w:rPr>
                <w:b/>
                <w:i/>
              </w:rPr>
              <w:t>Parlamentet anser att en ökning av minimilönerna och en förstärkning av kollektivförhandlingarnas täckning kan ha en positiv inverkan på nivåerna av löneskillnader, särskilt genom att hjälpa mer utsatta arbetstagare i botten av lönefördelningen, som i allt högre grad utelämnas.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Europaparlamentet uppmanar medlemsstaterna och kommissionen att överväga en handlingsplan för att ta itu med landsbygdsisolering och ensamhet.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Europaparlamentet uppmanar medlemsstaterna att säkerställa anständiga arbetsvillkor, bland annat anständiga löner, tillgång till socialt skydd, möjligheter till livslångt lärande, hälsa och säkerhet på arbetsplatsen, en god balans mellan arbete och privatliv och rätten att inte vara uppkopplad, rimlig arbetstid, arbetstagarrepresentation, demokrati i arbetslivet och kollektivavtal.</w:t>
            </w:r>
            <w:r>
              <w:t xml:space="preserve"> </w:t>
            </w:r>
            <w:r>
              <w:rPr>
                <w:b/>
                <w:i/>
              </w:rPr>
              <w:t>Medlemsstaterna måste främja demokrati i arbetslivet, social dialog och kollektivförhandlingar och skydda arbetstagarnas rättigheter, särskilt i samband med den gröna och den digitala omställningen.</w:t>
            </w:r>
            <w:r>
              <w:t xml:space="preserve"> </w:t>
            </w:r>
            <w:r>
              <w:rPr>
                <w:b/>
                <w:i/>
              </w:rPr>
              <w:t>De bör också säkerställa lika lön för lika arbete mellan kvinnor och män, öka insynen i lönesättningen och ta itu med könsrelaterad ojämlikhet för att minska löneklyftan mellan könen 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Europaparlamentet uppmanar medlemsstaterna och kommissionen att erkänna arbetsrelaterad stress och psykisk ohälsa.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4d.</w:t>
            </w:r>
            <w:r>
              <w:tab/>
            </w:r>
            <w:r>
              <w:rPr>
                <w:b/>
                <w:i/>
              </w:rPr>
              <w:t>Europaparlamentet betonar den roll som dialogen mellan arbetsmarknadens parter spelar och att arbetsmarknadens parter systematiskt bör integreras i utformningen och genomförandet av sysselsättnings- och socialpolitiken och se till att arbetsmarknadens parter deltar på alla nivåer.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4e.</w:t>
            </w:r>
            <w:r>
              <w:tab/>
            </w:r>
            <w:r>
              <w:rPr>
                <w:b/>
                <w:i/>
              </w:rPr>
              <w:t>Europaparlamentet betonar vikten av att införa särskilda åtgärder för att ta itu med regionala ojämlikheter inom utbildning och säkerställa lika tillgång till högkvalitativ utbildning till överkomlig kostnad för alla.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4f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4f.</w:t>
            </w:r>
            <w:r>
              <w:tab/>
            </w:r>
            <w:r>
              <w:rPr>
                <w:b/>
                <w:i/>
              </w:rPr>
              <w:t>Medlemsstaternas system för socialt skydd bör säkerställa tillräckliga minimiinkomstförmåner för alla som saknar tillräckliga resurser och främja social inkludering genom att uppmuntra människor i arbetsför ålder att delta aktivt på arbetsmarknaden och i samhället, bland annat genom ett riktat tillhandahållande av sociala tjänster.</w:t>
            </w:r>
            <w:r>
              <w:t xml:space="preserve"> </w:t>
            </w:r>
            <w:r>
              <w:rPr>
                <w:b/>
                <w:i/>
              </w:rPr>
              <w:t>Parlamentet betonar behovet av att medlemsstaterna snabbt och effektivt genomför EU:s direktiv om tillräckliga minimilöner i detta avseende för att uppnå en skälig levnadsstandard, minska fattigdomen bland förvärvsarbetande och främja social sammanhållning.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Europaparlamentet efterlyser en politik som främjar balans mellan arbete och privatliv, i syfte att förbättra livskvaliteten för alla familjer. Parlamentet uppmanar kommissionen att lägga fram ett lagstiftningsförslag om att införa ett europeiskt kort för stora familjer och en europeisk handlingsplan för ensamstående föräldrar som erbjuder skattemässiga, utbildningsmässiga och sociala förmåner.</w:t>
            </w:r>
          </w:p>
        </w:tc>
        <w:tc>
          <w:tcPr>
            <w:tcW w:w="4876" w:type="dxa"/>
            <w:tcBorders>
              <w:top w:val="nil"/>
              <w:left w:val="nil"/>
              <w:bottom w:val="nil"/>
              <w:right w:val="nil"/>
            </w:tcBorders>
          </w:tcPr>
          <w:p>
            <w:pPr>
              <w:pStyle w:val="Normal6a"/>
            </w:pPr>
            <w:r>
              <w:t>5.</w:t>
            </w:r>
            <w:r>
              <w:tab/>
            </w:r>
            <w:r>
              <w:t xml:space="preserve">Europaparlamentet efterlyser en politik som främjar balans mellan arbete och privatliv </w:t>
            </w:r>
            <w:r>
              <w:rPr>
                <w:b/>
                <w:i/>
              </w:rPr>
              <w:t>och rätten att inte vara uppkopplad, med särskilt fokus på arbetstidspolitik och minskning av och ökad flexibilitet i arbetstiden samt åtgärder som uppmuntrar till en mer jämlik fördelning av betald och obetald arbetstid mellan män och kvinnor</w:t>
            </w:r>
            <w:r>
              <w:t xml:space="preserve">, i syfte att förbättra livskvaliteten för alla </w:t>
            </w:r>
            <w:r>
              <w:rPr>
                <w:b/>
                <w:i/>
              </w:rPr>
              <w:t>typer av</w:t>
            </w:r>
            <w:r>
              <w:t xml:space="preserve"> familjer </w:t>
            </w:r>
            <w:r>
              <w:rPr>
                <w:b/>
                <w:i/>
              </w:rPr>
              <w:t>och individer</w:t>
            </w:r>
            <w:r>
              <w:t xml:space="preserve">. Parlamentet uppmanar kommissionen att lägga fram ett lagstiftningsförslag om att införa ett europeiskt kort för </w:t>
            </w:r>
            <w:r>
              <w:rPr>
                <w:b/>
                <w:i/>
              </w:rPr>
              <w:t>alla typer av familjer eller</w:t>
            </w:r>
            <w:r>
              <w:t xml:space="preserve"> stora familjer och en europeisk handlingsplan för ensamstående föräldrar som erbjuder skattemässiga, utbildningsmässiga och sociala förmåner </w:t>
            </w:r>
            <w:r>
              <w:rPr>
                <w:b/>
                <w:i/>
              </w:rPr>
              <w:t>samt barnomsorg.</w:t>
            </w:r>
            <w:r>
              <w:t xml:space="preserve"> </w:t>
            </w:r>
            <w:r>
              <w:rPr>
                <w:b/>
                <w:i/>
              </w:rPr>
              <w:t>Parlamentet betonar att under 2023 riskerade 24,8 % av barnen under 18 år i EU att drabbas av fattigdom eller social utestängning, vilket är en ökning enligt den gemensamma sysselsättningsrapporten.</w:t>
            </w:r>
            <w:r>
              <w:t xml:space="preserve"> </w:t>
            </w:r>
            <w:r>
              <w:rPr>
                <w:b/>
                <w:i/>
              </w:rPr>
              <w:t>Parlamentet betonar vikten av att genomföra den europeiska barngarantin som en hörnsten för att ta itu med de höga nivåerna av barnfattigdom i alla medlemsstater, inbegripet åtgärder för att stärka barngarantin genom en ökning av dess särskilda budget till minst 20 miljarder EUR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Europaparlamentet efterlyser en politik som främjar balans mellan arbete och privatliv, i syfte att förbättra livskvaliteten för alla </w:t>
            </w:r>
            <w:r>
              <w:rPr>
                <w:b/>
                <w:i/>
              </w:rPr>
              <w:t>familjer</w:t>
            </w:r>
            <w:r>
              <w:t xml:space="preserve">. Parlamentet uppmanar kommissionen att </w:t>
            </w:r>
            <w:r>
              <w:rPr>
                <w:b/>
                <w:i/>
              </w:rPr>
              <w:t>lägga fram ett lagstiftningsförslag om att införa ett europeiskt kort för stora familjer och en europeisk handlingsplan för ensamstående föräldrar som erbjuder skattemässiga, utbildningsmässiga och sociala förmåner</w:t>
            </w:r>
            <w:r>
              <w:t>.</w:t>
            </w:r>
          </w:p>
        </w:tc>
        <w:tc>
          <w:tcPr>
            <w:tcW w:w="4876" w:type="dxa"/>
            <w:tcBorders>
              <w:top w:val="nil"/>
              <w:left w:val="nil"/>
              <w:bottom w:val="nil"/>
              <w:right w:val="nil"/>
            </w:tcBorders>
          </w:tcPr>
          <w:p>
            <w:pPr>
              <w:pStyle w:val="Normal6a"/>
            </w:pPr>
            <w:r>
              <w:t>5.</w:t>
            </w:r>
            <w:r>
              <w:tab/>
            </w:r>
            <w:r>
              <w:t xml:space="preserve">Europaparlamentet efterlyser en politik som främjar balans mellan arbete och privatliv, i syfte att förbättra livskvaliteten för alla </w:t>
            </w:r>
            <w:r>
              <w:rPr>
                <w:b/>
                <w:i/>
              </w:rPr>
              <w:t>arbetstagare</w:t>
            </w:r>
            <w:r>
              <w:t xml:space="preserve">. Parlamentet uppmanar kommissionen att </w:t>
            </w:r>
            <w:r>
              <w:rPr>
                <w:b/>
                <w:i/>
              </w:rPr>
              <w:t>säkerställa genomförandet av direktivet om balans mellan arbete och privatliv och den europeiska strategin för vård och omsorg samt att föreslå en ram för att ta itu med utmaningarna för arbetskraften inom långvarig vård och omsorg, bland annat genom att underlätta erkännandet av färdigheter och kvalifikationer, stödja kompetensutveckling och karriärutveckling och förbättra arbetsvillkoren.</w:t>
            </w:r>
            <w:r>
              <w:t xml:space="preserve"> </w:t>
            </w:r>
            <w:r>
              <w:rPr>
                <w:b/>
                <w:i/>
              </w:rPr>
              <w:t>Parlamentet uppmanar kommissionen att föreslå ett direktiv för att reglera villkoren för distansarbete och rätten att inte vara uppkopplad i hela EU som en viktig åtgärd för att säkerställa EU-arbetstagarnas psykiska välbefinnande och komplettera direktivet om balans mellan arbete och privatliv.</w:t>
            </w:r>
            <w:r>
              <w:t xml:space="preserve"> </w:t>
            </w:r>
            <w:r>
              <w:rPr>
                <w:b/>
                <w:i/>
              </w:rPr>
              <w:t>Parlamentet efterlyser dessutom ett direktiv om psykosociala risker och välbefinnande på arbetsplatsen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Europaparlamentet efterlyser en politik som främjar balans mellan arbete och privatliv, i syfte att förbättra livskvaliteten för alla familjer. Parlamentet uppmanar kommissionen att lägga fram ett lagstiftningsförslag om att införa ett europeiskt kort för stora familjer och en europeisk handlingsplan för ensamstående föräldrar som erbjuder skattemässiga, utbildningsmässiga och sociala förmåner.</w:t>
            </w:r>
          </w:p>
        </w:tc>
        <w:tc>
          <w:tcPr>
            <w:tcW w:w="4876" w:type="dxa"/>
            <w:tcBorders>
              <w:top w:val="nil"/>
              <w:left w:val="nil"/>
              <w:bottom w:val="nil"/>
              <w:right w:val="nil"/>
            </w:tcBorders>
          </w:tcPr>
          <w:p>
            <w:pPr>
              <w:pStyle w:val="Normal6a"/>
            </w:pPr>
            <w:r>
              <w:t>5.</w:t>
            </w:r>
            <w:r>
              <w:tab/>
            </w:r>
            <w:r>
              <w:t xml:space="preserve">Europaparlamentet efterlyser en politik som främjar balans mellan arbete och privatliv, i syfte att förbättra livskvaliteten för alla familjer. Parlamentet </w:t>
            </w:r>
            <w:r>
              <w:rPr>
                <w:b/>
                <w:i/>
              </w:rPr>
              <w:t>efterlyser ytterligare initiativ för att stödja formella och informella omsorgsgivare, deras arbetsvillkor och balans mellan arbete och privatliv, skälig ersättning samt värdigheten för de personer som är beroende av deras vård.</w:t>
            </w:r>
            <w:r>
              <w:t xml:space="preserve"> </w:t>
            </w:r>
            <w:r>
              <w:rPr>
                <w:b/>
                <w:i/>
              </w:rPr>
              <w:t>Parlamentet</w:t>
            </w:r>
            <w:r>
              <w:t xml:space="preserve"> uppmanar kommissionen att lägga fram ett lagstiftningsförslag om att införa ett europeiskt kort för stora familjer och en europeisk handlingsplan för ensamstående föräldrar som erbjuder skattemässiga, utbildningsmässiga och sociala förmåner.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Europaparlamentet efterlyser en politik som främjar </w:t>
            </w:r>
            <w:r>
              <w:rPr>
                <w:b/>
                <w:i/>
              </w:rPr>
              <w:t>balans</w:t>
            </w:r>
            <w:r>
              <w:t xml:space="preserve"> mellan arbete och privatliv, i syfte att förbättra livskvaliteten för </w:t>
            </w:r>
            <w:r>
              <w:rPr>
                <w:b/>
                <w:i/>
              </w:rPr>
              <w:t>alla familjer.</w:t>
            </w:r>
            <w:r>
              <w:t xml:space="preserve"> </w:t>
            </w:r>
            <w:r>
              <w:rPr>
                <w:b/>
                <w:i/>
              </w:rPr>
              <w:t>Parlamentet uppmanar kommissionen att lägga fram ett lagstiftningsförslag om att införa ett europeiskt kort för stora</w:t>
            </w:r>
            <w:r>
              <w:t xml:space="preserve"> familjer och </w:t>
            </w:r>
            <w:r>
              <w:rPr>
                <w:b/>
                <w:i/>
              </w:rPr>
              <w:t>en europeisk handlingsplan för</w:t>
            </w:r>
            <w:r>
              <w:t xml:space="preserve"> ensamstående föräldrar som erbjuder skattemässiga, utbildningsmässiga och sociala förmåner.</w:t>
            </w:r>
          </w:p>
        </w:tc>
        <w:tc>
          <w:tcPr>
            <w:tcW w:w="4876" w:type="dxa"/>
            <w:tcBorders>
              <w:top w:val="nil"/>
              <w:left w:val="nil"/>
              <w:bottom w:val="nil"/>
              <w:right w:val="nil"/>
            </w:tcBorders>
          </w:tcPr>
          <w:p>
            <w:pPr>
              <w:pStyle w:val="Normal6a"/>
            </w:pPr>
            <w:r>
              <w:t>5.</w:t>
            </w:r>
            <w:r>
              <w:tab/>
            </w:r>
            <w:r>
              <w:t xml:space="preserve">Europaparlamentet efterlyser en politik som främjar </w:t>
            </w:r>
            <w:r>
              <w:rPr>
                <w:b/>
                <w:i/>
              </w:rPr>
              <w:t>balansen</w:t>
            </w:r>
            <w:r>
              <w:t xml:space="preserve"> mellan arbete och privatliv, i syfte att förbättra livskvaliteten för </w:t>
            </w:r>
            <w:r>
              <w:rPr>
                <w:b/>
                <w:i/>
              </w:rPr>
              <w:t>arbetstagare, inbegripet alla</w:t>
            </w:r>
            <w:r>
              <w:t xml:space="preserve"> familjer och ensamstående föräldrar</w:t>
            </w:r>
            <w:r>
              <w:rPr>
                <w:b/>
                <w:i/>
              </w:rPr>
              <w:t>,</w:t>
            </w:r>
            <w:r>
              <w:t xml:space="preserve"> som erbjuder skattemässiga, utbildningsmässiga och sociala förmåner </w:t>
            </w:r>
            <w:r>
              <w:rPr>
                <w:b/>
                <w:i/>
              </w:rPr>
              <w:t>för familjer i utsatta situationer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Europaparlamentet efterlyser en politik som främjar balans mellan arbete och privatliv, i syfte att förbättra livskvaliteten för alla familjer. Parlamentet </w:t>
            </w:r>
            <w:r>
              <w:rPr>
                <w:b/>
                <w:i/>
              </w:rPr>
              <w:t>uppmanar kommissionen att lägga fram ett lagstiftningsförslag om att införa ett europeiskt kort för stora familjer och en europeisk handlingsplan för ensamstående föräldrar</w:t>
            </w:r>
            <w:r>
              <w:t xml:space="preserve"> som erbjuder skattemässiga, utbildningsmässiga och sociala förmåner.</w:t>
            </w:r>
          </w:p>
        </w:tc>
        <w:tc>
          <w:tcPr>
            <w:tcW w:w="4876" w:type="dxa"/>
            <w:tcBorders>
              <w:top w:val="nil"/>
              <w:left w:val="nil"/>
              <w:bottom w:val="nil"/>
              <w:right w:val="nil"/>
            </w:tcBorders>
          </w:tcPr>
          <w:p>
            <w:pPr>
              <w:pStyle w:val="Normal6a"/>
            </w:pPr>
            <w:r>
              <w:t>5.</w:t>
            </w:r>
            <w:r>
              <w:tab/>
            </w:r>
            <w:r>
              <w:t xml:space="preserve">Europaparlamentet efterlyser en politik som främjar balans mellan arbete och privatliv, i syfte att förbättra livskvaliteten för alla familjer. Parlamentet </w:t>
            </w:r>
            <w:r>
              <w:rPr>
                <w:b/>
                <w:i/>
              </w:rPr>
              <w:t>betonar att familjepolitiken är medlemsstaternas behörighet.</w:t>
            </w:r>
            <w:r>
              <w:t xml:space="preserve"> </w:t>
            </w:r>
            <w:r>
              <w:rPr>
                <w:b/>
                <w:i/>
              </w:rPr>
              <w:t>Parlamentet betonar vikten av att medlemsstaterna utbyter god praxis om befintliga stödåtgärder</w:t>
            </w:r>
            <w:r>
              <w:t xml:space="preserve"> som erbjuder skattemässiga, utbildningsmässiga och sociala förmåner </w:t>
            </w:r>
            <w:r>
              <w:rPr>
                <w:b/>
                <w:i/>
              </w:rPr>
              <w:t>för stora familjer och familjer med ensamstående föräldrar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Europaparlamentet efterlyser en politik som främjar balans mellan arbete och privatliv, i syfte att förbättra livskvaliteten för alla familjer. Parlamentet uppmanar kommissionen att lägga fram ett lagstiftningsförslag om att införa ett europeiskt kort för stora familjer och en europeisk handlingsplan för ensamstående föräldrar som erbjuder skattemässiga, utbildningsmässiga och sociala förmåner.</w:t>
            </w:r>
          </w:p>
        </w:tc>
        <w:tc>
          <w:tcPr>
            <w:tcW w:w="4876" w:type="dxa"/>
            <w:tcBorders>
              <w:top w:val="nil"/>
              <w:left w:val="nil"/>
              <w:bottom w:val="nil"/>
              <w:right w:val="nil"/>
            </w:tcBorders>
          </w:tcPr>
          <w:p>
            <w:pPr>
              <w:pStyle w:val="Normal6a"/>
            </w:pPr>
            <w:r>
              <w:t>5.</w:t>
            </w:r>
            <w:r>
              <w:tab/>
            </w:r>
            <w:r>
              <w:t xml:space="preserve">Europaparlamentet efterlyser en politik som främjar balans mellan arbete och privatliv, i syfte att förbättra livskvaliteten för alla </w:t>
            </w:r>
            <w:r>
              <w:rPr>
                <w:b/>
                <w:i/>
              </w:rPr>
              <w:t>europeiska</w:t>
            </w:r>
            <w:r>
              <w:t xml:space="preserve"> familjer. Parlamentet uppmanar kommissionen att lägga fram ett lagstiftningsförslag om att införa ett europeiskt kort för stora familjer och en europeisk handlingsplan för ensamstående föräldrar som erbjuder skattemässiga, utbildningsmässiga och sociala förmåner.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Europaparlamentet efterlyser en politik som främjar balans mellan arbete och privatliv, i syfte att förbättra livskvaliteten för alla familjer. Parlamentet uppmanar kommissionen att </w:t>
            </w:r>
            <w:r>
              <w:rPr>
                <w:b/>
                <w:i/>
              </w:rPr>
              <w:t>lägga fram ett lagstiftningsförslag om att införa</w:t>
            </w:r>
            <w:r>
              <w:t xml:space="preserve"> ett europeiskt kort för stora familjer och en europeisk handlingsplan för ensamstående föräldrar som erbjuder </w:t>
            </w:r>
            <w:r>
              <w:rPr>
                <w:b/>
                <w:i/>
              </w:rPr>
              <w:t>skattemässiga</w:t>
            </w:r>
            <w:r>
              <w:t>, utbildningsmässiga och sociala förmåner.</w:t>
            </w:r>
          </w:p>
        </w:tc>
        <w:tc>
          <w:tcPr>
            <w:tcW w:w="4876" w:type="dxa"/>
            <w:tcBorders>
              <w:top w:val="nil"/>
              <w:left w:val="nil"/>
              <w:bottom w:val="nil"/>
              <w:right w:val="nil"/>
            </w:tcBorders>
          </w:tcPr>
          <w:p>
            <w:pPr>
              <w:pStyle w:val="Normal6a"/>
            </w:pPr>
            <w:r>
              <w:t>5.</w:t>
            </w:r>
            <w:r>
              <w:tab/>
            </w:r>
            <w:r>
              <w:t xml:space="preserve">Europaparlamentet efterlyser en politik som främjar balans mellan arbete och privatliv, i syfte att förbättra livskvaliteten för alla familjer. Parlamentet uppmanar kommissionen att </w:t>
            </w:r>
            <w:r>
              <w:rPr>
                <w:b/>
                <w:i/>
              </w:rPr>
              <w:t>överväga</w:t>
            </w:r>
            <w:r>
              <w:t xml:space="preserve"> ett europeiskt kort för stora familjer och en europeisk handlingsplan för ensamstående föräldrar som erbjuder </w:t>
            </w:r>
            <w:r>
              <w:rPr>
                <w:b/>
                <w:i/>
              </w:rPr>
              <w:t>ekonomiska</w:t>
            </w:r>
            <w:r>
              <w:t>, utbildningsmässiga och sociala förmåner.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Branislav Ondruš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Europaparlamentet efterlyser en politik som främjar balans mellan arbete och privatliv, i syfte att förbättra livskvaliteten för alla </w:t>
            </w:r>
            <w:r>
              <w:rPr>
                <w:b/>
                <w:i/>
              </w:rPr>
              <w:t>familjer</w:t>
            </w:r>
            <w:r>
              <w:t>. Parlamentet uppmanar kommissionen att lägga fram ett lagstiftningsförslag om att införa ett europeiskt kort för stora familjer och en europeisk handlingsplan för ensamstående föräldrar som erbjuder skattemässiga, utbildningsmässiga och sociala förmåner.</w:t>
            </w:r>
          </w:p>
        </w:tc>
        <w:tc>
          <w:tcPr>
            <w:tcW w:w="4876" w:type="dxa"/>
            <w:tcBorders>
              <w:top w:val="nil"/>
              <w:left w:val="nil"/>
              <w:bottom w:val="nil"/>
              <w:right w:val="nil"/>
            </w:tcBorders>
          </w:tcPr>
          <w:p>
            <w:pPr>
              <w:pStyle w:val="Normal6a"/>
            </w:pPr>
            <w:r>
              <w:t>5.</w:t>
            </w:r>
            <w:r>
              <w:tab/>
            </w:r>
            <w:r>
              <w:t>Europaparlamentet efterlyser en politik som främjar balans mellan arbete och privatliv, i syfte att förbättra livskvaliteten för alla. Parlamentet uppmanar kommissionen att lägga fram ett lagstiftningsförslag om att införa ett europeiskt kort för stora familjer och en europeisk handlingsplan för ensamstående föräldrar som erbjuder skattemässiga, utbildningsmässiga och sociala förmåner.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 – led 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Europaparlamentet är medvetet om att 44 miljoner européer ofta är informella långtidsvårdgivare, varav de flesta är kvinnor.</w:t>
            </w:r>
            <w:r>
              <w:rPr>
                <w:b/>
                <w:i/>
                <w:vertAlign w:val="superscript"/>
              </w:rPr>
              <w:t>3a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”2021 Long-term care in the EU” (2021 Långvarig vård och omsorg 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Niels Geuking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Europaparlamentet efterlyser införandet av en hållbar utvecklingsstrategi för att specifikt bekämpa konsekvenserna av strukturomvandlingen och den demografiska förändringen i enskilda europeiska länder (inbegripet förslag om att främja en familjevänlig arbetsmiljö i syfte att minska antalet utbrändhetsfall och minska belastningen på sociala trygghetssystem och på familjelivet).</w:t>
            </w:r>
            <w:r>
              <w:t xml:space="preserve"> </w:t>
            </w:r>
            <w:r>
              <w:rPr>
                <w:b/>
                <w:i/>
              </w:rPr>
              <w:t>Parlamentet uppmanar kommissionen att framför allt anta ett lagstiftningsförslag med förslag till åtgärder för att skapa lämpliga minimistandarder för de familjeförmåner som redan införts i EU.s medlemsstater och som bidrar till att minska barnfattigdomen och den sociala ojämlikheten och stärka europeiska familjer på lång sikt.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Europaparlamentet erkänner den unika roll som vårdgivare spelar i samhället, även om definitionen av vård- och omsorgspersonal inte är harmoniserad i hela EU, men sektorn för långvarig vård och omsorg sysselsätter 6,4 miljoner människor i hela EU.</w:t>
            </w:r>
            <w:r>
              <w:rPr>
                <w:b/>
                <w:i/>
                <w:vertAlign w:val="superscript"/>
              </w:rPr>
              <w:t>4a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4a</w:t>
            </w:r>
            <w:r>
              <w:t xml:space="preserve"> </w:t>
            </w:r>
            <w:r>
              <w:rPr>
                <w:b/>
                <w:i/>
              </w:rPr>
              <w:t>”2021 Long-term care in the EU” (2021 Långvarig vård och omsorg 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Europaparlamentet begär att </w:t>
            </w:r>
            <w:r>
              <w:rPr>
                <w:b/>
                <w:i/>
              </w:rPr>
              <w:t>demografiska utmaningar ska prioriteras i EU:s sammanhållningspolitik och att dess betydelse ska jämställas med den gröna given och den digitala strategin</w:t>
            </w:r>
            <w:r>
              <w:t xml:space="preserve">. Parlamentet uppmanar kommissionen att </w:t>
            </w:r>
            <w:r>
              <w:rPr>
                <w:b/>
                <w:i/>
              </w:rPr>
              <w:t>utlysa ett ”europeiskt demografiskt år” och att</w:t>
            </w:r>
            <w:r>
              <w:t xml:space="preserve"> öka finansieringen till regioner som har </w:t>
            </w:r>
            <w:r>
              <w:rPr>
                <w:b/>
                <w:i/>
              </w:rPr>
              <w:t>stor</w:t>
            </w:r>
            <w:r>
              <w:t xml:space="preserve"> avfolkning, genom att stödja lokala utvecklingsprojekt och grundläggande infrastruktur som gynnar befolkningens ”rätt att stanna”.</w:t>
            </w:r>
          </w:p>
        </w:tc>
        <w:tc>
          <w:tcPr>
            <w:tcW w:w="4876" w:type="dxa"/>
            <w:tcBorders>
              <w:top w:val="nil"/>
              <w:left w:val="nil"/>
              <w:bottom w:val="nil"/>
              <w:right w:val="nil"/>
            </w:tcBorders>
          </w:tcPr>
          <w:p>
            <w:pPr>
              <w:pStyle w:val="Normal6a"/>
            </w:pPr>
            <w:r>
              <w:t>6.</w:t>
            </w:r>
            <w:r>
              <w:tab/>
            </w:r>
            <w:r>
              <w:t xml:space="preserve">Europaparlamentet begär att </w:t>
            </w:r>
            <w:r>
              <w:rPr>
                <w:b/>
                <w:i/>
              </w:rPr>
              <w:t>den europeiska planeringsterminen ska integrera sociala mål på samma villkor som ekonomiska mål.</w:t>
            </w:r>
            <w:r>
              <w:t xml:space="preserve"> </w:t>
            </w:r>
            <w:r>
              <w:rPr>
                <w:b/>
                <w:i/>
              </w:rPr>
              <w:t>Parlamentet är bekymrat över de ökande skillnaderna mellan stads- och landsbygdsområden till följd av att mindre urbaniserade regioner saknar utbildningsmöjligheter och inte kan locka till sig och behålla högkvalificerade arbetstagare</w:t>
            </w:r>
            <w:r>
              <w:t xml:space="preserve">. Parlamentet uppmanar kommissionen att </w:t>
            </w:r>
            <w:r>
              <w:rPr>
                <w:b/>
                <w:i/>
              </w:rPr>
              <w:t>bygga vidare på meddelandet om att utnyttja talangen i Europas regioner och mekanismen för talangsatsningar för att främja social sammanhållning och</w:t>
            </w:r>
            <w:r>
              <w:t xml:space="preserve"> öka finansieringen till regioner som har </w:t>
            </w:r>
            <w:r>
              <w:rPr>
                <w:b/>
                <w:i/>
              </w:rPr>
              <w:t>hög</w:t>
            </w:r>
            <w:r>
              <w:t xml:space="preserve"> avfolkning, genom att stödja </w:t>
            </w:r>
            <w:r>
              <w:rPr>
                <w:b/>
                <w:i/>
              </w:rPr>
              <w:t>skapandet av arbetstillfällen av hög kvalitet, offentliga tjänster, utbildningsmöjligheter,</w:t>
            </w:r>
            <w:r>
              <w:t xml:space="preserve"> lokala utvecklingsprojekt och grundläggande infrastruktur som gynnar befolkningens ”rätt att stanna”.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Europaparlamentet begär att demografiska utmaningar ska </w:t>
            </w:r>
            <w:r>
              <w:rPr>
                <w:b/>
                <w:i/>
              </w:rPr>
              <w:t>prioriteras</w:t>
            </w:r>
            <w:r>
              <w:t xml:space="preserve"> i EU:s sammanhållningspolitik och att </w:t>
            </w:r>
            <w:r>
              <w:rPr>
                <w:b/>
                <w:i/>
              </w:rPr>
              <w:t>dess betydelse ska jämställas med den gröna given och den digitala strategin.</w:t>
            </w:r>
            <w:r>
              <w:t xml:space="preserve"> </w:t>
            </w:r>
            <w:r>
              <w:rPr>
                <w:b/>
                <w:i/>
              </w:rPr>
              <w:t>Parlamentet uppmanar kommissionen att utlysa ett ”europeiskt demografiskt år” och att öka finansieringen till regioner som har stor avfolkning, genom att stödja lokala utvecklingsprojekt och grundläggande infrastruktur som gynnar befolkningens ”rätt att stanna”</w:t>
            </w:r>
            <w:r>
              <w:t>.</w:t>
            </w:r>
          </w:p>
        </w:tc>
        <w:tc>
          <w:tcPr>
            <w:tcW w:w="4876" w:type="dxa"/>
            <w:tcBorders>
              <w:top w:val="nil"/>
              <w:left w:val="nil"/>
              <w:bottom w:val="nil"/>
              <w:right w:val="nil"/>
            </w:tcBorders>
          </w:tcPr>
          <w:p>
            <w:pPr>
              <w:pStyle w:val="Normal6a"/>
            </w:pPr>
            <w:r>
              <w:t>6.</w:t>
            </w:r>
            <w:r>
              <w:tab/>
            </w:r>
            <w:r>
              <w:t xml:space="preserve">Europaparlamentet begär att demografiska utmaningar ska </w:t>
            </w:r>
            <w:r>
              <w:rPr>
                <w:b/>
                <w:i/>
              </w:rPr>
              <w:t>vara en topprioritering</w:t>
            </w:r>
            <w:r>
              <w:t xml:space="preserve"> i EU:s sammanhållningspolitik och att </w:t>
            </w:r>
            <w:r>
              <w:rPr>
                <w:b/>
                <w:i/>
              </w:rPr>
              <w:t>detta kombineras med att förbättra och stärka politiken för en framgångsrik integration av migranter på arbetsmarknaden och i samhället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Europaparlamentet begär att demografiska utmaningar ska prioriteras i EU:s sammanhållningspolitik och att </w:t>
            </w:r>
            <w:r>
              <w:rPr>
                <w:b/>
                <w:i/>
              </w:rPr>
              <w:t>dess betydelse ska jämställas med</w:t>
            </w:r>
            <w:r>
              <w:t xml:space="preserve"> den gröna given och den digitala strategin. Parlamentet uppmanar kommissionen att utlysa ett ”europeiskt demografiskt år” och att öka finansieringen till regioner som har stor avfolkning, genom att stödja lokala utvecklingsprojekt och grundläggande infrastruktur som gynnar befolkningens ”rätt att stanna”.</w:t>
            </w:r>
          </w:p>
        </w:tc>
        <w:tc>
          <w:tcPr>
            <w:tcW w:w="4876" w:type="dxa"/>
            <w:tcBorders>
              <w:top w:val="nil"/>
              <w:left w:val="nil"/>
              <w:bottom w:val="nil"/>
              <w:right w:val="nil"/>
            </w:tcBorders>
          </w:tcPr>
          <w:p>
            <w:pPr>
              <w:pStyle w:val="Normal6a"/>
            </w:pPr>
            <w:r>
              <w:t>6.</w:t>
            </w:r>
            <w:r>
              <w:tab/>
            </w:r>
            <w:r>
              <w:t xml:space="preserve">Europaparlamentet begär att demografiska utmaningar ska prioriteras i EU:s sammanhållningspolitik och att </w:t>
            </w:r>
            <w:r>
              <w:rPr>
                <w:b/>
                <w:i/>
              </w:rPr>
              <w:t>konkreta åtgärder på EU-nivå och nationell nivå ska anpassas till</w:t>
            </w:r>
            <w:r>
              <w:t xml:space="preserve"> den gröna given och den digitala strategin. Parlamentet uppmanar kommissionen att utlysa ett ”europeiskt demografiskt år” och att öka finansieringen till regioner som har stor avfolkning, genom att stödja lokala utvecklingsprojekt</w:t>
            </w:r>
            <w:r>
              <w:rPr>
                <w:b/>
                <w:i/>
              </w:rPr>
              <w:t>, prismässigt överkomliga och tillgängliga offentliga tjänster</w:t>
            </w:r>
            <w:r>
              <w:t xml:space="preserve"> och grundläggande infrastruktur som gynnar befolkningens ”rätt att stanna”</w:t>
            </w:r>
            <w:r>
              <w:rPr>
                <w:b/>
                <w:i/>
              </w:rPr>
              <w:t>, i synnerhet gällande unga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Europaparlamentet begär att </w:t>
            </w:r>
            <w:r>
              <w:rPr>
                <w:b/>
                <w:i/>
              </w:rPr>
              <w:t>demografiska utmaningar ska</w:t>
            </w:r>
            <w:r>
              <w:t xml:space="preserve"> prioriteras i EU:s sammanhållningspolitik och att dess betydelse ska jämställas med den gröna given och den digitala strategin. Parlamentet uppmanar kommissionen att utlysa ett ”europeiskt </w:t>
            </w:r>
            <w:r>
              <w:rPr>
                <w:b/>
                <w:i/>
              </w:rPr>
              <w:t>demografiskt år</w:t>
            </w:r>
            <w:r>
              <w:t>” och att öka finansieringen till regioner som har stor avfolkning, genom att stödja lokala utvecklingsprojekt och grundläggande infrastruktur som gynnar befolkningens ”rätt att stanna”.</w:t>
            </w:r>
          </w:p>
        </w:tc>
        <w:tc>
          <w:tcPr>
            <w:tcW w:w="4876" w:type="dxa"/>
            <w:tcBorders>
              <w:top w:val="nil"/>
              <w:left w:val="nil"/>
              <w:bottom w:val="nil"/>
              <w:right w:val="nil"/>
            </w:tcBorders>
          </w:tcPr>
          <w:p>
            <w:pPr>
              <w:pStyle w:val="Normal6a"/>
            </w:pPr>
            <w:r>
              <w:t>6.</w:t>
            </w:r>
            <w:r>
              <w:tab/>
            </w:r>
            <w:r>
              <w:t xml:space="preserve">Europaparlamentet begär att </w:t>
            </w:r>
            <w:r>
              <w:rPr>
                <w:b/>
                <w:i/>
              </w:rPr>
              <w:t>den regionala obalansen ska tacklas och</w:t>
            </w:r>
            <w:r>
              <w:t xml:space="preserve"> prioriteras i EU:s sammanhållningspolitik och att dess betydelse ska jämställas med den gröna given och den digitala strategin. Parlamentet uppmanar kommissionen att utlysa ett ”europeiskt </w:t>
            </w:r>
            <w:r>
              <w:rPr>
                <w:b/>
                <w:i/>
              </w:rPr>
              <w:t>år för regionerna och öarna</w:t>
            </w:r>
            <w:r>
              <w:t xml:space="preserve">” och att öka finansieringen till regioner som har stor avfolkning </w:t>
            </w:r>
            <w:r>
              <w:rPr>
                <w:b/>
                <w:i/>
              </w:rPr>
              <w:t>och ekonomisk stagnation</w:t>
            </w:r>
            <w:r>
              <w:t>, genom att stödja lokala utvecklingsprojekt och grundläggande infrastruktur som gynnar befolkningens ”rätt att stanna”.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Europaparlamentet begär att demografiska utmaningar ska prioriteras i EU:s sammanhållningspolitik och att </w:t>
            </w:r>
            <w:r>
              <w:rPr>
                <w:b/>
                <w:i/>
              </w:rPr>
              <w:t>dess betydelse ska jämställas med</w:t>
            </w:r>
            <w:r>
              <w:t xml:space="preserve"> den gröna given och den digitala strategin. Parlamentet uppmanar kommissionen att utlysa ett ”europeiskt demografiskt år” och att öka finansieringen till regioner som har stor avfolkning, genom att stödja lokala utvecklingsprojekt och grundläggande infrastruktur som gynnar </w:t>
            </w:r>
            <w:r>
              <w:rPr>
                <w:b/>
                <w:i/>
              </w:rPr>
              <w:t>befolkningens</w:t>
            </w:r>
            <w:r>
              <w:t xml:space="preserve"> ”rätt att stanna”.</w:t>
            </w:r>
          </w:p>
        </w:tc>
        <w:tc>
          <w:tcPr>
            <w:tcW w:w="4876" w:type="dxa"/>
            <w:tcBorders>
              <w:top w:val="nil"/>
              <w:left w:val="nil"/>
              <w:bottom w:val="nil"/>
              <w:right w:val="nil"/>
            </w:tcBorders>
          </w:tcPr>
          <w:p>
            <w:pPr>
              <w:pStyle w:val="Normal6a"/>
            </w:pPr>
            <w:r>
              <w:t>6.</w:t>
            </w:r>
            <w:r>
              <w:tab/>
            </w:r>
            <w:r>
              <w:t xml:space="preserve">Europaparlamentet begär att demografiska utmaningar ska prioriteras i EU:s sammanhållningspolitik och att </w:t>
            </w:r>
            <w:r>
              <w:rPr>
                <w:b/>
                <w:i/>
              </w:rPr>
              <w:t>de ska ges större betydelse än</w:t>
            </w:r>
            <w:r>
              <w:t xml:space="preserve"> den gröna given och den digitala strategin. Parlamentet uppmanar kommissionen att utlysa ett ”europeiskt demografiskt år” och att öka finansieringen till regioner som har stor avfolkning, genom att stödja lokala utvecklingsprojekt och grundläggande infrastruktur som gynnar </w:t>
            </w:r>
            <w:r>
              <w:rPr>
                <w:b/>
                <w:i/>
              </w:rPr>
              <w:t>medlemsstaternas befolknings</w:t>
            </w:r>
            <w:r>
              <w:t xml:space="preserve"> ”rätt att stanna”.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Marlena Maląg, Georgiana Teodorescu, Elena Donazzan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Europaparlamentet begär att demografiska utmaningar ska prioriteras i EU:s sammanhållningspolitik </w:t>
            </w:r>
            <w:r>
              <w:rPr>
                <w:b/>
                <w:i/>
              </w:rPr>
              <w:t>och att dess betydelse ska jämställas med den gröna given och den digitala strategin</w:t>
            </w:r>
            <w:r>
              <w:t>. Parlamentet uppmanar kommissionen att utlysa ett ”europeiskt demografiskt år” och att öka finansieringen till regioner som har stor avfolkning, genom att stödja lokala utvecklingsprojekt och grundläggande infrastruktur som gynnar befolkningens ”rätt att stanna”.</w:t>
            </w:r>
          </w:p>
        </w:tc>
        <w:tc>
          <w:tcPr>
            <w:tcW w:w="4876" w:type="dxa"/>
            <w:tcBorders>
              <w:top w:val="nil"/>
              <w:left w:val="nil"/>
              <w:bottom w:val="nil"/>
              <w:right w:val="nil"/>
            </w:tcBorders>
          </w:tcPr>
          <w:p>
            <w:pPr>
              <w:pStyle w:val="Normal6a"/>
            </w:pPr>
            <w:r>
              <w:t>6.</w:t>
            </w:r>
            <w:r>
              <w:tab/>
            </w:r>
            <w:r>
              <w:t xml:space="preserve">Europaparlamentet begär att demografiska utmaningar ska prioriteras i EU:s sammanhållningspolitik. Parlamentet uppmanar kommissionen att utlysa ett ”europeiskt demografiskt år” och att öka finansieringen till </w:t>
            </w:r>
            <w:r>
              <w:rPr>
                <w:b/>
                <w:i/>
              </w:rPr>
              <w:t>landsbygden, de yttersta randområdena och</w:t>
            </w:r>
            <w:r>
              <w:t xml:space="preserve"> regioner som har stor avfolkning, genom att stödja lokala utvecklingsprojekt och grundläggande infrastruktur som gynnar befolkningens ”rätt att stanna”.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Europaparlamentet framhåller det växande inflytandet från artificiell intelligens (AI) och digitala plattformar, som kommer att driva på djupgående omvandlingar av teknik på arbetsmarknaden, vilket påverkar arbetskvaliteten och arbetsvillkoren, och som ett resultat av detta arbetstagarnas livskvalitet, vilket erkänns i den gemensamma sysselsättningsrapporten.</w:t>
            </w:r>
            <w:r>
              <w:t xml:space="preserve"> </w:t>
            </w:r>
            <w:r>
              <w:rPr>
                <w:b/>
                <w:i/>
              </w:rPr>
              <w:t>Parlamentet uppmanar kommissionen att skyndsamt föreslå ett direktiv om användning av artificiell intelligens (AI) på arbetsplatsen som säkerställer att arbetstagarnas rättigheter skyddas och respekteras.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Europaparlamentet uppmanar kommissionen och medlemsstaterna att stärka sitt stöd till ideella företag och organisationer inom den sociala ekonomin med lämpliga finansiella och skattemässiga stödjande ramar.</w:t>
            </w:r>
            <w:r>
              <w:t xml:space="preserve"> </w:t>
            </w:r>
            <w:r>
              <w:rPr>
                <w:b/>
                <w:i/>
              </w:rPr>
              <w:t>Parlamentet uppmuntrar medlemsstaterna att underlätta tillgången till finansiering och öka synligheten för aktörer inom den sociala ekonomin, vilket framhålls i handlingsplanen för den sociala ekonomin 2021.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6b.</w:t>
            </w:r>
            <w:r>
              <w:tab/>
            </w:r>
            <w:r>
              <w:rPr>
                <w:b/>
                <w:i/>
              </w:rPr>
              <w:t>Europaparlamentet uppmanar kommissionen att säkerställa skyddet av arbetstagare på den digitala arbetsplatsen och lägga fram ett lagstiftningsförslag för att ta itu med rätten att inte vara uppkopplad och distansarbete.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6c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6c.</w:t>
            </w:r>
            <w:r>
              <w:tab/>
            </w:r>
            <w:r>
              <w:rPr>
                <w:b/>
                <w:i/>
              </w:rPr>
              <w:t>Europaparlamentet uppmanar medlemsstaterna att genomföra handlingsplanen för den sociala ekonomin för att främja högkvalitativt, anständigt och inkluderande arbete, hållbarhet och den cirkulära ekonomin samt stödja organisationer inom den sociala ekonomin.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w:t>
            </w:r>
            <w:r>
              <w:rPr>
                <w:b/>
                <w:i/>
              </w:rPr>
              <w:t>uppmanar kommissionen och rådet att prioritera en minskning av byråkratiska och skattemässiga hinder som påverkar entreprenörskap, särskilt för små och medelstora företag och uppstartsföretag, som är avgörande för EU:s ekonomiska tillväxt och konkurrenskraft och därmed för finansieringen av socialpolitiken.</w:t>
            </w:r>
            <w:r>
              <w:t xml:space="preserve"> </w:t>
            </w:r>
            <w:r>
              <w:rPr>
                <w:b/>
                <w:i/>
              </w:rPr>
              <w:t>Parlamentet</w:t>
            </w:r>
            <w:r>
              <w:t xml:space="preserve"> anser att bättre stöd till entreprenörer, särskilt små och medelstora företag och uppstartsföretag, förbättrar EU:s konkurrenskraft, främjar innovation och skapar arbetstillfällen av hög kvalitet. Parlamentet begär att specifika rekommendationer omedelbart genomförs för att fullborda den inre marknaden och underlätta tillgången till finansiering </w:t>
            </w:r>
            <w:r>
              <w:rPr>
                <w:b/>
                <w:i/>
              </w:rPr>
              <w:t>genom plattformar för offentlig-privata partnerskap</w:t>
            </w:r>
            <w:r>
              <w:t xml:space="preserve"> och den sociala ekonomin i syfte att främja ett dynamiskt företagsklimat.</w:t>
            </w:r>
          </w:p>
        </w:tc>
        <w:tc>
          <w:tcPr>
            <w:tcW w:w="4876" w:type="dxa"/>
            <w:tcBorders>
              <w:top w:val="nil"/>
              <w:left w:val="nil"/>
              <w:bottom w:val="nil"/>
              <w:right w:val="nil"/>
            </w:tcBorders>
          </w:tcPr>
          <w:p>
            <w:pPr>
              <w:pStyle w:val="Normal6a"/>
            </w:pPr>
            <w:r>
              <w:t>7.</w:t>
            </w:r>
            <w:r>
              <w:tab/>
            </w:r>
            <w:r>
              <w:t>Europaparlamentet anser att bättre stöd till entreprenörer, särskilt små och medelstora företag och uppstartsföretag, förbättrar EU:s konkurrenskraft, främjar innovation och skapar arbetstillfällen av hög kvalitet. Parlamentet begär att specifika rekommendationer omedelbart genomförs för att fullborda den inre marknaden och underlätta tillgången till finansiering och den sociala ekonomin i syfte att främja ett dynamiskt företagsklimat.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Europaparlamentet uppmanar kommissionen och rådet att prioritera en minskning av byråkratiska och skattemässiga hinder som påverkar entreprenörskap, särskilt för små och medelstora företag och uppstartsföretag, som är avgörande för EU:s ekonomiska tillväxt och konkurrenskraft och därmed för finansieringen av socialpolitiken. Parlamentet anser att bättre stöd till entreprenörer, särskilt små och medelstora företag och uppstartsföretag, förbättrar EU:s konkurrenskraft, främjar innovation och skapar arbetstillfällen av hög kvalitet. Parlamentet begär att specifika rekommendationer omedelbart genomförs för att fullborda den inre marknaden och underlätta tillgången till finansiering genom plattformar för offentlig-privata partnerskap och den sociala ekonomin i syfte att främja ett dynamiskt företagsklimat.</w:t>
            </w:r>
          </w:p>
        </w:tc>
        <w:tc>
          <w:tcPr>
            <w:tcW w:w="4876" w:type="dxa"/>
            <w:tcBorders>
              <w:top w:val="nil"/>
              <w:left w:val="nil"/>
              <w:bottom w:val="nil"/>
              <w:right w:val="nil"/>
            </w:tcBorders>
          </w:tcPr>
          <w:p>
            <w:pPr>
              <w:pStyle w:val="Normal6a"/>
            </w:pPr>
            <w:r>
              <w:t>7.</w:t>
            </w:r>
            <w:r>
              <w:tab/>
            </w:r>
            <w:r>
              <w:t>Europaparlamentet uppmanar kommissionen och rådet</w:t>
            </w:r>
            <w:r>
              <w:rPr>
                <w:b/>
                <w:i/>
              </w:rPr>
              <w:t>, i linje med Budapestförklaringen om den nya given för den europeiska konkurrenskraften av den 8 november 2024,</w:t>
            </w:r>
            <w:r>
              <w:t xml:space="preserve"> att prioritera en minskning av byråkratiska och skattemässiga hinder som påverkar entreprenörskap, särskilt för små och medelstora företag och uppstartsföretag, som är avgörande för EU:s ekonomiska tillväxt och konkurrenskraft och därmed för finansieringen av socialpolitiken. Parlamentet anser att bättre stöd till entreprenörer, särskilt små och medelstora företag och uppstartsföretag, förbättrar EU:s konkurrenskraft, främjar innovation och skapar arbetstillfällen av hög kvalitet. Parlamentet begär att specifika rekommendationer omedelbart genomförs för att fullborda den inre marknaden och underlätta tillgången till finansiering genom plattformar för offentlig-privata partnerskap och den sociala ekonomin i syfte att främja ett dynamiskt företagsklimat. </w:t>
            </w:r>
            <w:r>
              <w:rPr>
                <w:b/>
                <w:i/>
              </w:rPr>
              <w:t>Parlamentet tror på vikten av att Europa har en världsledande ställning inom forskning och innovation, särskilt inom disruptiv teknik, och uppnår utgiftsmålet för FoU på 3 % av BNP senast 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uppmanar kommissionen och rådet att prioritera en minskning av byråkratiska </w:t>
            </w:r>
            <w:r>
              <w:rPr>
                <w:b/>
                <w:i/>
              </w:rPr>
              <w:t>och skattemässiga</w:t>
            </w:r>
            <w:r>
              <w:t xml:space="preserve"> hinder som påverkar entreprenörskap</w:t>
            </w:r>
            <w:r>
              <w:rPr>
                <w:b/>
                <w:i/>
              </w:rPr>
              <w:t>, särskilt</w:t>
            </w:r>
            <w:r>
              <w:t xml:space="preserve"> för små och medelstora företag och uppstartsföretag, som är avgörande för EU:s ekonomiska tillväxt och konkurrenskraft och därmed för finansieringen av socialpolitiken. Parlamentet anser att bättre stöd till entreprenörer</w:t>
            </w:r>
            <w:r>
              <w:rPr>
                <w:b/>
                <w:i/>
              </w:rPr>
              <w:t>, särskilt</w:t>
            </w:r>
            <w:r>
              <w:t xml:space="preserve"> små och medelstora företag och uppstartsföretag</w:t>
            </w:r>
            <w:r>
              <w:rPr>
                <w:b/>
                <w:i/>
              </w:rPr>
              <w:t>,</w:t>
            </w:r>
            <w:r>
              <w:t xml:space="preserve"> förbättrar EU:s </w:t>
            </w:r>
            <w:r>
              <w:rPr>
                <w:b/>
                <w:i/>
              </w:rPr>
              <w:t>konkurrenskraft</w:t>
            </w:r>
            <w:r>
              <w:t xml:space="preserve">, främjar innovation och skapar arbetstillfällen av hög kvalitet. </w:t>
            </w:r>
            <w:r>
              <w:rPr>
                <w:b/>
                <w:i/>
              </w:rPr>
              <w:t>Parlamentet begär att specifika rekommendationer omedelbart genomförs för att fullborda den inre marknaden och underlätta tillgången till finansiering genom plattformar för offentlig-privata partnerskap och den sociala ekonomin i syfte att främja ett dynamiskt företagsklimat.</w:t>
            </w:r>
          </w:p>
        </w:tc>
        <w:tc>
          <w:tcPr>
            <w:tcW w:w="4876" w:type="dxa"/>
            <w:tcBorders>
              <w:top w:val="nil"/>
              <w:left w:val="nil"/>
              <w:bottom w:val="nil"/>
              <w:right w:val="nil"/>
            </w:tcBorders>
          </w:tcPr>
          <w:p>
            <w:pPr>
              <w:pStyle w:val="Normal6a"/>
            </w:pPr>
            <w:r>
              <w:t>7.</w:t>
            </w:r>
            <w:r>
              <w:tab/>
            </w:r>
            <w:r>
              <w:t xml:space="preserve">Europaparlamentet uppmanar kommissionen och rådet att prioritera en minskning av byråkratiska hinder som påverkar entreprenörskap för små och medelstora företag och uppstartsföretag, som är avgörande för EU:s ekonomiska tillväxt och konkurrenskraft och därmed för finansieringen av socialpolitiken. Parlamentet anser att bättre stöd till </w:t>
            </w:r>
            <w:r>
              <w:rPr>
                <w:b/>
                <w:i/>
              </w:rPr>
              <w:t>blivande</w:t>
            </w:r>
            <w:r>
              <w:t xml:space="preserve"> entreprenörer </w:t>
            </w:r>
            <w:r>
              <w:rPr>
                <w:b/>
                <w:i/>
              </w:rPr>
              <w:t>och</w:t>
            </w:r>
            <w:r>
              <w:t xml:space="preserve"> små och medelstora företag och uppstartsföretag förbättrar EU:s </w:t>
            </w:r>
            <w:r>
              <w:rPr>
                <w:b/>
                <w:i/>
              </w:rPr>
              <w:t>sociala ekonomi</w:t>
            </w:r>
            <w:r>
              <w:t>, främjar innovation och skapar arbetstillfällen av hög kvalitet.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uppmanar kommissionen och rådet att prioritera en minskning av byråkratiska och skattemässiga hinder som påverkar entreprenörskap, särskilt för små och medelstora företag och uppstartsföretag, som är avgörande för EU:s ekonomiska tillväxt och konkurrenskraft och därmed för finansieringen av socialpolitiken. Parlamentet anser att bättre stöd till entreprenörer, särskilt små och medelstora företag och uppstartsföretag, förbättrar EU:s konkurrenskraft, främjar innovation och skapar arbetstillfällen av hög kvalitet. Parlamentet begär att specifika rekommendationer omedelbart genomförs för att </w:t>
            </w:r>
            <w:r>
              <w:rPr>
                <w:b/>
                <w:i/>
              </w:rPr>
              <w:t>fullborda den inre marknaden</w:t>
            </w:r>
            <w:r>
              <w:t xml:space="preserve"> och underlätta tillgången till finansiering genom plattformar för offentlig-privata partnerskap och den sociala ekonomin i syfte att främja ett dynamiskt företagsklimat.</w:t>
            </w:r>
          </w:p>
        </w:tc>
        <w:tc>
          <w:tcPr>
            <w:tcW w:w="4876" w:type="dxa"/>
            <w:tcBorders>
              <w:top w:val="nil"/>
              <w:left w:val="nil"/>
              <w:bottom w:val="nil"/>
              <w:right w:val="nil"/>
            </w:tcBorders>
          </w:tcPr>
          <w:p>
            <w:pPr>
              <w:pStyle w:val="Normal6a"/>
            </w:pPr>
            <w:r>
              <w:t>7.</w:t>
            </w:r>
            <w:r>
              <w:tab/>
            </w:r>
            <w:r>
              <w:t xml:space="preserve">Europaparlamentet uppmanar kommissionen och rådet att prioritera en minskning av byråkratiska och skattemässiga hinder som påverkar entreprenörskap, särskilt för små och medelstora företag och uppstartsföretag, som är avgörande för EU:s ekonomiska tillväxt och konkurrenskraft och därmed för finansieringen av socialpolitiken. Parlamentet anser att bättre stöd till entreprenörer, särskilt små och medelstora företag och uppstartsföretag, förbättrar EU:s konkurrenskraft, främjar innovation och skapar arbetstillfällen av hög kvalitet. Parlamentet begär att specifika rekommendationer omedelbart genomförs för att </w:t>
            </w:r>
            <w:r>
              <w:rPr>
                <w:b/>
                <w:i/>
              </w:rPr>
              <w:t>främja utvecklingen av de inre marknaderna</w:t>
            </w:r>
            <w:r>
              <w:t xml:space="preserve"> och underlätta tillgången till finansiering genom plattformar för offentlig-privata partnerskap</w:t>
            </w:r>
            <w:r>
              <w:rPr>
                <w:b/>
                <w:i/>
              </w:rPr>
              <w:t>, när synergi mellan den offentliga och privata sektorn är mycket sannolik och påvisad,</w:t>
            </w:r>
            <w:r>
              <w:t xml:space="preserve"> och den sociala ekonomin i syfte att främja ett dynamiskt företagsklimat.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uppmanar kommissionen och rådet att prioritera en minskning av byråkratiska och skattemässiga hinder som påverkar entreprenörskap, särskilt för små och medelstora företag och uppstartsföretag, som är avgörande för EU:s ekonomiska tillväxt och konkurrenskraft och därmed för finansieringen av socialpolitiken. Parlamentet anser att bättre stöd till </w:t>
            </w:r>
            <w:r>
              <w:rPr>
                <w:b/>
                <w:i/>
              </w:rPr>
              <w:t>entreprenörer, särskilt</w:t>
            </w:r>
            <w:r>
              <w:t xml:space="preserve"> små och medelstora företag och uppstartsföretag</w:t>
            </w:r>
            <w:r>
              <w:rPr>
                <w:b/>
                <w:i/>
              </w:rPr>
              <w:t>,</w:t>
            </w:r>
            <w:r>
              <w:t xml:space="preserve"> förbättrar EU:s konkurrenskraft, främjar innovation och skapar arbetstillfällen av hög kvalitet. Parlamentet begär att specifika rekommendationer omedelbart genomförs för att fullborda den inre marknaden och underlätta tillgången till finansiering genom plattformar för offentlig-privata partnerskap och den sociala ekonomin i syfte att främja ett dynamiskt företagsklimat.</w:t>
            </w:r>
          </w:p>
        </w:tc>
        <w:tc>
          <w:tcPr>
            <w:tcW w:w="4876" w:type="dxa"/>
            <w:tcBorders>
              <w:top w:val="nil"/>
              <w:left w:val="nil"/>
              <w:bottom w:val="nil"/>
              <w:right w:val="nil"/>
            </w:tcBorders>
          </w:tcPr>
          <w:p>
            <w:pPr>
              <w:pStyle w:val="Normal6a"/>
            </w:pPr>
            <w:r>
              <w:t>7.</w:t>
            </w:r>
            <w:r>
              <w:tab/>
            </w:r>
            <w:r>
              <w:t xml:space="preserve">Europaparlamentet uppmanar kommissionen och rådet att prioritera en minskning av byråkratiska och skattemässiga hinder som påverkar entreprenörskap, särskilt för små och medelstora företag och uppstartsföretag, som är avgörande för EU:s ekonomiska tillväxt och konkurrenskraft och därmed för finansieringen av socialpolitiken. Parlamentet anser att bättre stöd till små och medelstora företag och uppstartsföretag förbättrar EU:s </w:t>
            </w:r>
            <w:r>
              <w:rPr>
                <w:b/>
                <w:i/>
              </w:rPr>
              <w:t>långsiktiga hållbarhet och</w:t>
            </w:r>
            <w:r>
              <w:t xml:space="preserve"> konkurrenskraft, främjar innovation och skapar arbetstillfällen av hög kvalitet. Parlamentet begär att specifika rekommendationer omedelbart genomförs för att fullborda den inre marknaden och underlätta tillgången till finansiering genom plattformar för offentlig-privata partnerskap och den sociala ekonomin i syfte att främja ett dynamiskt företagsklimat.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Branislav Ondruš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uppmanar kommissionen och rådet att prioritera en minskning av byråkratiska </w:t>
            </w:r>
            <w:r>
              <w:rPr>
                <w:b/>
                <w:i/>
              </w:rPr>
              <w:t>och skattemässiga</w:t>
            </w:r>
            <w:r>
              <w:t xml:space="preserve"> hinder som påverkar entreprenörskap, särskilt för små och medelstora företag och uppstartsföretag, som är avgörande för EU:s ekonomiska tillväxt och konkurrenskraft </w:t>
            </w:r>
            <w:r>
              <w:rPr>
                <w:b/>
                <w:i/>
              </w:rPr>
              <w:t>och därmed för finansieringen av socialpolitiken</w:t>
            </w:r>
            <w:r>
              <w:t>. Parlamentet anser att bättre stöd till entreprenörer, särskilt små och medelstora företag och uppstartsföretag, förbättrar EU:s konkurrenskraft, främjar innovation och skapar arbetstillfällen av hög kvalitet. Parlamentet begär att specifika rekommendationer omedelbart genomförs för att fullborda den inre marknaden och underlätta tillgången till finansiering genom plattformar för offentlig-privata partnerskap och den sociala ekonomin i syfte att främja ett dynamiskt företagsklimat.</w:t>
            </w:r>
          </w:p>
        </w:tc>
        <w:tc>
          <w:tcPr>
            <w:tcW w:w="4876" w:type="dxa"/>
            <w:tcBorders>
              <w:top w:val="nil"/>
              <w:left w:val="nil"/>
              <w:bottom w:val="nil"/>
              <w:right w:val="nil"/>
            </w:tcBorders>
          </w:tcPr>
          <w:p>
            <w:pPr>
              <w:pStyle w:val="Normal6a"/>
            </w:pPr>
            <w:r>
              <w:t>7.</w:t>
            </w:r>
            <w:r>
              <w:tab/>
            </w:r>
            <w:r>
              <w:t>Europaparlamentet uppmanar kommissionen och rådet att prioritera en minskning av byråkratiska hinder som påverkar entreprenörskap, särskilt för små och medelstora företag och uppstartsföretag, som är avgörande för EU:s ekonomiska tillväxt och konkurrenskraft. Parlamentet anser att bättre stöd till entreprenörer, särskilt små och medelstora företag och uppstartsföretag, förbättrar EU:s konkurrenskraft, främjar innovation och skapar arbetstillfällen av hög kvalitet. Parlamentet begär att specifika rekommendationer omedelbart genomförs för att fullborda den inre marknaden och underlätta tillgången till finansiering genom plattformar för offentlig-privata partnerskap och den sociala ekonomin i syfte att främja ett dynamiskt företagsklimat.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Europaparlamentet uppmanar kommissionen och rådet att prioritera en minskning av byråkratiska och skattemässiga hinder som påverkar entreprenörskap, särskilt för små och medelstora företag och uppstartsföretag, som är avgörande för EU:s ekonomiska tillväxt och konkurrenskraft och därmed för finansieringen av socialpolitiken. Parlamentet anser att bättre stöd till entreprenörer, särskilt små och medelstora företag </w:t>
            </w:r>
            <w:r>
              <w:rPr>
                <w:b/>
                <w:i/>
              </w:rPr>
              <w:t>och uppstartsföretag</w:t>
            </w:r>
            <w:r>
              <w:t>, förbättrar EU:s konkurrenskraft, främjar innovation och skapar arbetstillfällen av hög kvalitet. Parlamentet begär att specifika rekommendationer omedelbart genomförs för att fullborda den inre marknaden och underlätta tillgången till finansiering genom plattformar för offentlig-privata partnerskap och den sociala ekonomin i syfte att främja ett dynamiskt företagsklimat.</w:t>
            </w:r>
          </w:p>
        </w:tc>
        <w:tc>
          <w:tcPr>
            <w:tcW w:w="4876" w:type="dxa"/>
            <w:tcBorders>
              <w:top w:val="nil"/>
              <w:left w:val="nil"/>
              <w:bottom w:val="nil"/>
              <w:right w:val="nil"/>
            </w:tcBorders>
          </w:tcPr>
          <w:p>
            <w:pPr>
              <w:pStyle w:val="Normal6a"/>
            </w:pPr>
            <w:r>
              <w:t>7.</w:t>
            </w:r>
            <w:r>
              <w:tab/>
            </w:r>
            <w:r>
              <w:t>Europaparlamentet uppmanar kommissionen och rådet att prioritera en minskning av byråkratiska och skattemässiga hinder som påverkar entreprenörskap, särskilt för små och medelstora företag och uppstartsföretag, som är avgörande för EU:s ekonomiska tillväxt och konkurrenskraft och därmed för finansieringen av socialpolitiken. Parlamentet anser att bättre stöd till entreprenörer, särskilt små och medelstora företag</w:t>
            </w:r>
            <w:r>
              <w:rPr>
                <w:b/>
                <w:i/>
              </w:rPr>
              <w:t>, uppstartsföretag och egenföretagare</w:t>
            </w:r>
            <w:r>
              <w:t>, förbättrar EU:s konkurrenskraft, främjar innovation och skapar arbetstillfällen av hög kvalitet. Parlamentet begär att specifika rekommendationer omedelbart genomförs för att fullborda den inre marknaden och underlätta tillgången till finansiering genom plattformar för offentlig-privata partnerskap och den sociala ekonomin i syfte att främja ett dynamiskt företagsklimat.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Europaparlamentet påminner om vikten av att förbättra egenföretagarnas tillgång till socialt skydd och uppmanar kommissionen att övervaka medlemsstaternas nationella genomförandeplaner för rådets rekommendation om tillgång till socialt skydd för arbetstagare och egenföretagare som en del av de landsspecifika rekommendationerna.</w:t>
            </w:r>
            <w:r>
              <w:t xml:space="preserve"> </w:t>
            </w:r>
            <w:r>
              <w:rPr>
                <w:b/>
                <w:i/>
              </w:rPr>
              <w:t>Parlamentet påminner i detta avseende om att andelen egenföretagare inom de kulturella och kreativa sektorerna är mer än dubbelt så hög som bland befolkningen i stort, och påminner i detta avseende om de 13 initiativ som kommissionen lade fram i sitt svar av den 21 februari 2024 på Europaparlamentets resolution av den 21 november 2023 med rekommendationer till kommissionen om en EU-ram för den sociala och yrkesmässiga situationen för kreatörer och kulturarbetare, och uppmanar kommissionen att börja genomföra dem i samarbete med medlemsstaterna.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Europaparlamentet varnar för de sociala riskerna till följd av krisen inom bilindustrin, som står inför ett aldrig tidigare skådat tryck från både externa och interna faktorer.</w:t>
            </w:r>
            <w:r>
              <w:t xml:space="preserve"> </w:t>
            </w:r>
            <w:r>
              <w:rPr>
                <w:b/>
                <w:i/>
              </w:rPr>
              <w:t>Parlamentet uppmanar kommissionen att uppmärksamma denna sektor med hjälp av den sociala resultattavlans indikatorer för att övervaka skyddet av arbetstagare och stärka den sociala dialogen och arbetstagarnas deltagande i övergångsprocesser.</w:t>
            </w:r>
            <w:r>
              <w:t xml:space="preserve"> </w:t>
            </w:r>
            <w:r>
              <w:rPr>
                <w:b/>
                <w:i/>
              </w:rPr>
              <w:t>Parlamentet betonar det akuta behovet av samordnade insatser från EU:s sida via en arbetsgrupp för nödsituationer bestående av fackföreningar och arbetsgivare för att hantera den rådande krisen.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Marlena Maląg, Georgiana Teodorescu, Elena Donazzan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Europaparlamentet uppmanar kommissionen att genomföra konkurrenskraftskontroller av varje nytt lagstiftningsförslag, med beaktande av EU-lagstiftningens övergripande inverkan på företag samt på annan EU-politik och andra EU-program.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Europaparlamentet betonar behovet av att främja offentlig-privata partnerskap för att effektivisera tillhandahållandet av grundläggande samhällstjänster, såsom utbildning, hälso- och sjukvård och social omsorg.</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Europaparlamentet betonar behovet av att främja offentlig-privata partnerskap för att effektivisera tillhandahållandet av grundläggande samhällstjänster, såsom utbildning, hälso- och sjukvård och social omsorg.</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Europaparlamentet betonar behovet av att främja </w:t>
            </w:r>
            <w:r>
              <w:rPr>
                <w:b/>
                <w:i/>
              </w:rPr>
              <w:t>offentlig-privata partnerskap för att effektivisera</w:t>
            </w:r>
            <w:r>
              <w:t xml:space="preserve"> tillhandahållandet av grundläggande samhällstjänster, såsom utbildning, hälso- och sjukvård och social omsorg.</w:t>
            </w:r>
          </w:p>
        </w:tc>
        <w:tc>
          <w:tcPr>
            <w:tcW w:w="4876" w:type="dxa"/>
            <w:tcBorders>
              <w:top w:val="nil"/>
              <w:left w:val="nil"/>
              <w:bottom w:val="nil"/>
              <w:right w:val="nil"/>
            </w:tcBorders>
          </w:tcPr>
          <w:p>
            <w:pPr>
              <w:pStyle w:val="Normal6a"/>
            </w:pPr>
            <w:r>
              <w:t>8.</w:t>
            </w:r>
            <w:r>
              <w:tab/>
            </w:r>
            <w:r>
              <w:t xml:space="preserve">Europaparlamentet betonar behovet av att främja </w:t>
            </w:r>
            <w:r>
              <w:rPr>
                <w:b/>
                <w:i/>
              </w:rPr>
              <w:t>kvaliteten, täckningen, överkomligheten och effektiviteten vid</w:t>
            </w:r>
            <w:r>
              <w:t xml:space="preserve"> tillhandahållandet av grundläggande samhällstjänster, såsom utbildning, hälso- och sjukvård och social omsorg</w:t>
            </w:r>
            <w:r>
              <w:rPr>
                <w:b/>
                <w:i/>
              </w:rPr>
              <w:t>, däribland barnomsorg och långtidsvård.</w:t>
            </w:r>
            <w:r>
              <w:t xml:space="preserve"> </w:t>
            </w:r>
            <w:r>
              <w:rPr>
                <w:b/>
                <w:i/>
              </w:rPr>
              <w:t>Parlamentet uppmanar med kraft medlemsstaterna att fortsätta att genomföra rådets rekommendation om tillgång till långvarig vård och omsorg av god kvalitet och till rimlig kostnad i syfte att säkerställa tillgång till vård av god kvalitet och samtidigt säkerställa anständiga arbetsvillkor för arbetstagare inom vård- och omsorgssektorn samt för anhörigvårdare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Europaparlamentet betonar behovet </w:t>
            </w:r>
            <w:r>
              <w:rPr>
                <w:b/>
                <w:i/>
              </w:rPr>
              <w:t>av</w:t>
            </w:r>
            <w:r>
              <w:t xml:space="preserve"> att främja offentlig-privata partnerskap för att effektivisera tillhandahållandet av </w:t>
            </w:r>
            <w:r>
              <w:rPr>
                <w:b/>
                <w:i/>
              </w:rPr>
              <w:t>grundläggande</w:t>
            </w:r>
            <w:r>
              <w:t xml:space="preserve"> samhällstjänster, såsom utbildning, hälso- och sjukvård och social omsorg.</w:t>
            </w:r>
          </w:p>
        </w:tc>
        <w:tc>
          <w:tcPr>
            <w:tcW w:w="4876" w:type="dxa"/>
            <w:tcBorders>
              <w:top w:val="nil"/>
              <w:left w:val="nil"/>
              <w:bottom w:val="nil"/>
              <w:right w:val="nil"/>
            </w:tcBorders>
          </w:tcPr>
          <w:p>
            <w:pPr>
              <w:pStyle w:val="Normal6a"/>
            </w:pPr>
            <w:r>
              <w:t>8.</w:t>
            </w:r>
            <w:r>
              <w:tab/>
            </w:r>
            <w:r>
              <w:t xml:space="preserve">Europaparlamentet betonar behovet </w:t>
            </w:r>
            <w:r>
              <w:rPr>
                <w:b/>
                <w:i/>
              </w:rPr>
              <w:t>för medlemsstaterna</w:t>
            </w:r>
            <w:r>
              <w:t xml:space="preserve"> att främja offentlig-privata partnerskap för att effektivisera tillhandahållandet av </w:t>
            </w:r>
            <w:r>
              <w:rPr>
                <w:b/>
                <w:i/>
              </w:rPr>
              <w:t>offentliga</w:t>
            </w:r>
            <w:r>
              <w:t xml:space="preserve"> samhällstjänster, såsom utbildning, hälso- och sjukvård</w:t>
            </w:r>
            <w:r>
              <w:rPr>
                <w:b/>
                <w:i/>
              </w:rPr>
              <w:t>, boende</w:t>
            </w:r>
            <w:r>
              <w:t xml:space="preserve"> och social omsorg </w:t>
            </w:r>
            <w:r>
              <w:rPr>
                <w:b/>
                <w:i/>
              </w:rPr>
              <w:t>samt skydd av barn, samtidigt som man säkerställer medlemsstaternas ansvar för att säkerställa tillhandahållandet av och tillgången till offentliga tjänster av god kvalitet på dessa områden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Europaparlamentet betonar behovet av att främja offentlig-privata partnerskap för att effektivisera tillhandahållandet av grundläggande samhällstjänster, såsom utbildning, hälso- och sjukvård och social omsorg.</w:t>
            </w:r>
          </w:p>
        </w:tc>
        <w:tc>
          <w:tcPr>
            <w:tcW w:w="4876" w:type="dxa"/>
            <w:tcBorders>
              <w:top w:val="nil"/>
              <w:left w:val="nil"/>
              <w:bottom w:val="nil"/>
              <w:right w:val="nil"/>
            </w:tcBorders>
          </w:tcPr>
          <w:p>
            <w:pPr>
              <w:pStyle w:val="Normal6a"/>
            </w:pPr>
            <w:r>
              <w:t>8.</w:t>
            </w:r>
            <w:r>
              <w:tab/>
            </w:r>
            <w:r>
              <w:t>Europaparlamentet betonar behovet av att främja offentlig-privata partnerskap för att effektivisera tillhandahållandet av grundläggande samhällstjänster, såsom utbildning, hälso- och sjukvård och social omsorg</w:t>
            </w:r>
            <w:r>
              <w:rPr>
                <w:b/>
                <w:i/>
              </w:rPr>
              <w:t>, om och endast om synergi mellan den offentliga och den privata sektorn är sannolik och påvisad och inte är ett tecken på ideologisk och missriktad privatisering</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Europaparlamentet betonar behovet av att </w:t>
            </w:r>
            <w:r>
              <w:rPr>
                <w:b/>
                <w:i/>
              </w:rPr>
              <w:t>främja</w:t>
            </w:r>
            <w:r>
              <w:t xml:space="preserve"> offentlig-privata partnerskap för att effektivisera tillhandahållandet av grundläggande samhällstjänster, såsom utbildning, hälso- och sjukvård och social omsorg.</w:t>
            </w:r>
          </w:p>
        </w:tc>
        <w:tc>
          <w:tcPr>
            <w:tcW w:w="4876" w:type="dxa"/>
            <w:tcBorders>
              <w:top w:val="nil"/>
              <w:left w:val="nil"/>
              <w:bottom w:val="nil"/>
              <w:right w:val="nil"/>
            </w:tcBorders>
          </w:tcPr>
          <w:p>
            <w:pPr>
              <w:pStyle w:val="Normal6a"/>
            </w:pPr>
            <w:r>
              <w:t>8.</w:t>
            </w:r>
            <w:r>
              <w:tab/>
            </w:r>
            <w:r>
              <w:t xml:space="preserve">Europaparlamentet </w:t>
            </w:r>
            <w:r>
              <w:rPr>
                <w:b/>
                <w:i/>
              </w:rPr>
              <w:t>instämmer i Enrico Lettas förslag om en ”femte frihet” för att stärka forskning, innovation och utbildning på den inre marknaden och</w:t>
            </w:r>
            <w:r>
              <w:t xml:space="preserve"> betonar </w:t>
            </w:r>
            <w:r>
              <w:rPr>
                <w:b/>
                <w:i/>
              </w:rPr>
              <w:t>i detta avseende</w:t>
            </w:r>
            <w:r>
              <w:t xml:space="preserve"> behovet av att </w:t>
            </w:r>
            <w:r>
              <w:rPr>
                <w:b/>
                <w:i/>
              </w:rPr>
              <w:t>utnyttja</w:t>
            </w:r>
            <w:r>
              <w:t xml:space="preserve"> offentlig-privata partnerskap för att effektivisera tillhandahållandet av grundläggande samhällstjänster, såsom utbildning, hälso- och sjukvård och social omsorg.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Europaparlamentet är oroat över många nationella strategier som fortfarande skapar luckor i hälso- och sjukvårdstäckningen och ökar ojämlikheten både inom och mellan medlemsstaterna, såsom privatisering av offentliga hälso- och sjukvårdssystem, patientavgifter och bristfällig täckning.</w:t>
            </w:r>
            <w:r>
              <w:t xml:space="preserve"> </w:t>
            </w:r>
            <w:r>
              <w:rPr>
                <w:b/>
                <w:i/>
              </w:rPr>
              <w:t>Parlamentet betonar att dessa ökar fattigdomen, urholkar hälsa och välbefinnande och ökar de sociala ojämlikheterna inom och mellan EU-länderna.</w:t>
            </w:r>
            <w:r>
              <w:t xml:space="preserve"> </w:t>
            </w:r>
            <w:r>
              <w:rPr>
                <w:b/>
                <w:i/>
              </w:rPr>
              <w:t>Parlamentet varnar för att detta också undergräver genomförandet av princip 16 i pelaren och av mål 3.8 för hållbar utveckling om allmän hälso- och sjukvård för alla samt pelarens övergripande mål att främja uppåtgående social konvergens i EU, så att ingen lämnas utanför.</w:t>
            </w:r>
            <w:r>
              <w:t xml:space="preserve"> </w:t>
            </w:r>
            <w:r>
              <w:rPr>
                <w:b/>
                <w:i/>
              </w:rPr>
              <w:t>Parlamentet anser att de indikatorer som används i den sociala resultattavlan inte ger en heltäckande förståelse av hälso- och sjukvårdens överkomlighet.</w:t>
            </w:r>
            <w:r>
              <w:t xml:space="preserve"> </w:t>
            </w:r>
            <w:r>
              <w:rPr>
                <w:b/>
                <w:i/>
              </w:rPr>
              <w:t>Parlamentet uppmanar kommissionen att i resultattavlan inkludera följande indikatorer på ekonomiska svårigheter, såsom utarmning och katastrofala hälso- och sjukvårdsutgifter, samt en kvalitativ analys av de olika dimensionerna av täckningspolitiken (befolkningsandel, förmånspaketet och användaravgifter eller patientavgifter) i medlemsstaterna för att identifiera de förändringar som behövs för att förbättra tillgången till hälso- och sjukvård till överkomliga priser.</w:t>
            </w:r>
            <w:r>
              <w:t xml:space="preserve"> </w:t>
            </w:r>
            <w:r>
              <w:rPr>
                <w:b/>
                <w:i/>
              </w:rPr>
              <w:t>Parlamentet uppmanar kommissionen att lägga fram ett initiativ för att säkerställa tillräcklig allmän hälso- och sjukvård för alla, så att alla kan få tillgång till hälso- och sjukvård av god kvalitet utan att drabbas av ekonomiska svårigheter.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8a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8a.</w:t>
            </w:r>
            <w:r>
              <w:tab/>
            </w:r>
            <w:r>
              <w:rPr>
                <w:b/>
                <w:i/>
              </w:rPr>
              <w:t>Europaparlamentet anser att den sociala ekonomin är en viktig del av EU:s sociala marknadsekonomi och en drivkraft för genomförandet av den europeiska pelaren för sociala rättigheter och dess mål, och att den ofta ger sysselsättning till utsatta och utestängda grupper.</w:t>
            </w:r>
            <w:r>
              <w:t xml:space="preserve"> </w:t>
            </w:r>
            <w:r>
              <w:rPr>
                <w:b/>
                <w:i/>
              </w:rPr>
              <w:t>Parlamentet uppmanar medlemsstaterna att fortsätta att stärka den sociala ekonomin i linje med EU:s handlingsplan för den sociala ekonomin och Liègefärdplanen för den sociala ekonomin i Europeiska unionen.</w:t>
            </w:r>
            <w:r>
              <w:t xml:space="preserve"> </w:t>
            </w:r>
            <w:r>
              <w:rPr>
                <w:b/>
                <w:i/>
              </w:rPr>
              <w:t>Parlamentet upprepar sin uppmaning till kommissionen att undersöka innovativa finansieringsmekanismer såsom sociala obligationer för att finansiera projekt till stöd för utvecklingen av den sociala ekonomin i Europa</w:t>
            </w:r>
            <w:r>
              <w:rPr>
                <w:b/>
                <w:i/>
                <w:vertAlign w:val="superscript"/>
              </w:rPr>
              <w:t>19a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19a</w:t>
            </w:r>
            <w:r>
              <w:t xml:space="preserve"> </w:t>
            </w:r>
            <w:r>
              <w:rPr>
                <w:b/>
                <w:i/>
              </w:rPr>
              <w:t>Europaparlamentets resolution av den 6 juli 2022 om EU:s handlingsplan för den sociala ekonomin (2021/2179(INI)).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Marie Dauchy</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Europaparlamentet begär att medlemsstaterna under detta övergångsår, med genomförandet av reviderade regler för ekonomisk styrning, ska erbjudas en möjlighet att anpassa det finanspolitiska ansvaret till hållbar tillväxt, och noterar att finanspolitiska planer på medellång sikt bör prioritera skuldhållbarhet samtidigt som strategiska investeringar görs i utbildning, hälso- och sjukvård och bostäder.</w:t>
            </w:r>
            <w:r>
              <w:t xml:space="preserve"> </w:t>
            </w:r>
            <w:r>
              <w:rPr>
                <w:b/>
                <w:i/>
              </w:rPr>
              <w:t>Parlamentet betonar att samarbete mellan offentliga och privata enheter är en förutsättning för att optimera resurser och säkerställa en klok användning av offentliga medel.</w:t>
            </w:r>
            <w:r>
              <w:t xml:space="preserve"> </w:t>
            </w:r>
            <w:r>
              <w:rPr>
                <w:b/>
                <w:i/>
              </w:rPr>
              <w:t>Parlamentet anser att landsspecifika rekommendationer för att främja hållbara offentliga pensionssystem och en hållbar hälso- och sjukvård bör genomföras effektivt och främja konkurrenskraft och långsiktigt välstånd för alla medborgare.</w:t>
            </w:r>
          </w:p>
        </w:tc>
        <w:tc>
          <w:tcPr>
            <w:tcW w:w="4876" w:type="dxa"/>
            <w:tcBorders>
              <w:top w:val="nil"/>
              <w:left w:val="nil"/>
              <w:bottom w:val="nil"/>
              <w:right w:val="nil"/>
            </w:tcBorders>
          </w:tcPr>
          <w:p>
            <w:pPr>
              <w:pStyle w:val="Normal6a"/>
            </w:pPr>
            <w:r>
              <w:rPr>
                <w:b/>
                <w:i/>
              </w:rPr>
              <w:t>utgår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Europaparlamentet begär att medlemsstaterna under detta övergångsår, med genomförandet av reviderade regler för ekonomisk styrning, ska erbjudas en möjlighet att anpassa det finanspolitiska ansvaret till hållbar tillväxt</w:t>
            </w:r>
            <w:r>
              <w:rPr>
                <w:b/>
                <w:i/>
              </w:rPr>
              <w:t>, och</w:t>
            </w:r>
            <w:r>
              <w:t xml:space="preserve"> noterar att finanspolitiska planer på medellång sikt bör </w:t>
            </w:r>
            <w:r>
              <w:rPr>
                <w:b/>
                <w:i/>
              </w:rPr>
              <w:t>prioritera</w:t>
            </w:r>
            <w:r>
              <w:t xml:space="preserve"> skuldhållbarhet samtidigt som strategiska investeringar görs i utbildning, hälso- och sjukvård och bostäder. Parlamentet betonar att samarbete mellan offentliga och privata enheter </w:t>
            </w:r>
            <w:r>
              <w:rPr>
                <w:b/>
                <w:i/>
              </w:rPr>
              <w:t>är en förutsättning för</w:t>
            </w:r>
            <w:r>
              <w:t xml:space="preserve"> att optimera resurser och säkerställa en klok användning av offentliga medel. Parlamentet anser att landsspecifika rekommendationer för att främja hållbara offentliga pensionssystem och en hållbar hälso- och sjukvård bör </w:t>
            </w:r>
            <w:r>
              <w:rPr>
                <w:b/>
                <w:i/>
              </w:rPr>
              <w:t>genomföras effektivt och främja konkurrenskraft och långsiktigt välstånd</w:t>
            </w:r>
            <w:r>
              <w:t xml:space="preserve"> för alla </w:t>
            </w:r>
            <w:r>
              <w:rPr>
                <w:b/>
                <w:i/>
              </w:rPr>
              <w:t>medborgare</w:t>
            </w:r>
            <w:r>
              <w:t>.</w:t>
            </w:r>
          </w:p>
        </w:tc>
        <w:tc>
          <w:tcPr>
            <w:tcW w:w="4876" w:type="dxa"/>
            <w:tcBorders>
              <w:top w:val="nil"/>
              <w:left w:val="nil"/>
              <w:bottom w:val="nil"/>
              <w:right w:val="nil"/>
            </w:tcBorders>
          </w:tcPr>
          <w:p>
            <w:pPr>
              <w:pStyle w:val="Normal6a"/>
            </w:pPr>
            <w:r>
              <w:t>9.</w:t>
            </w:r>
            <w:r>
              <w:tab/>
            </w:r>
            <w:r>
              <w:t xml:space="preserve">Europaparlamentet begär att medlemsstaterna under detta övergångsår, med genomförandet av reviderade regler för ekonomisk styrning, ska erbjudas en möjlighet att anpassa det finanspolitiska ansvaret till hållbar tillväxt </w:t>
            </w:r>
            <w:r>
              <w:rPr>
                <w:b/>
                <w:i/>
              </w:rPr>
              <w:t>för alla och konstaterar att arbetsmarknadsparternas deltagande bör stärkas på alla nivåer för att bidra till målen i det nya ramverket för ekonomisk styrning 2024, särskilt så att samråd med arbetsmarknadens parter säkerställs på förhand innan de medelfristiga finans- och strukturpolitiska planerna läggs fram.</w:t>
            </w:r>
            <w:r>
              <w:t xml:space="preserve"> </w:t>
            </w:r>
            <w:r>
              <w:rPr>
                <w:b/>
                <w:i/>
              </w:rPr>
              <w:t>Parlamentet</w:t>
            </w:r>
            <w:r>
              <w:t xml:space="preserve"> noterar att finanspolitiska planer på medellång sikt bör </w:t>
            </w:r>
            <w:r>
              <w:rPr>
                <w:b/>
                <w:i/>
              </w:rPr>
              <w:t>säkerställa</w:t>
            </w:r>
            <w:r>
              <w:t xml:space="preserve"> skuldhållbarhet samtidigt som strategiska investeringar görs i utbildning </w:t>
            </w:r>
            <w:r>
              <w:rPr>
                <w:b/>
                <w:i/>
              </w:rPr>
              <w:t>av god kvalitet,offentliga och sociala tjänster av hög kvalitet</w:t>
            </w:r>
            <w:r>
              <w:t xml:space="preserve">, hälso- och sjukvård och </w:t>
            </w:r>
            <w:r>
              <w:rPr>
                <w:b/>
                <w:i/>
              </w:rPr>
              <w:t>långtidsvård samt överkomliga</w:t>
            </w:r>
            <w:r>
              <w:t xml:space="preserve"> bostäder </w:t>
            </w:r>
            <w:r>
              <w:rPr>
                <w:b/>
                <w:i/>
              </w:rPr>
              <w:t>och sociala tjänster.</w:t>
            </w:r>
            <w:r>
              <w:t xml:space="preserve"> </w:t>
            </w:r>
            <w:r>
              <w:rPr>
                <w:b/>
                <w:i/>
              </w:rPr>
              <w:t>Parlamentet rekommenderar att man använder jämförande statistik såsom resultaten från indexet för sociala tjänster (SSI) för att identifiera luckor i lagstiftningen om sociala tjänster, finansieringen och tillgången och för att vägleda strategiska investeringar på områden som skydd av barn, långtidsvård och samhällsbaserat stöd</w:t>
            </w:r>
            <w:r>
              <w:t xml:space="preserve">. Parlamentet betonar att samarbete mellan offentliga och privata enheter </w:t>
            </w:r>
            <w:r>
              <w:rPr>
                <w:b/>
                <w:i/>
              </w:rPr>
              <w:t>ibland är ett bra sätt</w:t>
            </w:r>
            <w:r>
              <w:t xml:space="preserve"> att optimera resurser och säkerställa en klok användning av offentliga medel. Parlamentet anser att landsspecifika rekommendationer för att främja hållbara offentliga pensionssystem och en hållbar hälso- och sjukvård bör </w:t>
            </w:r>
            <w:r>
              <w:rPr>
                <w:b/>
                <w:i/>
              </w:rPr>
              <w:t>främja pensioner som säkerställer ett värdigt liv, välbefinnande och god hälsa till överkomliga priser, hälsofrämjande och förebyggande åtgärder</w:t>
            </w:r>
            <w:r>
              <w:t xml:space="preserve"> för alla.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Europaparlamentet begär att medlemsstaterna under detta övergångsår, med genomförandet av reviderade regler för ekonomisk styrning, ska erbjudas en möjlighet att anpassa det finanspolitiska ansvaret till </w:t>
            </w:r>
            <w:r>
              <w:rPr>
                <w:b/>
                <w:i/>
              </w:rPr>
              <w:t>hållbar tillväxt</w:t>
            </w:r>
            <w:r>
              <w:t xml:space="preserve">, och noterar att finanspolitiska planer på medellång sikt bör prioritera </w:t>
            </w:r>
            <w:r>
              <w:rPr>
                <w:b/>
                <w:i/>
              </w:rPr>
              <w:t>skuldhållbarhet</w:t>
            </w:r>
            <w:r>
              <w:t xml:space="preserve"> samtidigt som strategiska investeringar görs i utbildning, hälso- och sjukvård och bostäder. Parlamentet betonar att samarbete mellan offentliga och privata enheter är en förutsättning för att optimera resurser </w:t>
            </w:r>
            <w:r>
              <w:rPr>
                <w:b/>
                <w:i/>
              </w:rPr>
              <w:t>och säkerställa en klok användning av offentliga medel</w:t>
            </w:r>
            <w:r>
              <w:t xml:space="preserve">. Parlamentet anser att landsspecifika rekommendationer </w:t>
            </w:r>
            <w:r>
              <w:rPr>
                <w:b/>
                <w:i/>
              </w:rPr>
              <w:t>för att främja hållbara offentliga pensionssystem och en hållbar</w:t>
            </w:r>
            <w:r>
              <w:t xml:space="preserve"> hälso- och </w:t>
            </w:r>
            <w:r>
              <w:rPr>
                <w:b/>
                <w:i/>
              </w:rPr>
              <w:t>sjukvård bör genomföras effektivt och främja konkurrenskraft och långsiktigt välstånd</w:t>
            </w:r>
            <w:r>
              <w:t xml:space="preserve"> för alla medborgare.</w:t>
            </w:r>
          </w:p>
        </w:tc>
        <w:tc>
          <w:tcPr>
            <w:tcW w:w="4876" w:type="dxa"/>
            <w:tcBorders>
              <w:top w:val="nil"/>
              <w:left w:val="nil"/>
              <w:bottom w:val="nil"/>
              <w:right w:val="nil"/>
            </w:tcBorders>
          </w:tcPr>
          <w:p>
            <w:pPr>
              <w:pStyle w:val="Normal6a"/>
            </w:pPr>
            <w:r>
              <w:t>9.</w:t>
            </w:r>
            <w:r>
              <w:tab/>
            </w:r>
            <w:r>
              <w:t xml:space="preserve">Europaparlamentet begär att medlemsstaterna under detta övergångsår, med genomförandet av reviderade regler för ekonomisk styrning, ska erbjudas en möjlighet att anpassa det finanspolitiska ansvaret till </w:t>
            </w:r>
            <w:r>
              <w:rPr>
                <w:b/>
                <w:i/>
              </w:rPr>
              <w:t>hållbarhet och välbefinnande</w:t>
            </w:r>
            <w:r>
              <w:t xml:space="preserve">, och noterar att finanspolitiska planer på medellång sikt bör prioritera </w:t>
            </w:r>
            <w:r>
              <w:rPr>
                <w:b/>
                <w:i/>
              </w:rPr>
              <w:t>social hållbarhet</w:t>
            </w:r>
            <w:r>
              <w:t xml:space="preserve"> samtidigt som strategiska investeringar görs i </w:t>
            </w:r>
            <w:r>
              <w:rPr>
                <w:b/>
                <w:i/>
              </w:rPr>
              <w:t>offentlig</w:t>
            </w:r>
            <w:r>
              <w:t xml:space="preserve"> utbildning, hälso- och sjukvård och bostäder. Parlamentet betonar att samarbete mellan offentliga och privata enheter är en förutsättning för att optimera resurser. Parlamentet anser att landsspecifika rekommendationer </w:t>
            </w:r>
            <w:r>
              <w:rPr>
                <w:b/>
                <w:i/>
              </w:rPr>
              <w:t>bör frångå logiken att ständigt föreskriva budgetnedskärningar i de offentliga pensions- och</w:t>
            </w:r>
            <w:r>
              <w:t xml:space="preserve"> hälso- och </w:t>
            </w:r>
            <w:r>
              <w:rPr>
                <w:b/>
                <w:i/>
              </w:rPr>
              <w:t>sjukvårdssystemen och i stället lägga fram reformförslag som främjar ekonomiskt och socialt välbefinnande</w:t>
            </w:r>
            <w:r>
              <w:t xml:space="preserve"> för alla medborgare. </w:t>
            </w:r>
            <w:r>
              <w:rPr>
                <w:b/>
                <w:i/>
              </w:rPr>
              <w:t>Parlamentet påminner om vikten av att bevara en tillräcklig inkomst för ett värdigt liv för alla arbetstagare under deras pensionsperiod, samtidigt som man tar hänsyn till sårbarheten hos de arbetstagare vars karriärer är segmenterade, intermittenta och föremål för övergångar på arbetsmarknaden.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Europaparlamentet begär att medlemsstaterna under detta övergångsår</w:t>
            </w:r>
            <w:r>
              <w:rPr>
                <w:b/>
                <w:i/>
              </w:rPr>
              <w:t>, med genomförandet av reviderade regler för ekonomisk styrning,</w:t>
            </w:r>
            <w:r>
              <w:t xml:space="preserve"> ska erbjudas en möjlighet att </w:t>
            </w:r>
            <w:r>
              <w:rPr>
                <w:b/>
                <w:i/>
              </w:rPr>
              <w:t>anpassa det finanspolitiska ansvaret till</w:t>
            </w:r>
            <w:r>
              <w:t xml:space="preserve"> hållbar tillväxt, och noterar att finanspolitiska planer på medellång sikt bör prioritera skuldhållbarhet samtidigt som strategiska investeringar görs i utbildning, hälso- och sjukvård och bostäder</w:t>
            </w:r>
            <w:r>
              <w:rPr>
                <w:b/>
                <w:i/>
              </w:rPr>
              <w:t>.</w:t>
            </w:r>
            <w:r>
              <w:t xml:space="preserve"> </w:t>
            </w:r>
            <w:r>
              <w:rPr>
                <w:b/>
                <w:i/>
              </w:rPr>
              <w:t>Parlamentet betonar att samarbete mellan offentliga och privata enheter är en förutsättning för att optimera resurser och säkerställa en klok användning av offentliga medel.</w:t>
            </w:r>
            <w:r>
              <w:t xml:space="preserve"> </w:t>
            </w:r>
            <w:r>
              <w:rPr>
                <w:b/>
                <w:i/>
              </w:rPr>
              <w:t>Parlamentet anser att landsspecifika rekommendationer för</w:t>
            </w:r>
            <w:r>
              <w:t xml:space="preserve"> att främja </w:t>
            </w:r>
            <w:r>
              <w:rPr>
                <w:b/>
                <w:i/>
              </w:rPr>
              <w:t>hållbara offentliga pensionssystem och en hållbar hälso- och sjukvård bör genomföras effektivt och främja konkurrenskraft</w:t>
            </w:r>
            <w:r>
              <w:t xml:space="preserve"> och långsiktigt välstånd för alla medborgare.</w:t>
            </w:r>
          </w:p>
        </w:tc>
        <w:tc>
          <w:tcPr>
            <w:tcW w:w="4876" w:type="dxa"/>
            <w:tcBorders>
              <w:top w:val="nil"/>
              <w:left w:val="nil"/>
              <w:bottom w:val="nil"/>
              <w:right w:val="nil"/>
            </w:tcBorders>
          </w:tcPr>
          <w:p>
            <w:pPr>
              <w:pStyle w:val="Normal6a"/>
            </w:pPr>
            <w:r>
              <w:t>9.</w:t>
            </w:r>
            <w:r>
              <w:tab/>
            </w:r>
            <w:r>
              <w:t xml:space="preserve">Europaparlamentet begär att medlemsstaterna under detta övergångsår ska erbjudas en möjlighet att </w:t>
            </w:r>
            <w:r>
              <w:rPr>
                <w:b/>
                <w:i/>
              </w:rPr>
              <w:t>arbeta för</w:t>
            </w:r>
            <w:r>
              <w:t xml:space="preserve"> hållbar tillväxt, och noterar att finanspolitiska planer på medellång sikt bör prioritera skuldhållbarhet samtidigt som strategiska investeringar görs i utbildning, hälso- och sjukvård och bostäder </w:t>
            </w:r>
            <w:r>
              <w:rPr>
                <w:b/>
                <w:i/>
              </w:rPr>
              <w:t>i syfte</w:t>
            </w:r>
            <w:r>
              <w:t xml:space="preserve"> att främja </w:t>
            </w:r>
            <w:r>
              <w:rPr>
                <w:b/>
                <w:i/>
              </w:rPr>
              <w:t>social sammanhållning</w:t>
            </w:r>
            <w:r>
              <w:t xml:space="preserve"> och långsiktigt välstånd för alla medborgare.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Europaparlamentet begär att medlemsstaterna under detta övergångsår, med genomförandet av reviderade regler för ekonomisk styrning, ska erbjudas en möjlighet att anpassa det finanspolitiska ansvaret till hållbar tillväxt, och noterar att finanspolitiska planer på medellång sikt bör prioritera skuldhållbarhet samtidigt som strategiska investeringar görs i utbildning, hälso- och sjukvård och bostäder. Parlamentet betonar att samarbete mellan offentliga och privata enheter är en förutsättning för att optimera resurser och säkerställa en klok användning av offentliga medel. Parlamentet anser att landsspecifika rekommendationer för att främja </w:t>
            </w:r>
            <w:r>
              <w:rPr>
                <w:b/>
                <w:i/>
              </w:rPr>
              <w:t>hållbara offentliga pensionssystem</w:t>
            </w:r>
            <w:r>
              <w:t xml:space="preserve"> och en </w:t>
            </w:r>
            <w:r>
              <w:rPr>
                <w:b/>
                <w:i/>
              </w:rPr>
              <w:t>hållbar</w:t>
            </w:r>
            <w:r>
              <w:t xml:space="preserve"> hälso- och sjukvård bör genomföras effektivt och främja </w:t>
            </w:r>
            <w:r>
              <w:rPr>
                <w:b/>
                <w:i/>
              </w:rPr>
              <w:t>konkurrenskraft</w:t>
            </w:r>
            <w:r>
              <w:t xml:space="preserve"> och långsiktigt välstånd för alla medborgare.</w:t>
            </w:r>
          </w:p>
        </w:tc>
        <w:tc>
          <w:tcPr>
            <w:tcW w:w="4876" w:type="dxa"/>
            <w:tcBorders>
              <w:top w:val="nil"/>
              <w:left w:val="nil"/>
              <w:bottom w:val="nil"/>
              <w:right w:val="nil"/>
            </w:tcBorders>
          </w:tcPr>
          <w:p>
            <w:pPr>
              <w:pStyle w:val="Normal6a"/>
            </w:pPr>
            <w:r>
              <w:t>9.</w:t>
            </w:r>
            <w:r>
              <w:tab/>
            </w:r>
            <w:r>
              <w:t xml:space="preserve">Europaparlamentet begär att medlemsstaterna under detta övergångsår, med genomförandet av reviderade regler för ekonomisk styrning, ska erbjudas en möjlighet att anpassa det finanspolitiska ansvaret till hållbar tillväxt, och noterar att finanspolitiska planer på medellång sikt bör prioritera skuldhållbarhet samtidigt som strategiska investeringar görs i </w:t>
            </w:r>
            <w:r>
              <w:rPr>
                <w:b/>
                <w:i/>
              </w:rPr>
              <w:t>målen i den europeiska pelaren för sociala rättigheter, såsom</w:t>
            </w:r>
            <w:r>
              <w:t xml:space="preserve"> utbildning, </w:t>
            </w:r>
            <w:r>
              <w:rPr>
                <w:b/>
                <w:i/>
              </w:rPr>
              <w:t>socialt skydd och social inkludering,</w:t>
            </w:r>
            <w:r>
              <w:t xml:space="preserve"> hälso- och sjukvård och bostäder. Parlamentet betonar att samarbete mellan offentliga och privata enheter är en förutsättning för att optimera resurser och säkerställa en klok användning av offentliga medel </w:t>
            </w:r>
            <w:r>
              <w:rPr>
                <w:b/>
                <w:i/>
              </w:rPr>
              <w:t>för att främja konkurrenskraften</w:t>
            </w:r>
            <w:r>
              <w:t xml:space="preserve">. Parlamentet anser att landsspecifika rekommendationer för att främja </w:t>
            </w:r>
            <w:r>
              <w:rPr>
                <w:b/>
                <w:i/>
              </w:rPr>
              <w:t>pensionssystem med flera pelare</w:t>
            </w:r>
            <w:r>
              <w:t xml:space="preserve"> och en </w:t>
            </w:r>
            <w:r>
              <w:rPr>
                <w:b/>
                <w:i/>
              </w:rPr>
              <w:t>högklassig</w:t>
            </w:r>
            <w:r>
              <w:t xml:space="preserve"> hälso- och sjukvård bör genomföras effektivt och främja </w:t>
            </w:r>
            <w:r>
              <w:rPr>
                <w:b/>
                <w:i/>
              </w:rPr>
              <w:t>hållbarhet, värdighet</w:t>
            </w:r>
            <w:r>
              <w:t xml:space="preserve"> och långsiktigt välstånd för alla medborgare.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Europaparlamentet </w:t>
            </w:r>
            <w:r>
              <w:rPr>
                <w:b/>
                <w:i/>
              </w:rPr>
              <w:t>begär att medlemsstaterna under detta övergångsår, med genomförandet av reviderade regler</w:t>
            </w:r>
            <w:r>
              <w:t xml:space="preserve"> för ekonomisk styrning, </w:t>
            </w:r>
            <w:r>
              <w:rPr>
                <w:b/>
                <w:i/>
              </w:rPr>
              <w:t>ska</w:t>
            </w:r>
            <w:r>
              <w:t xml:space="preserve"> erbjudas en möjlighet att anpassa det finanspolitiska ansvaret till hållbar tillväxt, och noterar att finanspolitiska planer på medellång sikt bör prioritera skuldhållbarhet samtidigt som strategiska investeringar görs i utbildning, hälso- och sjukvård och bostäder. Parlamentet betonar att samarbete mellan offentliga och privata enheter är en förutsättning för att optimera resurser och säkerställa en klok användning av offentliga medel. Parlamentet anser att landsspecifika rekommendationer för att främja hållbara offentliga pensionssystem och en hållbar hälso- och sjukvård bör genomföras effektivt och främja konkurrenskraft och långsiktigt välstånd för alla medborgare.</w:t>
            </w:r>
          </w:p>
        </w:tc>
        <w:tc>
          <w:tcPr>
            <w:tcW w:w="4876" w:type="dxa"/>
            <w:tcBorders>
              <w:top w:val="nil"/>
              <w:left w:val="nil"/>
              <w:bottom w:val="nil"/>
              <w:right w:val="nil"/>
            </w:tcBorders>
          </w:tcPr>
          <w:p>
            <w:pPr>
              <w:pStyle w:val="Normal6a"/>
            </w:pPr>
            <w:r>
              <w:t>9.</w:t>
            </w:r>
            <w:r>
              <w:tab/>
            </w:r>
            <w:r>
              <w:t xml:space="preserve">Europaparlamentet </w:t>
            </w:r>
            <w:r>
              <w:rPr>
                <w:b/>
                <w:i/>
              </w:rPr>
              <w:t>understryker att det främsta målet med de nya reglerna</w:t>
            </w:r>
            <w:r>
              <w:t xml:space="preserve"> för ekonomisk styrning </w:t>
            </w:r>
            <w:r>
              <w:rPr>
                <w:b/>
                <w:i/>
              </w:rPr>
              <w:t>är att hitta en balans mellan ansvarsfull budgetförvaltning (skuldminskning) och hållbar ekonomisk tillväxt (tillväxtfrämjande utgifter)</w:t>
            </w:r>
            <w:r>
              <w:t xml:space="preserve">, </w:t>
            </w:r>
            <w:r>
              <w:rPr>
                <w:b/>
                <w:i/>
              </w:rPr>
              <w:t>och därför ska reglerna för ekonomisk styrning</w:t>
            </w:r>
            <w:r>
              <w:t xml:space="preserve"> erbjudas en möjlighet att anpassa det finanspolitiska ansvaret till hållbar tillväxt, och noterar att finanspolitiska planer på medellång sikt bör prioritera skuldhållbarhet samtidigt som strategiska investeringar görs i utbildning, hälso- och sjukvård och bostäder. Parlamentet betonar att samarbete mellan offentliga och privata enheter är en förutsättning för att optimera resurser och säkerställa en klok användning av offentliga medel. Parlamentet anser att landsspecifika rekommendationer för att främja hållbara offentliga pensionssystem och en hållbar hälso- och sjukvård bör genomföras effektivt och främja konkurrenskraft och långsiktigt välstånd för alla medborgare.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Branislav Ondruš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Europaparlamentet begär att medlemsstaterna under detta övergångsår, med genomförandet av reviderade regler för ekonomisk styrning, ska erbjudas en möjlighet att anpassa det finanspolitiska ansvaret till hållbar tillväxt, och noterar att finanspolitiska planer på medellång sikt bör </w:t>
            </w:r>
            <w:r>
              <w:rPr>
                <w:b/>
                <w:i/>
              </w:rPr>
              <w:t>prioritera skuldhållbarhet samtidigt som strategiska</w:t>
            </w:r>
            <w:r>
              <w:t xml:space="preserve"> investeringar </w:t>
            </w:r>
            <w:r>
              <w:rPr>
                <w:b/>
                <w:i/>
              </w:rPr>
              <w:t>görs</w:t>
            </w:r>
            <w:r>
              <w:t xml:space="preserve"> i utbildning, hälso- och sjukvård och bostäder. Parlamentet betonar att samarbete mellan offentliga och privata enheter är en förutsättning för att optimera resurser och säkerställa en klok användning av offentliga medel. Parlamentet anser att landsspecifika rekommendationer för att främja hållbara offentliga pensionssystem och en hållbar hälso- och sjukvård bör genomföras effektivt och främja konkurrenskraft och långsiktigt välstånd för alla medborgare.</w:t>
            </w:r>
          </w:p>
        </w:tc>
        <w:tc>
          <w:tcPr>
            <w:tcW w:w="4876" w:type="dxa"/>
            <w:tcBorders>
              <w:top w:val="nil"/>
              <w:left w:val="nil"/>
              <w:bottom w:val="nil"/>
              <w:right w:val="nil"/>
            </w:tcBorders>
          </w:tcPr>
          <w:p>
            <w:pPr>
              <w:pStyle w:val="Normal6a"/>
            </w:pPr>
            <w:r>
              <w:t>9.</w:t>
            </w:r>
            <w:r>
              <w:tab/>
            </w:r>
            <w:r>
              <w:t xml:space="preserve">Europaparlamentet begär att medlemsstaterna under detta övergångsår, med genomförandet av reviderade regler för ekonomisk styrning, ska erbjudas en möjlighet att anpassa det finanspolitiska ansvaret till hållbar tillväxt, och noterar att finanspolitiska planer på medellång sikt bör </w:t>
            </w:r>
            <w:r>
              <w:rPr>
                <w:b/>
                <w:i/>
              </w:rPr>
              <w:t>balansera skuldhållbarheten med sociala</w:t>
            </w:r>
            <w:r>
              <w:t xml:space="preserve"> investeringar i utbildning, hälso- och sjukvård och bostäder. Parlamentet betonar att samarbete mellan offentliga och privata enheter är en förutsättning för att optimera resurser och säkerställa en klok användning av offentliga medel. Parlamentet anser att landsspecifika rekommendationer för att främja hållbara offentliga pensionssystem och en hållbar hälso- och sjukvård bör genomföras effektivt och främja konkurrenskraft och långsiktigt välstånd för alla medborgare.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 – led 1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ab/>
            </w:r>
            <w:r>
              <w:rPr>
                <w:b/>
                <w:i/>
              </w:rPr>
              <w:t>Europaparlamentet är medvetet om de destruktiva effekter som åtstramningspolitiken har haft och fortsätter att ha på samhället som helhet.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Europaparlamentet välkomnar att de nationella medelfristiga finans- och strukturpolitiska planerna, inom det nya ramverket för ekonomisk styrning, måste omfatta reformer och investeringar som svarar mot de viktigaste utmaningar som identifierats inom ramen för den europeiska planeringsterminen, särskilt i de landsspecifika rekommendationerna.</w:t>
            </w:r>
            <w:r>
              <w:t xml:space="preserve"> </w:t>
            </w:r>
            <w:r>
              <w:rPr>
                <w:b/>
                <w:i/>
              </w:rPr>
              <w:t>Parlamentet påminner om att medlemsstaterna är skyldiga att förklara hur genomförandet av reformer och investeringar kommer att hantera social och ekonomisk resiliens, inbegripet den europeiska pelaren för sociala rättigheter, som en del av unionens gemensamma prioriteringar.</w:t>
            </w:r>
            <w:r>
              <w:t xml:space="preserve"> </w:t>
            </w:r>
            <w:r>
              <w:rPr>
                <w:b/>
                <w:i/>
              </w:rPr>
              <w:t>Parlamentet uttrycker sin tillfredsställelse över att kommissionen bekräftat att alla medlemsstater i sina planer har uppgett att de har för avsikt att genomföra reformer och investeringar för att hantera de utmaningar som identifierats som en del av den europeiska planeringsterminen och svara mot EU:s gemensamma prioriteringar</w:t>
            </w:r>
            <w:r>
              <w:rPr>
                <w:b/>
                <w:i/>
                <w:vertAlign w:val="superscript"/>
              </w:rPr>
              <w:t>19b</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19b</w:t>
            </w:r>
            <w:r>
              <w:t xml:space="preserve"> </w:t>
            </w:r>
            <w:r>
              <w:rPr>
                <w:b/>
                <w:i/>
              </w:rPr>
              <w:t>Kommissionens meddelande "Europeiska planeringsterminen 2025: det nya ramverket för ekonomisk styrning i praktisk tillämpning" (COM(2024) 705 final, s.</w:t>
            </w:r>
            <w:r>
              <w:t xml:space="preserve"> </w:t>
            </w:r>
            <w:r>
              <w:rPr>
                <w:b/>
                <w:i/>
              </w:rPr>
              <w:t>4–5.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Europaparlamentet uppmanar kommissionen att övervaka uppgifter om omstruktureringar och deras inverkan på sysselsättningen, till exempel genom att använda Eurofounds databas för övervakning av omstruktureringar, "European Restructuring Monitor”, för att underlätta åtgärder till stöd för omstrukturering och övergångar på arbetsmarknaden, och att överväga att lyfta fram nationella åtgärder till stöd för socialt ansvarsfull omstrukturering i den europeiska planeringsterminen.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9a.</w:t>
            </w:r>
            <w:r>
              <w:tab/>
            </w:r>
            <w:r>
              <w:rPr>
                <w:b/>
                <w:i/>
              </w:rPr>
              <w:t>Europaparlamentet erkänner vikten av offentlig tillsyn av offentlig-privata partnerskap, särskilt när det gäller att avhjälpa slöseri med offentliga medel och korruption.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Parlamentet välkomnar särskilt det beslut som fattats för 5 medlemsstater om att förlänga den finanspolitiska anpassningsperioden från 4 till 7 år för att möjliggöra ytterligare flexibilitet för genomförandet av reformer och investeringar.</w:t>
            </w:r>
            <w:r>
              <w:t xml:space="preserve"> </w:t>
            </w:r>
            <w:r>
              <w:rPr>
                <w:b/>
                <w:i/>
              </w:rPr>
              <w:t>Parlamentet påminner om att denna förlängning stöds av åtaganden om ytterligare reformer och investeringar i linje med EU:s gemensamma prioriteringar, såsom social resiliens, och att var och en av reformerna och investeringarna måste vara tillräckligt detaljerad, koncentrerad till början av perioden samt tidsbunden och verifierbar.</w:t>
            </w:r>
            <w:r>
              <w:t xml:space="preserve"> </w:t>
            </w:r>
            <w:r>
              <w:rPr>
                <w:b/>
                <w:i/>
              </w:rPr>
              <w:t>Parlamentet välkomnar att reformerna för flera medlemsstater för vilka den finanspolitiska anpassningsperioden förlängdes är kopplade till social resiliens, till exempel planer för en pensionsreform, en reform av den sociala tryggheten eller en reform av viseringssystemet för arbete och arbetssökande.</w:t>
            </w:r>
            <w:r>
              <w:t xml:space="preserve"> </w:t>
            </w:r>
            <w:r>
              <w:rPr>
                <w:b/>
                <w:i/>
              </w:rPr>
              <w:t>Parlamentet betonar att medlemsstaternas årliga framstegsrapporter bör innehålla framstegen med dessa reformer och investeringar.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Europaparlamentet understryker att offentlig-privata partnerskap ofta har omfattande brister och begränsade fördelar, vilket understryks i en rapport från Europeiska revisionsrätten från 2018</w:t>
            </w:r>
            <w:r>
              <w:rPr>
                <w:b/>
                <w:i/>
                <w:vertAlign w:val="superscript"/>
              </w:rPr>
              <w:t>5a</w:t>
            </w:r>
            <w:r>
              <w:rPr>
                <w:b/>
                <w:i/>
              </w:rPr>
              <w:t>.</w:t>
            </w:r>
            <w:r>
              <w:t xml:space="preserve"> </w:t>
            </w:r>
            <w:r>
              <w:rPr>
                <w:b/>
                <w:i/>
              </w:rPr>
              <w:t>Parlamentet betonar att sådana partnerskap är föremål för betydande ineffektivitet i form av förseningar och stora kostnadsökningar, och att riskfördelningen mellan offentliga och privata partner ofta är olämplig, inkonsekvent och ineffektiv, samtidigt som höga ersättningsnivåer på den privata partnerns riskkapital sällan återspeglar de risker som bärs.</w:t>
            </w:r>
            <w:r>
              <w:t xml:space="preserve"> </w:t>
            </w:r>
            <w:r>
              <w:rPr>
                <w:b/>
                <w:i/>
              </w:rPr>
              <w:t>Parlamentet betonar att det åtminstone finns ett behov av offentlig tillsyn av offentlig-privata partnerskap, särskilt när det gäller att avhjälpa slöseri med offentliga medel och korruption.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5a</w:t>
            </w:r>
            <w:r>
              <w:t xml:space="preserve"> </w:t>
            </w:r>
            <w:r>
              <w:rPr>
                <w:b/>
                <w:i/>
              </w:rPr>
              <w:t>https://www.eca.europa.eu/lists/ecadocuments/sr18_09/sr_ppp_sv.pdf.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9b.</w:t>
            </w:r>
            <w:r>
              <w:tab/>
            </w:r>
            <w:r>
              <w:rPr>
                <w:b/>
                <w:i/>
              </w:rPr>
              <w:t>Europaparlamentet uppmanar kommissionen att övervaka minimilönernas utveckling i medlemsstaterna efter införlivandet av direktivet om minimilöner för att avgöra om målet om minimilönernas tillräcklighet uppnås.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9c.</w:t>
            </w:r>
            <w:r>
              <w:tab/>
            </w:r>
            <w:r>
              <w:rPr>
                <w:b/>
                <w:i/>
              </w:rPr>
              <w:t>Europaparlamentet är bekymrat över att efterlevnaden av de landsspecifika rekommendationerna fortfarande är låg.</w:t>
            </w:r>
            <w:r>
              <w:t xml:space="preserve"> </w:t>
            </w:r>
            <w:r>
              <w:rPr>
                <w:b/>
                <w:i/>
              </w:rPr>
              <w:t>Parlamentet uppmanar medlemsstaterna att, inom ramen för det nya ramverket för ekonomisk styrning och dess mål att stärka det nationella ägarskapet, bättre följa de landsspecifika rekommendationerna på området sysselsättning och socialpolitik inom den europeiska planeringsterminen.</w:t>
            </w:r>
            <w:r>
              <w:t xml:space="preserve"> </w:t>
            </w:r>
            <w:r>
              <w:rPr>
                <w:b/>
                <w:i/>
              </w:rPr>
              <w:t>Parlamentet uppmanar kommissionen att stärka sina dialoger med medlemsstaterna om genomförandet av befintliga rekommendationer och sysselsättningsriktlinjerna samt om nuvarande eller framtida politiska åtgärder för att ta itu med konstaterade utmaningar.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9c.</w:t>
            </w:r>
            <w:r>
              <w:tab/>
            </w:r>
            <w:r>
              <w:rPr>
                <w:b/>
                <w:i/>
              </w:rPr>
              <w:t>Europaparlamentet erkänner levnadskostnadskrisen, som har ökat bördan för hushållen, och de stigande bostadskostnaderna, vilket har bidragit till höga nivåer av energifattigdom i hela EU.</w:t>
            </w:r>
            <w:r>
              <w:t xml:space="preserve"> </w:t>
            </w:r>
            <w:r>
              <w:rPr>
                <w:b/>
                <w:i/>
              </w:rPr>
              <w:t>Parlamentet betonar att detta är en historisk kris som delvis förvärras av den åtstramningspolitik som genomförs av EU och många medlemsstater.</w:t>
            </w:r>
            <w:r>
              <w:t xml:space="preserve"> </w:t>
            </w:r>
            <w:r>
              <w:rPr>
                <w:b/>
                <w:i/>
              </w:rPr>
              <w:t>Parlamentet uppmanar därför kommissionen och medlemsstaterna att på ett heltäckande sätt ta itu med de bakomliggande orsakerna till denna kris genom att prioritera politik som främjar ekonomisk motståndskraft, social sammanhållning och hållbar utveckling.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9d.</w:t>
            </w:r>
            <w:r>
              <w:tab/>
            </w:r>
            <w:r>
              <w:rPr>
                <w:b/>
                <w:i/>
              </w:rPr>
              <w:t>Europaparlamentet välkomnar inrättandet av en ram för att identifiera risker för social konvergens inom den europeiska planeringsterminen, vilket var en bestämd begäran från Europaparlamentets sida.</w:t>
            </w:r>
            <w:r>
              <w:t xml:space="preserve"> </w:t>
            </w:r>
            <w:r>
              <w:rPr>
                <w:b/>
                <w:i/>
              </w:rPr>
              <w:t>Parlamentet påminner om att inom denna ram bedömer kommissionen riskerna för uppåtgående social konvergens i medlemsstaterna och övervakar framstegen för genomförandet av den europeiska pelaren för sociala rättigheter på grundval av den sociala resultattavlan och principerna i ramen för social konvergens.</w:t>
            </w:r>
            <w:r>
              <w:t xml:space="preserve"> </w:t>
            </w:r>
            <w:r>
              <w:rPr>
                <w:b/>
                <w:i/>
              </w:rPr>
              <w:t>Parlamentet välkomnar att den gemensamma sysselsättningsrapporten för 2025 innehåller landsspecifika analyser som bygger på principerna i ramen för social konvergens.</w:t>
            </w:r>
            <w:r>
              <w:t xml:space="preserve"> </w:t>
            </w:r>
            <w:r>
              <w:rPr>
                <w:b/>
                <w:i/>
              </w:rPr>
              <w:t>Parlamentet uppmanar kommissionen att vidareutveckla innovativa kvantitativa och kvalitativa analysverktyg inom denna nya ram för att på bästa sätt utnyttja den i den europeiska planeringsterminens framtida cykler.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9e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9e.</w:t>
            </w:r>
            <w:r>
              <w:tab/>
            </w:r>
            <w:r>
              <w:rPr>
                <w:b/>
                <w:i/>
              </w:rPr>
              <w:t>Europaparlamentet välkomnar att den första analysen, som bygger på principerna i ramen för social konvergens, pekar på uppåtgående konvergens på arbetsmarknaden under 2023</w:t>
            </w:r>
            <w:r>
              <w:rPr>
                <w:b/>
                <w:i/>
                <w:vertAlign w:val="superscript"/>
              </w:rPr>
              <w:t>1a</w:t>
            </w:r>
            <w:r>
              <w:rPr>
                <w:b/>
                <w:i/>
              </w:rPr>
              <w:t>.</w:t>
            </w:r>
            <w:r>
              <w:t xml:space="preserve"> </w:t>
            </w:r>
            <w:r>
              <w:rPr>
                <w:b/>
                <w:i/>
              </w:rPr>
              <w:t>Parlamentet noterar med oro att sysselsättningsresultaten för underrepresenterade grupper fortfarande behöver förbättras och att riskerna för uppåtgående konvergens kvarstår på europeisk nivå när det gäller kompetensutveckling, från tidig utbildning till livslångt lärande, och de sociala resultaten av andelen personer som löper risk för fattigdom eller social utestängning.</w:t>
            </w:r>
            <w:r>
              <w:t xml:space="preserve"> </w:t>
            </w:r>
            <w:r>
              <w:rPr>
                <w:b/>
                <w:i/>
              </w:rPr>
              <w:t>Parlamentet uppmanar kommissionen att ytterligare analysera dessa risker för uppåtgående social konvergens i det andra steget av analysen och att diskutera med de berörda medlemsstaterna vilka åtgärder som vidtagits eller planeras för att hantera dessa risker.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Den gemensamma sysselsättningsrapporten för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är bekymrat över kommissionens revideringar av resultattavlan för förfarandet vid makroekonomiska obalanser, särskilt minskningen i sysselsättningsindikatorer och sociala indikatorer, som är avgörande för en bedömning av den sociala situationen i medlemsstaterna.</w:t>
            </w:r>
          </w:p>
        </w:tc>
        <w:tc>
          <w:tcPr>
            <w:tcW w:w="4876" w:type="dxa"/>
            <w:tcBorders>
              <w:top w:val="nil"/>
              <w:left w:val="nil"/>
              <w:bottom w:val="nil"/>
              <w:right w:val="nil"/>
            </w:tcBorders>
          </w:tcPr>
          <w:p>
            <w:pPr>
              <w:pStyle w:val="Normal6a"/>
            </w:pPr>
            <w:r>
              <w:t>10.</w:t>
            </w:r>
            <w:r>
              <w:tab/>
            </w:r>
            <w:r>
              <w:t xml:space="preserve">Europaparlamentet är bekymrat över kommissionens revideringar av resultattavlan för förfarandet vid makroekonomiska obalanser, särskilt minskningen i sysselsättningsindikatorer och sociala indikatorer, som är avgörande för en bedömning av den sociala situationen </w:t>
            </w:r>
            <w:r>
              <w:rPr>
                <w:b/>
                <w:i/>
              </w:rPr>
              <w:t>och situationen på arbetsmarknaden</w:t>
            </w:r>
            <w:r>
              <w:t xml:space="preserve"> i medlemsstaterna. </w:t>
            </w:r>
            <w:r>
              <w:rPr>
                <w:b/>
                <w:i/>
              </w:rPr>
              <w:t>Parlamentet beklagar särskilt att ungdomsarbetslösheten inom det block som omfattar sysselsättningsindikatorer och sociala indikatorer omvandlats från huvudindikator till kompletterande indikator, trots den oroväckande situationen i flera medlemsstater.</w:t>
            </w:r>
            <w:r>
              <w:t xml:space="preserve"> </w:t>
            </w:r>
            <w:r>
              <w:rPr>
                <w:b/>
                <w:i/>
              </w:rPr>
              <w:t>Parlamentet påminner kommissionen om dess skyldighet att samarbeta nära med Europaparlamentet och rådet när resultattavlan och de makroekonomiska och makrofinansiella indikatorerna för medlemsstaterna utarbetas</w:t>
            </w:r>
            <w:r>
              <w:rPr>
                <w:b/>
                <w:i/>
                <w:vertAlign w:val="superscript"/>
              </w:rPr>
              <w:t>20a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20a</w:t>
            </w:r>
            <w:r>
              <w:t xml:space="preserve"> </w:t>
            </w:r>
            <w:r>
              <w:rPr>
                <w:b/>
                <w:i/>
              </w:rPr>
              <w:t>Europaparlamentets och rådets förordning (EU) nr 1176/2011 om förebyggande och korrigering av makroekonomiska obalanser, skäl 12.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är bekymrat över kommissionens revideringar av resultattavlan för förfarandet vid makroekonomiska obalanser, särskilt minskningen i sysselsättningsindikatorer och sociala indikatorer, som är avgörande för en bedömning av den sociala situationen i medlemsstaterna.</w:t>
            </w:r>
          </w:p>
        </w:tc>
        <w:tc>
          <w:tcPr>
            <w:tcW w:w="4876" w:type="dxa"/>
            <w:tcBorders>
              <w:top w:val="nil"/>
              <w:left w:val="nil"/>
              <w:bottom w:val="nil"/>
              <w:right w:val="nil"/>
            </w:tcBorders>
          </w:tcPr>
          <w:p>
            <w:pPr>
              <w:pStyle w:val="Normal6a"/>
            </w:pPr>
            <w:r>
              <w:t>10.</w:t>
            </w:r>
            <w:r>
              <w:tab/>
            </w:r>
            <w:r>
              <w:t xml:space="preserve">Europaparlamentet är bekymrat över kommissionens revideringar av resultattavlan för förfarandet vid makroekonomiska obalanser, särskilt minskningen i sysselsättningsindikatorer och sociala indikatorer, som är avgörande för en bedömning av den sociala situationen i medlemsstaterna. </w:t>
            </w:r>
            <w:r>
              <w:rPr>
                <w:b/>
                <w:i/>
              </w:rPr>
              <w:t>Parlamentet beklagar att långtids- och ungdomsarbetslösheten inte längre betraktas som huvudindikatorer, trots deras relevans för att identifiera och åtgärda specifika utmaningar på arbetsmarknaden och för att anta lämplig offentlig politik.</w:t>
            </w:r>
            <w:r>
              <w:t xml:space="preserve"> </w:t>
            </w:r>
            <w:r>
              <w:rPr>
                <w:b/>
                <w:i/>
              </w:rPr>
              <w:t>Parlamentet beklagar bristen på symmetri i den nuvarande balansöverskottsindikatorn i resultattavlan för förfarandet vid makroekonomiska obalanser.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är bekymrat över kommissionens revideringar av resultattavlan för förfarandet vid makroekonomiska obalanser, särskilt minskningen i sysselsättningsindikatorer och sociala indikatorer, som är avgörande för en bedömning av den sociala situationen i medlemsstaterna.</w:t>
            </w:r>
          </w:p>
        </w:tc>
        <w:tc>
          <w:tcPr>
            <w:tcW w:w="4876" w:type="dxa"/>
            <w:tcBorders>
              <w:top w:val="nil"/>
              <w:left w:val="nil"/>
              <w:bottom w:val="nil"/>
              <w:right w:val="nil"/>
            </w:tcBorders>
          </w:tcPr>
          <w:p>
            <w:pPr>
              <w:pStyle w:val="Normal6a"/>
            </w:pPr>
            <w:r>
              <w:t>10.</w:t>
            </w:r>
            <w:r>
              <w:tab/>
            </w:r>
            <w:r>
              <w:t xml:space="preserve">Europaparlamentet är bekymrat över kommissionens revideringar av resultattavlan för förfarandet vid makroekonomiska obalanser, särskilt minskningen i sysselsättningsindikatorer och sociala indikatorer, som är avgörande för en bedömning av den sociala situationen i medlemsstaterna </w:t>
            </w:r>
            <w:r>
              <w:rPr>
                <w:b/>
                <w:i/>
              </w:rPr>
              <w:t>och för styrningen av politiska beslut.</w:t>
            </w:r>
            <w:r>
              <w:t xml:space="preserve"> </w:t>
            </w:r>
            <w:r>
              <w:rPr>
                <w:b/>
                <w:i/>
              </w:rPr>
              <w:t>Parlamentet betonar att social resiliens och genomförandet av principerna i den europeiska pelaren för sociala rättigheter ska ingå i resultattavlan för förfarandet vid makroekonomiska obalanser,</w:t>
            </w:r>
            <w:r>
              <w:t xml:space="preserve"> </w:t>
            </w:r>
            <w:r>
              <w:rPr>
                <w:b/>
                <w:i/>
              </w:rPr>
              <w:t>Parlamentet uppmanar medlemsstaterna att anpassa finanspolitiken till prioriteringarna för sociala investeringar, i linje med det nya ramverket för ekonomisk styrning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är bekymrat över kommissionens revideringar av resultattavlan för förfarandet vid makroekonomiska obalanser, särskilt minskningen i sysselsättningsindikatorer och sociala indikatorer, som är avgörande för en bedömning av den sociala situationen i medlemsstaterna.</w:t>
            </w:r>
          </w:p>
        </w:tc>
        <w:tc>
          <w:tcPr>
            <w:tcW w:w="4876" w:type="dxa"/>
            <w:tcBorders>
              <w:top w:val="nil"/>
              <w:left w:val="nil"/>
              <w:bottom w:val="nil"/>
              <w:right w:val="nil"/>
            </w:tcBorders>
          </w:tcPr>
          <w:p>
            <w:pPr>
              <w:pStyle w:val="Normal6a"/>
            </w:pPr>
            <w:r>
              <w:t>10.</w:t>
            </w:r>
            <w:r>
              <w:tab/>
            </w:r>
            <w:r>
              <w:t xml:space="preserve">Europaparlamentet är bekymrat över kommissionens revideringar av resultattavlan för förfarandet vid makroekonomiska obalanser, särskilt minskningen i sysselsättningsindikatorer och sociala indikatorer, som är avgörande för en bedömning av den sociala situationen i medlemsstaterna. </w:t>
            </w:r>
            <w:r>
              <w:rPr>
                <w:b/>
                <w:i/>
              </w:rPr>
              <w:t>Parlamentet betonar att levnadsstandard bör jämställas med traditionella ekonomiska indikatorer i beslutsprocessen.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Branislav Ondruš</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Europaparlamentet är bekymrat över kommissionens revideringar av resultattavlan för förfarandet vid makroekonomiska obalanser, särskilt minskningen i sysselsättningsindikatorer och sociala indikatorer, som är avgörande för en bedömning av den sociala situationen i medlemsstaterna.</w:t>
            </w:r>
          </w:p>
        </w:tc>
        <w:tc>
          <w:tcPr>
            <w:tcW w:w="4876" w:type="dxa"/>
            <w:tcBorders>
              <w:top w:val="nil"/>
              <w:left w:val="nil"/>
              <w:bottom w:val="nil"/>
              <w:right w:val="nil"/>
            </w:tcBorders>
          </w:tcPr>
          <w:p>
            <w:pPr>
              <w:pStyle w:val="Normal6a"/>
            </w:pPr>
            <w:r>
              <w:t>10.</w:t>
            </w:r>
            <w:r>
              <w:tab/>
            </w:r>
            <w:r>
              <w:t xml:space="preserve">Europaparlamentet är bekymrat över kommissionens revideringar av resultattavlan för förfarandet vid makroekonomiska obalanser, särskilt minskningen i sysselsättningsindikatorer och sociala indikatorer, som är avgörande för en bedömning </w:t>
            </w:r>
            <w:r>
              <w:rPr>
                <w:b/>
                <w:i/>
              </w:rPr>
              <w:t>och förbättring</w:t>
            </w:r>
            <w:r>
              <w:t xml:space="preserve"> av den sociala situationen i medlemsstaterna.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Europaparlamentet </w:t>
            </w:r>
            <w:r>
              <w:rPr>
                <w:b/>
                <w:i/>
              </w:rPr>
              <w:t>är bekymrat över</w:t>
            </w:r>
            <w:r>
              <w:t xml:space="preserve"> kommissionens revideringar av resultattavlan för förfarandet vid makroekonomiska obalanser, särskilt minskningen i sysselsättningsindikatorer och sociala indikatorer, som är avgörande för en bedömning av den sociala situationen i medlemsstaterna.</w:t>
            </w:r>
          </w:p>
        </w:tc>
        <w:tc>
          <w:tcPr>
            <w:tcW w:w="4876" w:type="dxa"/>
            <w:tcBorders>
              <w:top w:val="nil"/>
              <w:left w:val="nil"/>
              <w:bottom w:val="nil"/>
              <w:right w:val="nil"/>
            </w:tcBorders>
          </w:tcPr>
          <w:p>
            <w:pPr>
              <w:pStyle w:val="Normal6a"/>
            </w:pPr>
            <w:r>
              <w:t>10.</w:t>
            </w:r>
            <w:r>
              <w:tab/>
            </w:r>
            <w:r>
              <w:t xml:space="preserve">Europaparlamentet </w:t>
            </w:r>
            <w:r>
              <w:rPr>
                <w:b/>
                <w:i/>
              </w:rPr>
              <w:t>noterar</w:t>
            </w:r>
            <w:r>
              <w:t xml:space="preserve"> kommissionens revideringar av resultattavlan för förfarandet vid makroekonomiska obalanser, särskilt minskningen i sysselsättningsindikatorer och sociala indikatorer, som är avgörande för en bedömning av den sociala situationen i medlemsstaterna.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Europaparlamentet anser att i avsaknad av en EU-finansierad stabilisator för utgifter för sociala investeringar och sociala utgifter kommer en kontinuerlig finanspolitisk anpassning av de nationella budgetarna att skada de sociala målen för den ekonomiska styrningen – nämligen att skapa arbetstillfällen av god kvalitet, skydda arbetstagare som är involverade i övergångar på arbetsmarknaden och anpassa välfärds- och socialförsäkringssystemen till den demografiska utvecklingen.</w:t>
            </w:r>
            <w:r>
              <w:t xml:space="preserve"> </w:t>
            </w:r>
            <w:r>
              <w:rPr>
                <w:b/>
                <w:i/>
              </w:rPr>
              <w:t>Parlamentet anser att territoriell och social sammanhållning är väsentliga delar av agendan för konkurrenskraft och att faciliteter såsom det europeiska instrumentet för tillfälligt stöd för att minska risken för arbetslöshet i en krissituation (Sure) fortfarande är ett positivt exempel som kan inspirera framtida EU-initiativ.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Europaparlamentet anser att kommissionen och medlemsstaterna bör säkerställa att finanspolitiken inom ramen för den europeiska planeringsterminen stöder investeringar som är anpassade till den europeiska pelaren för sociala rättigheter, särskilt på områden såsom anständiga och rimligt prissatta bostäder, hälso- och sjukvård av god kvalitet, utbildning och sociala trygghetssystem, eftersom dessa är avgörande för social sammanhållning och långsiktig ekonomisk hållbarhet och för att ta itu med de utmaningar som identifierats genom sociala indikatorer.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10b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10b.</w:t>
            </w:r>
            <w:r>
              <w:tab/>
            </w:r>
            <w:r>
              <w:rPr>
                <w:b/>
                <w:i/>
              </w:rPr>
              <w:t>Europaparlamentet beklagar att kommissionen inte samrådde med parlamentet om sina planerade ändringar av resultattavlan för förfarandet vid makroekonomiska obalanser, trots att dessa ändringar diskuterades med rådet.</w:t>
            </w:r>
            <w:r>
              <w:t xml:space="preserve"> </w:t>
            </w:r>
            <w:r>
              <w:rPr>
                <w:b/>
                <w:i/>
              </w:rPr>
              <w:t>Parlamentet beklagar djupt att rådet och Europaparlamentet inte har behandlats lika.</w:t>
            </w:r>
            <w:r>
              <w:t xml:space="preserve"> </w:t>
            </w:r>
            <w:r>
              <w:rPr>
                <w:b/>
                <w:i/>
              </w:rPr>
              <w:t>Parlamentet uppmanar med kraft kommissionen att i vederbörlig ordning samråda med Europaparlamentet innan ytterligare ändringar genomförs.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Benedetta Scuderi</w:t>
      </w:r>
      <w:r>
        <w:rPr>
          <w:rStyle w:val="HideTWBExt"/>
          <w:b w:val="0"/>
        </w:rPr>
        <w:t>&lt;/Members&gt;</w:t>
      </w:r>
    </w:p>
    <w:p>
      <w:r>
        <w:rPr>
          <w:rStyle w:val="HideTWBExt"/>
          <w:b w:val="0"/>
        </w:rPr>
        <w:t>&lt;AuNomDe&gt;</w:t>
      </w:r>
      <w:r>
        <w:rPr>
          <w:rStyle w:val="HideTWBInt"/>
        </w:rPr>
        <w:t>{Greens/EFA}</w:t>
      </w:r>
      <w:r>
        <w:t>för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Europaparlamentet betonar behovet av att ta itu med viktiga utmaningar som i den sociala resultattavlan identifieras som ”kritiska” och ”bör övervakas”, inbegripet barnomsorg, skillnaden i sysselsättning för personer med funktionsnedsättning, sociala transfereringars inverkan på fattigdomsminskningen och grundläggande digitala färdigheter</w:t>
            </w:r>
            <w:r>
              <w:rPr>
                <w:vertAlign w:val="superscript"/>
              </w:rPr>
              <w:t>3</w:t>
            </w:r>
            <w:r>
              <w:t>.</w:t>
            </w:r>
          </w:p>
        </w:tc>
        <w:tc>
          <w:tcPr>
            <w:tcW w:w="4876" w:type="dxa"/>
            <w:tcBorders>
              <w:top w:val="nil"/>
              <w:left w:val="nil"/>
              <w:bottom w:val="nil"/>
              <w:right w:val="nil"/>
            </w:tcBorders>
          </w:tcPr>
          <w:p>
            <w:pPr>
              <w:pStyle w:val="Normal6a"/>
            </w:pPr>
            <w:r>
              <w:t>11.</w:t>
            </w:r>
            <w:r>
              <w:tab/>
            </w:r>
            <w:r>
              <w:t>Europaparlamentet betonar behovet av att ta itu med viktiga utmaningar som i den sociala resultattavlan identifieras som ”kritiska” och ”bör övervakas”, inbegripet barnomsorg, skillnaden i sysselsättning för personer med funktionsnedsättning, sociala transfereringars inverkan på fattigdomsminskningen och grundläggande digitala färdigheter</w:t>
            </w:r>
            <w:r>
              <w:rPr>
                <w:vertAlign w:val="superscript"/>
              </w:rPr>
              <w:t>3</w:t>
            </w:r>
            <w:r>
              <w:t xml:space="preserve">. </w:t>
            </w:r>
            <w:r>
              <w:rPr>
                <w:b/>
                <w:i/>
              </w:rPr>
              <w:t>Sådana utmaningar måste hanteras på ett sätt som värdesätter bidraget från arbetsmarknadens parter, vilkas deltagande i genomförandet av ramen för social konvergens måste stärkas i enlighet med det gemensamma uttalandet från EFS, SGI Europe och SMEunited för ett faktiskt och väsentligt deltagande av arbetsmarknadens parter i den ekonomiska styrningen och den europeiska planeringsterminen.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Utkast till gemensam sysselsättningsrapport från kommissionen och rådet (COM(2023)0904)</w:t>
            </w:r>
            <w:r>
              <w:rPr>
                <w:b/>
                <w:i/>
              </w:rPr>
              <w:t>,</w:t>
            </w:r>
          </w:p>
        </w:tc>
        <w:tc>
          <w:tcPr>
            <w:tcW w:w="4876" w:type="dxa"/>
            <w:tcBorders>
              <w:top w:val="nil"/>
              <w:left w:val="nil"/>
              <w:bottom w:val="nil"/>
              <w:right w:val="nil"/>
            </w:tcBorders>
          </w:tcPr>
          <w:p>
            <w:pPr>
              <w:pStyle w:val="Normal6a"/>
            </w:pPr>
            <w:r>
              <w:rPr>
                <w:vertAlign w:val="superscript"/>
              </w:rPr>
              <w:t>3</w:t>
            </w:r>
            <w:r>
              <w:t xml:space="preserve"> </w:t>
            </w:r>
            <w:r>
              <w:t>Utkast till gemensam sysselsättningsrapport från kommissionen och rådet (COM(2023)0904)</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Europaparlamentet betonar behovet av att ta itu med viktiga utmaningar som i den sociala resultattavlan identifieras som ”kritiska” och ”bör övervakas”, inbegripet barnomsorg, skillnaden i sysselsättning för personer med funktionsnedsättning, sociala transfereringars inverkan på fattigdomsminskningen och grundläggande digitala färdigheter</w:t>
            </w:r>
            <w:r>
              <w:rPr>
                <w:vertAlign w:val="superscript"/>
              </w:rPr>
              <w:t>3</w:t>
            </w:r>
            <w:r>
              <w:t>.</w:t>
            </w:r>
          </w:p>
        </w:tc>
        <w:tc>
          <w:tcPr>
            <w:tcW w:w="4876" w:type="dxa"/>
            <w:tcBorders>
              <w:top w:val="nil"/>
              <w:left w:val="nil"/>
              <w:bottom w:val="nil"/>
              <w:right w:val="nil"/>
            </w:tcBorders>
          </w:tcPr>
          <w:p>
            <w:pPr>
              <w:pStyle w:val="Normal6a"/>
            </w:pPr>
            <w:r>
              <w:t>11.</w:t>
            </w:r>
            <w:r>
              <w:tab/>
            </w:r>
            <w:r>
              <w:t xml:space="preserve">Europaparlamentet betonar behovet av att ta itu med viktiga utmaningar som i den sociala resultattavlan identifieras som ”kritiska” och ”bör övervakas”, inbegripet barnomsorg </w:t>
            </w:r>
            <w:r>
              <w:rPr>
                <w:b/>
                <w:i/>
              </w:rPr>
              <w:t>och långtidsvård</w:t>
            </w:r>
            <w:r>
              <w:t>, skillnaden i sysselsättning för personer med funktionsnedsättning, sociala transfereringars inverkan på fattigdomsminskningen och grundläggande digitala färdigheter</w:t>
            </w:r>
            <w:r>
              <w:rPr>
                <w:vertAlign w:val="superscript"/>
              </w:rPr>
              <w:t>3</w:t>
            </w:r>
            <w:r>
              <w:rPr>
                <w:b/>
                <w:i/>
              </w:rPr>
              <w:t>, särskilt för utsatta grupper såsom ungdomar och äldre, personer med funktionsnedsättning och migranter</w:t>
            </w:r>
            <w:r>
              <w:rPr>
                <w:b/>
                <w:i/>
                <w:vertAlign w:val="superscript"/>
              </w:rPr>
              <w:t>5a</w:t>
            </w:r>
            <w:r>
              <w:rPr>
                <w:b/>
                <w:i/>
              </w:rPr>
              <w:t>, tillgång till bostäder, barnfattigdom och tillgång till hälso- och sjukvård</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Utkast till gemensam sysselsättningsrapport från kommissionen och rådet (COM(2023)0904),</w:t>
            </w:r>
          </w:p>
        </w:tc>
        <w:tc>
          <w:tcPr>
            <w:tcW w:w="4876" w:type="dxa"/>
            <w:tcBorders>
              <w:top w:val="nil"/>
              <w:left w:val="nil"/>
              <w:bottom w:val="nil"/>
              <w:right w:val="nil"/>
            </w:tcBorders>
          </w:tcPr>
          <w:p>
            <w:pPr>
              <w:pStyle w:val="Normal6a"/>
            </w:pPr>
            <w:r>
              <w:rPr>
                <w:vertAlign w:val="superscript"/>
              </w:rPr>
              <w:t>3</w:t>
            </w:r>
            <w:r>
              <w:t xml:space="preserve"> </w:t>
            </w:r>
            <w:r>
              <w:t>Utkast till gemensam sysselsättningsrapport från kommissionen och rådet (COM(2023)0904),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5a</w:t>
            </w:r>
            <w:r>
              <w:t xml:space="preserve"> </w:t>
            </w:r>
            <w:r>
              <w:rPr>
                <w:b/>
                <w:i/>
              </w:rPr>
              <w:t>Utkast till gemensam sysselsättningsrapport från kommissionen och rådet (COM(2023)0904),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Europaparlamentet betonar behovet av att ta itu med viktiga utmaningar som i den sociala resultattavlan identifieras som ”kritiska” och ”bör övervakas”, inbegripet barnomsorg, skillnaden i sysselsättning för personer med funktionsnedsättning, sociala transfereringars inverkan på fattigdomsminskningen och grundläggande digitala färdigheter</w:t>
            </w:r>
            <w:r>
              <w:rPr>
                <w:vertAlign w:val="superscript"/>
              </w:rPr>
              <w:t>3</w:t>
            </w:r>
            <w:r>
              <w:t>.</w:t>
            </w:r>
          </w:p>
        </w:tc>
        <w:tc>
          <w:tcPr>
            <w:tcW w:w="4876" w:type="dxa"/>
            <w:tcBorders>
              <w:top w:val="nil"/>
              <w:left w:val="nil"/>
              <w:bottom w:val="nil"/>
              <w:right w:val="nil"/>
            </w:tcBorders>
          </w:tcPr>
          <w:p>
            <w:pPr>
              <w:pStyle w:val="Normal6a"/>
            </w:pPr>
            <w:r>
              <w:t>11.</w:t>
            </w:r>
            <w:r>
              <w:tab/>
            </w:r>
            <w:r>
              <w:t xml:space="preserve">Europaparlamentet betonar behovet av att ta itu med viktiga utmaningar som i den sociala resultattavlan identifieras som ”kritiska” och ”bör övervakas”, inbegripet </w:t>
            </w:r>
            <w:r>
              <w:rPr>
                <w:b/>
                <w:i/>
              </w:rPr>
              <w:t>barn som riskerar fattigdom eller social utestängning,</w:t>
            </w:r>
            <w:r>
              <w:t xml:space="preserve"> barnomsorg, skillnaden i sysselsättning för personer med funktionsnedsättning</w:t>
            </w:r>
            <w:r>
              <w:rPr>
                <w:b/>
                <w:i/>
              </w:rPr>
              <w:t>, skillnaden i sysselsättning mellan könen, andelen av befolkningen i hushåll med hög boendeutgift i förhållande till den disponibla inkomsten</w:t>
            </w:r>
            <w:r>
              <w:t>, sociala transfereringars inverkan på fattigdomsminskningen och grundläggande digitala färdigheter</w:t>
            </w:r>
            <w:r>
              <w:rPr>
                <w:vertAlign w:val="superscript"/>
              </w:rPr>
              <w:t>3</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Utkast till gemensam sysselsättningsrapport från kommissionen och rådet (COM(2023)0904)</w:t>
            </w:r>
            <w:r>
              <w:rPr>
                <w:b/>
                <w:i/>
              </w:rPr>
              <w:t>,</w:t>
            </w:r>
          </w:p>
        </w:tc>
        <w:tc>
          <w:tcPr>
            <w:tcW w:w="4876" w:type="dxa"/>
            <w:tcBorders>
              <w:top w:val="nil"/>
              <w:left w:val="nil"/>
              <w:bottom w:val="nil"/>
              <w:right w:val="nil"/>
            </w:tcBorders>
          </w:tcPr>
          <w:p>
            <w:pPr>
              <w:pStyle w:val="Normal6a"/>
            </w:pPr>
            <w:r>
              <w:rPr>
                <w:vertAlign w:val="superscript"/>
              </w:rPr>
              <w:t>3</w:t>
            </w:r>
            <w:r>
              <w:t xml:space="preserve"> </w:t>
            </w:r>
            <w:r>
              <w:t>Utkast till gemensam sysselsättningsrapport från kommissionen och rådet (COM(2023)0904)</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Europaparlamentet </w:t>
            </w:r>
            <w:r>
              <w:rPr>
                <w:b/>
                <w:i/>
              </w:rPr>
              <w:t>betonar behovet av att ta itu med viktiga utmaningar som i den sociala resultattavlan identifieras som ”kritiska” och ”bör övervakas”, inbegripet</w:t>
            </w:r>
            <w:r>
              <w:t xml:space="preserve"> barnomsorg, skillnaden i sysselsättning för personer med funktionsnedsättning</w:t>
            </w:r>
            <w:r>
              <w:rPr>
                <w:b/>
                <w:i/>
              </w:rPr>
              <w:t>, sociala transfereringars inverkan på fattigdomsminskningen och</w:t>
            </w:r>
            <w:r>
              <w:t xml:space="preserve"> grundläggande digitala färdigheter</w:t>
            </w:r>
            <w:r>
              <w:rPr>
                <w:vertAlign w:val="superscript"/>
              </w:rPr>
              <w:t>3</w:t>
            </w:r>
            <w:r>
              <w:t>.</w:t>
            </w:r>
          </w:p>
        </w:tc>
        <w:tc>
          <w:tcPr>
            <w:tcW w:w="4876" w:type="dxa"/>
            <w:tcBorders>
              <w:top w:val="nil"/>
              <w:left w:val="nil"/>
              <w:bottom w:val="nil"/>
              <w:right w:val="nil"/>
            </w:tcBorders>
          </w:tcPr>
          <w:p>
            <w:pPr>
              <w:pStyle w:val="Normal6a"/>
            </w:pPr>
            <w:r>
              <w:t>11.</w:t>
            </w:r>
            <w:r>
              <w:tab/>
            </w:r>
            <w:r>
              <w:t xml:space="preserve">Europaparlamentet </w:t>
            </w:r>
            <w:r>
              <w:rPr>
                <w:b/>
                <w:i/>
              </w:rPr>
              <w:t>uppmanar medlemsstaterna att vidta ytterligare åtgärder för att tillhandahålla tidig</w:t>
            </w:r>
            <w:r>
              <w:t xml:space="preserve"> barnomsorg, </w:t>
            </w:r>
            <w:r>
              <w:rPr>
                <w:b/>
                <w:i/>
              </w:rPr>
              <w:t>minska</w:t>
            </w:r>
            <w:r>
              <w:t xml:space="preserve"> skillnaden i sysselsättning för personer med funktionsnedsättning </w:t>
            </w:r>
            <w:r>
              <w:rPr>
                <w:b/>
                <w:i/>
              </w:rPr>
              <w:t>och fattigdomen och främja</w:t>
            </w:r>
            <w:r>
              <w:t xml:space="preserve"> grundläggande digitala färdigheter</w:t>
            </w:r>
            <w:r>
              <w:rPr>
                <w:vertAlign w:val="superscript"/>
              </w:rPr>
              <w:t>3</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3</w:t>
            </w:r>
            <w:r>
              <w:t xml:space="preserve"> </w:t>
            </w:r>
            <w:r>
              <w:t>Utkast till gemensam sysselsättningsrapport från kommissionen och rådet (COM(2023)0904)</w:t>
            </w:r>
            <w:r>
              <w:rPr>
                <w:b/>
                <w:i/>
              </w:rPr>
              <w:t>,</w:t>
            </w:r>
          </w:p>
        </w:tc>
        <w:tc>
          <w:tcPr>
            <w:tcW w:w="4876" w:type="dxa"/>
            <w:tcBorders>
              <w:top w:val="nil"/>
              <w:left w:val="nil"/>
              <w:bottom w:val="nil"/>
              <w:right w:val="nil"/>
            </w:tcBorders>
          </w:tcPr>
          <w:p>
            <w:pPr>
              <w:pStyle w:val="Normal6a"/>
            </w:pPr>
            <w:r>
              <w:rPr>
                <w:vertAlign w:val="superscript"/>
              </w:rPr>
              <w:t>3</w:t>
            </w:r>
            <w:r>
              <w:t xml:space="preserve"> </w:t>
            </w:r>
            <w:r>
              <w:t>Utkast till gemensam sysselsättningsrapport från kommissionen och rådet (COM(2023)0904)</w:t>
            </w:r>
            <w:r>
              <w:rPr>
                <w:b/>
                <w:i/>
              </w:rP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11a.</w:t>
            </w:r>
            <w:r>
              <w:tab/>
            </w:r>
            <w:r>
              <w:rPr>
                <w:b/>
                <w:i/>
              </w:rPr>
              <w:t>Europaparlamentet betonar de negativa effekter som levnadskostnadskrisen har haft på personer med funktionsnedsättning.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11b.</w:t>
            </w:r>
            <w:r>
              <w:tab/>
            </w:r>
            <w:r>
              <w:rPr>
                <w:b/>
                <w:i/>
              </w:rPr>
              <w:t>Europaparlamentet uppmanar medlemsstaterna och kommissionen att vara mer aktiva i kampen mot fattigdom.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11c.</w:t>
            </w:r>
            <w:r>
              <w:tab/>
            </w:r>
            <w:r>
              <w:rPr>
                <w:b/>
                <w:i/>
              </w:rPr>
              <w:t>Europaparlamentet uppmanar medlemsstaterna att åtgärda de problem som arbetande fattiga står inför och erkänner att en betydande andel av arbetskraften i EU lever i fattigdom trots att de är sysselsatta.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11d.</w:t>
            </w:r>
            <w:r>
              <w:tab/>
            </w:r>
            <w:r>
              <w:rPr>
                <w:b/>
                <w:i/>
              </w:rPr>
              <w:t>Europaparlamentet uppmanar medlemsstaterna att överväga en kraftfull politik som säkerställer rättvisa löner och förbättrar arbetsvillkoren, särskilt för låginkomsttagare och arbetstagare med otrygg anställning.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Kathleen Funchion, Leila Chaibi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11e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11e.</w:t>
            </w:r>
            <w:r>
              <w:tab/>
            </w:r>
            <w:r>
              <w:rPr>
                <w:b/>
                <w:i/>
              </w:rPr>
              <w:t>Europaparlamentet uppmanar medlemsstaterna att stärka de sociala skyddsnäten för att ge tillräckligt stöd till dem vars inkomster från sysselsättning är otillräckliga för att täcka de grundläggande levnadskostnaderna.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Pál Szekeres, Mélanie Disdier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Europaparlamentet </w:t>
            </w:r>
            <w:r>
              <w:rPr>
                <w:b/>
                <w:i/>
              </w:rPr>
              <w:t>efterlyser förbättringar av den sociala resultattavlan genom indikatorer som återspeglar trender i och orsaker till ojämlikhet, såsom sysselsättning</w:t>
            </w:r>
            <w:r>
              <w:t xml:space="preserve"> av hög kvalitet, </w:t>
            </w:r>
            <w:r>
              <w:rPr>
                <w:b/>
                <w:i/>
              </w:rPr>
              <w:t>fördelning av välståndet, tillgång till offentliga tjänster,</w:t>
            </w:r>
            <w:r>
              <w:t xml:space="preserve"> tillräckliga pensioner, psykisk hälsa </w:t>
            </w:r>
            <w:r>
              <w:rPr>
                <w:b/>
                <w:i/>
              </w:rPr>
              <w:t>och arbetslöshet</w:t>
            </w:r>
            <w:r>
              <w:t>. Parlamentet påminner om att indikatorn för andelen personer som löper risk för fattigdom eller social utestängning inte avslöjar orsakerna till den komplexa ojämlikheten.</w:t>
            </w:r>
          </w:p>
        </w:tc>
        <w:tc>
          <w:tcPr>
            <w:tcW w:w="4876" w:type="dxa"/>
            <w:tcBorders>
              <w:top w:val="nil"/>
              <w:left w:val="nil"/>
              <w:bottom w:val="nil"/>
              <w:right w:val="nil"/>
            </w:tcBorders>
          </w:tcPr>
          <w:p>
            <w:pPr>
              <w:pStyle w:val="Normal6a"/>
            </w:pPr>
            <w:r>
              <w:t>12.</w:t>
            </w:r>
            <w:r>
              <w:tab/>
            </w:r>
            <w:r>
              <w:t xml:space="preserve">Europaparlamentet </w:t>
            </w:r>
            <w:r>
              <w:rPr>
                <w:b/>
                <w:i/>
              </w:rPr>
              <w:t>uppmanar med kraft medlemsstaterna att främja uppåtgående social konvergens, förbättra tillgången till sysselsättning av god kvalitet och offentliga tjänster</w:t>
            </w:r>
            <w:r>
              <w:t xml:space="preserve"> av hög kvalitet, </w:t>
            </w:r>
            <w:r>
              <w:rPr>
                <w:b/>
                <w:i/>
              </w:rPr>
              <w:t>ytterligare öka deltagandet av barn under 3 år i formell barnomsorg, särskilt för utsatta grupper,</w:t>
            </w:r>
            <w:r>
              <w:t xml:space="preserve"> </w:t>
            </w:r>
            <w:r>
              <w:rPr>
                <w:b/>
                <w:i/>
              </w:rPr>
              <w:t>vidta aktiva åtgärder för att minska antalet elever som lämnar skolan i förtid och ungdomsarbetslösheten, säkerställa</w:t>
            </w:r>
            <w:r>
              <w:t xml:space="preserve"> tillräckliga pensioner, </w:t>
            </w:r>
            <w:r>
              <w:rPr>
                <w:b/>
                <w:i/>
              </w:rPr>
              <w:t>effektivisera sociala transfereringar och främja</w:t>
            </w:r>
            <w:r>
              <w:t xml:space="preserve"> psykisk hälsa </w:t>
            </w:r>
            <w:r>
              <w:rPr>
                <w:b/>
                <w:i/>
              </w:rPr>
              <w:t>i alla åldersgrupper</w:t>
            </w:r>
            <w:r>
              <w:t>. Parlamentet påminner om att indikatorn för andelen personer som löper risk för fattigdom eller social utestängning inte avslöjar orsakerna till den komplexa ojämlikheten</w:t>
            </w:r>
            <w:r>
              <w:rPr>
                <w:b/>
                <w:i/>
              </w:rPr>
              <w:t>, men erkänner att andelen människor som riskerar fattigdom eller social utestängning minskade något i EU under 2023 tack vare beslutsamma politiska åtgärder för att dämpa de negativa sociala effekterna av de höga levnadskostnaderna, och efterlyser lämpliga åtgärder för att ytterligare minska fattigdom och social utestängning, särskilt bland barn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Idoia Mendia, Isilda Gomes, Alicia Homs Ginel, Marc Angel, Romana Jerković, Estelle Ceulemans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Europaparlamentet efterlyser förbättringar av den sociala resultattavlan genom indikatorer som återspeglar trender </w:t>
            </w:r>
            <w:r>
              <w:rPr>
                <w:b/>
                <w:i/>
              </w:rPr>
              <w:t>i</w:t>
            </w:r>
            <w:r>
              <w:t xml:space="preserve"> och orsaker till ojämlikhet, såsom sysselsättning av </w:t>
            </w:r>
            <w:r>
              <w:rPr>
                <w:b/>
                <w:i/>
              </w:rPr>
              <w:t>hög</w:t>
            </w:r>
            <w:r>
              <w:t xml:space="preserve"> kvalitet, fördelning av välståndet, tillgång till offentliga tjänster, tillräckliga pensioner, psykisk hälsa och arbetslöshet. Parlamentet påminner om att indikatorn för andelen personer som löper risk för fattigdom eller social utestängning inte avslöjar orsakerna till den komplexa ojämlikheten.</w:t>
            </w:r>
          </w:p>
        </w:tc>
        <w:tc>
          <w:tcPr>
            <w:tcW w:w="4876" w:type="dxa"/>
            <w:tcBorders>
              <w:top w:val="nil"/>
              <w:left w:val="nil"/>
              <w:bottom w:val="nil"/>
              <w:right w:val="nil"/>
            </w:tcBorders>
          </w:tcPr>
          <w:p>
            <w:pPr>
              <w:pStyle w:val="Normal6a"/>
            </w:pPr>
            <w:r>
              <w:t>12.</w:t>
            </w:r>
            <w:r>
              <w:tab/>
            </w:r>
            <w:r>
              <w:t xml:space="preserve">Europaparlamentet efterlyser förbättringar av den sociala resultattavlan genom </w:t>
            </w:r>
            <w:r>
              <w:rPr>
                <w:b/>
                <w:i/>
              </w:rPr>
              <w:t>relevanta</w:t>
            </w:r>
            <w:r>
              <w:t xml:space="preserve"> indikatorer som återspeglar trender och orsaker till ojämlikhet, såsom </w:t>
            </w:r>
            <w:r>
              <w:rPr>
                <w:b/>
                <w:i/>
              </w:rPr>
              <w:t>indikatorer för lika möjligheter,</w:t>
            </w:r>
            <w:r>
              <w:t xml:space="preserve"> sysselsättning av </w:t>
            </w:r>
            <w:r>
              <w:rPr>
                <w:b/>
                <w:i/>
              </w:rPr>
              <w:t>god</w:t>
            </w:r>
            <w:r>
              <w:t xml:space="preserve"> kvalitet, fördelning av välståndet, tillgång till offentliga tjänster, </w:t>
            </w:r>
            <w:r>
              <w:rPr>
                <w:b/>
                <w:i/>
              </w:rPr>
              <w:t>de sociala tjänsternas täckning, däribland energi, vatten och sanitet, omsorgstjänster,</w:t>
            </w:r>
            <w:r>
              <w:t xml:space="preserve"> tillräckliga pensioner</w:t>
            </w:r>
            <w:r>
              <w:rPr>
                <w:b/>
                <w:i/>
              </w:rPr>
              <w:t>, andelen hemlösa</w:t>
            </w:r>
            <w:r>
              <w:t>, psykisk hälsa och arbetslöshet</w:t>
            </w:r>
            <w:r>
              <w:rPr>
                <w:b/>
                <w:i/>
              </w:rPr>
              <w:t>, förmåner samt indikatorer som mäter de sociala konsekvenserna av miljöförstöring och klimatförändringar.</w:t>
            </w:r>
            <w:r>
              <w:t xml:space="preserve"> </w:t>
            </w:r>
            <w:r>
              <w:rPr>
                <w:b/>
                <w:i/>
              </w:rPr>
              <w:t>Parlamentet betonar behovet av att inkludera indikatorer för sociala tjänsters täckning och utgifterna för dem</w:t>
            </w:r>
            <w:r>
              <w:t>. Parlamentet påminner om att indikatorn för andelen personer som löper risk för fattigdom eller social utestängning inte avslöjar orsakerna till den komplexa ojämlikheten.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Hristo Petrov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Europaparlamentet efterlyser förbättringar av den sociala resultattavlan genom indikatorer som återspeglar trender i och orsaker till ojämlikhet, såsom sysselsättning av hög kvalitet, fördelning av välståndet, tillgång till offentliga tjänster, tillräckliga pensioner, psykisk hälsa och arbetslöshet. Parlamentet påminner om att indikatorn för andelen personer som löper risk för fattigdom eller social utestängning inte avslöjar orsakerna till den komplexa ojämlikheten.</w:t>
            </w:r>
          </w:p>
        </w:tc>
        <w:tc>
          <w:tcPr>
            <w:tcW w:w="4876" w:type="dxa"/>
            <w:tcBorders>
              <w:top w:val="nil"/>
              <w:left w:val="nil"/>
              <w:bottom w:val="nil"/>
              <w:right w:val="nil"/>
            </w:tcBorders>
          </w:tcPr>
          <w:p>
            <w:pPr>
              <w:pStyle w:val="Normal6a"/>
            </w:pPr>
            <w:r>
              <w:t>12.</w:t>
            </w:r>
            <w:r>
              <w:tab/>
            </w:r>
            <w:r>
              <w:t xml:space="preserve">Europaparlamentet </w:t>
            </w:r>
            <w:r>
              <w:rPr>
                <w:b/>
                <w:i/>
              </w:rPr>
              <w:t>betonar behovet av snabba och harmoniserade uppgifter om socialpolitiken för att förbättra evidensbaserat beslutsfattande och riktade sociala investeringar.</w:t>
            </w:r>
            <w:r>
              <w:t xml:space="preserve"> </w:t>
            </w:r>
            <w:r>
              <w:rPr>
                <w:b/>
                <w:i/>
              </w:rPr>
              <w:t>Parlamentet</w:t>
            </w:r>
            <w:r>
              <w:t xml:space="preserve"> efterlyser förbättringar av den sociala resultattavlan </w:t>
            </w:r>
            <w:r>
              <w:rPr>
                <w:b/>
                <w:i/>
              </w:rPr>
              <w:t>för att täcka de 20 principerna i den europeiska pelaren för sociala rättigheter</w:t>
            </w:r>
            <w:r>
              <w:t xml:space="preserve"> genom indikatorer som återspeglar trender i och orsaker till ojämlikhet, såsom sysselsättning av hög kvalitet, fördelning av välståndet, tillgång till offentliga tjänster, </w:t>
            </w:r>
            <w:r>
              <w:rPr>
                <w:b/>
                <w:i/>
              </w:rPr>
              <w:t>de sociala tjänsternas täckning,</w:t>
            </w:r>
            <w:r>
              <w:t xml:space="preserve"> tillräckliga pensioner, psykisk hälsa</w:t>
            </w:r>
            <w:r>
              <w:rPr>
                <w:b/>
                <w:i/>
              </w:rPr>
              <w:t>, diskriminering</w:t>
            </w:r>
            <w:r>
              <w:t xml:space="preserve"> och arbetslöshet. Parlamentet påminner om att indikatorn för andelen personer som löper risk för fattigdom eller social utestängning inte avslöjar orsakerna till den komplexa ojämlikheten.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12a.</w:t>
            </w:r>
            <w:r>
              <w:tab/>
            </w:r>
            <w:r>
              <w:rPr>
                <w:b/>
                <w:i/>
              </w:rPr>
              <w:t>Europaparlamentet uppmanar kommissionen och EU:s medlemsstater att utveckla en tillförlitlig europeisk ram för datainsamling om sociala tjänster för att övervaka investeringarna i sociala tjänster och deras täckning.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Ändringsförslag</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Idoia Mendia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Förslag till resolution</w:t>
      </w:r>
      <w:r>
        <w:rPr>
          <w:rStyle w:val="HideTWBExt"/>
        </w:rPr>
        <w:t>&lt;/DocAmend&gt;</w:t>
      </w:r>
    </w:p>
    <w:p>
      <w:pPr>
        <w:pStyle w:val="NormalBold"/>
      </w:pPr>
      <w:r>
        <w:rPr>
          <w:rStyle w:val="HideTWBExt"/>
        </w:rPr>
        <w:t>&lt;Article&gt;</w:t>
      </w:r>
      <w:r>
        <w:t>Punkt 12b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Förslag till resolution</w:t>
            </w:r>
          </w:p>
        </w:tc>
        <w:tc>
          <w:tcPr>
            <w:tcW w:w="4876" w:type="dxa"/>
            <w:tcBorders>
              <w:top w:val="nil"/>
              <w:left w:val="nil"/>
              <w:bottom w:val="nil"/>
              <w:right w:val="nil"/>
            </w:tcBorders>
          </w:tcPr>
          <w:p>
            <w:pPr>
              <w:pStyle w:val="AmColumnHeading"/>
            </w:pPr>
            <w:r>
              <w:t>Ändringsförslag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12b.</w:t>
            </w:r>
            <w:r>
              <w:tab/>
            </w:r>
            <w:r>
              <w:rPr>
                <w:b/>
                <w:i/>
              </w:rPr>
              <w:t>Europaparlamentet rekommenderar att den europeiska planeringsterminen ska omfatta uppgifter om regleringen, utgifterna och täckningen vad gäller sociala tjänster för att stärka rapporteringen om EU-medlemsstaternas förmåga att säkerställa tillhandahållandet av sociala tjänster, inbegripet deras tillgång och tillgänglighet för befolkningen.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767.871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150</w:t>
    </w:r>
    <w:r>
      <w:fldChar w:fldCharType="end"/>
    </w:r>
    <w:r>
      <w:t>/</w:t>
    </w:r>
    <w:r>
      <w:fldChar w:fldCharType="begin"/>
    </w:r>
    <w:r>
      <w:instrText xml:space="preserve"> NUMPAGES </w:instrText>
    </w:r>
    <w:r>
      <w:fldChar w:fldCharType="separate"/>
    </w:r>
    <w:r>
      <w:t>151</w:t>
    </w:r>
    <w:r>
      <w:fldChar w:fldCharType="end"/>
    </w:r>
    <w:r>
      <w:tab/>
    </w:r>
    <w:r>
      <w:rPr>
        <w:rStyle w:val="HideTWBExt"/>
      </w:rPr>
      <w:t>&lt;PathFdR&gt;</w:t>
    </w:r>
    <w:r>
      <w:t>AM\1312899SV.docx</w:t>
    </w:r>
    <w:r>
      <w:rPr>
        <w:rStyle w:val="HideTWBExt"/>
      </w:rPr>
      <w:t>&lt;/PathFdR&gt;</w:t>
    </w:r>
  </w:p>
  <w:p>
    <w:pPr>
      <w:pStyle w:val="EPFooter2"/>
    </w:pPr>
    <w:r>
      <w:t>SV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AM\1312899SV.docx</w:t>
    </w:r>
    <w:r>
      <w:rPr>
        <w:rStyle w:val="HideTWBExt"/>
      </w:rPr>
      <w:t>&lt;/PathFdR&gt;</w:t>
    </w:r>
    <w:r>
      <w:tab/>
    </w:r>
    <w:r>
      <w:fldChar w:fldCharType="begin"/>
    </w:r>
    <w:r>
      <w:instrText xml:space="preserve"> PAGE </w:instrText>
    </w:r>
    <w:r>
      <w:fldChar w:fldCharType="separate"/>
    </w:r>
    <w:r>
      <w:t>151</w:t>
    </w:r>
    <w:r>
      <w:fldChar w:fldCharType="end"/>
    </w:r>
    <w:r>
      <w:t>/</w:t>
    </w:r>
    <w:r>
      <w:fldChar w:fldCharType="begin"/>
    </w:r>
    <w:r>
      <w:instrText xml:space="preserve"> NUMPAGES </w:instrText>
    </w:r>
    <w:r>
      <w:fldChar w:fldCharType="separate"/>
    </w:r>
    <w:r>
      <w:t>151</w:t>
    </w:r>
    <w:r>
      <w:fldChar w:fldCharType="end"/>
    </w:r>
    <w:r>
      <w:tab/>
    </w:r>
    <w:r>
      <w:t>PE</w:t>
    </w:r>
    <w:r>
      <w:rPr>
        <w:rStyle w:val="HideTWBExt"/>
      </w:rPr>
      <w:t>&lt;NoPE&gt;</w:t>
    </w:r>
    <w:r>
      <w:t>767.871</w:t>
    </w:r>
    <w:r>
      <w:rPr>
        <w:rStyle w:val="HideTWBExt"/>
      </w:rPr>
      <w:t>&lt;/NoPE&gt;</w:t>
    </w:r>
    <w:r>
      <w:rPr>
        <w:rStyle w:val="HideTWBExt"/>
      </w:rPr>
      <w:t>&lt;Version&gt;</w:t>
    </w:r>
    <w:r>
      <w:t>v01-00</w:t>
    </w:r>
    <w:r>
      <w:rPr>
        <w:rStyle w:val="HideTWBExt"/>
      </w:rPr>
      <w:t>&lt;/Version&gt;</w:t>
    </w:r>
  </w:p>
  <w:p>
    <w:pPr>
      <w:pStyle w:val="EPFooter2"/>
    </w:pPr>
    <w:r>
      <w:tab/>
    </w:r>
    <w:r>
      <w:tab/>
    </w:r>
    <w:r>
      <w:t>SV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AM\1312899SV.docx</w:t>
    </w:r>
    <w:r>
      <w:rPr>
        <w:rStyle w:val="HideTWBExt"/>
      </w:rPr>
      <w:t>&lt;/PathFdR&gt;</w:t>
    </w:r>
    <w:r>
      <w:tab/>
    </w:r>
    <w:r>
      <w:tab/>
    </w:r>
    <w:r>
      <w:t>PE</w:t>
    </w:r>
    <w:r>
      <w:rPr>
        <w:rStyle w:val="HideTWBExt"/>
      </w:rPr>
      <w:t>&lt;NoPE&gt;</w:t>
    </w:r>
    <w:r>
      <w:t>767.871</w:t>
    </w:r>
    <w:r>
      <w:rPr>
        <w:rStyle w:val="HideTWBExt"/>
      </w:rPr>
      <w:t>&lt;/NoPE&gt;</w:t>
    </w:r>
    <w:r>
      <w:rPr>
        <w:rStyle w:val="HideTWBExt"/>
      </w:rPr>
      <w:t>&lt;Version&gt;</w:t>
    </w:r>
    <w:r>
      <w:t>v01-00</w:t>
    </w:r>
    <w:r>
      <w:rPr>
        <w:rStyle w:val="HideTWBExt"/>
      </w:rPr>
      <w:t>&lt;/Version&gt;</w:t>
    </w:r>
  </w:p>
  <w:p>
    <w:pPr>
      <w:pStyle w:val="EPFooter2"/>
    </w:pPr>
    <w:r>
      <w:t>SV</w:t>
    </w:r>
    <w:r>
      <w:tab/>
    </w:r>
    <w:r>
      <w:rPr>
        <w:rStyle w:val="EPFooter2Motto"/>
      </w:rPr>
      <w:t>Förenade i mångfalden</w:t>
    </w:r>
    <w:r>
      <w:tab/>
    </w:r>
    <w:r>
      <w:t>SV</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151</Pages>
  <Words>28789</Words>
  <Characters>193150</Characters>
  <Application>Microsoft Office Word</Application>
  <DocSecurity>0</DocSecurity>
  <Lines>1</Lines>
  <Paragraphs>2409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1312899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114212</vt:lpwstr>
  </property>
  <property fmtid="{D5CDD505-2E9C-101B-9397-08002B2CF9AE}" pid="7" name="dmxml.render.traceId">
    <vt:lpwstr>678fb41b5c4a6eb83f37f62193d2c28c</vt:lpwstr>
  </property>
  <property fmtid="{D5CDD505-2E9C-101B-9397-08002B2CF9AE}" pid="8" name="FooterPath">
    <vt:lpwstr>AM\1312899SV.docx</vt:lpwstr>
  </property>
  <property fmtid="{D5CDD505-2E9C-101B-9397-08002B2CF9AE}" pid="9" name="PE Number">
    <vt:lpwstr>767.871</vt:lpwstr>
  </property>
  <property fmtid="{D5CDD505-2E9C-101B-9397-08002B2CF9AE}" pid="10" name="UID">
    <vt:lpwstr>eu.europa.europarl-DIN1-2025-0000002210_02.00-sv-01.00_text-xml</vt:lpwstr>
  </property>
</Properties>
</file>