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134CE" w:rsidRPr="002E3728" w:rsidTr="00C85D0F">
        <w:trPr>
          <w:trHeight w:hRule="exact" w:val="1418"/>
        </w:trPr>
        <w:tc>
          <w:tcPr>
            <w:tcW w:w="6804" w:type="dxa"/>
            <w:shd w:val="clear" w:color="auto" w:fill="auto"/>
            <w:vAlign w:val="center"/>
          </w:tcPr>
          <w:p w:rsidR="00BE5062" w:rsidRPr="002E3728" w:rsidRDefault="005B0D0B" w:rsidP="00C85D0F">
            <w:pPr>
              <w:pStyle w:val="EPName"/>
            </w:pPr>
            <w:r w:rsidRPr="002E3728">
              <w:t>Eвропейски парламент</w:t>
            </w:r>
          </w:p>
          <w:p w:rsidR="00BE5062" w:rsidRPr="002E3728" w:rsidRDefault="003324BE" w:rsidP="002E7ECC">
            <w:pPr>
              <w:pStyle w:val="EPTerm"/>
            </w:pPr>
            <w:r w:rsidRPr="002E3728">
              <w:t>2024-2029</w:t>
            </w:r>
          </w:p>
        </w:tc>
        <w:tc>
          <w:tcPr>
            <w:tcW w:w="2268" w:type="dxa"/>
            <w:shd w:val="clear" w:color="auto" w:fill="auto"/>
          </w:tcPr>
          <w:p w:rsidR="00BE5062" w:rsidRPr="002E3728" w:rsidRDefault="003324BE" w:rsidP="00C85D0F">
            <w:pPr>
              <w:pStyle w:val="EPLogo"/>
            </w:pPr>
            <w:r w:rsidRPr="002E372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E3728" w:rsidRDefault="000E7234" w:rsidP="000E7234">
      <w:pPr>
        <w:pStyle w:val="LineTop"/>
      </w:pPr>
    </w:p>
    <w:p w:rsidR="000E7234" w:rsidRPr="002E3728" w:rsidRDefault="003324BE" w:rsidP="000E7234">
      <w:pPr>
        <w:pStyle w:val="EPBody"/>
      </w:pPr>
      <w:r w:rsidRPr="002E3728">
        <w:rPr>
          <w:rStyle w:val="HideTWBExt"/>
          <w:i w:val="0"/>
          <w:szCs w:val="20"/>
        </w:rPr>
        <w:t>&lt;Commission&gt;</w:t>
      </w:r>
      <w:r w:rsidR="002E7ECC" w:rsidRPr="002E3728">
        <w:rPr>
          <w:rStyle w:val="HideTWBInt"/>
          <w:i w:val="0"/>
          <w:szCs w:val="20"/>
        </w:rPr>
        <w:t>{EMPL}</w:t>
      </w:r>
      <w:r w:rsidR="005B0D0B" w:rsidRPr="002E3728">
        <w:t>Комисия по заетост и социални въпроси</w:t>
      </w:r>
      <w:r w:rsidRPr="002E3728">
        <w:rPr>
          <w:rStyle w:val="HideTWBExt"/>
          <w:i w:val="0"/>
          <w:szCs w:val="20"/>
        </w:rPr>
        <w:t>&lt;/Commission&gt;</w:t>
      </w:r>
    </w:p>
    <w:p w:rsidR="000E7234" w:rsidRPr="002E3728" w:rsidRDefault="000E7234" w:rsidP="000E7234">
      <w:pPr>
        <w:pStyle w:val="LineBottom"/>
      </w:pPr>
    </w:p>
    <w:p w:rsidR="00B85286" w:rsidRPr="002E3728" w:rsidRDefault="003324BE">
      <w:pPr>
        <w:pStyle w:val="CoverReference"/>
      </w:pPr>
      <w:r w:rsidRPr="002E3728">
        <w:rPr>
          <w:rStyle w:val="HideTWBExt"/>
          <w:b w:val="0"/>
        </w:rPr>
        <w:t>&lt;RefProc&gt;</w:t>
      </w:r>
      <w:r w:rsidR="002E7ECC" w:rsidRPr="002E3728">
        <w:t>2025/0085</w:t>
      </w:r>
      <w:r w:rsidRPr="002E3728">
        <w:rPr>
          <w:rStyle w:val="HideTWBExt"/>
          <w:b w:val="0"/>
        </w:rPr>
        <w:t>&lt;/RefProc&gt;&lt;RefTypeProc&gt;</w:t>
      </w:r>
      <w:r w:rsidR="00E507AD" w:rsidRPr="002E3728">
        <w:t>(</w:t>
      </w:r>
      <w:r w:rsidR="002E7ECC" w:rsidRPr="002E3728">
        <w:t>COD</w:t>
      </w:r>
      <w:r w:rsidR="00E507AD" w:rsidRPr="002E3728">
        <w:t>)</w:t>
      </w:r>
      <w:r w:rsidRPr="002E3728">
        <w:rPr>
          <w:rStyle w:val="HideTWBExt"/>
          <w:b w:val="0"/>
        </w:rPr>
        <w:t>&lt;/RefTypeProc&gt;</w:t>
      </w:r>
    </w:p>
    <w:p w:rsidR="00B85286" w:rsidRPr="002E3728" w:rsidRDefault="003324BE">
      <w:pPr>
        <w:pStyle w:val="CoverDate"/>
      </w:pPr>
      <w:r w:rsidRPr="002E3728">
        <w:rPr>
          <w:rStyle w:val="HideTWBExt"/>
        </w:rPr>
        <w:t>&lt;Date&gt;</w:t>
      </w:r>
      <w:r w:rsidR="002E7ECC" w:rsidRPr="002E3728">
        <w:rPr>
          <w:rStyle w:val="HideTWBInt"/>
        </w:rPr>
        <w:t>{20/05/2025}</w:t>
      </w:r>
      <w:r w:rsidR="002E7ECC" w:rsidRPr="002E3728">
        <w:t>20.5.2025</w:t>
      </w:r>
      <w:r w:rsidRPr="002E3728">
        <w:rPr>
          <w:rStyle w:val="HideTWBExt"/>
        </w:rPr>
        <w:t>&lt;/Date&gt;</w:t>
      </w:r>
    </w:p>
    <w:p w:rsidR="009B0305" w:rsidRPr="002E3728" w:rsidRDefault="003324BE" w:rsidP="009B0305">
      <w:pPr>
        <w:pStyle w:val="CoverDocType"/>
      </w:pPr>
      <w:r w:rsidRPr="002E3728">
        <w:rPr>
          <w:rStyle w:val="HideTWBExt"/>
          <w:b w:val="0"/>
        </w:rPr>
        <w:t>&lt;TypeAM&gt;</w:t>
      </w:r>
      <w:r w:rsidR="005B0D0B" w:rsidRPr="002E3728">
        <w:t>ИЗМЕНЕНИЯ</w:t>
      </w:r>
      <w:r w:rsidRPr="002E3728">
        <w:rPr>
          <w:rStyle w:val="HideTWBExt"/>
          <w:b w:val="0"/>
        </w:rPr>
        <w:t>&lt;/TypeAM&gt;</w:t>
      </w:r>
    </w:p>
    <w:p w:rsidR="00B85286" w:rsidRPr="002E3728" w:rsidRDefault="003324BE" w:rsidP="001C2054">
      <w:pPr>
        <w:pStyle w:val="CoverDocType24a"/>
      </w:pPr>
      <w:r w:rsidRPr="002E3728">
        <w:rPr>
          <w:rStyle w:val="HideTWBExt"/>
          <w:b w:val="0"/>
        </w:rPr>
        <w:t>&lt;RangeAM&gt;</w:t>
      </w:r>
      <w:r w:rsidR="00B81A9B" w:rsidRPr="002E3728">
        <w:t>1 - 113</w:t>
      </w:r>
      <w:r w:rsidRPr="002E3728">
        <w:rPr>
          <w:rStyle w:val="HideTWBExt"/>
          <w:b w:val="0"/>
        </w:rPr>
        <w:t>&lt;/RangeAM&gt;</w:t>
      </w:r>
    </w:p>
    <w:p w:rsidR="001C2054" w:rsidRPr="002E3728" w:rsidRDefault="003324BE" w:rsidP="00A93F8C">
      <w:pPr>
        <w:pStyle w:val="CoverBold"/>
      </w:pPr>
      <w:r w:rsidRPr="002E3728">
        <w:rPr>
          <w:rStyle w:val="HideTWBExt"/>
          <w:b w:val="0"/>
        </w:rPr>
        <w:t>&lt;TitreType&gt;</w:t>
      </w:r>
      <w:r w:rsidR="005B0D0B" w:rsidRPr="002E3728">
        <w:t>Проект</w:t>
      </w:r>
      <w:r w:rsidR="00F516DE" w:rsidRPr="002E3728">
        <w:t xml:space="preserve"> на </w:t>
      </w:r>
      <w:r w:rsidR="005B0D0B" w:rsidRPr="002E3728">
        <w:t>доклад</w:t>
      </w:r>
      <w:r w:rsidRPr="002E3728">
        <w:rPr>
          <w:rStyle w:val="HideTWBExt"/>
          <w:b w:val="0"/>
        </w:rPr>
        <w:t>&lt;/TitreType&gt;</w:t>
      </w:r>
    </w:p>
    <w:p w:rsidR="00B85286" w:rsidRPr="002E3728" w:rsidRDefault="003324BE" w:rsidP="00A93F8C">
      <w:pPr>
        <w:pStyle w:val="CoverBold"/>
      </w:pPr>
      <w:r w:rsidRPr="002E3728">
        <w:rPr>
          <w:rStyle w:val="HideTWBExt"/>
          <w:b w:val="0"/>
        </w:rPr>
        <w:t>&lt;Rapporteur&gt;</w:t>
      </w:r>
      <w:r w:rsidR="00F516DE" w:rsidRPr="002E3728">
        <w:t>Марит Май</w:t>
      </w:r>
      <w:r w:rsidRPr="002E3728">
        <w:rPr>
          <w:rStyle w:val="HideTWBExt"/>
          <w:b w:val="0"/>
        </w:rPr>
        <w:t>&lt;/Rapporteur&gt;</w:t>
      </w:r>
    </w:p>
    <w:p w:rsidR="00B85286" w:rsidRPr="002E3728" w:rsidRDefault="00B85286">
      <w:pPr>
        <w:pStyle w:val="CoverNormal24a"/>
      </w:pPr>
    </w:p>
    <w:p w:rsidR="00B85286" w:rsidRPr="002E3728" w:rsidRDefault="003324BE">
      <w:pPr>
        <w:pStyle w:val="CoverNormal24a"/>
      </w:pPr>
      <w:r w:rsidRPr="002E3728">
        <w:rPr>
          <w:rStyle w:val="HideTWBExt"/>
        </w:rPr>
        <w:t>&lt;Titre&gt;</w:t>
      </w:r>
      <w:r w:rsidR="00F516DE" w:rsidRPr="002E3728">
        <w:t>относно предложението за изменение на Регламент (ЕС) 2021/1057 за създаване на Европейския социален фонд плюс (ЕСФ+) по отношение на специални мерки за справяне със стратегически предизвикателства</w:t>
      </w:r>
      <w:r w:rsidRPr="002E3728">
        <w:rPr>
          <w:rStyle w:val="HideTWBExt"/>
        </w:rPr>
        <w:t>&lt;/Titre&gt;</w:t>
      </w:r>
    </w:p>
    <w:p w:rsidR="006337D4" w:rsidRPr="002E3728" w:rsidRDefault="003324BE" w:rsidP="006337D4">
      <w:pPr>
        <w:pStyle w:val="CoverNormal"/>
      </w:pPr>
      <w:r w:rsidRPr="002E3728">
        <w:rPr>
          <w:rStyle w:val="HideTWBExt"/>
        </w:rPr>
        <w:t>&lt;DocAmend&gt;</w:t>
      </w:r>
      <w:r w:rsidR="005B0D0B" w:rsidRPr="002E3728">
        <w:rPr>
          <w:b/>
        </w:rPr>
        <w:t>Предложение за регламент</w:t>
      </w:r>
      <w:r w:rsidRPr="002E3728">
        <w:rPr>
          <w:rStyle w:val="HideTWBExt"/>
        </w:rPr>
        <w:t>&lt;/DocAmend&gt;</w:t>
      </w:r>
    </w:p>
    <w:p w:rsidR="00B85286" w:rsidRPr="002E3728" w:rsidRDefault="003324BE">
      <w:pPr>
        <w:pStyle w:val="CoverNormal24a"/>
      </w:pPr>
      <w:r w:rsidRPr="002E3728">
        <w:rPr>
          <w:rStyle w:val="HideTWBExt"/>
        </w:rPr>
        <w:t>&lt;DocRef&gt;</w:t>
      </w:r>
      <w:r w:rsidR="00E507AD" w:rsidRPr="002E3728">
        <w:t>(</w:t>
      </w:r>
      <w:r w:rsidR="002E7ECC" w:rsidRPr="002E3728">
        <w:t>COM(2025)0164</w:t>
      </w:r>
      <w:r w:rsidR="00E507AD" w:rsidRPr="002E3728">
        <w:t xml:space="preserve"> </w:t>
      </w:r>
      <w:r w:rsidR="002E7ECC" w:rsidRPr="002E3728">
        <w:t>–</w:t>
      </w:r>
      <w:r w:rsidR="00E507AD" w:rsidRPr="002E3728">
        <w:t xml:space="preserve"> </w:t>
      </w:r>
      <w:r w:rsidR="002E7ECC" w:rsidRPr="002E3728">
        <w:t>C10</w:t>
      </w:r>
      <w:r w:rsidR="002E7ECC" w:rsidRPr="002E3728">
        <w:noBreakHyphen/>
        <w:t>0064/2025</w:t>
      </w:r>
      <w:r w:rsidR="00E507AD" w:rsidRPr="002E3728">
        <w:t xml:space="preserve"> </w:t>
      </w:r>
      <w:r w:rsidR="002E7ECC" w:rsidRPr="002E3728">
        <w:t>–</w:t>
      </w:r>
      <w:r w:rsidR="00E507AD" w:rsidRPr="002E3728">
        <w:t xml:space="preserve"> </w:t>
      </w:r>
      <w:r w:rsidR="002E7ECC" w:rsidRPr="002E3728">
        <w:t>2025/0085</w:t>
      </w:r>
      <w:r w:rsidR="00E507AD" w:rsidRPr="002E3728">
        <w:t>(</w:t>
      </w:r>
      <w:r w:rsidR="002E7ECC" w:rsidRPr="002E3728">
        <w:t>COD</w:t>
      </w:r>
      <w:r w:rsidR="00E507AD" w:rsidRPr="002E3728">
        <w:t>))</w:t>
      </w:r>
      <w:r w:rsidRPr="002E3728">
        <w:rPr>
          <w:rStyle w:val="HideTWBExt"/>
        </w:rPr>
        <w:t>&lt;/DocRef&gt;</w:t>
      </w:r>
    </w:p>
    <w:p w:rsidR="00B85286" w:rsidRPr="002E3728" w:rsidRDefault="003324BE" w:rsidP="00E660E2">
      <w:pPr>
        <w:widowControl/>
        <w:tabs>
          <w:tab w:val="center" w:pos="4677"/>
        </w:tabs>
      </w:pPr>
      <w:r w:rsidRPr="002E3728">
        <w:br w:type="page"/>
      </w:r>
      <w:r w:rsidR="00E507AD" w:rsidRPr="002E3728">
        <w:lastRenderedPageBreak/>
        <w:t>AM_Com_LegReport</w:t>
      </w:r>
    </w:p>
    <w:p w:rsidR="005B0D0B" w:rsidRPr="002E3728" w:rsidRDefault="003324BE" w:rsidP="005B0D0B">
      <w:pPr>
        <w:pStyle w:val="AMNumberTabs0"/>
        <w:keepNext/>
        <w:rPr>
          <w:lang w:val="bg-BG"/>
        </w:rPr>
      </w:pPr>
      <w:r w:rsidRPr="002E3728">
        <w:rPr>
          <w:lang w:val="bg-BG"/>
        </w:rPr>
        <w:br w:type="page"/>
      </w:r>
      <w:r w:rsidR="005B0D0B" w:rsidRPr="002E3728">
        <w:rPr>
          <w:rStyle w:val="HideTWBExt"/>
          <w:b w:val="0"/>
          <w:lang w:val="bg-BG"/>
        </w:rPr>
        <w:lastRenderedPageBreak/>
        <w:t>&lt;RepeatBlock-Amend&gt;&lt;Amend&gt;</w:t>
      </w:r>
      <w:r w:rsidR="005B0D0B" w:rsidRPr="002E3728">
        <w:rPr>
          <w:lang w:val="bg-BG"/>
        </w:rPr>
        <w:t>Изменение</w:t>
      </w:r>
      <w:r w:rsidR="005B0D0B" w:rsidRPr="002E3728">
        <w:rPr>
          <w:lang w:val="bg-BG"/>
        </w:rPr>
        <w:tab/>
      </w:r>
      <w:r w:rsidR="005B0D0B" w:rsidRPr="002E3728">
        <w:rPr>
          <w:lang w:val="bg-BG"/>
        </w:rPr>
        <w:tab/>
      </w:r>
      <w:r w:rsidR="005B0D0B" w:rsidRPr="002E3728">
        <w:rPr>
          <w:rStyle w:val="HideTWBExt"/>
          <w:b w:val="0"/>
          <w:lang w:val="bg-BG"/>
        </w:rPr>
        <w:t>&lt;NumAm&gt;</w:t>
      </w:r>
      <w:r w:rsidR="005B0D0B" w:rsidRPr="002E3728">
        <w:rPr>
          <w:lang w:val="bg-BG"/>
        </w:rPr>
        <w:t>1</w:t>
      </w:r>
      <w:r w:rsidR="005B0D0B"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Естреля Галан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tcPr>
          <w:p w:rsidR="005B0D0B" w:rsidRPr="002E3728" w:rsidRDefault="005B0D0B" w:rsidP="00C41D59">
            <w:pPr>
              <w:pStyle w:val="ColumnHeading"/>
              <w:keepNext/>
              <w:rPr>
                <w:lang w:val="bg-BG"/>
              </w:rPr>
            </w:pPr>
          </w:p>
        </w:tc>
        <w:tc>
          <w:tcPr>
            <w:tcW w:w="4876" w:type="dxa"/>
            <w:hideMark/>
          </w:tcPr>
          <w:p w:rsidR="005B0D0B" w:rsidRPr="002E3728" w:rsidRDefault="005B0D0B" w:rsidP="00C41D59">
            <w:pPr>
              <w:pStyle w:val="ColumnHeading"/>
              <w:keepNext/>
              <w:rPr>
                <w:lang w:val="bg-BG"/>
              </w:rPr>
            </w:pPr>
            <w:r w:rsidRPr="002E3728">
              <w:rPr>
                <w:lang w:val="bg-BG"/>
              </w:rPr>
              <w:t>Предложение за отхвърляне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Европейският парламент отхвърля предложението на Комисията.</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(ЕСФ+ не трябва да финансира мерки в областта на уменията или заетостта, свързани със сектора на отбраната. Фондът трябва да продължи да се придържа към своите граждански и социални цели, като предназначението му не трябва да се променя за легитимиране на реформи, свързани с отбраната, посредством процедури при извънредни ситуации. Макар да подкрепяме декарбонизацията, вече изрично разрешена и финансирана от ЕСФ+, отхвърляме използването му като инструмент за обосноваване на разходите за отбрана и подчертаваме, че политиката в областта на климата изисква редовен демократичен дебат.)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Позоваване 5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като взе предвид Становище 02/2025 на Европейската сметна палата,</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 xml:space="preserve">от името на групата </w:t>
      </w:r>
      <w:r w:rsidR="00341B19" w:rsidRPr="002E3728">
        <w:rPr>
          <w:rStyle w:val="pointer"/>
        </w:rPr>
        <w:t>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w:t>
            </w:r>
            <w:r w:rsidRPr="002E3728">
              <w:rPr>
                <w:b/>
                <w:i/>
                <w:lang w:val="bg-BG"/>
              </w:rPr>
              <w:tab/>
              <w:t>Основната цел на ЕСФ+ е да подпомага социалното приобщаване, социалното сближаване и да изпълнява принципите и водещите цели на Европейския стълб на социалните права, като подпомага инвестициите в хора и системи в областите на политиките за заетост, образование и социално приобщаване.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Бранислав Ондруш</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(1)</w:t>
            </w:r>
            <w:r w:rsidRPr="002E3728">
              <w:rPr>
                <w:b/>
                <w:i/>
                <w:lang w:val="bg-BG"/>
              </w:rPr>
              <w:tab/>
              <w:t>С оглед на важните геополитически и икономически събития, довели до преструктуриране на някои от стратегическите политически приоритети на Съюза, е необходимо на държавите членки да се предоставят възможности за справяне с тези стратегически предизвикателства и за пренасочване на ресурсите им към нововъзникващи приоритети.</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Мари Доши</w:t>
      </w:r>
      <w:r w:rsidRPr="002E3728">
        <w:t xml:space="preserve">, </w:t>
      </w:r>
      <w:r w:rsidR="00CF314A" w:rsidRPr="002E3728">
        <w:t>Никола Бартушек</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{EMPL}</w:t>
      </w:r>
      <w:r w:rsidRPr="002E3728">
        <w:t>от името на комисията по заетост и социални въпроси</w:t>
      </w:r>
      <w:r w:rsidRPr="002E3728">
        <w:rPr>
          <w:rStyle w:val="HideTWBExt"/>
        </w:rPr>
        <w:t>&lt;/AuNomDe&gt;</w:t>
      </w:r>
    </w:p>
    <w:p w:rsidR="005B0D0B" w:rsidRPr="002E3728" w:rsidRDefault="005B0D0B" w:rsidP="005B0D0B">
      <w:pPr>
        <w:pStyle w:val="NormalBold"/>
      </w:pPr>
      <w:r w:rsidRPr="002E3728">
        <w:rPr>
          <w:rStyle w:val="HideTWBExt"/>
          <w:b w:val="0"/>
        </w:rPr>
        <w:t>&lt;Members&gt;</w:t>
      </w:r>
      <w:r w:rsidRPr="002E3728">
        <w:t>Северин Вербрук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С оглед на важните геополитически и икономически събития, довели до преструктуриране на някои от стратегическите политически приоритети на Съюза, е необходимо на държавите членки да се предоставят възможности за справяне с тези стратегически предизвикателства и за пренасочване на ресурсите им към нововъзникващи приоритети.</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 xml:space="preserve">С оглед на важните геополитически и икономически събития, довели до преструктуриране на някои от стратегическите политически приоритети на Съюза, </w:t>
            </w:r>
            <w:r w:rsidRPr="002E3728">
              <w:rPr>
                <w:b/>
                <w:i/>
                <w:lang w:val="bg-BG"/>
              </w:rPr>
              <w:t>както и на сериозно разминаване между целите на ЕСФ+ и реалните проблеми, които вълнуват държавите членки, по време на програмирането му за периода 2021 – 2027 г.,</w:t>
            </w:r>
            <w:r w:rsidRPr="002E3728">
              <w:rPr>
                <w:lang w:val="bg-BG"/>
              </w:rPr>
              <w:t xml:space="preserve"> е необходимо на държавите членки да се предоставят възможности за справяне с тези стратегически предизвикателства и за пренасочване на ресурсите им към нововъзникващи приоритети.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{FR}</w:t>
      </w:r>
      <w:r w:rsidRPr="002E3728">
        <w:rPr>
          <w:noProof w:val="0"/>
          <w:lang w:val="bg-BG"/>
        </w:rPr>
        <w:t>fr</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 xml:space="preserve">С оглед на важните геополитически и икономически събития, довели до преструктуриране на някои от стратегическите политически приоритети на Съюза, е необходимо на държавите членки да се предоставят възможности за справяне с тези стратегически предизвикателства и за пренасочване на ресурсите им към </w:t>
            </w:r>
            <w:r w:rsidRPr="002E3728">
              <w:rPr>
                <w:lang w:val="bg-BG"/>
              </w:rPr>
              <w:lastRenderedPageBreak/>
              <w:t>нововъзникващи приоритети.</w:t>
            </w:r>
          </w:p>
        </w:tc>
        <w:tc>
          <w:tcPr>
            <w:tcW w:w="4876" w:type="dxa"/>
            <w:hideMark/>
          </w:tcPr>
          <w:p w:rsidR="005B0D0B" w:rsidRPr="002E3728" w:rsidRDefault="005B0D0B" w:rsidP="00C41D59">
            <w:pPr>
              <w:pStyle w:val="Normal6"/>
              <w:rPr>
                <w:szCs w:val="24"/>
                <w:lang w:val="bg-BG"/>
              </w:rPr>
            </w:pPr>
            <w:r w:rsidRPr="002E3728">
              <w:rPr>
                <w:lang w:val="bg-BG"/>
              </w:rPr>
              <w:lastRenderedPageBreak/>
              <w:t>(1)</w:t>
            </w:r>
            <w:r w:rsidRPr="002E3728">
              <w:rPr>
                <w:lang w:val="bg-BG"/>
              </w:rPr>
              <w:tab/>
              <w:t xml:space="preserve">С оглед на важните геополитически и икономически събития, довели до преструктуриране на някои от стратегическите политически приоритети на Съюза, е необходимо на държавите членки да се предоставят </w:t>
            </w:r>
            <w:r w:rsidRPr="002E3728">
              <w:rPr>
                <w:b/>
                <w:i/>
                <w:lang w:val="bg-BG"/>
              </w:rPr>
              <w:t>повече структурни</w:t>
            </w:r>
            <w:r w:rsidRPr="002E3728">
              <w:rPr>
                <w:lang w:val="bg-BG"/>
              </w:rPr>
              <w:t xml:space="preserve"> възможности за справяне с тези стратегически предизвикателства и </w:t>
            </w:r>
            <w:r w:rsidRPr="002E3728">
              <w:rPr>
                <w:b/>
                <w:i/>
                <w:lang w:val="bg-BG"/>
              </w:rPr>
              <w:t xml:space="preserve">с инвестиционните нужди на </w:t>
            </w:r>
            <w:r w:rsidRPr="002E3728">
              <w:rPr>
                <w:b/>
                <w:i/>
                <w:lang w:val="bg-BG"/>
              </w:rPr>
              <w:lastRenderedPageBreak/>
              <w:t>отраслите, както и</w:t>
            </w:r>
            <w:r w:rsidRPr="002E3728">
              <w:rPr>
                <w:lang w:val="bg-BG"/>
              </w:rPr>
              <w:t xml:space="preserve"> за пренасочване на ресурсите им към нововъзникващи приоритети</w:t>
            </w:r>
            <w:r w:rsidRPr="002E3728">
              <w:rPr>
                <w:b/>
                <w:i/>
                <w:lang w:val="bg-BG"/>
              </w:rPr>
              <w:t>, като същевременно се защитава сближаването, създават се качествени работни места и се запазват еднаквите условия на конкуренция на вътрешния пазар</w:t>
            </w:r>
            <w:r w:rsidRPr="002E3728">
              <w:rPr>
                <w:lang w:val="bg-BG"/>
              </w:rPr>
              <w:t>.</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С оглед на важните геополитически и икономически събития, довели до преструктуриране на някои от стратегическите политически приоритети на Съюза, е необходимо на държавите членки да се предоставят възможности за справяне с тези стратегически предизвикателства и за пренасочване на ресурсите им към нововъзникващи приоритети.</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С оглед на важните геополитически и икономически събития, довели до преструктуриране на някои от стратегическите политически приоритети на Съюза, е необходимо на държавите членки да се предоставят възможности за справяне с тези стратегически предизвикателства и за пренасочване на ресурсите им към нововъзникващи приоритети</w:t>
            </w:r>
            <w:r w:rsidRPr="002E3728">
              <w:rPr>
                <w:b/>
                <w:i/>
                <w:lang w:val="bg-BG"/>
              </w:rPr>
              <w:t>, в случай че не е възможно тези стратегически предизвикателства да се преодолеят в рамките на текущите програми</w:t>
            </w:r>
            <w:r w:rsidRPr="002E3728">
              <w:rPr>
                <w:lang w:val="bg-BG"/>
              </w:rPr>
              <w:t>.</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 xml:space="preserve">С оглед на важните геополитически и икономически събития, довели до преструктуриране на </w:t>
            </w:r>
            <w:r w:rsidRPr="002E3728">
              <w:rPr>
                <w:lang w:val="bg-BG"/>
              </w:rPr>
              <w:lastRenderedPageBreak/>
              <w:t>някои от стратегическите политически приоритети на Съюза, е необходимо на държавите членки да се предоставят възможности за справяне с тези стратегически предизвикателства и за пренасочване на ресурсите им към нововъзникващи приоритети.</w:t>
            </w:r>
          </w:p>
        </w:tc>
        <w:tc>
          <w:tcPr>
            <w:tcW w:w="4876" w:type="dxa"/>
            <w:hideMark/>
          </w:tcPr>
          <w:p w:rsidR="005B0D0B" w:rsidRPr="002E3728" w:rsidRDefault="005B0D0B" w:rsidP="00C41D59">
            <w:pPr>
              <w:pStyle w:val="Normal6"/>
              <w:rPr>
                <w:szCs w:val="24"/>
                <w:lang w:val="bg-BG"/>
              </w:rPr>
            </w:pPr>
            <w:r w:rsidRPr="002E3728">
              <w:rPr>
                <w:lang w:val="bg-BG"/>
              </w:rPr>
              <w:lastRenderedPageBreak/>
              <w:t>(1)</w:t>
            </w:r>
            <w:r w:rsidRPr="002E3728">
              <w:rPr>
                <w:lang w:val="bg-BG"/>
              </w:rPr>
              <w:tab/>
              <w:t xml:space="preserve">С оглед на важните геополитически и икономически събития, довели до преструктуриране на </w:t>
            </w:r>
            <w:r w:rsidRPr="002E3728">
              <w:rPr>
                <w:lang w:val="bg-BG"/>
              </w:rPr>
              <w:lastRenderedPageBreak/>
              <w:t xml:space="preserve">някои от стратегическите политически приоритети на Съюза, е необходимо на държавите членки да се предоставят възможности за справяне с тези стратегически предизвикателства и за пренасочване на ресурсите им </w:t>
            </w:r>
            <w:r w:rsidRPr="002E3728">
              <w:rPr>
                <w:b/>
                <w:i/>
                <w:lang w:val="bg-BG"/>
              </w:rPr>
              <w:t>по приобщаващ начин</w:t>
            </w:r>
            <w:r w:rsidRPr="002E3728">
              <w:rPr>
                <w:lang w:val="bg-BG"/>
              </w:rPr>
              <w:t xml:space="preserve"> към нововъзникващи приоритети.</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(1а)</w:t>
            </w:r>
            <w:r w:rsidRPr="002E3728">
              <w:rPr>
                <w:b/>
                <w:i/>
                <w:lang w:val="bg-BG"/>
              </w:rPr>
              <w:tab/>
              <w:t>Съгласно становище 02/2025 на ЕСП с многократното използване на фондовете на политиката на сближаване, за да се реагира на извънредни ситуации (например мерки за справяне с миграционните кризи или с други извънредни ситуации) има риск да се подкопае основната цел на политиката на сближаване, която е намаляване на териториалните различия и насърчаване на икономическото и социалното сближаване в Европейския съюз.</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(1а)</w:t>
            </w:r>
            <w:r w:rsidRPr="002E3728">
              <w:rPr>
                <w:b/>
                <w:i/>
                <w:lang w:val="bg-BG"/>
              </w:rPr>
              <w:tab/>
              <w:t>Основната цел на ЕСФ+ е подпомагане на държавите членки и регионите да постигнат социално приобщаване и да активират пазара на труда чрез постигането на по-добри резултати във връзка с принципите и водещите цели на Европейския стълб на социалните права, които все още далеч не са изпълнени.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 б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(1б)</w:t>
            </w:r>
            <w:r w:rsidRPr="002E3728">
              <w:rPr>
                <w:b/>
                <w:i/>
                <w:lang w:val="bg-BG"/>
              </w:rPr>
              <w:tab/>
              <w:t xml:space="preserve">Европейският съюз и неговите държавите членки продължават да показват, че могат бързо да реагират на геополитически събития и че желаят да използват значителни финансови ресурси за укрепване на своята отбранителна промишленост чрез различни европейски и национални програми, което е положително и необходимо за сигурността на Съюза. Важно е нашата отбранителна промишленост да се укрепи чрез програмите за конкурентоспособност. Същевременно продължаването на инвестициите в социалните цели на нашия Съюз чрез ЕСФ+ е от изключително значение, тъй като социалното сближаване представлява крайъгълен камък на нашата демократична и обществена </w:t>
            </w:r>
            <w:r w:rsidRPr="002E3728">
              <w:rPr>
                <w:b/>
                <w:i/>
                <w:lang w:val="bg-BG"/>
              </w:rPr>
              <w:lastRenderedPageBreak/>
              <w:t>устойчивост, което е от съществено значение в контекста на заплахите от агресия.</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Марк Анжел, </w:t>
      </w:r>
      <w:r w:rsidR="00D04981" w:rsidRPr="002E3728">
        <w:t>Идоя Мендия</w:t>
      </w:r>
      <w:r w:rsidRPr="002E3728">
        <w:t xml:space="preserve">, Вилия Блинкевичуте, </w:t>
      </w:r>
      <w:r w:rsidR="00D04981" w:rsidRPr="002E3728">
        <w:t>Еон О’Риърдойн</w:t>
      </w:r>
      <w:r w:rsidRPr="002E3728">
        <w:t>, Евелин Регнер</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 в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(1в)</w:t>
            </w:r>
            <w:r w:rsidRPr="002E3728">
              <w:rPr>
                <w:b/>
                <w:i/>
                <w:lang w:val="bg-BG"/>
              </w:rPr>
              <w:tab/>
              <w:t>Политиката на сближаване трябва да продължи да бъде дългосрочна политика, основана на целите, определени в членове 174 и 175 от ДФЕС. Политиката на сближаване често се използва като инструмент за реагиране при извънредни ситуации, което не следва да застрашава нейните дългосрочни политически и инвестиционни цели.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Бранислав Ондруш</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(2)</w:t>
            </w:r>
            <w:r w:rsidRPr="002E3728">
              <w:rPr>
                <w:b/>
                <w:i/>
                <w:lang w:val="bg-BG"/>
              </w:rPr>
              <w:tab/>
              <w:t>С Бялата книга за европейската отбранителна готовност до 2030 г.</w:t>
            </w:r>
            <w:r w:rsidRPr="002E3728">
              <w:rPr>
                <w:b/>
                <w:bCs/>
                <w:i/>
                <w:iCs/>
                <w:vertAlign w:val="superscript"/>
                <w:lang w:val="bg-BG"/>
              </w:rPr>
              <w:t>3</w:t>
            </w:r>
            <w:r w:rsidRPr="002E3728">
              <w:rPr>
                <w:lang w:val="bg-BG"/>
              </w:rPr>
              <w:t xml:space="preserve"> </w:t>
            </w:r>
            <w:r w:rsidRPr="002E3728">
              <w:rPr>
                <w:b/>
                <w:i/>
                <w:lang w:val="bg-BG"/>
              </w:rPr>
              <w:t xml:space="preserve">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 и отбранителната промишленост. В </w:t>
            </w:r>
            <w:r w:rsidRPr="002E3728">
              <w:rPr>
                <w:b/>
                <w:i/>
                <w:lang w:val="bg-BG"/>
              </w:rPr>
              <w:lastRenderedPageBreak/>
              <w:t>тази връзка в съобщението на Комисията от 5 март 2025 г., озаглавено „Съюз на уменията“</w:t>
            </w:r>
            <w:r w:rsidRPr="002E3728">
              <w:rPr>
                <w:b/>
                <w:bCs/>
                <w:i/>
                <w:iCs/>
                <w:vertAlign w:val="superscript"/>
                <w:lang w:val="bg-BG"/>
              </w:rPr>
              <w:t>4</w:t>
            </w:r>
            <w:r w:rsidRPr="002E3728">
              <w:rPr>
                <w:lang w:val="bg-BG"/>
              </w:rPr>
              <w:t xml:space="preserve"> </w:t>
            </w:r>
            <w:r w:rsidRPr="002E3728">
              <w:rPr>
                <w:b/>
                <w:i/>
                <w:lang w:val="bg-BG"/>
              </w:rPr>
              <w:t>(„съобщението относно съюза на 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 Поради това, с цел да се улесни развитието на умения в областта на отбранителната промишленост, е целесъобразно включването на стимули за ЕСФ+, създаден с Регламент (ЕС) 2021/1057 на Европейския парламент и на Съвета</w:t>
            </w:r>
            <w:r w:rsidRPr="002E3728">
              <w:rPr>
                <w:b/>
                <w:i/>
                <w:vertAlign w:val="superscript"/>
                <w:lang w:val="bg-BG"/>
              </w:rPr>
              <w:t>5</w:t>
            </w:r>
            <w:r w:rsidRPr="002E3728">
              <w:rPr>
                <w:b/>
                <w:i/>
                <w:lang w:val="bg-BG"/>
              </w:rPr>
              <w:t>.</w:t>
            </w:r>
          </w:p>
        </w:tc>
        <w:tc>
          <w:tcPr>
            <w:tcW w:w="4876" w:type="dxa"/>
            <w:hideMark/>
          </w:tcPr>
          <w:p w:rsidR="005B0D0B" w:rsidRPr="002E3728" w:rsidRDefault="005B0D0B" w:rsidP="00C41D59">
            <w:pPr>
              <w:pStyle w:val="Normal6"/>
              <w:rPr>
                <w:szCs w:val="24"/>
                <w:lang w:val="bg-BG"/>
              </w:rPr>
            </w:pPr>
            <w:r w:rsidRPr="002E3728">
              <w:rPr>
                <w:b/>
                <w:i/>
                <w:lang w:val="bg-BG"/>
              </w:rPr>
              <w:lastRenderedPageBreak/>
              <w:t>заличава се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__________________</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3</w:t>
            </w:r>
            <w:r w:rsidRPr="002E3728">
              <w:rPr>
                <w:b/>
                <w:i/>
                <w:lang w:val="bg-BG"/>
              </w:rPr>
              <w:t xml:space="preserve"> Съвместна бяла книга за европейската отбранителна готовност до 2030 г., JOIN(2025) 120 final, 19.3.2025 г.</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4</w:t>
            </w:r>
            <w:r w:rsidRPr="002E3728">
              <w:rPr>
                <w:lang w:val="bg-BG"/>
              </w:rPr>
              <w:t xml:space="preserve"> </w:t>
            </w:r>
            <w:r w:rsidRPr="002E3728">
              <w:rPr>
                <w:b/>
                <w:i/>
                <w:lang w:val="bg-BG"/>
              </w:rPr>
              <w:t>COM(2025) 90 final</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5</w:t>
            </w:r>
            <w:r w:rsidRPr="002E3728">
              <w:rPr>
                <w:lang w:val="bg-BG"/>
              </w:rPr>
              <w:t xml:space="preserve"> </w:t>
            </w:r>
            <w:r w:rsidRPr="002E3728">
              <w:rPr>
                <w:b/>
                <w:i/>
                <w:lang w:val="bg-BG"/>
              </w:rPr>
              <w:t>Регламент (ЕС) 2021/1057 на Европейския парламент и на Съвета от 24 юни 2021 година за създаване на Европейски социален фонд плюс (ЕСФ+) и за отмяна на Регламент (ЕС) № 1296/2013 (OВ L 231, 30.6.2021 г., стр. 21, ELI: http://data.europa.eu/eli/reg/2021/1057/oj).</w:t>
            </w:r>
          </w:p>
        </w:tc>
        <w:tc>
          <w:tcPr>
            <w:tcW w:w="4876" w:type="dxa"/>
          </w:tcPr>
          <w:p w:rsidR="005B0D0B" w:rsidRPr="002E3728" w:rsidRDefault="005B0D0B" w:rsidP="00C41D59">
            <w:pPr>
              <w:pStyle w:val="Normal6"/>
              <w:rPr>
                <w:szCs w:val="24"/>
                <w:lang w:val="bg-BG"/>
              </w:rPr>
            </w:pP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Грегори Алион</w:t>
      </w:r>
      <w:r w:rsidRPr="002E3728">
        <w:t xml:space="preserve">, </w:t>
      </w:r>
      <w:r w:rsidR="00D04981" w:rsidRPr="002E3728">
        <w:t>Брижит Ван Ден Берг</w:t>
      </w:r>
      <w:r w:rsidRPr="002E3728">
        <w:t>, Мари-Пиер Ведрен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С Бялата книга за европейската отбранителна готовност до 2030 г.</w:t>
            </w:r>
            <w:r w:rsidRPr="002E3728">
              <w:rPr>
                <w:vertAlign w:val="superscript"/>
                <w:lang w:val="bg-BG"/>
              </w:rPr>
              <w:t>3</w:t>
            </w:r>
            <w:r w:rsidRPr="002E3728">
              <w:rPr>
                <w:lang w:val="bg-BG"/>
              </w:rPr>
              <w:t xml:space="preserve"> 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 </w:t>
            </w:r>
            <w:r w:rsidRPr="002E3728">
              <w:rPr>
                <w:b/>
                <w:i/>
                <w:lang w:val="bg-BG"/>
              </w:rPr>
              <w:t>и</w:t>
            </w:r>
            <w:r w:rsidRPr="002E3728">
              <w:rPr>
                <w:lang w:val="bg-BG"/>
              </w:rPr>
              <w:t xml:space="preserve"> отбранителната промишленост. В тази връзка в съобщението на Комисията от 5 март 2025 г., озаглавено „Съюз на уменията“</w:t>
            </w:r>
            <w:r w:rsidRPr="002E3728">
              <w:rPr>
                <w:vertAlign w:val="superscript"/>
                <w:lang w:val="bg-BG"/>
              </w:rPr>
              <w:t>4</w:t>
            </w:r>
            <w:r w:rsidRPr="002E3728">
              <w:rPr>
                <w:lang w:val="bg-BG"/>
              </w:rPr>
              <w:t xml:space="preserve"> („съобщението относно съюза на 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 Поради това, с цел да се улесни развитието на умения в областта на отбранителната промишленост, е целесъобразно включването на стимули за ЕСФ+, създаден с Регламент (ЕС) 2021/1057 на Европейския парламент и на Съвета</w:t>
            </w:r>
            <w:r w:rsidRPr="002E3728">
              <w:rPr>
                <w:vertAlign w:val="superscript"/>
                <w:lang w:val="bg-BG"/>
              </w:rPr>
              <w:t>5</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t>(2)</w:t>
            </w:r>
            <w:r w:rsidRPr="002E3728">
              <w:rPr>
                <w:lang w:val="bg-BG"/>
              </w:rPr>
              <w:tab/>
            </w:r>
            <w:r w:rsidRPr="002E3728">
              <w:rPr>
                <w:b/>
                <w:i/>
                <w:lang w:val="bg-BG"/>
              </w:rPr>
              <w:t>В допълнение към доклада на Нийнистьо, озаглавен „Заедно в по-голяма безопасност: укрепване на гражданската и военната готовност и подготвеност на Европа“</w:t>
            </w:r>
            <w:r w:rsidRPr="002E3728">
              <w:rPr>
                <w:b/>
                <w:i/>
                <w:vertAlign w:val="superscript"/>
                <w:lang w:val="bg-BG"/>
              </w:rPr>
              <w:t xml:space="preserve">2а </w:t>
            </w:r>
            <w:r w:rsidRPr="002E3728">
              <w:rPr>
                <w:b/>
                <w:i/>
                <w:lang w:val="bg-BG"/>
              </w:rPr>
              <w:t>и на европейската стратегия за Съюз на подготвеност</w:t>
            </w:r>
            <w:r w:rsidRPr="002E3728">
              <w:rPr>
                <w:b/>
                <w:i/>
                <w:vertAlign w:val="superscript"/>
                <w:lang w:val="bg-BG"/>
              </w:rPr>
              <w:t>2б</w:t>
            </w:r>
            <w:r w:rsidRPr="002E3728">
              <w:rPr>
                <w:b/>
                <w:i/>
                <w:lang w:val="bg-BG"/>
              </w:rPr>
              <w:t xml:space="preserve">, </w:t>
            </w:r>
            <w:r w:rsidRPr="002E3728">
              <w:rPr>
                <w:lang w:val="bg-BG"/>
              </w:rPr>
              <w:t>с Бялата книга за европейската отбранителна готовност до 2030 г.</w:t>
            </w:r>
            <w:r w:rsidRPr="002E3728">
              <w:rPr>
                <w:vertAlign w:val="superscript"/>
                <w:lang w:val="bg-BG"/>
              </w:rPr>
              <w:t>3</w:t>
            </w:r>
            <w:r w:rsidRPr="002E3728">
              <w:rPr>
                <w:lang w:val="bg-BG"/>
              </w:rPr>
              <w:t xml:space="preserve"> 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w:t>
            </w:r>
            <w:r w:rsidRPr="002E3728">
              <w:rPr>
                <w:b/>
                <w:i/>
                <w:lang w:val="bg-BG"/>
              </w:rPr>
              <w:t>, гражданската защита,</w:t>
            </w:r>
            <w:r w:rsidRPr="002E3728">
              <w:rPr>
                <w:lang w:val="bg-BG"/>
              </w:rPr>
              <w:t xml:space="preserve"> отбранителната промишленост </w:t>
            </w:r>
            <w:r w:rsidRPr="002E3728">
              <w:rPr>
                <w:b/>
                <w:i/>
                <w:lang w:val="bg-BG"/>
              </w:rPr>
              <w:t>и в технологиите с двойна употреба, които следва да вървят ръка за ръка със социалните разходи, като се създават възможности за заетост и за повишаване на квалификацията и преквалификация</w:t>
            </w:r>
            <w:r w:rsidRPr="002E3728">
              <w:rPr>
                <w:lang w:val="bg-BG"/>
              </w:rPr>
              <w:t>. В тази връзка в съобщението на Комисията от 5 март 2025 г., озаглавено „Съюз на уменията“</w:t>
            </w:r>
            <w:r w:rsidRPr="002E3728">
              <w:rPr>
                <w:vertAlign w:val="superscript"/>
                <w:lang w:val="bg-BG"/>
              </w:rPr>
              <w:t>4</w:t>
            </w:r>
            <w:r w:rsidRPr="002E3728">
              <w:rPr>
                <w:lang w:val="bg-BG"/>
              </w:rPr>
              <w:t xml:space="preserve"> („съобщението относно съюза на 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w:t>
            </w:r>
            <w:r w:rsidRPr="002E3728">
              <w:rPr>
                <w:b/>
                <w:i/>
                <w:lang w:val="bg-BG"/>
              </w:rPr>
              <w:t xml:space="preserve">, взаимно признаване на квалификации и дипломи, трудова мобилност и инициативи в областта на професионалното образование и обучение. С цел да се даде възможност на държавите членки да постигнат целите на настоящия регламент, следва да се насърчава сътрудничеството между публични и частни участници, както и активното участие на социалните партньори, включително синдикални организации и организации на </w:t>
            </w:r>
            <w:r w:rsidRPr="002E3728">
              <w:rPr>
                <w:b/>
                <w:i/>
                <w:lang w:val="bg-BG"/>
              </w:rPr>
              <w:lastRenderedPageBreak/>
              <w:t xml:space="preserve">работодателите, за да се гарантира приобщаващ и устойчив растеж. </w:t>
            </w:r>
            <w:r w:rsidRPr="002E3728">
              <w:rPr>
                <w:b/>
                <w:bCs/>
                <w:i/>
                <w:iCs/>
                <w:lang w:val="bg-BG"/>
              </w:rPr>
              <w:t>За</w:t>
            </w:r>
            <w:r w:rsidRPr="002E3728">
              <w:rPr>
                <w:b/>
                <w:i/>
                <w:lang w:val="bg-BG"/>
              </w:rPr>
              <w:t xml:space="preserve"> да се даде възможност на държавите членки да извършват значимо и справедливо препрограмиране и да насочат ресурси към стратегически участници, е целесъобразно да се подкрепят малките и средните предприятия и стартиращите предприятия в тяхната решаваща роля за иновациите, икономическата динамика и създаването на работни места, като се обръща специално внимание на намаляването на пречките пред тяхното участие и на улесняването на техния достъп до ресурси и възможности</w:t>
            </w:r>
            <w:r w:rsidRPr="002E3728">
              <w:rPr>
                <w:lang w:val="bg-BG"/>
              </w:rPr>
              <w:t xml:space="preserve">. Поради това, с цел да се улесни развитието на умения </w:t>
            </w:r>
            <w:r w:rsidRPr="002E3728">
              <w:rPr>
                <w:b/>
                <w:i/>
                <w:lang w:val="bg-BG"/>
              </w:rPr>
              <w:t>и обучението</w:t>
            </w:r>
            <w:r w:rsidRPr="002E3728">
              <w:rPr>
                <w:lang w:val="bg-BG"/>
              </w:rPr>
              <w:t xml:space="preserve"> в областта на </w:t>
            </w:r>
            <w:r w:rsidRPr="002E3728">
              <w:rPr>
                <w:b/>
                <w:i/>
                <w:lang w:val="bg-BG"/>
              </w:rPr>
              <w:t>гражданската защита и</w:t>
            </w:r>
            <w:r w:rsidRPr="002E3728">
              <w:rPr>
                <w:lang w:val="bg-BG"/>
              </w:rPr>
              <w:t xml:space="preserve"> отбранителната промишленост</w:t>
            </w:r>
            <w:r w:rsidRPr="002E3728">
              <w:rPr>
                <w:b/>
                <w:i/>
                <w:lang w:val="bg-BG"/>
              </w:rPr>
              <w:t>, като същевременно се отстояват социалните стандарти</w:t>
            </w:r>
            <w:r w:rsidRPr="002E3728">
              <w:rPr>
                <w:lang w:val="bg-BG"/>
              </w:rPr>
              <w:t>, е целесъобразно включването на стимули за ЕСФ+, създаден с Регламент (ЕС) 2021/1057 на Европейския парламент и на Съвета</w:t>
            </w:r>
            <w:r w:rsidRPr="002E3728">
              <w:rPr>
                <w:vertAlign w:val="superscript"/>
                <w:lang w:val="bg-BG"/>
              </w:rPr>
              <w:t>5</w:t>
            </w:r>
            <w:r w:rsidRPr="002E3728">
              <w:rPr>
                <w:lang w:val="bg-BG"/>
              </w:rPr>
              <w:t>.</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lastRenderedPageBreak/>
              <w:t>__________________</w:t>
            </w:r>
          </w:p>
        </w:tc>
        <w:tc>
          <w:tcPr>
            <w:tcW w:w="4876" w:type="dxa"/>
            <w:hideMark/>
          </w:tcPr>
          <w:p w:rsidR="005B0D0B" w:rsidRPr="002E3728" w:rsidRDefault="005B0D0B" w:rsidP="00C41D59">
            <w:pPr>
              <w:pStyle w:val="Normal6"/>
              <w:rPr>
                <w:szCs w:val="24"/>
                <w:lang w:val="bg-BG"/>
              </w:rPr>
            </w:pPr>
            <w:r w:rsidRPr="002E3728">
              <w:rPr>
                <w:lang w:val="bg-BG"/>
              </w:rPr>
              <w:t>__________________</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vertAlign w:val="superscript"/>
                <w:lang w:val="bg-BG"/>
              </w:rPr>
              <w:t xml:space="preserve">2a </w:t>
            </w:r>
            <w:r w:rsidRPr="002E3728">
              <w:rPr>
                <w:b/>
                <w:i/>
                <w:lang w:val="bg-BG"/>
              </w:rPr>
              <w:t>Саули Нийнистьо, Доклад: Safer Together — Strengthening Europe’s Civilian and Military Preparedness and Readines („Заедно в по-голяма безопасност – укрепване на гражданската и военната готовност и подготвеност на Европа“), 30.10.2024 г.</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vertAlign w:val="superscript"/>
                <w:lang w:val="bg-BG"/>
              </w:rPr>
              <w:t>2б</w:t>
            </w:r>
            <w:r w:rsidRPr="002E3728">
              <w:rPr>
                <w:b/>
                <w:i/>
                <w:lang w:val="bg-BG"/>
              </w:rPr>
              <w:t xml:space="preserve"> СЪВМЕСТНО СЪОБЩЕНИЕ ДО ЕВРОПЕЙСКИЯ ПАРЛАМЕНТ, ЕВРОПЕЙСКИЯ СЪВЕТ, СЪВЕТА, ЕВРОПЕЙСКИЯ ИКОНОМИЧЕСКИ И СОЦИАЛЕН КОМИТЕТ И КОМИТЕТА НА РЕГИОНИТЕ относно европейската стратегия за Съюз на подготвеност, JOIN(2025) 130 final</w:t>
            </w:r>
            <w:r w:rsidRPr="002E3728">
              <w:rPr>
                <w:lang w:val="bg-BG"/>
              </w:rPr>
              <w:t xml:space="preserve">, </w:t>
            </w:r>
            <w:r w:rsidRPr="002E3728">
              <w:rPr>
                <w:b/>
                <w:i/>
                <w:lang w:val="bg-BG"/>
              </w:rPr>
              <w:t>23</w:t>
            </w:r>
            <w:r w:rsidRPr="002E3728">
              <w:rPr>
                <w:lang w:val="bg-BG"/>
              </w:rPr>
              <w:t>.</w:t>
            </w:r>
            <w:r w:rsidRPr="002E3728">
              <w:rPr>
                <w:b/>
                <w:i/>
                <w:lang w:val="bg-BG"/>
              </w:rPr>
              <w:t>3</w:t>
            </w:r>
            <w:r w:rsidRPr="002E3728">
              <w:rPr>
                <w:lang w:val="bg-BG"/>
              </w:rPr>
              <w:t>.</w:t>
            </w:r>
            <w:r w:rsidRPr="002E3728">
              <w:rPr>
                <w:b/>
                <w:i/>
                <w:lang w:val="bg-BG"/>
              </w:rPr>
              <w:t>2025 г</w:t>
            </w:r>
            <w:r w:rsidRPr="002E3728">
              <w:rPr>
                <w:lang w:val="bg-BG"/>
              </w:rPr>
              <w:t>.</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3</w:t>
            </w:r>
            <w:r w:rsidRPr="002E3728">
              <w:rPr>
                <w:lang w:val="bg-BG"/>
              </w:rPr>
              <w:t xml:space="preserve"> Съвместна бяла книга за европейската отбранителна готовност до 2030 г., </w:t>
            </w:r>
            <w:r w:rsidRPr="002E3728">
              <w:rPr>
                <w:lang w:val="bg-BG"/>
              </w:rPr>
              <w:lastRenderedPageBreak/>
              <w:t>JOIN(2025) 120 final, 19.3.2025.</w:t>
            </w:r>
          </w:p>
        </w:tc>
        <w:tc>
          <w:tcPr>
            <w:tcW w:w="4876" w:type="dxa"/>
            <w:hideMark/>
          </w:tcPr>
          <w:p w:rsidR="005B0D0B" w:rsidRPr="002E3728" w:rsidRDefault="005B0D0B" w:rsidP="00C41D59">
            <w:pPr>
              <w:pStyle w:val="Normal6"/>
              <w:rPr>
                <w:szCs w:val="24"/>
                <w:lang w:val="bg-BG"/>
              </w:rPr>
            </w:pPr>
            <w:r w:rsidRPr="002E3728">
              <w:rPr>
                <w:vertAlign w:val="superscript"/>
                <w:lang w:val="bg-BG"/>
              </w:rPr>
              <w:lastRenderedPageBreak/>
              <w:t>3</w:t>
            </w:r>
            <w:r w:rsidRPr="002E3728">
              <w:rPr>
                <w:lang w:val="bg-BG"/>
              </w:rPr>
              <w:t xml:space="preserve"> Съвместна бяла книга за европейската отбранителна готовност до 2030 г., </w:t>
            </w:r>
            <w:r w:rsidRPr="002E3728">
              <w:rPr>
                <w:lang w:val="bg-BG"/>
              </w:rPr>
              <w:lastRenderedPageBreak/>
              <w:t>JOIN(2025) 120 final, 19.3.2025.</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lastRenderedPageBreak/>
              <w:t>4</w:t>
            </w:r>
            <w:r w:rsidRPr="002E3728">
              <w:rPr>
                <w:lang w:val="bg-BG"/>
              </w:rPr>
              <w:t xml:space="preserve"> COM(2025) 90 final</w:t>
            </w:r>
          </w:p>
        </w:tc>
        <w:tc>
          <w:tcPr>
            <w:tcW w:w="4876" w:type="dxa"/>
            <w:hideMark/>
          </w:tcPr>
          <w:p w:rsidR="005B0D0B" w:rsidRPr="002E3728" w:rsidRDefault="005B0D0B" w:rsidP="00C41D59">
            <w:pPr>
              <w:pStyle w:val="Normal6"/>
              <w:rPr>
                <w:szCs w:val="24"/>
                <w:lang w:val="bg-BG"/>
              </w:rPr>
            </w:pPr>
            <w:r w:rsidRPr="002E3728">
              <w:rPr>
                <w:vertAlign w:val="superscript"/>
                <w:lang w:val="bg-BG"/>
              </w:rPr>
              <w:t>4</w:t>
            </w:r>
            <w:r w:rsidRPr="002E3728">
              <w:rPr>
                <w:lang w:val="bg-BG"/>
              </w:rPr>
              <w:t xml:space="preserve"> COM(2025) 90 final</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 (OВ L 231, 30.6.2021 г., стр. 21, ELI: http://data.europa.eu/eli/reg/2021/1057/oj).</w:t>
            </w:r>
          </w:p>
        </w:tc>
        <w:tc>
          <w:tcPr>
            <w:tcW w:w="4876" w:type="dxa"/>
            <w:hideMark/>
          </w:tcPr>
          <w:p w:rsidR="005B0D0B" w:rsidRPr="002E3728" w:rsidRDefault="005B0D0B" w:rsidP="00C41D59">
            <w:pPr>
              <w:pStyle w:val="Normal6"/>
              <w:rPr>
                <w:szCs w:val="24"/>
                <w:lang w:val="bg-BG"/>
              </w:rPr>
            </w:pPr>
            <w:r w:rsidRPr="002E3728">
              <w:rPr>
                <w:vertAlign w:val="superscript"/>
                <w:lang w:val="bg-BG"/>
              </w:rPr>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 (OВ L 231, 30.6.2021 г., стр. 21, ELI: http://data.europa.eu/eli/reg/2021/1057/oj).</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С Бялата книга за европейската отбранителна готовност до 2030 г.</w:t>
            </w:r>
            <w:r w:rsidRPr="002E3728">
              <w:rPr>
                <w:vertAlign w:val="superscript"/>
                <w:lang w:val="bg-BG"/>
              </w:rPr>
              <w:t>3</w:t>
            </w:r>
            <w:r w:rsidRPr="002E3728">
              <w:rPr>
                <w:lang w:val="bg-BG"/>
              </w:rPr>
              <w:t xml:space="preserve"> 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 и </w:t>
            </w:r>
            <w:r w:rsidRPr="002E3728">
              <w:rPr>
                <w:b/>
                <w:i/>
                <w:lang w:val="bg-BG"/>
              </w:rPr>
              <w:t>отбранителната промишленост</w:t>
            </w:r>
            <w:r w:rsidRPr="002E3728">
              <w:rPr>
                <w:lang w:val="bg-BG"/>
              </w:rPr>
              <w:t>. В тази връзка в съобщението на Комисията от 5 март 2025 г., озаглавено „Съюз на уменията“</w:t>
            </w:r>
            <w:r w:rsidRPr="002E3728">
              <w:rPr>
                <w:vertAlign w:val="superscript"/>
                <w:lang w:val="bg-BG"/>
              </w:rPr>
              <w:t>4</w:t>
            </w:r>
            <w:r w:rsidRPr="002E3728">
              <w:rPr>
                <w:lang w:val="bg-BG"/>
              </w:rPr>
              <w:t xml:space="preserve"> („съобщението относно съюза на уменията“), се определят действия за преодоляване на празнотите в уменията и на недостига на умения в Съюза, </w:t>
            </w:r>
            <w:r w:rsidRPr="002E3728">
              <w:rPr>
                <w:b/>
                <w:i/>
                <w:lang w:val="bg-BG"/>
              </w:rPr>
              <w:t>също така</w:t>
            </w:r>
            <w:r w:rsidRPr="002E3728">
              <w:rPr>
                <w:lang w:val="bg-BG"/>
              </w:rPr>
              <w:t xml:space="preserve"> чрез </w:t>
            </w:r>
            <w:r w:rsidRPr="002E3728">
              <w:rPr>
                <w:b/>
                <w:i/>
                <w:lang w:val="bg-BG"/>
              </w:rPr>
              <w:t xml:space="preserve">посочената във въпросното съобщение инициатива </w:t>
            </w:r>
            <w:r w:rsidRPr="002E3728">
              <w:rPr>
                <w:lang w:val="bg-BG"/>
              </w:rPr>
              <w:t xml:space="preserve">„Пакт за умения“, и </w:t>
            </w:r>
            <w:r w:rsidRPr="002E3728">
              <w:rPr>
                <w:b/>
                <w:i/>
                <w:lang w:val="bg-BG"/>
              </w:rPr>
              <w:t xml:space="preserve">неговите </w:t>
            </w:r>
            <w:r w:rsidRPr="002E3728">
              <w:rPr>
                <w:lang w:val="bg-BG"/>
              </w:rPr>
              <w:t xml:space="preserve">широкомащабни партньорства, включително едно относно отбранителната екосистема. Поради това, с цел да се улесни развитието на умения в областта на отбранителната промишленост, е целесъобразно включването на стимули за ЕСФ+, създаден с Регламент (ЕС) 2021/1057 на </w:t>
            </w:r>
            <w:r w:rsidRPr="002E3728">
              <w:rPr>
                <w:lang w:val="bg-BG"/>
              </w:rPr>
              <w:lastRenderedPageBreak/>
              <w:t>Европейския парламент и на Съвета</w:t>
            </w:r>
            <w:r w:rsidRPr="002E3728">
              <w:rPr>
                <w:vertAlign w:val="superscript"/>
                <w:lang w:val="bg-BG"/>
              </w:rPr>
              <w:t>5</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lastRenderedPageBreak/>
              <w:t>(2)</w:t>
            </w:r>
            <w:r w:rsidRPr="002E3728">
              <w:rPr>
                <w:lang w:val="bg-BG"/>
              </w:rPr>
              <w:tab/>
              <w:t>С Бялата книга за европейската отбранителна готовност до 2030 г.</w:t>
            </w:r>
            <w:r w:rsidRPr="002E3728">
              <w:rPr>
                <w:vertAlign w:val="superscript"/>
                <w:lang w:val="bg-BG"/>
              </w:rPr>
              <w:t xml:space="preserve">3 </w:t>
            </w:r>
            <w:r w:rsidRPr="002E3728">
              <w:rPr>
                <w:lang w:val="bg-BG"/>
              </w:rPr>
              <w:t>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w:t>
            </w:r>
            <w:r w:rsidRPr="002E3728">
              <w:rPr>
                <w:b/>
                <w:i/>
                <w:lang w:val="bg-BG"/>
              </w:rPr>
              <w:t>, отбранителната промишленост</w:t>
            </w:r>
            <w:r w:rsidRPr="002E3728">
              <w:rPr>
                <w:lang w:val="bg-BG"/>
              </w:rPr>
              <w:t xml:space="preserve"> и </w:t>
            </w:r>
            <w:r w:rsidRPr="002E3728">
              <w:rPr>
                <w:b/>
                <w:i/>
                <w:lang w:val="bg-BG"/>
              </w:rPr>
              <w:t>в технологиите с двойна употреба, които би следвало да вървят ръка за ръка със социалните разходи, като се създават възможности за заетост и повишаване на квалификацията и преквалификация</w:t>
            </w:r>
            <w:r w:rsidRPr="002E3728">
              <w:rPr>
                <w:lang w:val="bg-BG"/>
              </w:rPr>
              <w:t>. В тази връзка в съобщението на Комисията от 5 март 2025 г., озаглавено „Съюз на уменията“</w:t>
            </w:r>
            <w:r w:rsidRPr="002E3728">
              <w:rPr>
                <w:vertAlign w:val="superscript"/>
                <w:lang w:val="bg-BG"/>
              </w:rPr>
              <w:t xml:space="preserve">4 </w:t>
            </w:r>
            <w:r w:rsidRPr="002E3728">
              <w:rPr>
                <w:lang w:val="bg-BG"/>
              </w:rPr>
              <w:t xml:space="preserve">(„съобщението относно съюза на уменията“), се определят действия за преодоляване на празнотите в уменията и на недостига на умения в Съюза чрез </w:t>
            </w:r>
            <w:r w:rsidRPr="002E3728">
              <w:rPr>
                <w:b/>
                <w:i/>
                <w:lang w:val="bg-BG"/>
              </w:rPr>
              <w:t xml:space="preserve">инициативата </w:t>
            </w:r>
            <w:r w:rsidRPr="002E3728">
              <w:rPr>
                <w:lang w:val="bg-BG"/>
              </w:rPr>
              <w:t>„Пакт за умения“, широкомащабни партньорства, включително едно относно отбранителната екосистема</w:t>
            </w:r>
            <w:r w:rsidRPr="002E3728">
              <w:rPr>
                <w:b/>
                <w:i/>
                <w:lang w:val="bg-BG"/>
              </w:rPr>
              <w:t xml:space="preserve">, взаимно признаване на квалификации и </w:t>
            </w:r>
            <w:r w:rsidRPr="002E3728">
              <w:rPr>
                <w:b/>
                <w:i/>
                <w:lang w:val="bg-BG"/>
              </w:rPr>
              <w:lastRenderedPageBreak/>
              <w:t>дипломи, трудова мобилност и инициативи в професионалното образование и обучение. С цел да се даде възможност на държавите членки да постигнат целите на настоящия регламент, следва да се насърчава сътрудничеството между публични и частни участници, както и активното участие на социалните партньори, включително синдикални организации и организации на работодателите, за да се гарантира приобщаващ и устойчив растеж. С цел да се даде възможност на държавите членки да извършат значимо и справедливо препрограмиране и да насочат ресурси към стратегически участници, е целесъобразно да се подкрепят малките и средните предприятия и стартиращите предприятия в тяхната решаваща роля за иновациите, икономическата динамика и създаването на работни места, като се отделя особено внимание на намаляването на пречките пред тяхното участие и на улесняването на техния достъп до ресурси и възможности.</w:t>
            </w:r>
            <w:r w:rsidRPr="002E3728">
              <w:rPr>
                <w:lang w:val="bg-BG"/>
              </w:rPr>
              <w:t xml:space="preserve"> Поради това, с цел да се улесни развитието на умения </w:t>
            </w:r>
            <w:r w:rsidRPr="002E3728">
              <w:rPr>
                <w:b/>
                <w:i/>
                <w:lang w:val="bg-BG"/>
              </w:rPr>
              <w:t>и обучението</w:t>
            </w:r>
            <w:r w:rsidRPr="002E3728">
              <w:rPr>
                <w:lang w:val="bg-BG"/>
              </w:rPr>
              <w:t xml:space="preserve"> в областта на отбранителната промишленост</w:t>
            </w:r>
            <w:r w:rsidRPr="002E3728">
              <w:rPr>
                <w:b/>
                <w:i/>
                <w:lang w:val="bg-BG"/>
              </w:rPr>
              <w:t>, като същевременно се отстояват социалните стандарти</w:t>
            </w:r>
            <w:r w:rsidRPr="002E3728">
              <w:rPr>
                <w:lang w:val="bg-BG"/>
              </w:rPr>
              <w:t>, е целесъобразно включването на стимули за ЕСФ+, създаден с Регламент (ЕС) 2021/1057 на Европейския парламент и на Съвета</w:t>
            </w:r>
            <w:r w:rsidRPr="002E3728">
              <w:rPr>
                <w:vertAlign w:val="superscript"/>
                <w:lang w:val="bg-BG"/>
              </w:rPr>
              <w:t>5</w:t>
            </w:r>
            <w:r w:rsidRPr="002E3728">
              <w:rPr>
                <w:lang w:val="bg-BG"/>
              </w:rPr>
              <w:t>.</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lastRenderedPageBreak/>
              <w:t>__________________</w:t>
            </w:r>
          </w:p>
        </w:tc>
        <w:tc>
          <w:tcPr>
            <w:tcW w:w="4876" w:type="dxa"/>
            <w:hideMark/>
          </w:tcPr>
          <w:p w:rsidR="005B0D0B" w:rsidRPr="002E3728" w:rsidRDefault="005B0D0B" w:rsidP="00C41D59">
            <w:pPr>
              <w:pStyle w:val="Normal6"/>
              <w:rPr>
                <w:szCs w:val="24"/>
                <w:lang w:val="bg-BG"/>
              </w:rPr>
            </w:pPr>
            <w:r w:rsidRPr="002E3728">
              <w:rPr>
                <w:lang w:val="bg-BG"/>
              </w:rPr>
              <w:t>__________________</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3</w:t>
            </w:r>
            <w:r w:rsidRPr="002E3728">
              <w:rPr>
                <w:lang w:val="bg-BG"/>
              </w:rPr>
              <w:t xml:space="preserve"> Съвместна бяла книга за европейската отбранителна готовност до 2030 г., JOIN(2025) 120 final, 19.3.2025.</w:t>
            </w:r>
          </w:p>
        </w:tc>
        <w:tc>
          <w:tcPr>
            <w:tcW w:w="4876" w:type="dxa"/>
            <w:hideMark/>
          </w:tcPr>
          <w:p w:rsidR="005B0D0B" w:rsidRPr="002E3728" w:rsidRDefault="005B0D0B" w:rsidP="00C41D59">
            <w:pPr>
              <w:pStyle w:val="Normal6"/>
              <w:rPr>
                <w:szCs w:val="24"/>
                <w:lang w:val="bg-BG"/>
              </w:rPr>
            </w:pPr>
            <w:r w:rsidRPr="002E3728">
              <w:rPr>
                <w:vertAlign w:val="superscript"/>
                <w:lang w:val="bg-BG"/>
              </w:rPr>
              <w:t>3</w:t>
            </w:r>
            <w:r w:rsidRPr="002E3728">
              <w:rPr>
                <w:lang w:val="bg-BG"/>
              </w:rPr>
              <w:t xml:space="preserve"> Съвместна бяла книга за европейската отбранителна готовност до 2030 г., JOIN(2025) 120 final, 19.3.2025.</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4</w:t>
            </w:r>
            <w:r w:rsidRPr="002E3728">
              <w:rPr>
                <w:lang w:val="bg-BG"/>
              </w:rPr>
              <w:t xml:space="preserve"> COM(2025) 90 final</w:t>
            </w:r>
          </w:p>
        </w:tc>
        <w:tc>
          <w:tcPr>
            <w:tcW w:w="4876" w:type="dxa"/>
            <w:hideMark/>
          </w:tcPr>
          <w:p w:rsidR="005B0D0B" w:rsidRPr="002E3728" w:rsidRDefault="005B0D0B" w:rsidP="00C41D59">
            <w:pPr>
              <w:pStyle w:val="Normal6"/>
              <w:rPr>
                <w:szCs w:val="24"/>
                <w:lang w:val="bg-BG"/>
              </w:rPr>
            </w:pPr>
            <w:r w:rsidRPr="002E3728">
              <w:rPr>
                <w:vertAlign w:val="superscript"/>
                <w:lang w:val="bg-BG"/>
              </w:rPr>
              <w:t>4</w:t>
            </w:r>
            <w:r w:rsidRPr="002E3728">
              <w:rPr>
                <w:lang w:val="bg-BG"/>
              </w:rPr>
              <w:t xml:space="preserve"> COM(2025) 90 final</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w:t>
            </w:r>
            <w:r w:rsidRPr="002E3728">
              <w:rPr>
                <w:lang w:val="bg-BG"/>
              </w:rPr>
              <w:lastRenderedPageBreak/>
              <w:t>(ЕСФ+) и за отмяна на Регламент (ЕС) № 1296/2013 (OВ L 231, 30.6.2021 г., стр. 21, ELI: http://data.europa.eu/eli/reg/2021/1057/oj).</w:t>
            </w:r>
          </w:p>
        </w:tc>
        <w:tc>
          <w:tcPr>
            <w:tcW w:w="4876" w:type="dxa"/>
            <w:hideMark/>
          </w:tcPr>
          <w:p w:rsidR="005B0D0B" w:rsidRPr="002E3728" w:rsidRDefault="005B0D0B" w:rsidP="00C41D59">
            <w:pPr>
              <w:pStyle w:val="Normal6"/>
              <w:rPr>
                <w:szCs w:val="24"/>
                <w:lang w:val="bg-BG"/>
              </w:rPr>
            </w:pPr>
            <w:r w:rsidRPr="002E3728">
              <w:rPr>
                <w:vertAlign w:val="superscript"/>
                <w:lang w:val="bg-BG"/>
              </w:rPr>
              <w:lastRenderedPageBreak/>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w:t>
            </w:r>
            <w:r w:rsidRPr="002E3728">
              <w:rPr>
                <w:lang w:val="bg-BG"/>
              </w:rPr>
              <w:lastRenderedPageBreak/>
              <w:t>(ЕСФ+) и за отмяна на Регламент (ЕС) № 1296/2013 (OВ L 231, 30.6.2021 г., стр. 21, ELI: http://data.europa.eu/eli/reg/2021/1057/oj).</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С Бялата книга за европейската отбранителна готовност до 2030 г.</w:t>
            </w:r>
            <w:r w:rsidRPr="002E3728">
              <w:rPr>
                <w:vertAlign w:val="superscript"/>
                <w:lang w:val="bg-BG"/>
              </w:rPr>
              <w:t xml:space="preserve">3 </w:t>
            </w:r>
            <w:r w:rsidRPr="002E3728">
              <w:rPr>
                <w:lang w:val="bg-BG"/>
              </w:rPr>
              <w:t>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 и отбранителната промишленост. В тази връзка в съобщението на Комисията от 5 март 2025 г., озаглавено „Съюз на уменията“</w:t>
            </w:r>
            <w:r w:rsidRPr="002E3728">
              <w:rPr>
                <w:vertAlign w:val="superscript"/>
                <w:lang w:val="bg-BG"/>
              </w:rPr>
              <w:t>4</w:t>
            </w:r>
            <w:r w:rsidRPr="002E3728">
              <w:rPr>
                <w:lang w:val="bg-BG"/>
              </w:rPr>
              <w:t xml:space="preserve"> („съобщението относно съюза на 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 </w:t>
            </w:r>
            <w:r w:rsidRPr="002E3728">
              <w:rPr>
                <w:b/>
                <w:i/>
                <w:lang w:val="bg-BG"/>
              </w:rPr>
              <w:t>Поради това</w:t>
            </w:r>
            <w:r w:rsidRPr="002E3728">
              <w:rPr>
                <w:lang w:val="bg-BG"/>
              </w:rPr>
              <w:t xml:space="preserve">, с цел да се улесни развитието на умения в областта на отбранителната промишленост, </w:t>
            </w:r>
            <w:r w:rsidRPr="002E3728">
              <w:rPr>
                <w:b/>
                <w:i/>
                <w:lang w:val="bg-BG"/>
              </w:rPr>
              <w:t>е целесъобразно включването на стимули за</w:t>
            </w:r>
            <w:r w:rsidRPr="002E3728">
              <w:rPr>
                <w:lang w:val="bg-BG"/>
              </w:rPr>
              <w:t xml:space="preserve"> ЕСФ+, създаден с Регламент (ЕС) 2021/1057 на Европейския парламент и на Съвета</w:t>
            </w:r>
            <w:r w:rsidRPr="002E3728">
              <w:rPr>
                <w:vertAlign w:val="superscript"/>
                <w:lang w:val="bg-BG"/>
              </w:rPr>
              <w:t>5</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t>(2)</w:t>
            </w:r>
            <w:r w:rsidRPr="002E3728">
              <w:rPr>
                <w:lang w:val="bg-BG"/>
              </w:rPr>
              <w:tab/>
              <w:t>С Бялата книга за европейската отбранителна готовност до 2030 г.</w:t>
            </w:r>
            <w:r w:rsidRPr="002E3728">
              <w:rPr>
                <w:vertAlign w:val="superscript"/>
                <w:lang w:val="bg-BG"/>
              </w:rPr>
              <w:t xml:space="preserve">3 </w:t>
            </w:r>
            <w:r w:rsidRPr="002E3728">
              <w:rPr>
                <w:lang w:val="bg-BG"/>
              </w:rPr>
              <w:t>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 и отбранителната промишленост. В тази връзка в съобщението на Комисията от 5 март 2025 г., озаглавено „Съюз на уменията“</w:t>
            </w:r>
            <w:r w:rsidRPr="002E3728">
              <w:rPr>
                <w:vertAlign w:val="superscript"/>
                <w:lang w:val="bg-BG"/>
              </w:rPr>
              <w:t xml:space="preserve">4 </w:t>
            </w:r>
            <w:r w:rsidRPr="002E3728">
              <w:rPr>
                <w:lang w:val="bg-BG"/>
              </w:rPr>
              <w:t xml:space="preserve">(„съобщението относно съюза на 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 </w:t>
            </w:r>
            <w:r w:rsidRPr="002E3728">
              <w:rPr>
                <w:b/>
                <w:i/>
                <w:lang w:val="bg-BG"/>
              </w:rPr>
              <w:t>Европейският съюз и неговите държави членки реагират на геополитическите събития и желаят да използват необходимите финансови ресурси, за да укрепят своята отбранителна промишленост чрез различни европейски и национални програми.</w:t>
            </w:r>
            <w:r w:rsidRPr="002E3728">
              <w:rPr>
                <w:lang w:val="bg-BG"/>
              </w:rPr>
              <w:t xml:space="preserve"> </w:t>
            </w:r>
            <w:r w:rsidRPr="002E3728">
              <w:rPr>
                <w:b/>
                <w:i/>
                <w:lang w:val="bg-BG"/>
              </w:rPr>
              <w:t xml:space="preserve">Важно е да се укрепи нашият сектор на отбраната, като същевременно продължава инвестирането в социалното </w:t>
            </w:r>
            <w:r w:rsidRPr="002E3728">
              <w:rPr>
                <w:b/>
                <w:i/>
                <w:lang w:val="bg-BG"/>
              </w:rPr>
              <w:lastRenderedPageBreak/>
              <w:t>приобщаване и сближаването на Съюза ни по линия на ЕСФ+</w:t>
            </w:r>
            <w:r w:rsidRPr="002E3728">
              <w:rPr>
                <w:lang w:val="bg-BG"/>
              </w:rPr>
              <w:t xml:space="preserve"> с цел да се улесни развитието на умения в областта на отбранителната промишленост, </w:t>
            </w:r>
            <w:r w:rsidRPr="002E3728">
              <w:rPr>
                <w:b/>
                <w:i/>
                <w:lang w:val="bg-BG"/>
              </w:rPr>
              <w:t>като държавите членки вече могат да използват</w:t>
            </w:r>
            <w:r w:rsidRPr="002E3728">
              <w:rPr>
                <w:lang w:val="bg-BG"/>
              </w:rPr>
              <w:t xml:space="preserve"> ЕСФ+, създаден с Регламент (ЕС) 2021/1057 на Европейския парламент и на Съвета</w:t>
            </w:r>
            <w:r w:rsidRPr="002E3728">
              <w:rPr>
                <w:vertAlign w:val="superscript"/>
                <w:lang w:val="bg-BG"/>
              </w:rPr>
              <w:t>5</w:t>
            </w:r>
            <w:r w:rsidRPr="002E3728">
              <w:rPr>
                <w:lang w:val="bg-BG"/>
              </w:rPr>
              <w:t>.</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lastRenderedPageBreak/>
              <w:t>__________________</w:t>
            </w:r>
          </w:p>
        </w:tc>
        <w:tc>
          <w:tcPr>
            <w:tcW w:w="4876" w:type="dxa"/>
            <w:hideMark/>
          </w:tcPr>
          <w:p w:rsidR="005B0D0B" w:rsidRPr="002E3728" w:rsidRDefault="005B0D0B" w:rsidP="00C41D59">
            <w:pPr>
              <w:pStyle w:val="Normal6"/>
              <w:rPr>
                <w:szCs w:val="24"/>
                <w:lang w:val="bg-BG"/>
              </w:rPr>
            </w:pPr>
            <w:r w:rsidRPr="002E3728">
              <w:rPr>
                <w:lang w:val="bg-BG"/>
              </w:rPr>
              <w:t>__________________</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3</w:t>
            </w:r>
            <w:r w:rsidRPr="002E3728">
              <w:rPr>
                <w:lang w:val="bg-BG"/>
              </w:rPr>
              <w:t xml:space="preserve"> Съвместна бяла книга за европейската отбранителна готовност до 2030 г., JOIN(2025) 120 final, 19.3.2025.</w:t>
            </w:r>
          </w:p>
        </w:tc>
        <w:tc>
          <w:tcPr>
            <w:tcW w:w="4876" w:type="dxa"/>
            <w:hideMark/>
          </w:tcPr>
          <w:p w:rsidR="005B0D0B" w:rsidRPr="002E3728" w:rsidRDefault="005B0D0B" w:rsidP="00C41D59">
            <w:pPr>
              <w:pStyle w:val="Normal6"/>
              <w:rPr>
                <w:szCs w:val="24"/>
                <w:lang w:val="bg-BG"/>
              </w:rPr>
            </w:pPr>
            <w:r w:rsidRPr="002E3728">
              <w:rPr>
                <w:vertAlign w:val="superscript"/>
                <w:lang w:val="bg-BG"/>
              </w:rPr>
              <w:t>3</w:t>
            </w:r>
            <w:r w:rsidRPr="002E3728">
              <w:rPr>
                <w:lang w:val="bg-BG"/>
              </w:rPr>
              <w:t xml:space="preserve"> Съвместна бяла книга за европейската отбранителна готовност до 2030 г., JOIN(2025) 120 final, 19.3.2025.</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4</w:t>
            </w:r>
            <w:r w:rsidRPr="002E3728">
              <w:rPr>
                <w:lang w:val="bg-BG"/>
              </w:rPr>
              <w:t xml:space="preserve"> COM(2025) 90 final</w:t>
            </w:r>
          </w:p>
        </w:tc>
        <w:tc>
          <w:tcPr>
            <w:tcW w:w="4876" w:type="dxa"/>
            <w:hideMark/>
          </w:tcPr>
          <w:p w:rsidR="005B0D0B" w:rsidRPr="002E3728" w:rsidRDefault="005B0D0B" w:rsidP="00C41D59">
            <w:pPr>
              <w:pStyle w:val="Normal6"/>
              <w:rPr>
                <w:szCs w:val="24"/>
                <w:lang w:val="bg-BG"/>
              </w:rPr>
            </w:pPr>
            <w:r w:rsidRPr="002E3728">
              <w:rPr>
                <w:vertAlign w:val="superscript"/>
                <w:lang w:val="bg-BG"/>
              </w:rPr>
              <w:t>4</w:t>
            </w:r>
            <w:r w:rsidRPr="002E3728">
              <w:rPr>
                <w:lang w:val="bg-BG"/>
              </w:rPr>
              <w:t xml:space="preserve"> COM(2025) 90 final</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 (OВ L 231, 30.6.2021 г., стр. 21, ELI: http://data.europa.eu/eli/reg/2021/1057/oj).</w:t>
            </w:r>
          </w:p>
        </w:tc>
        <w:tc>
          <w:tcPr>
            <w:tcW w:w="4876" w:type="dxa"/>
            <w:hideMark/>
          </w:tcPr>
          <w:p w:rsidR="005B0D0B" w:rsidRPr="002E3728" w:rsidRDefault="005B0D0B" w:rsidP="00C41D59">
            <w:pPr>
              <w:pStyle w:val="Normal6"/>
              <w:rPr>
                <w:szCs w:val="24"/>
                <w:lang w:val="bg-BG"/>
              </w:rPr>
            </w:pPr>
            <w:r w:rsidRPr="002E3728">
              <w:rPr>
                <w:vertAlign w:val="superscript"/>
                <w:lang w:val="bg-BG"/>
              </w:rPr>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 (OВ L 231, 30.6.2021 г., стр. 21, ELI: http://data.europa.eu/eli/reg/2021/1057/oj).</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Мари Доши</w:t>
      </w:r>
      <w:r w:rsidRPr="002E3728">
        <w:t xml:space="preserve">, </w:t>
      </w:r>
      <w:r w:rsidR="00CF314A" w:rsidRPr="002E3728">
        <w:t>Никола Бартушек</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{EMPL}</w:t>
      </w:r>
      <w:r w:rsidRPr="002E3728">
        <w:t>от името на комисията по заетост и социални въпроси</w:t>
      </w:r>
      <w:r w:rsidRPr="002E3728">
        <w:rPr>
          <w:rStyle w:val="HideTWBExt"/>
        </w:rPr>
        <w:t>&lt;/AuNomDe&gt;</w:t>
      </w:r>
    </w:p>
    <w:p w:rsidR="005B0D0B" w:rsidRPr="002E3728" w:rsidRDefault="005B0D0B" w:rsidP="005B0D0B">
      <w:pPr>
        <w:pStyle w:val="NormalBold"/>
      </w:pPr>
      <w:r w:rsidRPr="002E3728">
        <w:rPr>
          <w:rStyle w:val="HideTWBExt"/>
          <w:b w:val="0"/>
        </w:rPr>
        <w:t>&lt;Members&gt;</w:t>
      </w:r>
      <w:r w:rsidRPr="002E3728">
        <w:t>Северин Вербрук, Рашел Блом</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r>
            <w:r w:rsidRPr="002E3728">
              <w:rPr>
                <w:b/>
                <w:i/>
                <w:lang w:val="bg-BG"/>
              </w:rPr>
              <w:t>С Бялата книга за европейската отбранителна готовност до 2030 г.</w:t>
            </w:r>
            <w:r w:rsidRPr="002E3728">
              <w:rPr>
                <w:b/>
                <w:i/>
                <w:vertAlign w:val="superscript"/>
                <w:lang w:val="bg-BG"/>
              </w:rPr>
              <w:t>3</w:t>
            </w:r>
            <w:r w:rsidRPr="002E3728">
              <w:rPr>
                <w:b/>
                <w:i/>
                <w:lang w:val="bg-BG"/>
              </w:rPr>
              <w:t xml:space="preserve"> се проправя пътят</w:t>
            </w:r>
            <w:r w:rsidRPr="002E3728">
              <w:rPr>
                <w:lang w:val="bg-BG"/>
              </w:rPr>
              <w:t xml:space="preserve"> за </w:t>
            </w:r>
            <w:r w:rsidRPr="002E3728">
              <w:rPr>
                <w:b/>
                <w:i/>
                <w:lang w:val="bg-BG"/>
              </w:rPr>
              <w:t>истински европейски отбранителен съюз, включително като на държавите членки</w:t>
            </w:r>
            <w:r w:rsidRPr="002E3728">
              <w:rPr>
                <w:lang w:val="bg-BG"/>
              </w:rPr>
              <w:t xml:space="preserve"> се </w:t>
            </w:r>
            <w:r w:rsidRPr="002E3728">
              <w:rPr>
                <w:b/>
                <w:i/>
                <w:lang w:val="bg-BG"/>
              </w:rPr>
              <w:t>предлага да направят сериозни</w:t>
            </w:r>
            <w:r w:rsidRPr="002E3728">
              <w:rPr>
                <w:lang w:val="bg-BG"/>
              </w:rPr>
              <w:t xml:space="preserve"> инвестиции в отбраната и отбранителната промишленост. </w:t>
            </w:r>
            <w:r w:rsidRPr="002E3728">
              <w:rPr>
                <w:b/>
                <w:i/>
                <w:lang w:val="bg-BG"/>
              </w:rPr>
              <w:t>В</w:t>
            </w:r>
            <w:r w:rsidRPr="002E3728">
              <w:rPr>
                <w:lang w:val="bg-BG"/>
              </w:rPr>
              <w:t xml:space="preserve"> тази </w:t>
            </w:r>
            <w:r w:rsidRPr="002E3728">
              <w:rPr>
                <w:b/>
                <w:i/>
                <w:lang w:val="bg-BG"/>
              </w:rPr>
              <w:t xml:space="preserve">връзка в съобщението на Комисията </w:t>
            </w:r>
            <w:r w:rsidRPr="002E3728">
              <w:rPr>
                <w:b/>
                <w:i/>
                <w:lang w:val="bg-BG"/>
              </w:rPr>
              <w:lastRenderedPageBreak/>
              <w:t xml:space="preserve">от 5 март 2025 г., озаглавено „Съюз на уменията“ </w:t>
            </w:r>
            <w:r w:rsidRPr="002E3728">
              <w:rPr>
                <w:b/>
                <w:i/>
                <w:vertAlign w:val="superscript"/>
                <w:lang w:val="bg-BG"/>
              </w:rPr>
              <w:t>4</w:t>
            </w:r>
            <w:r w:rsidRPr="002E3728">
              <w:rPr>
                <w:b/>
                <w:i/>
                <w:lang w:val="bg-BG"/>
              </w:rPr>
              <w:t xml:space="preserve"> („съобщението относно съюза</w:t>
            </w:r>
            <w:r w:rsidRPr="002E3728">
              <w:rPr>
                <w:lang w:val="bg-BG"/>
              </w:rPr>
              <w:t xml:space="preserve"> на </w:t>
            </w:r>
            <w:r w:rsidRPr="002E3728">
              <w:rPr>
                <w:b/>
                <w:i/>
                <w:lang w:val="bg-BG"/>
              </w:rPr>
              <w:t>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w:t>
            </w:r>
            <w:r w:rsidRPr="002E3728">
              <w:rPr>
                <w:lang w:val="bg-BG"/>
              </w:rPr>
              <w:t xml:space="preserve"> за </w:t>
            </w:r>
            <w:r w:rsidRPr="002E3728">
              <w:rPr>
                <w:b/>
                <w:i/>
                <w:lang w:val="bg-BG"/>
              </w:rPr>
              <w:t>умения“, и неговите широкомащабни партньорства, включително едно относно отбранителната екосистема</w:t>
            </w:r>
            <w:r w:rsidRPr="002E3728">
              <w:rPr>
                <w:lang w:val="bg-BG"/>
              </w:rPr>
              <w:t>. Поради това, с цел да се улесни развитието на умения в областта на отбранителната промишленост, е целесъобразно включването на стимули за ЕСФ+, създаден с Регламент (ЕС) 2021/1057 на Европейския парламент и на Съвета</w:t>
            </w:r>
            <w:r w:rsidRPr="002E3728">
              <w:rPr>
                <w:vertAlign w:val="superscript"/>
                <w:lang w:val="bg-BG"/>
              </w:rPr>
              <w:t>5</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lastRenderedPageBreak/>
              <w:t>(2)</w:t>
            </w:r>
            <w:r w:rsidRPr="002E3728">
              <w:rPr>
                <w:lang w:val="bg-BG"/>
              </w:rPr>
              <w:tab/>
            </w:r>
            <w:r w:rsidRPr="002E3728">
              <w:rPr>
                <w:b/>
                <w:i/>
                <w:lang w:val="bg-BG"/>
              </w:rPr>
              <w:t>Последните геополитически сътресения напомнят на държавите членки</w:t>
            </w:r>
            <w:r w:rsidRPr="002E3728">
              <w:rPr>
                <w:lang w:val="bg-BG"/>
              </w:rPr>
              <w:t xml:space="preserve"> за </w:t>
            </w:r>
            <w:r w:rsidRPr="002E3728">
              <w:rPr>
                <w:b/>
                <w:i/>
                <w:lang w:val="bg-BG"/>
              </w:rPr>
              <w:t>необходимостта да</w:t>
            </w:r>
            <w:r w:rsidRPr="002E3728">
              <w:rPr>
                <w:lang w:val="bg-BG"/>
              </w:rPr>
              <w:t xml:space="preserve"> се </w:t>
            </w:r>
            <w:r w:rsidRPr="002E3728">
              <w:rPr>
                <w:b/>
                <w:i/>
                <w:lang w:val="bg-BG"/>
              </w:rPr>
              <w:t>правят сериозни и бързи</w:t>
            </w:r>
            <w:r w:rsidRPr="002E3728">
              <w:rPr>
                <w:lang w:val="bg-BG"/>
              </w:rPr>
              <w:t xml:space="preserve"> инвестиции в отбраната и отбранителната промишленост. </w:t>
            </w:r>
            <w:r w:rsidRPr="002E3728">
              <w:rPr>
                <w:b/>
                <w:i/>
                <w:lang w:val="bg-BG"/>
              </w:rPr>
              <w:t>За</w:t>
            </w:r>
            <w:r w:rsidRPr="002E3728">
              <w:rPr>
                <w:lang w:val="bg-BG"/>
              </w:rPr>
              <w:t xml:space="preserve"> тази </w:t>
            </w:r>
            <w:r w:rsidRPr="002E3728">
              <w:rPr>
                <w:b/>
                <w:i/>
                <w:lang w:val="bg-BG"/>
              </w:rPr>
              <w:t>област, която носи икономически ползи за европейците и осигурява голям брой квалифицирани работни места, се изисква обучаването</w:t>
            </w:r>
            <w:r w:rsidRPr="002E3728">
              <w:rPr>
                <w:lang w:val="bg-BG"/>
              </w:rPr>
              <w:t xml:space="preserve"> на </w:t>
            </w:r>
            <w:r w:rsidRPr="002E3728">
              <w:rPr>
                <w:b/>
                <w:i/>
                <w:lang w:val="bg-BG"/>
              </w:rPr>
              <w:t xml:space="preserve">значителна </w:t>
            </w:r>
            <w:r w:rsidRPr="002E3728">
              <w:rPr>
                <w:b/>
                <w:i/>
                <w:lang w:val="bg-BG"/>
              </w:rPr>
              <w:lastRenderedPageBreak/>
              <w:t>работна сила, по-специално във върховите технологии. Програмите, действията и партньорствата следва да са насочени с приоритет към развитие на такива умения сред населението на държавите членки,</w:t>
            </w:r>
            <w:r w:rsidRPr="002E3728">
              <w:rPr>
                <w:lang w:val="bg-BG"/>
              </w:rPr>
              <w:t xml:space="preserve"> за </w:t>
            </w:r>
            <w:r w:rsidRPr="002E3728">
              <w:rPr>
                <w:b/>
                <w:i/>
                <w:lang w:val="bg-BG"/>
              </w:rPr>
              <w:t>да се възползва от тези стабилни работни места и от професионалната квалификация</w:t>
            </w:r>
            <w:r w:rsidRPr="002E3728">
              <w:rPr>
                <w:lang w:val="bg-BG"/>
              </w:rPr>
              <w:t>. Поради това, с цел да се улесни развитието на умения в областта на отбранителната промишленост, е целесъобразно включването на стимули за ЕСФ+, създаден с Регламент (ЕС) 2021/1057 на Европейския парламент и на Съвета</w:t>
            </w:r>
            <w:r w:rsidRPr="002E3728">
              <w:rPr>
                <w:vertAlign w:val="superscript"/>
                <w:lang w:val="bg-BG"/>
              </w:rPr>
              <w:t>5</w:t>
            </w:r>
            <w:r w:rsidRPr="002E3728">
              <w:rPr>
                <w:lang w:val="bg-BG"/>
              </w:rPr>
              <w:t>.</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lastRenderedPageBreak/>
              <w:t>__________________</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3</w:t>
            </w:r>
            <w:r w:rsidRPr="002E3728">
              <w:rPr>
                <w:b/>
                <w:i/>
                <w:lang w:val="bg-BG"/>
              </w:rPr>
              <w:t xml:space="preserve"> Съвместна бяла книга за европейската отбранителна готовност до 2030 г., JOIN(2025) 120 final, 19.3.2025 г.</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4</w:t>
            </w:r>
            <w:r w:rsidRPr="002E3728">
              <w:rPr>
                <w:lang w:val="bg-BG"/>
              </w:rPr>
              <w:t xml:space="preserve"> </w:t>
            </w:r>
            <w:r w:rsidRPr="002E3728">
              <w:rPr>
                <w:b/>
                <w:i/>
                <w:lang w:val="bg-BG"/>
              </w:rPr>
              <w:t>COM(2025) 90 final.</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5</w:t>
            </w:r>
            <w:r w:rsidRPr="002E3728">
              <w:rPr>
                <w:b/>
                <w:i/>
                <w:lang w:val="bg-BG"/>
              </w:rPr>
              <w:t xml:space="preserve"> Регламент (ЕС) 2021/1057 на Европейския парламент и на Съвета от 24 юни 2021 г. за създаване на Европейския социален фонд плюс (ЕСФ+) и за отмяна на Регламент (ЕС) № 1296/2013 (ОВ L 231, 30.6.2021 г., стр. 21, ELI: https://data.europa.eu/eli/reg/2021/1057/oj).</w:t>
            </w:r>
          </w:p>
        </w:tc>
        <w:tc>
          <w:tcPr>
            <w:tcW w:w="4876" w:type="dxa"/>
          </w:tcPr>
          <w:p w:rsidR="005B0D0B" w:rsidRPr="002E3728" w:rsidRDefault="005B0D0B" w:rsidP="00C41D59">
            <w:pPr>
              <w:pStyle w:val="Normal6"/>
              <w:rPr>
                <w:szCs w:val="24"/>
                <w:lang w:val="bg-BG"/>
              </w:rPr>
            </w:pP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{FR}</w:t>
      </w:r>
      <w:r w:rsidRPr="002E3728">
        <w:rPr>
          <w:noProof w:val="0"/>
          <w:lang w:val="bg-BG"/>
        </w:rPr>
        <w:t>fr</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С Бялата книга за европейската отбранителна готовност до 2030 г.</w:t>
            </w:r>
            <w:r w:rsidRPr="002E3728">
              <w:rPr>
                <w:vertAlign w:val="superscript"/>
                <w:lang w:val="bg-BG"/>
              </w:rPr>
              <w:t xml:space="preserve">3 </w:t>
            </w:r>
            <w:r w:rsidRPr="002E3728">
              <w:rPr>
                <w:lang w:val="bg-BG"/>
              </w:rPr>
              <w:t>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 и отбранителната промишленост. В тази връзка в съобщението на Комисията от 5 март 2025 г., озаглавено „Съюз на уменията“</w:t>
            </w:r>
            <w:r w:rsidRPr="002E3728">
              <w:rPr>
                <w:vertAlign w:val="superscript"/>
                <w:lang w:val="bg-BG"/>
              </w:rPr>
              <w:t xml:space="preserve">4 </w:t>
            </w:r>
            <w:r w:rsidRPr="002E3728">
              <w:rPr>
                <w:lang w:val="bg-BG"/>
              </w:rPr>
              <w:t xml:space="preserve">(„съобщението относно съюза на 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 </w:t>
            </w:r>
            <w:r w:rsidRPr="002E3728">
              <w:rPr>
                <w:b/>
                <w:i/>
                <w:lang w:val="bg-BG"/>
              </w:rPr>
              <w:t>Поради това, с цел да се улесни развитието на умения в областта на отбранителната промишленост, е целесъобразно включването на стимули за ЕСФ+, създаден с Регламент (ЕС) 2021/1057 на Европейския парламент и на Съвета</w:t>
            </w:r>
            <w:r w:rsidRPr="002E3728">
              <w:rPr>
                <w:b/>
                <w:i/>
                <w:vertAlign w:val="superscript"/>
                <w:lang w:val="bg-BG"/>
              </w:rPr>
              <w:t>5</w:t>
            </w:r>
            <w:r w:rsidRPr="002E3728">
              <w:rPr>
                <w:b/>
                <w:i/>
                <w:lang w:val="bg-BG"/>
              </w:rPr>
              <w:t>.</w:t>
            </w:r>
          </w:p>
        </w:tc>
        <w:tc>
          <w:tcPr>
            <w:tcW w:w="4876" w:type="dxa"/>
            <w:hideMark/>
          </w:tcPr>
          <w:p w:rsidR="005B0D0B" w:rsidRPr="002E3728" w:rsidRDefault="005B0D0B" w:rsidP="00C41D59">
            <w:pPr>
              <w:pStyle w:val="Normal6"/>
              <w:rPr>
                <w:szCs w:val="24"/>
                <w:lang w:val="bg-BG"/>
              </w:rPr>
            </w:pPr>
            <w:r w:rsidRPr="002E3728">
              <w:rPr>
                <w:lang w:val="bg-BG"/>
              </w:rPr>
              <w:t>(2)</w:t>
            </w:r>
            <w:r w:rsidRPr="002E3728">
              <w:rPr>
                <w:lang w:val="bg-BG"/>
              </w:rPr>
              <w:tab/>
            </w:r>
            <w:r w:rsidRPr="002E3728">
              <w:rPr>
                <w:b/>
                <w:i/>
                <w:lang w:val="bg-BG"/>
              </w:rPr>
              <w:t>Вече е възможно да се подкрепи развитието на умения в областта на отбранителната промишленост съгласно ЕСФ+, създаден с Регламент (ЕС) 2021/1057 на Европейския парламент и на Съвета.</w:t>
            </w:r>
            <w:r w:rsidRPr="002E3728">
              <w:rPr>
                <w:lang w:val="bg-BG"/>
              </w:rPr>
              <w:t xml:space="preserve"> С Бялата книга за европейската отбранителна готовност до 2030 г.</w:t>
            </w:r>
            <w:r w:rsidRPr="002E3728">
              <w:rPr>
                <w:vertAlign w:val="superscript"/>
                <w:lang w:val="bg-BG"/>
              </w:rPr>
              <w:t xml:space="preserve">3 </w:t>
            </w:r>
            <w:r w:rsidRPr="002E3728">
              <w:rPr>
                <w:lang w:val="bg-BG"/>
              </w:rPr>
              <w:t>се проправя пътят за истински европейски отбранителен съюз, включително като на държавите членки се предлага да направят сериозни инвестиции в отбраната и отбранителната промишленост. В тази връзка в съобщението на Комисията от 5 март 2025 г., озаглавено „Съюз на уменията“</w:t>
            </w:r>
            <w:r w:rsidRPr="002E3728">
              <w:rPr>
                <w:vertAlign w:val="superscript"/>
                <w:lang w:val="bg-BG"/>
              </w:rPr>
              <w:t xml:space="preserve">4 </w:t>
            </w:r>
            <w:r w:rsidRPr="002E3728">
              <w:rPr>
                <w:lang w:val="bg-BG"/>
              </w:rPr>
              <w:t>(„съобщението относно съюза на уменията“),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__________________</w:t>
            </w:r>
          </w:p>
        </w:tc>
        <w:tc>
          <w:tcPr>
            <w:tcW w:w="4876" w:type="dxa"/>
            <w:hideMark/>
          </w:tcPr>
          <w:p w:rsidR="005B0D0B" w:rsidRPr="002E3728" w:rsidRDefault="005B0D0B" w:rsidP="00C41D59">
            <w:pPr>
              <w:pStyle w:val="Normal6"/>
              <w:rPr>
                <w:szCs w:val="24"/>
                <w:lang w:val="bg-BG"/>
              </w:rPr>
            </w:pPr>
            <w:r w:rsidRPr="002E3728">
              <w:rPr>
                <w:lang w:val="bg-BG"/>
              </w:rPr>
              <w:t>__________________</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3</w:t>
            </w:r>
            <w:r w:rsidRPr="002E3728">
              <w:rPr>
                <w:lang w:val="bg-BG"/>
              </w:rPr>
              <w:t xml:space="preserve"> Съвместна бяла книга за европейската отбранителна готовност до 2030 г., JOIN(2025) 120 final, 19.3.2025.</w:t>
            </w:r>
          </w:p>
        </w:tc>
        <w:tc>
          <w:tcPr>
            <w:tcW w:w="4876" w:type="dxa"/>
            <w:hideMark/>
          </w:tcPr>
          <w:p w:rsidR="005B0D0B" w:rsidRPr="002E3728" w:rsidRDefault="005B0D0B" w:rsidP="00C41D59">
            <w:pPr>
              <w:pStyle w:val="Normal6"/>
              <w:rPr>
                <w:szCs w:val="24"/>
                <w:lang w:val="bg-BG"/>
              </w:rPr>
            </w:pPr>
            <w:r w:rsidRPr="002E3728">
              <w:rPr>
                <w:vertAlign w:val="superscript"/>
                <w:lang w:val="bg-BG"/>
              </w:rPr>
              <w:t>3</w:t>
            </w:r>
            <w:r w:rsidRPr="002E3728">
              <w:rPr>
                <w:lang w:val="bg-BG"/>
              </w:rPr>
              <w:t xml:space="preserve"> Съвместна бяла книга за европейската отбранителна готовност до 2030 г., JOIN(2025) 120 final, 19.3.2025.</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4</w:t>
            </w:r>
            <w:r w:rsidRPr="002E3728">
              <w:rPr>
                <w:lang w:val="bg-BG"/>
              </w:rPr>
              <w:t xml:space="preserve"> COM(2025) 90 final</w:t>
            </w:r>
          </w:p>
        </w:tc>
        <w:tc>
          <w:tcPr>
            <w:tcW w:w="4876" w:type="dxa"/>
            <w:hideMark/>
          </w:tcPr>
          <w:p w:rsidR="005B0D0B" w:rsidRPr="002E3728" w:rsidRDefault="005B0D0B" w:rsidP="00C41D59">
            <w:pPr>
              <w:pStyle w:val="Normal6"/>
              <w:rPr>
                <w:szCs w:val="24"/>
                <w:lang w:val="bg-BG"/>
              </w:rPr>
            </w:pPr>
            <w:r w:rsidRPr="002E3728">
              <w:rPr>
                <w:vertAlign w:val="superscript"/>
                <w:lang w:val="bg-BG"/>
              </w:rPr>
              <w:t>4</w:t>
            </w:r>
            <w:r w:rsidRPr="002E3728">
              <w:rPr>
                <w:lang w:val="bg-BG"/>
              </w:rPr>
              <w:t xml:space="preserve"> COM(2025) 90 final</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 (OВ L 231, 30.6.2021 г., стр. 21, ELI: http://data.europa.eu/eli/reg/2021/1057/oj).</w:t>
            </w:r>
          </w:p>
        </w:tc>
        <w:tc>
          <w:tcPr>
            <w:tcW w:w="4876" w:type="dxa"/>
            <w:hideMark/>
          </w:tcPr>
          <w:p w:rsidR="005B0D0B" w:rsidRPr="002E3728" w:rsidRDefault="005B0D0B" w:rsidP="00C41D59">
            <w:pPr>
              <w:pStyle w:val="Normal6"/>
              <w:rPr>
                <w:szCs w:val="24"/>
                <w:lang w:val="bg-BG"/>
              </w:rPr>
            </w:pPr>
            <w:r w:rsidRPr="002E3728">
              <w:rPr>
                <w:vertAlign w:val="superscript"/>
                <w:lang w:val="bg-BG"/>
              </w:rPr>
              <w:t>5</w:t>
            </w:r>
            <w:r w:rsidRPr="002E3728">
              <w:rPr>
                <w:lang w:val="bg-BG"/>
              </w:rPr>
              <w:t xml:space="preserve"> 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 (OВ L 231, 30.6.2021 г., стр. 21, ELI: http://data.europa.eu/eli/reg/2021/1057/oj).</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r>
            <w:r w:rsidRPr="002E3728">
              <w:rPr>
                <w:b/>
                <w:i/>
                <w:lang w:val="bg-BG"/>
              </w:rPr>
              <w:t>С Бялата книга за европейската отбранителна готовност до 2030 г.</w:t>
            </w:r>
            <w:r w:rsidRPr="002E3728">
              <w:rPr>
                <w:b/>
                <w:i/>
                <w:vertAlign w:val="superscript"/>
                <w:lang w:val="bg-BG"/>
              </w:rPr>
              <w:t xml:space="preserve">3 </w:t>
            </w:r>
            <w:r w:rsidRPr="002E3728">
              <w:rPr>
                <w:b/>
                <w:i/>
                <w:lang w:val="bg-BG"/>
              </w:rPr>
              <w:t>се проправя пътят</w:t>
            </w:r>
            <w:r w:rsidRPr="002E3728">
              <w:rPr>
                <w:lang w:val="bg-BG"/>
              </w:rPr>
              <w:t xml:space="preserve"> за </w:t>
            </w:r>
            <w:r w:rsidRPr="002E3728">
              <w:rPr>
                <w:b/>
                <w:i/>
                <w:lang w:val="bg-BG"/>
              </w:rPr>
              <w:t>истински европейски отбранителен съюз</w:t>
            </w:r>
            <w:r w:rsidRPr="002E3728">
              <w:rPr>
                <w:lang w:val="bg-BG"/>
              </w:rPr>
              <w:t xml:space="preserve">, </w:t>
            </w:r>
            <w:r w:rsidRPr="002E3728">
              <w:rPr>
                <w:b/>
                <w:i/>
                <w:lang w:val="bg-BG"/>
              </w:rPr>
              <w:t>включително като на държавите членки се предлага да направят сериозни инвестиции в отбраната</w:t>
            </w:r>
            <w:r w:rsidRPr="002E3728">
              <w:rPr>
                <w:lang w:val="bg-BG"/>
              </w:rPr>
              <w:t xml:space="preserve"> и отбранителната промишленост</w:t>
            </w:r>
            <w:r w:rsidRPr="002E3728">
              <w:rPr>
                <w:b/>
                <w:i/>
                <w:lang w:val="bg-BG"/>
              </w:rPr>
              <w:t>. В тази връзка</w:t>
            </w:r>
            <w:r w:rsidRPr="002E3728">
              <w:rPr>
                <w:lang w:val="bg-BG"/>
              </w:rPr>
              <w:t xml:space="preserve"> в </w:t>
            </w:r>
            <w:r w:rsidRPr="002E3728">
              <w:rPr>
                <w:b/>
                <w:i/>
                <w:lang w:val="bg-BG"/>
              </w:rPr>
              <w:t>съобщението на Комисията от 5 март 2025 г., озаглавено „Съюз</w:t>
            </w:r>
            <w:r w:rsidRPr="002E3728">
              <w:rPr>
                <w:lang w:val="bg-BG"/>
              </w:rPr>
              <w:t xml:space="preserve"> на </w:t>
            </w:r>
            <w:r w:rsidRPr="002E3728">
              <w:rPr>
                <w:b/>
                <w:i/>
                <w:lang w:val="bg-BG"/>
              </w:rPr>
              <w:t>уменията“</w:t>
            </w:r>
            <w:r w:rsidRPr="002E3728">
              <w:rPr>
                <w:b/>
                <w:i/>
                <w:vertAlign w:val="superscript"/>
                <w:lang w:val="bg-BG"/>
              </w:rPr>
              <w:t xml:space="preserve">4 </w:t>
            </w:r>
            <w:r w:rsidRPr="002E3728">
              <w:rPr>
                <w:b/>
                <w:i/>
                <w:lang w:val="bg-BG"/>
              </w:rPr>
              <w:t>(„съобщението относно съюза на уменията“)</w:t>
            </w:r>
            <w:r w:rsidRPr="002E3728">
              <w:rPr>
                <w:lang w:val="bg-BG"/>
              </w:rPr>
              <w:t>,</w:t>
            </w:r>
            <w:r w:rsidRPr="002E3728">
              <w:rPr>
                <w:b/>
                <w:i/>
                <w:lang w:val="bg-BG"/>
              </w:rPr>
              <w:t xml:space="preserve"> се определят действия за преодоляване на празнотите в уменията и на недостига на умения в Съюза, включително чрез посочената във въпросното съобщение инициатива „Пакт за умения“, и неговите широкомащабни партньорства, включително едно относно отбранителната екосистема. Поради това, с цел да</w:t>
            </w:r>
            <w:r w:rsidRPr="002E3728">
              <w:rPr>
                <w:lang w:val="bg-BG"/>
              </w:rPr>
              <w:t xml:space="preserve"> се </w:t>
            </w:r>
            <w:r w:rsidRPr="002E3728">
              <w:rPr>
                <w:b/>
                <w:i/>
                <w:lang w:val="bg-BG"/>
              </w:rPr>
              <w:t>улесни развитието на умения в областта</w:t>
            </w:r>
            <w:r w:rsidRPr="002E3728">
              <w:rPr>
                <w:lang w:val="bg-BG"/>
              </w:rPr>
              <w:t xml:space="preserve"> на </w:t>
            </w:r>
            <w:r w:rsidRPr="002E3728">
              <w:rPr>
                <w:b/>
                <w:i/>
                <w:lang w:val="bg-BG"/>
              </w:rPr>
              <w:t>отбранителната промишленост</w:t>
            </w:r>
            <w:r w:rsidRPr="002E3728">
              <w:rPr>
                <w:lang w:val="bg-BG"/>
              </w:rPr>
              <w:t xml:space="preserve">, </w:t>
            </w:r>
            <w:r w:rsidRPr="002E3728">
              <w:rPr>
                <w:b/>
                <w:i/>
                <w:lang w:val="bg-BG"/>
              </w:rPr>
              <w:t>е целесъобразно включването</w:t>
            </w:r>
            <w:r w:rsidRPr="002E3728">
              <w:rPr>
                <w:lang w:val="bg-BG"/>
              </w:rPr>
              <w:t xml:space="preserve"> на </w:t>
            </w:r>
            <w:r w:rsidRPr="002E3728">
              <w:rPr>
                <w:b/>
                <w:i/>
                <w:lang w:val="bg-BG"/>
              </w:rPr>
              <w:t>стимули за ЕСФ+</w:t>
            </w:r>
            <w:r w:rsidRPr="002E3728">
              <w:rPr>
                <w:lang w:val="bg-BG"/>
              </w:rPr>
              <w:t xml:space="preserve">, </w:t>
            </w:r>
            <w:r w:rsidRPr="002E3728">
              <w:rPr>
                <w:b/>
                <w:i/>
                <w:lang w:val="bg-BG"/>
              </w:rPr>
              <w:t>създаден с Регламент (ЕС) 2021/1057 на Европейския парламент</w:t>
            </w:r>
            <w:r w:rsidRPr="002E3728">
              <w:rPr>
                <w:lang w:val="bg-BG"/>
              </w:rPr>
              <w:t xml:space="preserve"> и </w:t>
            </w:r>
            <w:r w:rsidRPr="002E3728">
              <w:rPr>
                <w:b/>
                <w:i/>
                <w:lang w:val="bg-BG"/>
              </w:rPr>
              <w:t>на Съвета</w:t>
            </w:r>
            <w:r w:rsidRPr="002E3728">
              <w:rPr>
                <w:b/>
                <w:i/>
                <w:vertAlign w:val="superscript"/>
                <w:lang w:val="bg-BG"/>
              </w:rPr>
              <w:t>5</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t>(2)</w:t>
            </w:r>
            <w:r w:rsidRPr="002E3728">
              <w:rPr>
                <w:lang w:val="bg-BG"/>
              </w:rPr>
              <w:tab/>
            </w:r>
            <w:r w:rsidRPr="002E3728">
              <w:rPr>
                <w:b/>
                <w:i/>
                <w:lang w:val="bg-BG"/>
              </w:rPr>
              <w:t>Съгласно ангажиментите на Съюза</w:t>
            </w:r>
            <w:r w:rsidRPr="002E3728">
              <w:rPr>
                <w:lang w:val="bg-BG"/>
              </w:rPr>
              <w:t xml:space="preserve"> за </w:t>
            </w:r>
            <w:r w:rsidRPr="002E3728">
              <w:rPr>
                <w:b/>
                <w:i/>
                <w:lang w:val="bg-BG"/>
              </w:rPr>
              <w:t>мир</w:t>
            </w:r>
            <w:r w:rsidRPr="002E3728">
              <w:rPr>
                <w:lang w:val="bg-BG"/>
              </w:rPr>
              <w:t xml:space="preserve">, </w:t>
            </w:r>
            <w:r w:rsidRPr="002E3728">
              <w:rPr>
                <w:b/>
                <w:i/>
                <w:lang w:val="bg-BG"/>
              </w:rPr>
              <w:t>социално приобщаване и устойчиво развитие,</w:t>
            </w:r>
            <w:r w:rsidRPr="002E3728">
              <w:rPr>
                <w:lang w:val="bg-BG"/>
              </w:rPr>
              <w:t xml:space="preserve"> и в </w:t>
            </w:r>
            <w:r w:rsidRPr="002E3728">
              <w:rPr>
                <w:b/>
                <w:i/>
                <w:lang w:val="bg-BG"/>
              </w:rPr>
              <w:t>съответствие с целите</w:t>
            </w:r>
            <w:r w:rsidRPr="002E3728">
              <w:rPr>
                <w:lang w:val="bg-BG"/>
              </w:rPr>
              <w:t xml:space="preserve"> на </w:t>
            </w:r>
            <w:r w:rsidRPr="002E3728">
              <w:rPr>
                <w:b/>
                <w:i/>
                <w:lang w:val="bg-BG"/>
              </w:rPr>
              <w:t>Европейския социален фонд плюс</w:t>
            </w:r>
            <w:r w:rsidRPr="002E3728">
              <w:rPr>
                <w:lang w:val="bg-BG"/>
              </w:rPr>
              <w:t xml:space="preserve">, </w:t>
            </w:r>
            <w:r w:rsidRPr="002E3728">
              <w:rPr>
                <w:b/>
                <w:i/>
                <w:lang w:val="bg-BG"/>
              </w:rPr>
              <w:t xml:space="preserve">с финансирането от Съюза по настоящия регламент не се подкрепя </w:t>
            </w:r>
            <w:r w:rsidRPr="002E3728">
              <w:rPr>
                <w:lang w:val="bg-BG"/>
              </w:rPr>
              <w:t>отбранителната промишленост</w:t>
            </w:r>
            <w:r w:rsidRPr="002E3728">
              <w:rPr>
                <w:b/>
                <w:i/>
                <w:lang w:val="bg-BG"/>
              </w:rPr>
              <w:t>, всички дейности, свързани с разработването</w:t>
            </w:r>
            <w:r w:rsidRPr="002E3728">
              <w:rPr>
                <w:lang w:val="bg-BG"/>
              </w:rPr>
              <w:t xml:space="preserve">, </w:t>
            </w:r>
            <w:r w:rsidRPr="002E3728">
              <w:rPr>
                <w:b/>
                <w:i/>
                <w:lang w:val="bg-BG"/>
              </w:rPr>
              <w:t>производството, възлагането на обществени поръчки или използването на военни способности</w:t>
            </w:r>
            <w:r w:rsidRPr="002E3728">
              <w:rPr>
                <w:lang w:val="bg-BG"/>
              </w:rPr>
              <w:t xml:space="preserve">, </w:t>
            </w:r>
            <w:r w:rsidRPr="002E3728">
              <w:rPr>
                <w:b/>
                <w:i/>
                <w:lang w:val="bg-BG"/>
              </w:rPr>
              <w:t>включително оръжия</w:t>
            </w:r>
            <w:r w:rsidRPr="002E3728">
              <w:rPr>
                <w:lang w:val="bg-BG"/>
              </w:rPr>
              <w:t xml:space="preserve">, </w:t>
            </w:r>
            <w:r w:rsidRPr="002E3728">
              <w:rPr>
                <w:b/>
                <w:i/>
                <w:lang w:val="bg-BG"/>
              </w:rPr>
              <w:t>боеприпаси и отбранителни системи</w:t>
            </w:r>
            <w:r w:rsidRPr="002E3728">
              <w:rPr>
                <w:lang w:val="bg-BG"/>
              </w:rPr>
              <w:t xml:space="preserve">. </w:t>
            </w:r>
            <w:r w:rsidRPr="002E3728">
              <w:rPr>
                <w:b/>
                <w:i/>
                <w:lang w:val="bg-BG"/>
              </w:rPr>
              <w:t>Финансирането от ЕСФ+ строго</w:t>
            </w:r>
            <w:r w:rsidRPr="002E3728">
              <w:rPr>
                <w:lang w:val="bg-BG"/>
              </w:rPr>
              <w:t xml:space="preserve"> се </w:t>
            </w:r>
            <w:r w:rsidRPr="002E3728">
              <w:rPr>
                <w:b/>
                <w:i/>
                <w:lang w:val="bg-BG"/>
              </w:rPr>
              <w:t>ограничава до насърчаване</w:t>
            </w:r>
            <w:r w:rsidRPr="002E3728">
              <w:rPr>
                <w:lang w:val="bg-BG"/>
              </w:rPr>
              <w:t xml:space="preserve"> на </w:t>
            </w:r>
            <w:r w:rsidRPr="002E3728">
              <w:rPr>
                <w:b/>
                <w:i/>
                <w:lang w:val="bg-BG"/>
              </w:rPr>
              <w:t>социалното сближаване</w:t>
            </w:r>
            <w:r w:rsidRPr="002E3728">
              <w:rPr>
                <w:lang w:val="bg-BG"/>
              </w:rPr>
              <w:t xml:space="preserve">, </w:t>
            </w:r>
            <w:r w:rsidRPr="002E3728">
              <w:rPr>
                <w:b/>
                <w:i/>
                <w:lang w:val="bg-BG"/>
              </w:rPr>
              <w:t>заетостта, образованието, развитието</w:t>
            </w:r>
            <w:r w:rsidRPr="002E3728">
              <w:rPr>
                <w:lang w:val="bg-BG"/>
              </w:rPr>
              <w:t xml:space="preserve"> на </w:t>
            </w:r>
            <w:r w:rsidRPr="002E3728">
              <w:rPr>
                <w:b/>
                <w:i/>
                <w:lang w:val="bg-BG"/>
              </w:rPr>
              <w:t>умения</w:t>
            </w:r>
            <w:r w:rsidRPr="002E3728">
              <w:rPr>
                <w:lang w:val="bg-BG"/>
              </w:rPr>
              <w:t xml:space="preserve">, </w:t>
            </w:r>
            <w:r w:rsidRPr="002E3728">
              <w:rPr>
                <w:b/>
                <w:i/>
                <w:lang w:val="bg-BG"/>
              </w:rPr>
              <w:t>социалните иновации и борбата с бедността</w:t>
            </w:r>
            <w:r w:rsidRPr="002E3728">
              <w:rPr>
                <w:lang w:val="bg-BG"/>
              </w:rPr>
              <w:t xml:space="preserve"> и </w:t>
            </w:r>
            <w:r w:rsidRPr="002E3728">
              <w:rPr>
                <w:b/>
                <w:i/>
                <w:lang w:val="bg-BG"/>
              </w:rPr>
              <w:t>социалното изключване</w:t>
            </w:r>
            <w:r w:rsidRPr="002E3728">
              <w:rPr>
                <w:lang w:val="bg-BG"/>
              </w:rPr>
              <w:t>.</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__________________</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3</w:t>
            </w:r>
            <w:r w:rsidRPr="002E3728">
              <w:rPr>
                <w:lang w:val="bg-BG"/>
              </w:rPr>
              <w:t xml:space="preserve"> </w:t>
            </w:r>
            <w:r w:rsidRPr="002E3728">
              <w:rPr>
                <w:b/>
                <w:i/>
                <w:lang w:val="bg-BG"/>
              </w:rPr>
              <w:t>Съвместна бяла книга за европейската отбранителна готовност до 2030 г., JOIN(2025) 120 final, 19.3.2025.</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4</w:t>
            </w:r>
            <w:r w:rsidRPr="002E3728">
              <w:rPr>
                <w:lang w:val="bg-BG"/>
              </w:rPr>
              <w:t xml:space="preserve"> </w:t>
            </w:r>
            <w:r w:rsidRPr="002E3728">
              <w:rPr>
                <w:b/>
                <w:i/>
                <w:lang w:val="bg-BG"/>
              </w:rPr>
              <w:t>COM(2025) 90 final</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5</w:t>
            </w:r>
            <w:r w:rsidRPr="002E3728">
              <w:rPr>
                <w:lang w:val="bg-BG"/>
              </w:rPr>
              <w:t xml:space="preserve"> </w:t>
            </w:r>
            <w:r w:rsidRPr="002E3728">
              <w:rPr>
                <w:b/>
                <w:i/>
                <w:lang w:val="bg-BG"/>
              </w:rPr>
              <w:t xml:space="preserve">Регламент (ЕС) 2021/1057 на Европейския парламент и на Съвета от 24 юни 2021 година за създаване на Европейския социален фонд плюс </w:t>
            </w:r>
            <w:r w:rsidRPr="002E3728">
              <w:rPr>
                <w:b/>
                <w:i/>
                <w:lang w:val="bg-BG"/>
              </w:rPr>
              <w:lastRenderedPageBreak/>
              <w:t>(ЕСФ+) и за отмяна на Регламент (ЕС) № 1296/2013 (OВ L 231, 30.6.2021 г., стр. 21, ELI: http://data.europa.eu/eli/reg/2021/1057/oj).</w:t>
            </w:r>
          </w:p>
        </w:tc>
        <w:tc>
          <w:tcPr>
            <w:tcW w:w="4876" w:type="dxa"/>
          </w:tcPr>
          <w:p w:rsidR="005B0D0B" w:rsidRPr="002E3728" w:rsidRDefault="005B0D0B" w:rsidP="00C41D59">
            <w:pPr>
              <w:pStyle w:val="Normal6"/>
              <w:rPr>
                <w:szCs w:val="24"/>
                <w:lang w:val="bg-BG"/>
              </w:rPr>
            </w:pP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(2а)</w:t>
            </w:r>
            <w:r w:rsidRPr="002E3728">
              <w:rPr>
                <w:b/>
                <w:i/>
                <w:lang w:val="bg-BG"/>
              </w:rPr>
              <w:tab/>
              <w:t>От съществено значение е да се гарантира, че всички мерки, предприети в контекста на извънредни ситуации, се разграничават по подходящ начин и не възпрепятстват постигането на структурните и стратегическите цели на политиката на сближаване. Настоятелно се призовава регулаторната рамка да включва гаранции за предотвратяване на осуетяването на основната мисия на политиката на сближаване.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(2а)</w:t>
            </w:r>
            <w:r w:rsidRPr="002E3728">
              <w:rPr>
                <w:b/>
                <w:i/>
                <w:lang w:val="bg-BG"/>
              </w:rPr>
              <w:tab/>
              <w:t xml:space="preserve">Регионите от ниво 2 по NUTS, граничещи с Русия, Беларус или Украйна, са непропорционално сериозно засегнати от руската </w:t>
            </w:r>
            <w:r w:rsidRPr="002E3728">
              <w:rPr>
                <w:b/>
                <w:i/>
                <w:lang w:val="bg-BG"/>
              </w:rPr>
              <w:lastRenderedPageBreak/>
              <w:t>агресивна война, като са изложени на загуба на работни места, по-слаба икономическа дейност и социално изключване заради по-малкия брой контакти между хората.</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2 б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(2б)</w:t>
            </w:r>
            <w:r w:rsidRPr="002E3728">
              <w:rPr>
                <w:b/>
                <w:i/>
                <w:lang w:val="bg-BG"/>
              </w:rPr>
              <w:tab/>
              <w:t>Периодичното използване на структурните ресурси, за да се отговори на извънредни ситуации, би могло да подкопае дългосрочната устойчивост и ефективност на политиката на сближаване чрез изместване на инвестициите, които при нормални условия биха били насочени към насърчаване на балансираното развитие между регионите.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4D0A66" w:rsidRPr="002E3728">
        <w:t>Елена Донацан</w:t>
      </w:r>
      <w:r w:rsidRPr="002E3728">
        <w:t xml:space="preserve">, </w:t>
      </w:r>
      <w:r w:rsidR="004D0A66" w:rsidRPr="002E3728">
        <w:t>Франческо Торсели</w:t>
      </w:r>
      <w:r w:rsidRPr="002E3728">
        <w:t xml:space="preserve">, </w:t>
      </w:r>
      <w:r w:rsidR="004D0A66" w:rsidRPr="002E3728">
        <w:t>Мариятереза Вивалдини</w:t>
      </w:r>
      <w:r w:rsidRPr="002E3728">
        <w:t>, Киара Джема</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(3)</w:t>
            </w:r>
            <w:r w:rsidRPr="002E3728">
              <w:rPr>
                <w:b/>
                <w:i/>
                <w:lang w:val="bg-BG"/>
              </w:rPr>
              <w:tab/>
              <w:t xml:space="preserve">Вече е възможно по линия на ЕСФ+ да се подпомага адаптирането на работниците, предприемачите и предприятията към промени. В съответствие с мерките за декарбонизация, предложени в съобщението на Комисията „Пактът </w:t>
            </w:r>
            <w:r w:rsidRPr="002E3728">
              <w:rPr>
                <w:b/>
                <w:i/>
                <w:lang w:val="bg-BG"/>
              </w:rPr>
              <w:lastRenderedPageBreak/>
              <w:t>за чиста промишленост: Съвместна пътна карта за конкурентоспособност и декарбонизация“ от 26 февруари 2025 г.</w:t>
            </w:r>
            <w:r w:rsidRPr="002E3728">
              <w:rPr>
                <w:b/>
                <w:i/>
                <w:vertAlign w:val="superscript"/>
                <w:lang w:val="bg-BG"/>
              </w:rPr>
              <w:t>6</w:t>
            </w:r>
            <w:r w:rsidRPr="002E3728">
              <w:rPr>
                <w:lang w:val="bg-BG"/>
              </w:rPr>
              <w:t xml:space="preserve"> </w:t>
            </w:r>
            <w:r w:rsidRPr="002E3728">
              <w:rPr>
                <w:b/>
                <w:i/>
                <w:lang w:val="bg-BG"/>
              </w:rPr>
              <w:t>и с оглед на допълнителното улесняване на приспособяването на промишлеността, свързано с декарбонизацията на производствените процеси и продукти, в контекста на целта за предоставяне на възможности през целия живот за редовно повишаване на квалификацията и преквалификацията на хората, както е посочено в съобщението относно съюза на уменията, включително чрез новопредложена гаранция за умения, ЕСФ+ следва да улеснява придобиването на умения, запазването на работни места и създаването на работни места по време на процеса на декарбонизация, като предоставя възможности за гъвкавост при изпълнението.</w:t>
            </w:r>
          </w:p>
        </w:tc>
        <w:tc>
          <w:tcPr>
            <w:tcW w:w="4876" w:type="dxa"/>
            <w:hideMark/>
          </w:tcPr>
          <w:p w:rsidR="005B0D0B" w:rsidRPr="002E3728" w:rsidRDefault="005B0D0B" w:rsidP="00C41D59">
            <w:pPr>
              <w:pStyle w:val="Normal6"/>
              <w:rPr>
                <w:szCs w:val="24"/>
                <w:lang w:val="bg-BG"/>
              </w:rPr>
            </w:pPr>
            <w:r w:rsidRPr="002E3728">
              <w:rPr>
                <w:b/>
                <w:i/>
                <w:lang w:val="bg-BG"/>
              </w:rPr>
              <w:lastRenderedPageBreak/>
              <w:t>заличава се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__________________</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6</w:t>
            </w:r>
            <w:r w:rsidRPr="002E3728">
              <w:rPr>
                <w:lang w:val="bg-BG"/>
              </w:rPr>
              <w:t xml:space="preserve"> </w:t>
            </w:r>
            <w:r w:rsidRPr="002E3728">
              <w:rPr>
                <w:b/>
                <w:i/>
                <w:lang w:val="bg-BG"/>
              </w:rPr>
              <w:t>COM(2025) 85 final</w:t>
            </w:r>
          </w:p>
        </w:tc>
        <w:tc>
          <w:tcPr>
            <w:tcW w:w="4876" w:type="dxa"/>
          </w:tcPr>
          <w:p w:rsidR="005B0D0B" w:rsidRPr="002E3728" w:rsidRDefault="005B0D0B" w:rsidP="00C41D59">
            <w:pPr>
              <w:pStyle w:val="Normal6"/>
              <w:rPr>
                <w:szCs w:val="24"/>
                <w:lang w:val="bg-BG"/>
              </w:rPr>
            </w:pP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 xml:space="preserve">Вече е възможно по линия на ЕСФ+ да се подпомага адаптирането на работниците, предприемачите и предприятията към промени. В съответствие с мерките за декарбонизация, предложени в съобщението на Комисията „Пактът за чиста промишленост: Съвместна пътна </w:t>
            </w:r>
            <w:r w:rsidRPr="002E3728">
              <w:rPr>
                <w:lang w:val="bg-BG"/>
              </w:rPr>
              <w:lastRenderedPageBreak/>
              <w:t>карта за конкурентоспособност и декарбонизация“ от 26 февруари 2025 г.</w:t>
            </w:r>
            <w:r w:rsidRPr="002E3728">
              <w:rPr>
                <w:vertAlign w:val="superscript"/>
                <w:lang w:val="bg-BG"/>
              </w:rPr>
              <w:t xml:space="preserve">6 </w:t>
            </w:r>
            <w:r w:rsidRPr="002E3728">
              <w:rPr>
                <w:lang w:val="bg-BG"/>
              </w:rPr>
              <w:t>и с оглед на допълнителното улесняване на приспособяването на промишлеността, свързано с декарбонизацията на производствените процеси и продукти, в контекста на целта за предоставяне на възможности през целия живот за редовно повишаване на квалификацията и преквалификацията на хората, както е посочено в съобщението относно съюза на уменията, включително чрез новопредложена гаранция за умения, ЕСФ+ следва да улеснява придобиването на умения, запазването на работни места и създаването на работни места по време на процеса на декарбонизация, като предоставя възможности за гъвкавост при изпълнението.</w:t>
            </w:r>
          </w:p>
        </w:tc>
        <w:tc>
          <w:tcPr>
            <w:tcW w:w="4876" w:type="dxa"/>
            <w:hideMark/>
          </w:tcPr>
          <w:p w:rsidR="005B0D0B" w:rsidRPr="002E3728" w:rsidRDefault="005B0D0B" w:rsidP="00C41D59">
            <w:pPr>
              <w:pStyle w:val="Normal6"/>
              <w:rPr>
                <w:szCs w:val="24"/>
                <w:lang w:val="bg-BG"/>
              </w:rPr>
            </w:pPr>
            <w:r w:rsidRPr="002E3728">
              <w:rPr>
                <w:lang w:val="bg-BG"/>
              </w:rPr>
              <w:lastRenderedPageBreak/>
              <w:t>(3)</w:t>
            </w:r>
            <w:r w:rsidRPr="002E3728">
              <w:rPr>
                <w:lang w:val="bg-BG"/>
              </w:rPr>
              <w:tab/>
              <w:t xml:space="preserve">Вече е възможно по линия на ЕСФ+ да се подпомага адаптирането на работниците, предприемачите и предприятията към промени. В съответствие с мерките за декарбонизация, предложени в съобщението на Комисията „Пактът за чиста промишленост: Съвместна пътна </w:t>
            </w:r>
            <w:r w:rsidRPr="002E3728">
              <w:rPr>
                <w:lang w:val="bg-BG"/>
              </w:rPr>
              <w:lastRenderedPageBreak/>
              <w:t>карта за конкурентоспособност и декарбонизация“ от 26 февруари 2025 г.</w:t>
            </w:r>
            <w:r w:rsidRPr="002E3728">
              <w:rPr>
                <w:vertAlign w:val="superscript"/>
                <w:lang w:val="bg-BG"/>
              </w:rPr>
              <w:t xml:space="preserve">6 </w:t>
            </w:r>
            <w:r w:rsidRPr="002E3728">
              <w:rPr>
                <w:lang w:val="bg-BG"/>
              </w:rPr>
              <w:t xml:space="preserve">и с оглед на допълнителното улесняване на приспособяването на промишлеността, свързано с декарбонизацията на производствените процеси и продукти, в контекста на целта за предоставяне на възможности през целия живот за редовно повишаване на квалификацията и преквалификацията на хората, както е посочено в съобщението относно съюза на уменията, включително чрез новопредложена гаранция за умения, ЕСФ+ следва да улеснява придобиването на умения, запазването на работни места и създаването на работни места по време на процеса на декарбонизация, като предоставя възможности за гъвкавост при изпълнението. </w:t>
            </w:r>
            <w:r w:rsidRPr="002E3728">
              <w:rPr>
                <w:b/>
                <w:i/>
                <w:lang w:val="bg-BG"/>
              </w:rPr>
              <w:t>С цел да се гарантира преход, който е необходим не само с оглед на цифровите и екологичните цели на Съюза, но също и на социалната справедливост, е от съществено значение процесът да бъде справедлив и приобщаващ. Следва да се обърне специално внимание на конкретните нужди и обстоятелства на по-слабо развитите региони. Тези региони и тяхното население следва да участват активно в прехода и да се възползват от него, като по този начин се гарантира пълното им интегриране в по-широката икономическа, социална и екологична трансформация на Съюза.</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lastRenderedPageBreak/>
              <w:t>__________________</w:t>
            </w:r>
          </w:p>
        </w:tc>
        <w:tc>
          <w:tcPr>
            <w:tcW w:w="4876" w:type="dxa"/>
            <w:hideMark/>
          </w:tcPr>
          <w:p w:rsidR="005B0D0B" w:rsidRPr="002E3728" w:rsidRDefault="005B0D0B" w:rsidP="00C41D59">
            <w:pPr>
              <w:pStyle w:val="Normal6"/>
              <w:rPr>
                <w:szCs w:val="24"/>
                <w:lang w:val="bg-BG"/>
              </w:rPr>
            </w:pPr>
            <w:r w:rsidRPr="002E3728">
              <w:rPr>
                <w:lang w:val="bg-BG"/>
              </w:rPr>
              <w:t>__________________</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6</w:t>
            </w:r>
            <w:r w:rsidRPr="002E3728">
              <w:rPr>
                <w:lang w:val="bg-BG"/>
              </w:rPr>
              <w:t xml:space="preserve"> COM(2025) 85 final</w:t>
            </w:r>
          </w:p>
        </w:tc>
        <w:tc>
          <w:tcPr>
            <w:tcW w:w="4876" w:type="dxa"/>
            <w:hideMark/>
          </w:tcPr>
          <w:p w:rsidR="005B0D0B" w:rsidRPr="002E3728" w:rsidRDefault="005B0D0B" w:rsidP="00C41D59">
            <w:pPr>
              <w:pStyle w:val="Normal6"/>
              <w:rPr>
                <w:szCs w:val="24"/>
                <w:lang w:val="bg-BG"/>
              </w:rPr>
            </w:pPr>
            <w:r w:rsidRPr="002E3728">
              <w:rPr>
                <w:vertAlign w:val="superscript"/>
                <w:lang w:val="bg-BG"/>
              </w:rPr>
              <w:t>6</w:t>
            </w:r>
            <w:r w:rsidRPr="002E3728">
              <w:rPr>
                <w:lang w:val="bg-BG"/>
              </w:rPr>
              <w:t xml:space="preserve"> COM(2025) 85 final</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Мари Доши</w:t>
      </w:r>
      <w:r w:rsidRPr="002E3728">
        <w:t xml:space="preserve">, </w:t>
      </w:r>
      <w:r w:rsidR="00CF314A" w:rsidRPr="002E3728">
        <w:t>Никола Бартушек</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{EMPL}</w:t>
      </w:r>
      <w:r w:rsidRPr="002E3728">
        <w:t>от името на комисията по заетост и социални въпроси</w:t>
      </w:r>
      <w:r w:rsidRPr="002E3728">
        <w:rPr>
          <w:rStyle w:val="HideTWBExt"/>
        </w:rPr>
        <w:t>&lt;/AuNomDe&gt;</w:t>
      </w:r>
    </w:p>
    <w:p w:rsidR="005B0D0B" w:rsidRPr="002E3728" w:rsidRDefault="005B0D0B" w:rsidP="005B0D0B">
      <w:pPr>
        <w:pStyle w:val="NormalBold"/>
      </w:pPr>
      <w:r w:rsidRPr="002E3728">
        <w:rPr>
          <w:rStyle w:val="HideTWBExt"/>
          <w:b w:val="0"/>
        </w:rPr>
        <w:lastRenderedPageBreak/>
        <w:t>&lt;Members&gt;</w:t>
      </w:r>
      <w:r w:rsidRPr="002E3728">
        <w:t>Северин Вербрук, Рашел Блом</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 xml:space="preserve">Вече е възможно по линия на ЕСФ+ да се подпомага адаптирането на работниците, предприемачите и предприятията към промени. </w:t>
            </w:r>
            <w:r w:rsidRPr="002E3728">
              <w:rPr>
                <w:b/>
                <w:i/>
                <w:lang w:val="bg-BG"/>
              </w:rPr>
              <w:t>В съответствие с мерките за декарбонизация</w:t>
            </w:r>
            <w:r w:rsidRPr="002E3728">
              <w:rPr>
                <w:lang w:val="bg-BG"/>
              </w:rPr>
              <w:t xml:space="preserve">, </w:t>
            </w:r>
            <w:r w:rsidRPr="002E3728">
              <w:rPr>
                <w:b/>
                <w:i/>
                <w:lang w:val="bg-BG"/>
              </w:rPr>
              <w:t>предложени в съобщението на Комисията „Пактът за чиста промишленост: Съвместна пътна карта за конкурентоспособност и декарбонизация“</w:t>
            </w:r>
            <w:r w:rsidRPr="002E3728">
              <w:rPr>
                <w:lang w:val="bg-BG"/>
              </w:rPr>
              <w:t xml:space="preserve"> от </w:t>
            </w:r>
            <w:r w:rsidRPr="002E3728">
              <w:rPr>
                <w:b/>
                <w:i/>
                <w:lang w:val="bg-BG"/>
              </w:rPr>
              <w:t>26 февруари 2025 г.</w:t>
            </w:r>
            <w:r w:rsidRPr="002E3728">
              <w:rPr>
                <w:b/>
                <w:i/>
                <w:vertAlign w:val="superscript"/>
                <w:lang w:val="bg-BG"/>
              </w:rPr>
              <w:t>6</w:t>
            </w:r>
            <w:r w:rsidRPr="002E3728">
              <w:rPr>
                <w:b/>
                <w:i/>
                <w:lang w:val="bg-BG"/>
              </w:rPr>
              <w:t xml:space="preserve"> и</w:t>
            </w:r>
            <w:r w:rsidRPr="002E3728">
              <w:rPr>
                <w:lang w:val="bg-BG"/>
              </w:rPr>
              <w:t xml:space="preserve"> с </w:t>
            </w:r>
            <w:r w:rsidRPr="002E3728">
              <w:rPr>
                <w:b/>
                <w:i/>
                <w:lang w:val="bg-BG"/>
              </w:rPr>
              <w:t>оглед на допълнителното улесняване на приспособяването на промишлеността</w:t>
            </w:r>
            <w:r w:rsidRPr="002E3728">
              <w:rPr>
                <w:lang w:val="bg-BG"/>
              </w:rPr>
              <w:t xml:space="preserve">, </w:t>
            </w:r>
            <w:r w:rsidRPr="002E3728">
              <w:rPr>
                <w:b/>
                <w:i/>
                <w:lang w:val="bg-BG"/>
              </w:rPr>
              <w:t>свързано</w:t>
            </w:r>
            <w:r w:rsidRPr="002E3728">
              <w:rPr>
                <w:lang w:val="bg-BG"/>
              </w:rPr>
              <w:t xml:space="preserve"> с </w:t>
            </w:r>
            <w:r w:rsidRPr="002E3728">
              <w:rPr>
                <w:b/>
                <w:i/>
                <w:lang w:val="bg-BG"/>
              </w:rPr>
              <w:t>декарбонизацията</w:t>
            </w:r>
            <w:r w:rsidRPr="002E3728">
              <w:rPr>
                <w:lang w:val="bg-BG"/>
              </w:rPr>
              <w:t xml:space="preserve"> на </w:t>
            </w:r>
            <w:r w:rsidRPr="002E3728">
              <w:rPr>
                <w:b/>
                <w:i/>
                <w:lang w:val="bg-BG"/>
              </w:rPr>
              <w:t>производствените процеси</w:t>
            </w:r>
            <w:r w:rsidRPr="002E3728">
              <w:rPr>
                <w:lang w:val="bg-BG"/>
              </w:rPr>
              <w:t xml:space="preserve"> и </w:t>
            </w:r>
            <w:r w:rsidRPr="002E3728">
              <w:rPr>
                <w:b/>
                <w:i/>
                <w:lang w:val="bg-BG"/>
              </w:rPr>
              <w:t xml:space="preserve">продукти, </w:t>
            </w:r>
            <w:r w:rsidRPr="002E3728">
              <w:rPr>
                <w:lang w:val="bg-BG"/>
              </w:rPr>
              <w:t xml:space="preserve">в контекста на целта за предоставяне на възможности през целия живот за редовно повишаване на квалификацията и преквалификацията на хората, както е посочено в съобщението относно съюза на уменията, включително чрез новопредложена гаранция за умения, ЕСФ+ следва да улеснява придобиването на умения, запазването на работни места и създаването на работни места по </w:t>
            </w:r>
            <w:r w:rsidRPr="002E3728">
              <w:rPr>
                <w:b/>
                <w:i/>
                <w:lang w:val="bg-BG"/>
              </w:rPr>
              <w:t>време</w:t>
            </w:r>
            <w:r w:rsidRPr="002E3728">
              <w:rPr>
                <w:lang w:val="bg-BG"/>
              </w:rPr>
              <w:t xml:space="preserve"> на </w:t>
            </w:r>
            <w:r w:rsidRPr="002E3728">
              <w:rPr>
                <w:b/>
                <w:i/>
                <w:lang w:val="bg-BG"/>
              </w:rPr>
              <w:t>процеса</w:t>
            </w:r>
            <w:r w:rsidRPr="002E3728">
              <w:rPr>
                <w:lang w:val="bg-BG"/>
              </w:rPr>
              <w:t xml:space="preserve"> на </w:t>
            </w:r>
            <w:r w:rsidRPr="002E3728">
              <w:rPr>
                <w:b/>
                <w:i/>
                <w:lang w:val="bg-BG"/>
              </w:rPr>
              <w:t>декарбонизация</w:t>
            </w:r>
            <w:r w:rsidRPr="002E3728">
              <w:rPr>
                <w:lang w:val="bg-BG"/>
              </w:rPr>
              <w:t>, като предоставя възможности за гъвкавост при изпълнението.</w:t>
            </w:r>
          </w:p>
        </w:tc>
        <w:tc>
          <w:tcPr>
            <w:tcW w:w="4876" w:type="dxa"/>
            <w:hideMark/>
          </w:tcPr>
          <w:p w:rsidR="005B0D0B" w:rsidRPr="002E3728" w:rsidRDefault="005B0D0B" w:rsidP="00C41D59">
            <w:pPr>
              <w:pStyle w:val="Normal6"/>
              <w:rPr>
                <w:szCs w:val="24"/>
                <w:lang w:val="bg-BG"/>
              </w:rPr>
            </w:pPr>
            <w:r w:rsidRPr="002E3728">
              <w:rPr>
                <w:lang w:val="bg-BG"/>
              </w:rPr>
              <w:t>(3)</w:t>
            </w:r>
            <w:r w:rsidRPr="002E3728">
              <w:rPr>
                <w:lang w:val="bg-BG"/>
              </w:rPr>
              <w:tab/>
              <w:t xml:space="preserve">Вече е възможно по линия на ЕСФ+ да се подпомага адаптирането на работниците, предприемачите и предприятията към промени. </w:t>
            </w:r>
            <w:r w:rsidRPr="002E3728">
              <w:rPr>
                <w:b/>
                <w:i/>
                <w:lang w:val="bg-BG"/>
              </w:rPr>
              <w:t>Като се има предвид, че трудностите</w:t>
            </w:r>
            <w:r w:rsidRPr="002E3728">
              <w:rPr>
                <w:lang w:val="bg-BG"/>
              </w:rPr>
              <w:t xml:space="preserve">, </w:t>
            </w:r>
            <w:r w:rsidRPr="002E3728">
              <w:rPr>
                <w:b/>
                <w:i/>
                <w:lang w:val="bg-BG"/>
              </w:rPr>
              <w:t>които изпитват европейските промишлени отрасли, може до голяма степен да се отдадат на взетите</w:t>
            </w:r>
            <w:r w:rsidRPr="002E3728">
              <w:rPr>
                <w:lang w:val="bg-BG"/>
              </w:rPr>
              <w:t xml:space="preserve"> от </w:t>
            </w:r>
            <w:r w:rsidRPr="002E3728">
              <w:rPr>
                <w:b/>
                <w:i/>
                <w:lang w:val="bg-BG"/>
              </w:rPr>
              <w:t>Европейската комисия решения, по-специално Зеления пакт,</w:t>
            </w:r>
            <w:r w:rsidRPr="002E3728">
              <w:rPr>
                <w:lang w:val="bg-BG"/>
              </w:rPr>
              <w:t xml:space="preserve"> с </w:t>
            </w:r>
            <w:r w:rsidRPr="002E3728">
              <w:rPr>
                <w:b/>
                <w:i/>
                <w:lang w:val="bg-BG"/>
              </w:rPr>
              <w:t>който за нашата промишленост се налага санкционираща регулаторна рамка</w:t>
            </w:r>
            <w:r w:rsidRPr="002E3728">
              <w:rPr>
                <w:lang w:val="bg-BG"/>
              </w:rPr>
              <w:t xml:space="preserve">, с </w:t>
            </w:r>
            <w:r w:rsidRPr="002E3728">
              <w:rPr>
                <w:b/>
                <w:i/>
                <w:lang w:val="bg-BG"/>
              </w:rPr>
              <w:t>която понякога се застрашава самото съществуване</w:t>
            </w:r>
            <w:r w:rsidRPr="002E3728">
              <w:rPr>
                <w:lang w:val="bg-BG"/>
              </w:rPr>
              <w:t xml:space="preserve"> на </w:t>
            </w:r>
            <w:r w:rsidRPr="002E3728">
              <w:rPr>
                <w:b/>
                <w:i/>
                <w:lang w:val="bg-BG"/>
              </w:rPr>
              <w:t>тези предприятия от сектора</w:t>
            </w:r>
            <w:r w:rsidRPr="002E3728">
              <w:rPr>
                <w:lang w:val="bg-BG"/>
              </w:rPr>
              <w:t xml:space="preserve"> и </w:t>
            </w:r>
            <w:r w:rsidRPr="002E3728">
              <w:rPr>
                <w:b/>
                <w:i/>
                <w:lang w:val="bg-BG"/>
              </w:rPr>
              <w:t>на свързаните с тях работни места и умения.</w:t>
            </w:r>
            <w:r w:rsidRPr="002E3728">
              <w:rPr>
                <w:lang w:val="bg-BG"/>
              </w:rPr>
              <w:t xml:space="preserve"> В контекста на целта за предоставяне на възможности през целия живот за редовно повишаване на квалификацията и преквалификацията на хората, както е посочено в съобщението относно съюза на уменията, включително чрез новопредложена гаранция за умения, ЕСФ+ следва да улеснява придобиването на умения, запазването на работни места и създаването на работни места </w:t>
            </w:r>
            <w:r w:rsidRPr="002E3728">
              <w:rPr>
                <w:b/>
                <w:i/>
                <w:lang w:val="bg-BG"/>
              </w:rPr>
              <w:t>в промишлените отрасли, по-специално</w:t>
            </w:r>
            <w:r w:rsidRPr="002E3728">
              <w:rPr>
                <w:lang w:val="bg-BG"/>
              </w:rPr>
              <w:t xml:space="preserve"> по </w:t>
            </w:r>
            <w:r w:rsidRPr="002E3728">
              <w:rPr>
                <w:b/>
                <w:i/>
                <w:lang w:val="bg-BG"/>
              </w:rPr>
              <w:t>отношение на производството</w:t>
            </w:r>
            <w:r w:rsidRPr="002E3728">
              <w:rPr>
                <w:lang w:val="bg-BG"/>
              </w:rPr>
              <w:t xml:space="preserve"> на </w:t>
            </w:r>
            <w:r w:rsidRPr="002E3728">
              <w:rPr>
                <w:b/>
                <w:i/>
                <w:lang w:val="bg-BG"/>
              </w:rPr>
              <w:t>енергия</w:t>
            </w:r>
            <w:r w:rsidRPr="002E3728">
              <w:rPr>
                <w:lang w:val="bg-BG"/>
              </w:rPr>
              <w:t xml:space="preserve"> на </w:t>
            </w:r>
            <w:r w:rsidRPr="002E3728">
              <w:rPr>
                <w:b/>
                <w:i/>
                <w:lang w:val="bg-BG"/>
              </w:rPr>
              <w:t>европейска територия</w:t>
            </w:r>
            <w:r w:rsidRPr="002E3728">
              <w:rPr>
                <w:lang w:val="bg-BG"/>
              </w:rPr>
              <w:t>, като предоставя възможности за гъвкавост при изпълнението.</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__________________</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vertAlign w:val="superscript"/>
                <w:lang w:val="bg-BG"/>
              </w:rPr>
              <w:t>6</w:t>
            </w:r>
            <w:r w:rsidRPr="002E3728">
              <w:rPr>
                <w:lang w:val="bg-BG"/>
              </w:rPr>
              <w:t xml:space="preserve"> </w:t>
            </w:r>
            <w:r w:rsidRPr="002E3728">
              <w:rPr>
                <w:b/>
                <w:i/>
                <w:lang w:val="bg-BG"/>
              </w:rPr>
              <w:t>COM(2025) 85 final.</w:t>
            </w:r>
          </w:p>
        </w:tc>
        <w:tc>
          <w:tcPr>
            <w:tcW w:w="4876" w:type="dxa"/>
          </w:tcPr>
          <w:p w:rsidR="005B0D0B" w:rsidRPr="002E3728" w:rsidRDefault="005B0D0B" w:rsidP="00C41D59">
            <w:pPr>
              <w:pStyle w:val="Normal6"/>
              <w:rPr>
                <w:szCs w:val="24"/>
                <w:lang w:val="bg-BG"/>
              </w:rPr>
            </w:pP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{FR}</w:t>
      </w:r>
      <w:r w:rsidRPr="002E3728">
        <w:rPr>
          <w:noProof w:val="0"/>
          <w:lang w:val="bg-BG"/>
        </w:rPr>
        <w:t>fr</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Вече е възможно по линия на ЕСФ+ да се подпомага адаптирането на работниците, предприемачите и предприятията към промени. В съответствие с мерките за декарбонизация, предложени в съобщението на Комисията „Пактът за чиста промишленост: Съвместна пътна карта за конкурентоспособност и декарбонизация“ от 26 февруари 2025 г.</w:t>
            </w:r>
            <w:r w:rsidRPr="002E3728">
              <w:rPr>
                <w:vertAlign w:val="superscript"/>
                <w:lang w:val="bg-BG"/>
              </w:rPr>
              <w:t>6</w:t>
            </w:r>
            <w:r w:rsidRPr="002E3728">
              <w:rPr>
                <w:lang w:val="bg-BG"/>
              </w:rPr>
              <w:t xml:space="preserve"> и с оглед на допълнителното улесняване на приспособяването на промишлеността, свързано с декарбонизацията на производствените процеси и продукти, в контекста на целта за предоставяне на възможности през целия живот за редовно повишаване на квалификацията и преквалификацията на хората, както е посочено в съобщението относно съюза на уменията, включително чрез новопредложена гаранция за умения, ЕСФ+ следва да улеснява придобиването на умения, запазването на работни места и създаването на работни места по време на процеса на декарбонизация, като предоставя възможности за гъвкавост при изпълнението.</w:t>
            </w:r>
          </w:p>
        </w:tc>
        <w:tc>
          <w:tcPr>
            <w:tcW w:w="4876" w:type="dxa"/>
            <w:hideMark/>
          </w:tcPr>
          <w:p w:rsidR="005B0D0B" w:rsidRPr="002E3728" w:rsidRDefault="005B0D0B" w:rsidP="00C41D59">
            <w:pPr>
              <w:pStyle w:val="Normal6"/>
              <w:rPr>
                <w:szCs w:val="24"/>
                <w:lang w:val="bg-BG"/>
              </w:rPr>
            </w:pPr>
            <w:r w:rsidRPr="002E3728">
              <w:rPr>
                <w:lang w:val="bg-BG"/>
              </w:rPr>
              <w:t>(3)</w:t>
            </w:r>
            <w:r w:rsidRPr="002E3728">
              <w:rPr>
                <w:lang w:val="bg-BG"/>
              </w:rPr>
              <w:tab/>
              <w:t>Вече е възможно по линия на ЕСФ+ да се подпомага адаптирането на работниците, предприемачите и предприятията към промени. В съответствие с мерките за декарбонизация, предложени в съобщението на Комисията „Пактът за чиста промишленост: Съвместна пътна карта за конкурентоспособност и декарбонизация“ от 26 февруари 2025 г.</w:t>
            </w:r>
            <w:r w:rsidRPr="002E3728">
              <w:rPr>
                <w:vertAlign w:val="superscript"/>
                <w:lang w:val="bg-BG"/>
              </w:rPr>
              <w:t>6</w:t>
            </w:r>
            <w:r w:rsidRPr="002E3728">
              <w:rPr>
                <w:lang w:val="bg-BG"/>
              </w:rPr>
              <w:t xml:space="preserve"> и с оглед на допълнителното улесняване на приспособяването на промишлеността, свързано с декарбонизацията на производствените процеси и продукти, в контекста на целта за предоставяне на възможности през целия живот за редовно повишаване на квалификацията и преквалификацията на хората, както е посочено в съобщението относно съюза на уменията, включително чрез новопредложена гаранция за умения, ЕСФ+ следва да улеснява придобиването на умения, запазването на работни места и създаването на </w:t>
            </w:r>
            <w:r w:rsidRPr="002E3728">
              <w:rPr>
                <w:b/>
                <w:i/>
                <w:lang w:val="bg-BG"/>
              </w:rPr>
              <w:t>качествени</w:t>
            </w:r>
            <w:r w:rsidRPr="002E3728">
              <w:rPr>
                <w:lang w:val="bg-BG"/>
              </w:rPr>
              <w:t xml:space="preserve"> работни места по време на процеса на декарбонизация, като предоставя възможности за гъвкавост при изпълнението.</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__________________</w:t>
            </w:r>
          </w:p>
        </w:tc>
        <w:tc>
          <w:tcPr>
            <w:tcW w:w="4876" w:type="dxa"/>
            <w:hideMark/>
          </w:tcPr>
          <w:p w:rsidR="005B0D0B" w:rsidRPr="002E3728" w:rsidRDefault="005B0D0B" w:rsidP="00C41D59">
            <w:pPr>
              <w:pStyle w:val="Normal6"/>
              <w:rPr>
                <w:szCs w:val="24"/>
                <w:lang w:val="bg-BG"/>
              </w:rPr>
            </w:pPr>
            <w:r w:rsidRPr="002E3728">
              <w:rPr>
                <w:lang w:val="bg-BG"/>
              </w:rPr>
              <w:t>__________________</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6</w:t>
            </w:r>
            <w:r w:rsidRPr="002E3728">
              <w:rPr>
                <w:lang w:val="bg-BG"/>
              </w:rPr>
              <w:t xml:space="preserve"> COM(2025) 85 final</w:t>
            </w:r>
          </w:p>
        </w:tc>
        <w:tc>
          <w:tcPr>
            <w:tcW w:w="4876" w:type="dxa"/>
            <w:hideMark/>
          </w:tcPr>
          <w:p w:rsidR="005B0D0B" w:rsidRPr="002E3728" w:rsidRDefault="005B0D0B" w:rsidP="00C41D59">
            <w:pPr>
              <w:pStyle w:val="Normal6"/>
              <w:rPr>
                <w:szCs w:val="24"/>
                <w:lang w:val="bg-BG"/>
              </w:rPr>
            </w:pPr>
            <w:r w:rsidRPr="002E3728">
              <w:rPr>
                <w:vertAlign w:val="superscript"/>
                <w:lang w:val="bg-BG"/>
              </w:rPr>
              <w:t>6</w:t>
            </w:r>
            <w:r w:rsidRPr="002E3728">
              <w:rPr>
                <w:lang w:val="bg-BG"/>
              </w:rPr>
              <w:t xml:space="preserve"> COM(2025) 85 final</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lastRenderedPageBreak/>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(3a)</w:t>
            </w:r>
            <w:r w:rsidRPr="002E3728">
              <w:rPr>
                <w:b/>
                <w:i/>
                <w:lang w:val="bg-BG"/>
              </w:rPr>
              <w:tab/>
              <w:t>Европейският социален фонд плюс (ЕСФ+) представлява основен стълб на политиката на сближаване, чиято основна цел е насърчаване на социалното приобщаване, справедливост в заетостта и намаляване на териториалните различия.</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 б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(3б)</w:t>
            </w:r>
            <w:r w:rsidRPr="002E3728">
              <w:rPr>
                <w:b/>
                <w:i/>
                <w:lang w:val="bg-BG"/>
              </w:rPr>
              <w:tab/>
              <w:t>Въпреки включването на нови стратегически приоритети на равнището на ЕС, от съществено значение е ЕСФ+ да не се отклонява от своята социална мисия, която следва да остане основната ориентация за удовлетворяване на конкретните нужди на териториите и на техните общности.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29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 в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(3в)</w:t>
            </w:r>
            <w:r w:rsidRPr="002E3728">
              <w:rPr>
                <w:b/>
                <w:i/>
                <w:lang w:val="bg-BG"/>
              </w:rPr>
              <w:tab/>
              <w:t xml:space="preserve">Препрограмирането на ресурси </w:t>
            </w:r>
            <w:r w:rsidRPr="002E3728">
              <w:rPr>
                <w:b/>
                <w:i/>
                <w:lang w:val="bg-BG"/>
              </w:rPr>
              <w:lastRenderedPageBreak/>
              <w:t>по линия на ЕСФ+ следва да гарантира, че мерките за приспособяване в отговор на стратегическите предизвикателства не подкопават неговия териториален и социален подход, а по-скоро укрепват неговия капацитет да се бори с неравенството и да насърчава балансираното развитие.</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3 г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(3г)</w:t>
            </w:r>
            <w:r w:rsidRPr="002E3728">
              <w:rPr>
                <w:b/>
                <w:i/>
                <w:lang w:val="bg-BG"/>
              </w:rPr>
              <w:tab/>
              <w:t>От съществено значение е правилното интегриране на допълнителни мерки или на финансови възможности за гъвкавост, за да се защити социалната същност на ЕСФ+, като се гарантира, че инвестициите в нови приоритети не водят до накърняване на ролята за сближаване и резултатът от тях не е насочване на ресурсите към чисто стратегически интереси.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4</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(4)</w:t>
            </w:r>
            <w:r w:rsidRPr="002E3728">
              <w:rPr>
                <w:lang w:val="bg-BG"/>
              </w:rPr>
              <w:tab/>
              <w:t xml:space="preserve">Вече е възможно подпомагането по линия на ЕСФ+ на инвестиции, </w:t>
            </w:r>
            <w:r w:rsidRPr="002E3728">
              <w:rPr>
                <w:lang w:val="bg-BG"/>
              </w:rPr>
              <w:lastRenderedPageBreak/>
              <w:t>допринасящи за целите на „Платформата за стратегически технологии за Европа“ (STEP), създадена с Регламент (ЕС) 2024/795 на Европейския парламент и на Съвета</w:t>
            </w:r>
            <w:r w:rsidRPr="002E3728">
              <w:rPr>
                <w:vertAlign w:val="superscript"/>
                <w:lang w:val="bg-BG"/>
              </w:rPr>
              <w:t>7</w:t>
            </w:r>
            <w:r w:rsidRPr="002E3728">
              <w:rPr>
                <w:lang w:val="bg-BG"/>
              </w:rPr>
              <w:t>, с която се цели укрепването на технологичното лидерство на Съюза. За да се стимулират допълнително инвестициите по линия на ЕСФ+ в тези области от критично значение, следва да се разшири възможността държавите членки да получават по-голямо предварително финансиране за свързани изменения на програмата.</w:t>
            </w:r>
          </w:p>
        </w:tc>
        <w:tc>
          <w:tcPr>
            <w:tcW w:w="4876" w:type="dxa"/>
            <w:hideMark/>
          </w:tcPr>
          <w:p w:rsidR="005B0D0B" w:rsidRPr="002E3728" w:rsidRDefault="005B0D0B" w:rsidP="00C41D59">
            <w:pPr>
              <w:pStyle w:val="Normal6"/>
              <w:rPr>
                <w:szCs w:val="24"/>
                <w:lang w:val="bg-BG"/>
              </w:rPr>
            </w:pPr>
            <w:r w:rsidRPr="002E3728">
              <w:rPr>
                <w:lang w:val="bg-BG"/>
              </w:rPr>
              <w:lastRenderedPageBreak/>
              <w:t>(4)</w:t>
            </w:r>
            <w:r w:rsidRPr="002E3728">
              <w:rPr>
                <w:lang w:val="bg-BG"/>
              </w:rPr>
              <w:tab/>
              <w:t xml:space="preserve">Вече е възможно подпомагането по линия на ЕСФ+ на инвестиции, </w:t>
            </w:r>
            <w:r w:rsidRPr="002E3728">
              <w:rPr>
                <w:lang w:val="bg-BG"/>
              </w:rPr>
              <w:lastRenderedPageBreak/>
              <w:t>допринасящи за целите на „Платформата за стратегически технологии за Европа“ (STEP), създадена с Регламент (ЕС) 2024/795 на Европейския парламент и на Съвета</w:t>
            </w:r>
            <w:r w:rsidRPr="002E3728">
              <w:rPr>
                <w:vertAlign w:val="superscript"/>
                <w:lang w:val="bg-BG"/>
              </w:rPr>
              <w:t>7</w:t>
            </w:r>
            <w:r w:rsidRPr="002E3728">
              <w:rPr>
                <w:lang w:val="bg-BG"/>
              </w:rPr>
              <w:t xml:space="preserve">, с която се цели укрепването на технологичното лидерство на Съюза </w:t>
            </w:r>
            <w:r w:rsidRPr="002E3728">
              <w:rPr>
                <w:b/>
                <w:i/>
                <w:lang w:val="bg-BG"/>
              </w:rPr>
              <w:t>и развитие на уменията</w:t>
            </w:r>
            <w:r w:rsidRPr="002E3728">
              <w:rPr>
                <w:lang w:val="bg-BG"/>
              </w:rPr>
              <w:t>. За да се стимулират допълнително инвестициите по линия на ЕСФ+ в тези области от критично значение, следва да се разшири възможността държавите членки да получават по-голямо предварително финансиране за свързани изменения на програмата.</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lastRenderedPageBreak/>
              <w:t>__________________</w:t>
            </w:r>
          </w:p>
        </w:tc>
        <w:tc>
          <w:tcPr>
            <w:tcW w:w="4876" w:type="dxa"/>
            <w:hideMark/>
          </w:tcPr>
          <w:p w:rsidR="005B0D0B" w:rsidRPr="002E3728" w:rsidRDefault="005B0D0B" w:rsidP="00C41D59">
            <w:pPr>
              <w:pStyle w:val="Normal6"/>
              <w:rPr>
                <w:szCs w:val="24"/>
                <w:lang w:val="bg-BG"/>
              </w:rPr>
            </w:pPr>
            <w:r w:rsidRPr="002E3728">
              <w:rPr>
                <w:lang w:val="bg-BG"/>
              </w:rPr>
              <w:t>__________________</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vertAlign w:val="superscript"/>
                <w:lang w:val="bg-BG"/>
              </w:rPr>
              <w:t>7</w:t>
            </w:r>
            <w:r w:rsidRPr="002E3728">
              <w:rPr>
                <w:lang w:val="bg-BG"/>
              </w:rPr>
              <w:t xml:space="preserve"> Регламент (ЕС) 2024/795 на Европейския парламент и на Съвета от 29 февруари 2024 г. за създаване на платформата за стратегически технологии за Европа (STEP) и за изменение на Директива 2003/87/ЕО и на регламенти (ЕС) 2021/1058, (ЕС) 2021/1056, (ЕС) 2021/1057, (ЕС) № 1303/2013, (ЕС) № 223/2014, (ЕС) 2021/1060, (ЕС) 2021/523, (ЕС) 2021/695, (ЕС) 2021/697 и (ЕС) 2021/241 (ОВ L, 2024/795, 29.2.2024 г., ELI: https://eur-lex.europa.eu/eli/reg/2024/795/oj).</w:t>
            </w:r>
          </w:p>
        </w:tc>
        <w:tc>
          <w:tcPr>
            <w:tcW w:w="4876" w:type="dxa"/>
            <w:hideMark/>
          </w:tcPr>
          <w:p w:rsidR="005B0D0B" w:rsidRPr="002E3728" w:rsidRDefault="005B0D0B" w:rsidP="00C41D59">
            <w:pPr>
              <w:pStyle w:val="Normal6"/>
              <w:rPr>
                <w:szCs w:val="24"/>
                <w:lang w:val="bg-BG"/>
              </w:rPr>
            </w:pPr>
            <w:r w:rsidRPr="002E3728">
              <w:rPr>
                <w:vertAlign w:val="superscript"/>
                <w:lang w:val="bg-BG"/>
              </w:rPr>
              <w:t>7</w:t>
            </w:r>
            <w:r w:rsidRPr="002E3728">
              <w:rPr>
                <w:lang w:val="bg-BG"/>
              </w:rPr>
              <w:t xml:space="preserve"> Регламент (ЕС) 2024/795 на Европейския парламент и на Съвета от 29 февруари 2024 г. за създаване на платформата за стратегически технологии за Европа (STEP) и за изменение на Директива 2003/87/ЕО и на регламенти (ЕС) 2021/1058, (ЕС) 2021/1056, (ЕС) 2021/1057, (ЕС) № 1303/2013, (ЕС) № 223/2014, (ЕС) 2021/1060, (ЕС) 2021/523, (ЕС) 2021/695, (ЕС) 2021/697 и (ЕС) 2021/241 (ОВ L, 2024/795, 29.2.2024 г., ELI: https://eur-lex.europa.eu/eli/reg/2024/795/oj).</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4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(4а)</w:t>
            </w:r>
            <w:r w:rsidRPr="002E3728">
              <w:rPr>
                <w:b/>
                <w:i/>
                <w:lang w:val="bg-BG"/>
              </w:rPr>
              <w:tab/>
              <w:t xml:space="preserve">С цел справяне с критичните предизвикателства, свързани с насърчаване на иновациите и защита на знанията, за да се подобри конкурентоспособността и </w:t>
            </w:r>
            <w:r w:rsidRPr="002E3728">
              <w:rPr>
                <w:b/>
                <w:i/>
                <w:lang w:val="bg-BG"/>
              </w:rPr>
              <w:lastRenderedPageBreak/>
              <w:t>устойчивостта на Европейския съюз, държавите членки следва да насърчават сътрудничеството между организациите, работещи по създаване и усвояване на умения, като например професионални, академични и научноизследователски институции и отрасли. Това сътрудничество е от съществено значение за развитието на нови технологии и за закрилата на правата върху интелектуалната собственост, като по този начин се гарантира, че ЕС ще продължи да заема водеща позиция в иновациите в световен мащаб.</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4 a (ново)</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(4а)</w:t>
            </w:r>
            <w:r w:rsidRPr="002E3728">
              <w:rPr>
                <w:b/>
                <w:i/>
                <w:lang w:val="bg-BG"/>
              </w:rPr>
              <w:tab/>
              <w:t>В съответствие с член 5, параграф 1, втора алинея от Регламент (ЕС) 2021/1060 ЕСФ+ допринася за постигането на специфичната цел, която се изразява в осигуряването на възможност на регионите и населението да се справят с въздействието върху социалната сфера, заетостта, икономиката и околната среда на прехода за постигане на целите на Съюза за 2030 г. в областта на енергетиката и климата и на неутрална по отношение на климата икономика на Съюза до 2050 г., въз основа на Парижкото споразумение.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5</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(5)</w:t>
            </w:r>
            <w:r w:rsidRPr="002E3728">
              <w:rPr>
                <w:lang w:val="bg-BG"/>
              </w:rPr>
              <w:tab/>
              <w:t xml:space="preserve">С цел да се </w:t>
            </w:r>
            <w:r w:rsidRPr="002E3728">
              <w:rPr>
                <w:b/>
                <w:i/>
                <w:lang w:val="bg-BG"/>
              </w:rPr>
              <w:t>даде възможност</w:t>
            </w:r>
            <w:r w:rsidRPr="002E3728">
              <w:rPr>
                <w:lang w:val="bg-BG"/>
              </w:rPr>
              <w:t xml:space="preserve"> на държавите членки да </w:t>
            </w:r>
            <w:r w:rsidRPr="002E3728">
              <w:rPr>
                <w:b/>
                <w:i/>
                <w:lang w:val="bg-BG"/>
              </w:rPr>
              <w:t>извършат значимо</w:t>
            </w:r>
            <w:r w:rsidRPr="002E3728">
              <w:rPr>
                <w:lang w:val="bg-BG"/>
              </w:rPr>
              <w:t xml:space="preserve"> препрограмиране и да съсредоточат ресурсите към посочените в съображения 2, 3 и 4 стратегически приоритети на Съюза, без да се причиняват допълнителни забавяния в изпълнението, </w:t>
            </w:r>
            <w:r w:rsidRPr="002E3728">
              <w:rPr>
                <w:b/>
                <w:i/>
                <w:lang w:val="bg-BG"/>
              </w:rPr>
              <w:t>е целесъобразно да се предвидят допълнителни</w:t>
            </w:r>
            <w:r w:rsidRPr="002E3728">
              <w:rPr>
                <w:lang w:val="bg-BG"/>
              </w:rPr>
              <w:t xml:space="preserve"> възможности за гъвкавост. Междинният преглед </w:t>
            </w:r>
            <w:r w:rsidRPr="002E3728">
              <w:rPr>
                <w:b/>
                <w:i/>
                <w:lang w:val="bg-BG"/>
              </w:rPr>
              <w:t>следва да служи</w:t>
            </w:r>
            <w:r w:rsidRPr="002E3728">
              <w:rPr>
                <w:lang w:val="bg-BG"/>
              </w:rPr>
              <w:t xml:space="preserve"> като възможност за справяне с нововъзникващите стратегически предизвикателства и нови приоритети, </w:t>
            </w:r>
            <w:r w:rsidRPr="002E3728">
              <w:rPr>
                <w:b/>
                <w:i/>
                <w:lang w:val="bg-BG"/>
              </w:rPr>
              <w:t>поради което държавите членки следва да се ползват от</w:t>
            </w:r>
            <w:r w:rsidRPr="002E3728">
              <w:rPr>
                <w:lang w:val="bg-BG"/>
              </w:rPr>
              <w:t xml:space="preserve"> допълнително време, за да завършат оценката на </w:t>
            </w:r>
            <w:r w:rsidRPr="002E3728">
              <w:rPr>
                <w:b/>
                <w:i/>
                <w:lang w:val="bg-BG"/>
              </w:rPr>
              <w:t>резултата</w:t>
            </w:r>
            <w:r w:rsidRPr="002E3728">
              <w:rPr>
                <w:lang w:val="bg-BG"/>
              </w:rPr>
              <w:t xml:space="preserve"> от </w:t>
            </w:r>
            <w:r w:rsidRPr="002E3728">
              <w:rPr>
                <w:b/>
                <w:i/>
                <w:lang w:val="bg-BG"/>
              </w:rPr>
              <w:t>междинния преглед</w:t>
            </w:r>
            <w:r w:rsidRPr="002E3728">
              <w:rPr>
                <w:lang w:val="bg-BG"/>
              </w:rPr>
              <w:t xml:space="preserve"> и </w:t>
            </w:r>
            <w:r w:rsidRPr="002E3728">
              <w:rPr>
                <w:b/>
                <w:i/>
                <w:lang w:val="bg-BG"/>
              </w:rPr>
              <w:t>представянето</w:t>
            </w:r>
            <w:r w:rsidRPr="002E3728">
              <w:rPr>
                <w:lang w:val="bg-BG"/>
              </w:rPr>
              <w:t xml:space="preserve"> на </w:t>
            </w:r>
            <w:r w:rsidRPr="002E3728">
              <w:rPr>
                <w:b/>
                <w:i/>
                <w:lang w:val="bg-BG"/>
              </w:rPr>
              <w:t>свързани изменения</w:t>
            </w:r>
            <w:r w:rsidRPr="002E3728">
              <w:rPr>
                <w:lang w:val="bg-BG"/>
              </w:rPr>
              <w:t xml:space="preserve"> на </w:t>
            </w:r>
            <w:r w:rsidRPr="002E3728">
              <w:rPr>
                <w:b/>
                <w:i/>
                <w:lang w:val="bg-BG"/>
              </w:rPr>
              <w:t>програмата</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t>(5)</w:t>
            </w:r>
            <w:r w:rsidRPr="002E3728">
              <w:rPr>
                <w:lang w:val="bg-BG"/>
              </w:rPr>
              <w:tab/>
              <w:t xml:space="preserve">С цел да се </w:t>
            </w:r>
            <w:r w:rsidRPr="002E3728">
              <w:rPr>
                <w:b/>
                <w:i/>
                <w:lang w:val="bg-BG"/>
              </w:rPr>
              <w:t>позволи</w:t>
            </w:r>
            <w:r w:rsidRPr="002E3728">
              <w:rPr>
                <w:lang w:val="bg-BG"/>
              </w:rPr>
              <w:t xml:space="preserve"> на държавите членки да </w:t>
            </w:r>
            <w:r w:rsidRPr="002E3728">
              <w:rPr>
                <w:b/>
                <w:i/>
                <w:lang w:val="bg-BG"/>
              </w:rPr>
              <w:t>предприемат значително</w:t>
            </w:r>
            <w:r w:rsidRPr="002E3728">
              <w:rPr>
                <w:lang w:val="bg-BG"/>
              </w:rPr>
              <w:t xml:space="preserve"> препрограмиране и да съсредоточат ресурсите към посочените в съображения 2, 3 и 4 стратегически приоритети на Съюза, без да се причиняват допълнителни забавяния в изпълнението, </w:t>
            </w:r>
            <w:r w:rsidRPr="002E3728">
              <w:rPr>
                <w:b/>
                <w:i/>
                <w:lang w:val="bg-BG"/>
              </w:rPr>
              <w:t>съществува необходимост от повече</w:t>
            </w:r>
            <w:r w:rsidRPr="002E3728">
              <w:rPr>
                <w:lang w:val="bg-BG"/>
              </w:rPr>
              <w:t xml:space="preserve"> възможности за гъвкавост. Междинният преглед </w:t>
            </w:r>
            <w:r w:rsidRPr="002E3728">
              <w:rPr>
                <w:b/>
                <w:i/>
                <w:lang w:val="bg-BG"/>
              </w:rPr>
              <w:t>се представя</w:t>
            </w:r>
            <w:r w:rsidRPr="002E3728">
              <w:rPr>
                <w:lang w:val="bg-BG"/>
              </w:rPr>
              <w:t xml:space="preserve"> като възможност за справяне с нововъзникващите стратегически предизвикателства и нови приоритети, </w:t>
            </w:r>
            <w:r w:rsidRPr="002E3728">
              <w:rPr>
                <w:b/>
                <w:i/>
                <w:lang w:val="bg-BG"/>
              </w:rPr>
              <w:t>като дава възможност на държавите членки за</w:t>
            </w:r>
            <w:r w:rsidRPr="002E3728">
              <w:rPr>
                <w:lang w:val="bg-BG"/>
              </w:rPr>
              <w:t xml:space="preserve"> допълнително време, за да завършат оценката на </w:t>
            </w:r>
            <w:r w:rsidRPr="002E3728">
              <w:rPr>
                <w:b/>
                <w:i/>
                <w:lang w:val="bg-BG"/>
              </w:rPr>
              <w:t>своите резултати и да представят подходящи програмни изменения. Задължително е обаче да се изрази съмнение, че съсредоточаването на усилията върху ново определяне на приоритетите на равнището на ЕС излага на риск от накърняване на самата същност на политиката на сближаване, която се основава на изпълнението на конкретните приоритети и удовлетворяване на потребностите на териториите. Пренасочването на вниманието към глобалните стратегически предизвикателства може да омаловажи основната мисия – намаляване на регионалните различия и насърчаване на балансирано териториално развитие, което ще доведе до загуба на териториалния подход, характеризиращ политиката на сближаване.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lastRenderedPageBreak/>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5</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(5)</w:t>
            </w:r>
            <w:r w:rsidRPr="002E3728">
              <w:rPr>
                <w:lang w:val="bg-BG"/>
              </w:rPr>
              <w:tab/>
              <w:t>С цел да се даде възможност на държавите членки да извършат значимо препрограмиране и да съсредоточат ресурсите към посочените в съображения 2, 3 и 4 стратегически приоритети на Съюза, без да се причиняват допълнителни забавяния в изпълнението, е целесъобразно да се предвидят допълнителни възможности за гъвкавост. Междинният преглед следва да служи като възможност за справяне с нововъзникващите стратегически предизвикателства и нови приоритети, поради което държавите членки следва да се ползват от допълнително време, за да завършат оценката на резултата от междинния преглед и представянето на свързани изменения на програмата.</w:t>
            </w:r>
          </w:p>
        </w:tc>
        <w:tc>
          <w:tcPr>
            <w:tcW w:w="4876" w:type="dxa"/>
            <w:hideMark/>
          </w:tcPr>
          <w:p w:rsidR="005B0D0B" w:rsidRPr="002E3728" w:rsidRDefault="005B0D0B" w:rsidP="00C41D59">
            <w:pPr>
              <w:pStyle w:val="Normal6"/>
              <w:rPr>
                <w:szCs w:val="24"/>
                <w:lang w:val="bg-BG"/>
              </w:rPr>
            </w:pPr>
            <w:r w:rsidRPr="002E3728">
              <w:rPr>
                <w:lang w:val="bg-BG"/>
              </w:rPr>
              <w:t>(5)</w:t>
            </w:r>
            <w:r w:rsidRPr="002E3728">
              <w:rPr>
                <w:lang w:val="bg-BG"/>
              </w:rPr>
              <w:tab/>
              <w:t>С цел да се даде възможност на държавите членки да извършат значимо препрограмиране</w:t>
            </w:r>
            <w:r w:rsidRPr="002E3728">
              <w:rPr>
                <w:b/>
                <w:i/>
                <w:lang w:val="bg-BG"/>
              </w:rPr>
              <w:t>, без да се губи акцентът върху основните цели на фонда</w:t>
            </w:r>
            <w:r w:rsidRPr="002E3728">
              <w:rPr>
                <w:lang w:val="bg-BG"/>
              </w:rPr>
              <w:t xml:space="preserve"> и да съсредоточат ресурсите към посочените в съображения 2, 3 и 4 стратегически приоритети на Съюза, без да се причиняват допълнителни забавяния в изпълнението, е целесъобразно да се предвидят допълнителни възможности за гъвкавост. Междинният преглед следва да служи като възможност за справяне с нововъзникващите стратегически предизвикателства и нови приоритети, поради което държавите членки следва да се ползват от допълнително време, за да завършат оценката на резултата от междинния преглед и представянето на свързани изменения на програмата.</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5</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(5)</w:t>
            </w:r>
            <w:r w:rsidRPr="002E3728">
              <w:rPr>
                <w:lang w:val="bg-BG"/>
              </w:rPr>
              <w:tab/>
              <w:t>С цел да се даде възможност на държавите членки да извършат значимо препрограмиране и да съсредоточат ресурсите към посочените в съображения </w:t>
            </w:r>
            <w:r w:rsidRPr="002E3728">
              <w:rPr>
                <w:b/>
                <w:i/>
                <w:lang w:val="bg-BG"/>
              </w:rPr>
              <w:t>2,</w:t>
            </w:r>
            <w:r w:rsidRPr="002E3728">
              <w:rPr>
                <w:lang w:val="bg-BG"/>
              </w:rPr>
              <w:t xml:space="preserve"> 3 и 4 стратегически </w:t>
            </w:r>
            <w:r w:rsidRPr="002E3728">
              <w:rPr>
                <w:lang w:val="bg-BG"/>
              </w:rPr>
              <w:lastRenderedPageBreak/>
              <w:t>приоритети на Съюза, без да се причиняват допълнителни забавяния в изпълнението, е целесъобразно да се предвидят допълнителни възможности за гъвкавост. Междинният преглед следва да служи като възможност за справяне с нововъзникващите стратегически предизвикателства и нови приоритети, поради което държавите членки следва да се ползват от допълнително време, за да завършат оценката на резултата от междинния преглед и представянето на свързани изменения на програмата.</w:t>
            </w:r>
          </w:p>
        </w:tc>
        <w:tc>
          <w:tcPr>
            <w:tcW w:w="4876" w:type="dxa"/>
            <w:hideMark/>
          </w:tcPr>
          <w:p w:rsidR="005B0D0B" w:rsidRPr="002E3728" w:rsidRDefault="005B0D0B" w:rsidP="00C41D59">
            <w:pPr>
              <w:pStyle w:val="Normal6"/>
              <w:rPr>
                <w:szCs w:val="24"/>
                <w:lang w:val="bg-BG"/>
              </w:rPr>
            </w:pPr>
            <w:r w:rsidRPr="002E3728">
              <w:rPr>
                <w:lang w:val="bg-BG"/>
              </w:rPr>
              <w:lastRenderedPageBreak/>
              <w:t>(5)</w:t>
            </w:r>
            <w:r w:rsidRPr="002E3728">
              <w:rPr>
                <w:lang w:val="bg-BG"/>
              </w:rPr>
              <w:tab/>
              <w:t xml:space="preserve">С цел да се даде възможност на държавите членки да извършат значимо препрограмиране и да съсредоточат ресурсите към посочените в съображения 3 и 4 стратегически </w:t>
            </w:r>
            <w:r w:rsidRPr="002E3728">
              <w:rPr>
                <w:lang w:val="bg-BG"/>
              </w:rPr>
              <w:lastRenderedPageBreak/>
              <w:t xml:space="preserve">приоритети на Съюза, без да се причиняват допълнителни забавяния в изпълнението, е целесъобразно да се предвидят допълнителни възможности за гъвкавост. Междинният преглед следва да служи като възможност за справяне с нововъзникващите стратегически </w:t>
            </w:r>
            <w:r w:rsidRPr="002E3728">
              <w:rPr>
                <w:b/>
                <w:i/>
                <w:lang w:val="bg-BG"/>
              </w:rPr>
              <w:t>и социални</w:t>
            </w:r>
            <w:r w:rsidRPr="002E3728">
              <w:rPr>
                <w:lang w:val="bg-BG"/>
              </w:rPr>
              <w:t xml:space="preserve"> предизвикателства и нови приоритети, поради което държавите членки следва да се ползват от допълнително време, за да завършат оценката на резултата от междинния преглед и представянето на свързани изменения на програмата.</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5</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(5)</w:t>
            </w:r>
            <w:r w:rsidRPr="002E3728">
              <w:rPr>
                <w:lang w:val="bg-BG"/>
              </w:rPr>
              <w:tab/>
              <w:t>С цел да се даде възможност на държавите членки да извършат значимо препрограмиране и да съсредоточат ресурсите към посочените в съображения 2, 3 и 4 стратегически приоритети на Съюза, без да се причиняват допълнителни забавяния в изпълнението, е целесъобразно да се предвидят допълнителни възможности за гъвкавост. Междинният преглед следва да служи като възможност за справяне с нововъзникващите стратегически предизвикателства и нови приоритети, поради което държавите членки следва да се ползват от допълнително време, за да завършат оценката на резултата от междинния преглед и представянето на свързани изменения на програмата.</w:t>
            </w:r>
          </w:p>
        </w:tc>
        <w:tc>
          <w:tcPr>
            <w:tcW w:w="4876" w:type="dxa"/>
            <w:hideMark/>
          </w:tcPr>
          <w:p w:rsidR="005B0D0B" w:rsidRPr="002E3728" w:rsidRDefault="005B0D0B" w:rsidP="00C41D59">
            <w:pPr>
              <w:pStyle w:val="Normal6"/>
              <w:rPr>
                <w:szCs w:val="24"/>
                <w:lang w:val="bg-BG"/>
              </w:rPr>
            </w:pPr>
            <w:r w:rsidRPr="002E3728">
              <w:rPr>
                <w:lang w:val="bg-BG"/>
              </w:rPr>
              <w:t>(5)</w:t>
            </w:r>
            <w:r w:rsidRPr="002E3728">
              <w:rPr>
                <w:lang w:val="bg-BG"/>
              </w:rPr>
              <w:tab/>
              <w:t xml:space="preserve">С цел да се даде възможност на държавите членки да извършат значимо </w:t>
            </w:r>
            <w:r w:rsidRPr="002E3728">
              <w:rPr>
                <w:b/>
                <w:i/>
                <w:lang w:val="bg-BG"/>
              </w:rPr>
              <w:t>и справедливо</w:t>
            </w:r>
            <w:r w:rsidRPr="002E3728">
              <w:rPr>
                <w:lang w:val="bg-BG"/>
              </w:rPr>
              <w:t xml:space="preserve"> препрограмиране и да съсредоточат ресурсите към посочените в съображения 2, 3 и 4 стратегически приоритети на Съюза, без да се причиняват допълнителни забавяния в изпълнението, е целесъобразно да се предвидят допълнителни възможности за гъвкавост. Междинният преглед следва да служи като възможност за справяне с нововъзникващите стратегически предизвикателства и нови приоритети, поради което държавите членки следва да се ползват от допълнително време, за да завършат оценката на резултата от междинния преглед и представянето на свързани изменения на програмата.</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lastRenderedPageBreak/>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Мари Доши</w:t>
      </w:r>
      <w:r w:rsidRPr="002E3728">
        <w:t xml:space="preserve">, </w:t>
      </w:r>
      <w:r w:rsidR="00CF314A" w:rsidRPr="002E3728">
        <w:t>Никола Бартушек</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{EMPL}</w:t>
      </w:r>
      <w:r w:rsidRPr="002E3728">
        <w:t>от името на комисията по заетост и социални въпроси</w:t>
      </w:r>
      <w:r w:rsidRPr="002E3728">
        <w:rPr>
          <w:rStyle w:val="HideTWBExt"/>
        </w:rPr>
        <w:t>&lt;/AuNomDe&gt;</w:t>
      </w:r>
    </w:p>
    <w:p w:rsidR="005B0D0B" w:rsidRPr="002E3728" w:rsidRDefault="005B0D0B" w:rsidP="005B0D0B">
      <w:pPr>
        <w:pStyle w:val="NormalBold"/>
      </w:pPr>
      <w:r w:rsidRPr="002E3728">
        <w:rPr>
          <w:rStyle w:val="HideTWBExt"/>
          <w:b w:val="0"/>
        </w:rPr>
        <w:t>&lt;Members&gt;</w:t>
      </w:r>
      <w:r w:rsidRPr="002E3728">
        <w:t>Северин Вербрук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6</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(6)</w:t>
            </w:r>
            <w:r w:rsidRPr="002E3728">
              <w:rPr>
                <w:lang w:val="bg-BG"/>
              </w:rPr>
              <w:tab/>
              <w:t>За да се ускори изпълнението на програмите на политиката на сближаване и да се намали натискът върху националните бюджети, както и да се влеят необходимите ликвидни средства за изпълнението на ключови инвестиции, програмите следва да получат допълнително еднократно предварително финансиране по линия на ЕСФ+. Поради неблагоприятното въздействие на руската агресия срещу Украйна процентът на предварителното финансиране следва да бъде допълнително увеличен за определени програми, обхващащи един или повече региони от ниво 2 по NUTS, граничещи с Русия, Беларус или Украйна. С цел да се стимулира препрограмирането по отношение на ключови приоритети в контекста на междинния преглед, допълнителното предварително финансиране следва да бъде налично само когато е достигнат определен праг за преразпределяне на финансови ресурси към конкретни ключови приоритети.</w:t>
            </w:r>
          </w:p>
        </w:tc>
        <w:tc>
          <w:tcPr>
            <w:tcW w:w="4876" w:type="dxa"/>
            <w:hideMark/>
          </w:tcPr>
          <w:p w:rsidR="005B0D0B" w:rsidRPr="002E3728" w:rsidRDefault="005B0D0B" w:rsidP="00C41D59">
            <w:pPr>
              <w:pStyle w:val="Normal6"/>
              <w:rPr>
                <w:szCs w:val="24"/>
                <w:lang w:val="bg-BG"/>
              </w:rPr>
            </w:pPr>
            <w:r w:rsidRPr="002E3728">
              <w:rPr>
                <w:lang w:val="bg-BG"/>
              </w:rPr>
              <w:t>(6)</w:t>
            </w:r>
            <w:r w:rsidRPr="002E3728">
              <w:rPr>
                <w:lang w:val="bg-BG"/>
              </w:rPr>
              <w:tab/>
              <w:t>За да се ускори изпълнението на програмите на политиката на сближаване и да се намали натискът върху националните бюджети, както и да се влеят необходимите ликвидни средства за изпълнението на ключови инвестиции, програмите следва да получат допълнително еднократно предварително финансиране по линия на ЕСФ+. Поради неблагоприятното въздействие на руската агресия срещу Украйна</w:t>
            </w:r>
            <w:r w:rsidRPr="002E3728">
              <w:rPr>
                <w:b/>
                <w:i/>
                <w:lang w:val="bg-BG"/>
              </w:rPr>
              <w:t>, по-специално увеличен миграционен натиск,</w:t>
            </w:r>
            <w:r w:rsidRPr="002E3728">
              <w:rPr>
                <w:lang w:val="bg-BG"/>
              </w:rPr>
              <w:t xml:space="preserve"> процентът на предварителното финансиране следва да бъде допълнително увеличен за определени програми, обхващащи един или повече региони от ниво 2 по NUTS, граничещи с Русия, Беларус или Украйна</w:t>
            </w:r>
            <w:r w:rsidRPr="002E3728">
              <w:rPr>
                <w:b/>
                <w:i/>
                <w:lang w:val="bg-BG"/>
              </w:rPr>
              <w:t>. Тъй като поради местоположението си по границите на Европейския съюз същите тези региони от дълго време са входна врата за масова незаконна имиграция, настоящата ситуация също поражда неблагоприятно въздействие, което се задълбочава</w:t>
            </w:r>
            <w:r w:rsidRPr="002E3728">
              <w:rPr>
                <w:lang w:val="bg-BG"/>
              </w:rPr>
              <w:t>. С цел да се стимулира препрограмирането по отношение на ключови приоритети в контекста на междинния преглед, допълнителното предварително финансиране следва да бъде налично само когато е достигнат определен праг за преразпределяне на финансови ресурси към конкретни ключови приоритети.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{FR}</w:t>
      </w:r>
      <w:r w:rsidRPr="002E3728">
        <w:rPr>
          <w:noProof w:val="0"/>
          <w:lang w:val="bg-BG"/>
        </w:rPr>
        <w:t>fr</w:t>
      </w:r>
      <w:r w:rsidRPr="002E3728">
        <w:rPr>
          <w:rStyle w:val="HideTWBExt"/>
          <w:lang w:val="bg-BG"/>
        </w:rPr>
        <w:t>&lt;/Original&gt;</w:t>
      </w:r>
    </w:p>
    <w:p w:rsidR="005B0D0B" w:rsidRPr="002E3728" w:rsidRDefault="005B0D0B" w:rsidP="005B0D0B">
      <w:r w:rsidRPr="002E3728">
        <w:rPr>
          <w:rStyle w:val="HideTWBExt"/>
        </w:rPr>
        <w:lastRenderedPageBreak/>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39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6</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(6)</w:t>
            </w:r>
            <w:r w:rsidRPr="002E3728">
              <w:rPr>
                <w:lang w:val="bg-BG"/>
              </w:rPr>
              <w:tab/>
              <w:t xml:space="preserve">За да се ускори изпълнението на програмите на политиката на сближаване и да се намали натискът върху националните бюджети, както и да се влеят необходимите ликвидни средства за изпълнението на ключови инвестиции, програмите следва да получат допълнително еднократно предварително финансиране по линия на ЕСФ+. Поради неблагоприятното въздействие на руската агресия срещу Украйна процентът на предварителното финансиране следва да бъде допълнително увеличен за определени програми, обхващащи един или повече региони от ниво 2 по NUTS, граничещи с Русия, Беларус </w:t>
            </w:r>
            <w:r w:rsidRPr="002E3728">
              <w:rPr>
                <w:b/>
                <w:bCs/>
                <w:i/>
                <w:iCs/>
                <w:lang w:val="bg-BG"/>
              </w:rPr>
              <w:t>или</w:t>
            </w:r>
            <w:r w:rsidRPr="002E3728">
              <w:rPr>
                <w:lang w:val="bg-BG"/>
              </w:rPr>
              <w:t xml:space="preserve"> Украйна. С цел да се стимулира препрограмирането по отношение на ключови приоритети в контекста на междинния преглед, допълнителното предварително финансиране следва да бъде налично само когато е достигнат определен праг за преразпределяне на финансови ресурси към конкретни ключови приоритети.</w:t>
            </w:r>
          </w:p>
        </w:tc>
        <w:tc>
          <w:tcPr>
            <w:tcW w:w="4876" w:type="dxa"/>
            <w:hideMark/>
          </w:tcPr>
          <w:p w:rsidR="005B0D0B" w:rsidRPr="002E3728" w:rsidRDefault="005B0D0B" w:rsidP="00C41D59">
            <w:pPr>
              <w:pStyle w:val="Normal6"/>
              <w:rPr>
                <w:szCs w:val="24"/>
                <w:lang w:val="bg-BG"/>
              </w:rPr>
            </w:pPr>
            <w:r w:rsidRPr="002E3728">
              <w:rPr>
                <w:lang w:val="bg-BG"/>
              </w:rPr>
              <w:t>(6)</w:t>
            </w:r>
            <w:r w:rsidRPr="002E3728">
              <w:rPr>
                <w:lang w:val="bg-BG"/>
              </w:rPr>
              <w:tab/>
              <w:t>За да се ускори изпълнението на програмите на политиката на сближаване и да се намали натискът върху националните бюджети, както и да се влеят необходимите ликвидни средства за изпълнението на ключови инвестиции, програмите следва да получат допълнително еднократно предварително финансиране по линия на ЕСФ+. Поради неблагоприятното въздействие на руската агресия срещу Украйна процентът на предварителното финансиране следва да бъде допълнително увеличен за определени програми, обхващащи един или повече региони от ниво 2 по NUTS, граничещи с Русия, Беларус</w:t>
            </w:r>
            <w:r w:rsidRPr="002E3728">
              <w:rPr>
                <w:b/>
                <w:i/>
                <w:lang w:val="bg-BG"/>
              </w:rPr>
              <w:t xml:space="preserve">, </w:t>
            </w:r>
            <w:r w:rsidRPr="002E3728">
              <w:rPr>
                <w:lang w:val="bg-BG"/>
              </w:rPr>
              <w:t>Украйна</w:t>
            </w:r>
            <w:r w:rsidRPr="002E3728">
              <w:rPr>
                <w:b/>
                <w:i/>
                <w:lang w:val="bg-BG"/>
              </w:rPr>
              <w:t xml:space="preserve"> и региони, които са значително засегнати от неконвенционални</w:t>
            </w:r>
            <w:r w:rsidRPr="002E3728">
              <w:rPr>
                <w:lang w:val="bg-BG"/>
              </w:rPr>
              <w:t xml:space="preserve"> </w:t>
            </w:r>
            <w:r w:rsidRPr="002E3728">
              <w:rPr>
                <w:b/>
                <w:i/>
                <w:lang w:val="bg-BG"/>
              </w:rPr>
              <w:t>или хибридни рискове</w:t>
            </w:r>
            <w:r w:rsidRPr="002E3728">
              <w:rPr>
                <w:lang w:val="bg-BG"/>
              </w:rPr>
              <w:t>. С цел да се стимулира препрограмирането по отношение на ключови приоритети в контекста на междинния преглед, допълнителното предварително финансиране следва да бъде налично само когато е достигнат определен праг за преразпределяне на финансови ресурси към конкретни ключови приоритети.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6</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(6)</w:t>
            </w:r>
            <w:r w:rsidRPr="002E3728">
              <w:rPr>
                <w:lang w:val="bg-BG"/>
              </w:rPr>
              <w:tab/>
              <w:t xml:space="preserve">За да се ускори изпълнението на програмите на политиката на сближаване и да се намали натискът върху националните бюджети, както и да се влеят необходимите ликвидни средства за изпълнението на ключови инвестиции, програмите следва да получат допълнително еднократно предварително финансиране по линия на ЕСФ+. </w:t>
            </w:r>
            <w:r w:rsidRPr="002E3728">
              <w:rPr>
                <w:b/>
                <w:i/>
                <w:lang w:val="bg-BG"/>
              </w:rPr>
              <w:t>Поради неблагоприятното въздействие на руската агресия срещу Украйна процентът на предварителното финансиране следва да бъде допълнително увеличен за определени програми, обхващащи един или повече региони от ниво 2 по NUTS, граничещи с Русия, Беларус или Украйна.</w:t>
            </w:r>
            <w:r w:rsidRPr="002E3728">
              <w:rPr>
                <w:lang w:val="bg-BG"/>
              </w:rPr>
              <w:t xml:space="preserve"> С цел да се стимулира препрограмирането по отношение на ключови приоритети в контекста на междинния преглед, допълнителното предварително финансиране следва да бъде налично само когато е достигнат определен праг за преразпределяне на финансови ресурси към конкретни ключови приоритети.</w:t>
            </w:r>
          </w:p>
        </w:tc>
        <w:tc>
          <w:tcPr>
            <w:tcW w:w="4876" w:type="dxa"/>
            <w:hideMark/>
          </w:tcPr>
          <w:p w:rsidR="005B0D0B" w:rsidRPr="002E3728" w:rsidRDefault="005B0D0B" w:rsidP="00C41D59">
            <w:pPr>
              <w:pStyle w:val="Normal6"/>
              <w:rPr>
                <w:szCs w:val="24"/>
                <w:lang w:val="bg-BG"/>
              </w:rPr>
            </w:pPr>
            <w:r w:rsidRPr="002E3728">
              <w:rPr>
                <w:lang w:val="bg-BG"/>
              </w:rPr>
              <w:t>(6)</w:t>
            </w:r>
            <w:r w:rsidRPr="002E3728">
              <w:rPr>
                <w:lang w:val="bg-BG"/>
              </w:rPr>
              <w:tab/>
              <w:t xml:space="preserve">За да се ускори изпълнението на програмите на политиката на сближаване и да се намали натискът върху националните бюджети, както и да се влеят необходимите ликвидни средства за изпълнението на ключови инвестиции, програмите следва да получат допълнително еднократно предварително финансиране по линия на ЕСФ+. С цел да се стимулира препрограмирането по отношение на ключови приоритети в контекста на междинния преглед, допълнителното предварително финансиране следва да бъде налично само когато е достигнат определен праг за преразпределяне на финансови ресурси към конкретни ключови приоритети. </w:t>
            </w:r>
            <w:r w:rsidRPr="002E3728">
              <w:rPr>
                <w:b/>
                <w:i/>
                <w:lang w:val="bg-BG"/>
              </w:rPr>
              <w:t>Поради неблагоприятното въздействие на руската агресия срещу Украйна процентът на предварителното финансиране следва да бъде допълнително увеличен за определени програми, обхващащи един или повече региони от ниво 2 по NUTS, граничещи с Русия, Беларус или Украйна, без конкретни условия за преразпределяне на финансови ресурси на програмата за специални приоритети.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7</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(7)</w:t>
            </w:r>
            <w:r w:rsidRPr="002E3728">
              <w:rPr>
                <w:lang w:val="bg-BG"/>
              </w:rPr>
              <w:tab/>
            </w:r>
            <w:r w:rsidRPr="002E3728">
              <w:rPr>
                <w:b/>
                <w:i/>
                <w:lang w:val="bg-BG"/>
              </w:rPr>
              <w:t>Освен това, за да се вземе предвид времето, необходимо за пренасочване на инвестициите, и</w:t>
            </w:r>
            <w:r w:rsidRPr="002E3728">
              <w:rPr>
                <w:lang w:val="bg-BG"/>
              </w:rPr>
              <w:t xml:space="preserve"> за </w:t>
            </w:r>
            <w:r w:rsidRPr="002E3728">
              <w:rPr>
                <w:b/>
                <w:i/>
                <w:lang w:val="bg-BG"/>
              </w:rPr>
              <w:lastRenderedPageBreak/>
              <w:t>да се предостави възможност за най-доброто използване на наличните ресурси</w:t>
            </w:r>
            <w:r w:rsidRPr="002E3728">
              <w:rPr>
                <w:lang w:val="bg-BG"/>
              </w:rPr>
              <w:t xml:space="preserve">, следва да се </w:t>
            </w:r>
            <w:r w:rsidRPr="002E3728">
              <w:rPr>
                <w:b/>
                <w:i/>
                <w:lang w:val="bg-BG"/>
              </w:rPr>
              <w:t>извърши корекция</w:t>
            </w:r>
            <w:r w:rsidRPr="002E3728">
              <w:rPr>
                <w:lang w:val="bg-BG"/>
              </w:rPr>
              <w:t xml:space="preserve"> на </w:t>
            </w:r>
            <w:r w:rsidRPr="002E3728">
              <w:rPr>
                <w:b/>
                <w:i/>
                <w:lang w:val="bg-BG"/>
              </w:rPr>
              <w:t>сроковете за допустимост</w:t>
            </w:r>
            <w:r w:rsidRPr="002E3728">
              <w:rPr>
                <w:lang w:val="bg-BG"/>
              </w:rPr>
              <w:t xml:space="preserve"> на </w:t>
            </w:r>
            <w:r w:rsidRPr="002E3728">
              <w:rPr>
                <w:b/>
                <w:i/>
                <w:lang w:val="bg-BG"/>
              </w:rPr>
              <w:t>разходите</w:t>
            </w:r>
            <w:r w:rsidRPr="002E3728">
              <w:rPr>
                <w:lang w:val="bg-BG"/>
              </w:rPr>
              <w:t xml:space="preserve"> и </w:t>
            </w:r>
            <w:r w:rsidRPr="002E3728">
              <w:rPr>
                <w:b/>
                <w:i/>
                <w:lang w:val="bg-BG"/>
              </w:rPr>
              <w:t>правилата</w:t>
            </w:r>
            <w:r w:rsidRPr="002E3728">
              <w:rPr>
                <w:lang w:val="bg-BG"/>
              </w:rPr>
              <w:t xml:space="preserve"> за отмяна на бюджетни задължения </w:t>
            </w:r>
            <w:r w:rsidRPr="002E3728">
              <w:rPr>
                <w:b/>
                <w:i/>
                <w:lang w:val="bg-BG"/>
              </w:rPr>
              <w:t>за програмите</w:t>
            </w:r>
            <w:r w:rsidRPr="002E3728">
              <w:rPr>
                <w:lang w:val="bg-BG"/>
              </w:rPr>
              <w:t xml:space="preserve">, </w:t>
            </w:r>
            <w:r w:rsidRPr="002E3728">
              <w:rPr>
                <w:b/>
                <w:i/>
                <w:lang w:val="bg-BG"/>
              </w:rPr>
              <w:t>по които</w:t>
            </w:r>
            <w:r w:rsidRPr="002E3728">
              <w:rPr>
                <w:lang w:val="bg-BG"/>
              </w:rPr>
              <w:t xml:space="preserve"> се </w:t>
            </w:r>
            <w:r w:rsidRPr="002E3728">
              <w:rPr>
                <w:b/>
                <w:i/>
                <w:lang w:val="bg-BG"/>
              </w:rPr>
              <w:t>извършва преразпределение на ресурси към стратегически приоритети</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lastRenderedPageBreak/>
              <w:t>(7)</w:t>
            </w:r>
            <w:r w:rsidRPr="002E3728">
              <w:rPr>
                <w:lang w:val="bg-BG"/>
              </w:rPr>
              <w:tab/>
            </w:r>
            <w:r w:rsidRPr="002E3728">
              <w:rPr>
                <w:b/>
                <w:bCs/>
                <w:i/>
                <w:iCs/>
                <w:lang w:val="bg-BG"/>
              </w:rPr>
              <w:t>С цел</w:t>
            </w:r>
            <w:r w:rsidRPr="002E3728">
              <w:rPr>
                <w:b/>
                <w:i/>
                <w:lang w:val="bg-BG"/>
              </w:rPr>
              <w:t xml:space="preserve"> междинният преглед да има реално въздействие и да послужи като ефективен стимул</w:t>
            </w:r>
            <w:r w:rsidRPr="002E3728">
              <w:rPr>
                <w:lang w:val="bg-BG"/>
              </w:rPr>
              <w:t xml:space="preserve"> за </w:t>
            </w:r>
            <w:r w:rsidRPr="002E3728">
              <w:rPr>
                <w:b/>
                <w:i/>
                <w:lang w:val="bg-BG"/>
              </w:rPr>
              <w:lastRenderedPageBreak/>
              <w:t>държавите членки да пренасочат своите програми към новите стратегически приоритети</w:t>
            </w:r>
            <w:r w:rsidRPr="002E3728">
              <w:rPr>
                <w:lang w:val="bg-BG"/>
              </w:rPr>
              <w:t xml:space="preserve">, следва да се </w:t>
            </w:r>
            <w:r w:rsidRPr="002E3728">
              <w:rPr>
                <w:b/>
                <w:i/>
                <w:lang w:val="bg-BG"/>
              </w:rPr>
              <w:t>даде приоритет</w:t>
            </w:r>
            <w:r w:rsidRPr="002E3728">
              <w:rPr>
                <w:lang w:val="bg-BG"/>
              </w:rPr>
              <w:t xml:space="preserve"> на </w:t>
            </w:r>
            <w:r w:rsidRPr="002E3728">
              <w:rPr>
                <w:b/>
                <w:i/>
                <w:lang w:val="bg-BG"/>
              </w:rPr>
              <w:t>инвестициите в тези области в рамките</w:t>
            </w:r>
            <w:r w:rsidRPr="002E3728">
              <w:rPr>
                <w:lang w:val="bg-BG"/>
              </w:rPr>
              <w:t xml:space="preserve"> на </w:t>
            </w:r>
            <w:r w:rsidRPr="002E3728">
              <w:rPr>
                <w:b/>
                <w:i/>
                <w:lang w:val="bg-BG"/>
              </w:rPr>
              <w:t>съществуващата допустимост</w:t>
            </w:r>
            <w:r w:rsidRPr="002E3728">
              <w:rPr>
                <w:lang w:val="bg-BG"/>
              </w:rPr>
              <w:t xml:space="preserve"> и </w:t>
            </w:r>
            <w:r w:rsidRPr="002E3728">
              <w:rPr>
                <w:b/>
                <w:i/>
                <w:lang w:val="bg-BG"/>
              </w:rPr>
              <w:t>на сроковете</w:t>
            </w:r>
            <w:r w:rsidRPr="002E3728">
              <w:rPr>
                <w:lang w:val="bg-BG"/>
              </w:rPr>
              <w:t xml:space="preserve"> за отмяна на бюджетни задължения, </w:t>
            </w:r>
            <w:r w:rsidRPr="002E3728">
              <w:rPr>
                <w:b/>
                <w:i/>
                <w:lang w:val="bg-BG"/>
              </w:rPr>
              <w:t>без да</w:t>
            </w:r>
            <w:r w:rsidRPr="002E3728">
              <w:rPr>
                <w:lang w:val="bg-BG"/>
              </w:rPr>
              <w:t xml:space="preserve"> се </w:t>
            </w:r>
            <w:r w:rsidRPr="002E3728">
              <w:rPr>
                <w:b/>
                <w:i/>
                <w:lang w:val="bg-BG"/>
              </w:rPr>
              <w:t>удължават текущите крайни срокове</w:t>
            </w:r>
            <w:r w:rsidRPr="002E3728">
              <w:rPr>
                <w:lang w:val="bg-BG"/>
              </w:rPr>
              <w:t>.</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8</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(8)</w:t>
            </w:r>
            <w:r w:rsidRPr="002E3728">
              <w:rPr>
                <w:lang w:val="bg-BG"/>
              </w:rPr>
              <w:tab/>
              <w:t xml:space="preserve">Следва да е възможно и прилагането на максимална ставка на съфинансиране до </w:t>
            </w:r>
            <w:r w:rsidRPr="002E3728">
              <w:rPr>
                <w:b/>
                <w:i/>
                <w:lang w:val="bg-BG"/>
              </w:rPr>
              <w:t>100</w:t>
            </w:r>
            <w:r w:rsidRPr="002E3728">
              <w:rPr>
                <w:lang w:val="bg-BG"/>
              </w:rPr>
              <w:t xml:space="preserve">% по отношение на приоритети в програми, обхващащи един или повече региони от ниво 2 по NUTS, граничещи с Русия, Беларус </w:t>
            </w:r>
            <w:r w:rsidRPr="002E3728">
              <w:rPr>
                <w:b/>
                <w:bCs/>
                <w:i/>
                <w:iCs/>
                <w:lang w:val="bg-BG"/>
              </w:rPr>
              <w:t>или</w:t>
            </w:r>
            <w:r w:rsidRPr="002E3728">
              <w:rPr>
                <w:lang w:val="bg-BG"/>
              </w:rPr>
              <w:t xml:space="preserve"> Украйна, предвид неблагоприятното въздействие на руската агресия върху тези региони.</w:t>
            </w:r>
          </w:p>
        </w:tc>
        <w:tc>
          <w:tcPr>
            <w:tcW w:w="4876" w:type="dxa"/>
            <w:hideMark/>
          </w:tcPr>
          <w:p w:rsidR="005B0D0B" w:rsidRPr="002E3728" w:rsidRDefault="005B0D0B" w:rsidP="00C41D59">
            <w:pPr>
              <w:pStyle w:val="Normal6"/>
              <w:rPr>
                <w:szCs w:val="24"/>
                <w:lang w:val="bg-BG"/>
              </w:rPr>
            </w:pPr>
            <w:r w:rsidRPr="002E3728">
              <w:rPr>
                <w:lang w:val="bg-BG"/>
              </w:rPr>
              <w:t>(8)</w:t>
            </w:r>
            <w:r w:rsidRPr="002E3728">
              <w:rPr>
                <w:lang w:val="bg-BG"/>
              </w:rPr>
              <w:tab/>
              <w:t xml:space="preserve">Следва да е възможно и прилагането на максимална ставка на съфинансиране до </w:t>
            </w:r>
            <w:r w:rsidRPr="002E3728">
              <w:rPr>
                <w:b/>
                <w:i/>
                <w:lang w:val="bg-BG"/>
              </w:rPr>
              <w:t>95</w:t>
            </w:r>
            <w:r w:rsidRPr="002E3728">
              <w:rPr>
                <w:lang w:val="bg-BG"/>
              </w:rPr>
              <w:t>% по отношение на приоритети в програми, обхващащи един или повече региони от ниво 2 по NUTS, граничещи с Русия, Беларус</w:t>
            </w:r>
            <w:r w:rsidRPr="002E3728">
              <w:rPr>
                <w:b/>
                <w:i/>
                <w:lang w:val="bg-BG"/>
              </w:rPr>
              <w:t xml:space="preserve">, </w:t>
            </w:r>
            <w:r w:rsidRPr="002E3728">
              <w:rPr>
                <w:lang w:val="bg-BG"/>
              </w:rPr>
              <w:t>Украйна</w:t>
            </w:r>
            <w:r w:rsidRPr="002E3728">
              <w:rPr>
                <w:b/>
                <w:i/>
                <w:lang w:val="bg-BG"/>
              </w:rPr>
              <w:t xml:space="preserve"> и регионите, значително засегнати от неконвенционални</w:t>
            </w:r>
            <w:r w:rsidRPr="002E3728">
              <w:rPr>
                <w:lang w:val="bg-BG"/>
              </w:rPr>
              <w:t xml:space="preserve"> или </w:t>
            </w:r>
            <w:r w:rsidRPr="002E3728">
              <w:rPr>
                <w:b/>
                <w:i/>
                <w:lang w:val="bg-BG"/>
              </w:rPr>
              <w:t>хибридни рискове</w:t>
            </w:r>
            <w:r w:rsidRPr="002E3728">
              <w:rPr>
                <w:lang w:val="bg-BG"/>
              </w:rPr>
              <w:t>, предвид неблагоприятното въздействие на руската агресия върху тези региони.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8</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(8)</w:t>
            </w:r>
            <w:r w:rsidRPr="002E3728">
              <w:rPr>
                <w:lang w:val="bg-BG"/>
              </w:rPr>
              <w:tab/>
              <w:t xml:space="preserve">Следва да е възможно и прилагането на максимална ставка на съфинансиране до 100% по отношение </w:t>
            </w:r>
            <w:r w:rsidRPr="002E3728">
              <w:rPr>
                <w:lang w:val="bg-BG"/>
              </w:rPr>
              <w:lastRenderedPageBreak/>
              <w:t>на приоритети в програми, обхващащи един или повече региони от ниво 2 по NUTS, граничещи с Русия, Беларус или Украйна, предвид неблагоприятното въздействие на руската агресия върху тези региони.</w:t>
            </w:r>
          </w:p>
        </w:tc>
        <w:tc>
          <w:tcPr>
            <w:tcW w:w="4876" w:type="dxa"/>
            <w:hideMark/>
          </w:tcPr>
          <w:p w:rsidR="005B0D0B" w:rsidRPr="002E3728" w:rsidRDefault="005B0D0B" w:rsidP="00C41D59">
            <w:pPr>
              <w:pStyle w:val="Normal6"/>
              <w:rPr>
                <w:szCs w:val="24"/>
                <w:lang w:val="bg-BG"/>
              </w:rPr>
            </w:pPr>
            <w:r w:rsidRPr="002E3728">
              <w:rPr>
                <w:lang w:val="bg-BG"/>
              </w:rPr>
              <w:lastRenderedPageBreak/>
              <w:t>(8)</w:t>
            </w:r>
            <w:r w:rsidRPr="002E3728">
              <w:rPr>
                <w:lang w:val="bg-BG"/>
              </w:rPr>
              <w:tab/>
              <w:t>Следва да е възможно</w:t>
            </w:r>
            <w:r w:rsidRPr="002E3728">
              <w:rPr>
                <w:b/>
                <w:i/>
                <w:lang w:val="bg-BG"/>
              </w:rPr>
              <w:t xml:space="preserve">, като същевременно се запази настоящото разграничение между категориите </w:t>
            </w:r>
            <w:r w:rsidRPr="002E3728">
              <w:rPr>
                <w:b/>
                <w:i/>
                <w:lang w:val="bg-BG"/>
              </w:rPr>
              <w:lastRenderedPageBreak/>
              <w:t>региони,</w:t>
            </w:r>
            <w:r w:rsidRPr="002E3728">
              <w:rPr>
                <w:lang w:val="bg-BG"/>
              </w:rPr>
              <w:t xml:space="preserve"> и прилагането на максимална ставка на съфинансиране до 100% по отношение на приоритети в програми, обхващащи един или повече региони от ниво 2 по NUTS, граничещи с Русия, Беларус или Украйна, предвид неблагоприятното въздействие на руската агресия върху тези региони.</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8</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(8)</w:t>
            </w:r>
            <w:r w:rsidRPr="002E3728">
              <w:rPr>
                <w:lang w:val="bg-BG"/>
              </w:rPr>
              <w:tab/>
              <w:t xml:space="preserve">Следва да е възможно и прилагането на максимална ставка на съфинансиране до 100% по отношение на </w:t>
            </w:r>
            <w:r w:rsidRPr="002E3728">
              <w:rPr>
                <w:b/>
                <w:i/>
                <w:lang w:val="bg-BG"/>
              </w:rPr>
              <w:t>приоритети в</w:t>
            </w:r>
            <w:r w:rsidRPr="002E3728">
              <w:rPr>
                <w:lang w:val="bg-BG"/>
              </w:rPr>
              <w:t xml:space="preserve"> програми, обхващащи един или повече региони от ниво 2 по NUTS, граничещи с Русия, Беларус или Украйна, предвид неблагоприятното въздействие на руската агресия върху тези региони.</w:t>
            </w:r>
          </w:p>
        </w:tc>
        <w:tc>
          <w:tcPr>
            <w:tcW w:w="4876" w:type="dxa"/>
            <w:hideMark/>
          </w:tcPr>
          <w:p w:rsidR="005B0D0B" w:rsidRPr="002E3728" w:rsidRDefault="005B0D0B" w:rsidP="00C41D59">
            <w:pPr>
              <w:pStyle w:val="Normal6"/>
              <w:rPr>
                <w:szCs w:val="24"/>
                <w:lang w:val="bg-BG"/>
              </w:rPr>
            </w:pPr>
            <w:r w:rsidRPr="002E3728">
              <w:rPr>
                <w:lang w:val="bg-BG"/>
              </w:rPr>
              <w:t>(8)</w:t>
            </w:r>
            <w:r w:rsidRPr="002E3728">
              <w:rPr>
                <w:lang w:val="bg-BG"/>
              </w:rPr>
              <w:tab/>
              <w:t>Следва да е възможно и прилагането на максимална ставка на съфинансиране до 100% по отношение на програми, обхващащи един или повече региони от ниво 2 по NUTS, граничещи с Русия, Беларус или Украйна, предвид неблагоприятното въздействие на руската агресия върху тези региони.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9</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(9)</w:t>
            </w:r>
            <w:r w:rsidRPr="002E3728">
              <w:rPr>
                <w:lang w:val="bg-BG"/>
              </w:rPr>
              <w:tab/>
              <w:t xml:space="preserve">Тъй като целта на настоящия регламент, а именно справяне със стратегически предизвикателства, пренасочване на инвестициите към нови </w:t>
            </w:r>
            <w:r w:rsidRPr="002E3728">
              <w:rPr>
                <w:lang w:val="bg-BG"/>
              </w:rPr>
              <w:lastRenderedPageBreak/>
              <w:t>приоритети от критично значение и опростяване и ускоряване на изпълнението на политиката, не може да бъде постигната в достатъчна степен от държавите членки, а може да бъде постигната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 на тази цел.</w:t>
            </w:r>
          </w:p>
        </w:tc>
        <w:tc>
          <w:tcPr>
            <w:tcW w:w="4876" w:type="dxa"/>
            <w:hideMark/>
          </w:tcPr>
          <w:p w:rsidR="005B0D0B" w:rsidRPr="002E3728" w:rsidRDefault="005B0D0B" w:rsidP="00C41D59">
            <w:pPr>
              <w:pStyle w:val="Normal6"/>
              <w:rPr>
                <w:szCs w:val="24"/>
                <w:lang w:val="bg-BG"/>
              </w:rPr>
            </w:pPr>
            <w:r w:rsidRPr="002E3728">
              <w:rPr>
                <w:lang w:val="bg-BG"/>
              </w:rPr>
              <w:lastRenderedPageBreak/>
              <w:t>(9)</w:t>
            </w:r>
            <w:r w:rsidRPr="002E3728">
              <w:rPr>
                <w:lang w:val="bg-BG"/>
              </w:rPr>
              <w:tab/>
              <w:t xml:space="preserve">Тъй като целта на настоящия регламент, а именно справяне със стратегически </w:t>
            </w:r>
            <w:r w:rsidRPr="002E3728">
              <w:rPr>
                <w:b/>
                <w:i/>
                <w:lang w:val="bg-BG"/>
              </w:rPr>
              <w:t>и социални</w:t>
            </w:r>
            <w:r w:rsidRPr="002E3728">
              <w:rPr>
                <w:lang w:val="bg-BG"/>
              </w:rPr>
              <w:t xml:space="preserve"> предизвикателства, пренасочване на </w:t>
            </w:r>
            <w:r w:rsidRPr="002E3728">
              <w:rPr>
                <w:lang w:val="bg-BG"/>
              </w:rPr>
              <w:lastRenderedPageBreak/>
              <w:t>инвестициите към нови приоритети от критично значение и опростяване и ускоряване на изпълнението на политиката, не може да бъде постигната в достатъчна степен от държавите членки, а може да бъде постигната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 на тази цел.</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9</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(9)</w:t>
            </w:r>
            <w:r w:rsidRPr="002E3728">
              <w:rPr>
                <w:lang w:val="bg-BG"/>
              </w:rPr>
              <w:tab/>
              <w:t>Тъй като целта на настоящия регламент, а именно справяне със стратегически предизвикателства, пренасочване на инвестициите към нови приоритети от критично значение и опростяване и ускоряване на изпълнението на политиката, не може да бъде постигната в достатъчна степен от държавите членки, а може да бъде постигната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 на тази цел.</w:t>
            </w:r>
          </w:p>
        </w:tc>
        <w:tc>
          <w:tcPr>
            <w:tcW w:w="4876" w:type="dxa"/>
            <w:hideMark/>
          </w:tcPr>
          <w:p w:rsidR="005B0D0B" w:rsidRPr="002E3728" w:rsidRDefault="005B0D0B" w:rsidP="00C41D59">
            <w:pPr>
              <w:pStyle w:val="Normal6"/>
              <w:rPr>
                <w:szCs w:val="24"/>
                <w:lang w:val="bg-BG"/>
              </w:rPr>
            </w:pPr>
            <w:r w:rsidRPr="002E3728">
              <w:rPr>
                <w:lang w:val="bg-BG"/>
              </w:rPr>
              <w:t>(9)</w:t>
            </w:r>
            <w:r w:rsidRPr="002E3728">
              <w:rPr>
                <w:lang w:val="bg-BG"/>
              </w:rPr>
              <w:tab/>
              <w:t xml:space="preserve">Тъй като целта на настоящия регламент, а именно справяне със стратегически </w:t>
            </w:r>
            <w:r w:rsidRPr="002E3728">
              <w:rPr>
                <w:b/>
                <w:i/>
                <w:lang w:val="bg-BG"/>
              </w:rPr>
              <w:t>и социални</w:t>
            </w:r>
            <w:r w:rsidRPr="002E3728">
              <w:rPr>
                <w:lang w:val="bg-BG"/>
              </w:rPr>
              <w:t xml:space="preserve"> предизвикателства, пренасочване на инвестициите към нови приоритети от критично значение и опростяване и ускоряване на изпълнението на политиката, не може да бъде постигната в достатъчна степен от държавите членки, а може да бъде постигната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 на тази цел.</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11</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(11)</w:t>
            </w:r>
            <w:r w:rsidRPr="002E3728">
              <w:rPr>
                <w:lang w:val="bg-BG"/>
              </w:rPr>
              <w:tab/>
              <w:t xml:space="preserve">[Като се има предвид </w:t>
            </w:r>
            <w:r w:rsidRPr="002E3728">
              <w:rPr>
                <w:b/>
                <w:i/>
                <w:lang w:val="bg-BG"/>
              </w:rPr>
              <w:t>спешната</w:t>
            </w:r>
            <w:r w:rsidRPr="002E3728">
              <w:rPr>
                <w:lang w:val="bg-BG"/>
              </w:rPr>
              <w:t xml:space="preserve"> необходимост от допускане на важни инвестиции в умения в областта на </w:t>
            </w:r>
            <w:r w:rsidRPr="002E3728">
              <w:rPr>
                <w:b/>
                <w:i/>
                <w:lang w:val="bg-BG"/>
              </w:rPr>
              <w:t>отбранителната промишленост</w:t>
            </w:r>
            <w:r w:rsidRPr="002E3728">
              <w:rPr>
                <w:lang w:val="bg-BG"/>
              </w:rPr>
              <w:t>, както и в адаптирането към промяна, свързана с декарбонизацията, в контекста на оказващи натиск стратегически геополитически предизвикателства, настоящият регламент следва да влезе в сила в деня след публикуването му в Официален вестник на Европейския съюз,]</w:t>
            </w:r>
          </w:p>
        </w:tc>
        <w:tc>
          <w:tcPr>
            <w:tcW w:w="4876" w:type="dxa"/>
            <w:hideMark/>
          </w:tcPr>
          <w:p w:rsidR="005B0D0B" w:rsidRPr="002E3728" w:rsidRDefault="005B0D0B" w:rsidP="00C41D59">
            <w:pPr>
              <w:pStyle w:val="Normal6"/>
              <w:rPr>
                <w:szCs w:val="24"/>
                <w:lang w:val="bg-BG"/>
              </w:rPr>
            </w:pPr>
            <w:r w:rsidRPr="002E3728">
              <w:rPr>
                <w:lang w:val="bg-BG"/>
              </w:rPr>
              <w:t>(11)</w:t>
            </w:r>
            <w:r w:rsidRPr="002E3728">
              <w:rPr>
                <w:lang w:val="bg-BG"/>
              </w:rPr>
              <w:tab/>
              <w:t xml:space="preserve">[Като се има предвид </w:t>
            </w:r>
            <w:r w:rsidRPr="002E3728">
              <w:rPr>
                <w:b/>
                <w:i/>
                <w:lang w:val="bg-BG"/>
              </w:rPr>
              <w:t>повишената</w:t>
            </w:r>
            <w:r w:rsidRPr="002E3728">
              <w:rPr>
                <w:lang w:val="bg-BG"/>
              </w:rPr>
              <w:t xml:space="preserve"> необходимост от допускане на важни инвестиции в </w:t>
            </w:r>
            <w:r w:rsidRPr="002E3728">
              <w:rPr>
                <w:b/>
                <w:i/>
                <w:lang w:val="bg-BG"/>
              </w:rPr>
              <w:t>специфични</w:t>
            </w:r>
            <w:r w:rsidRPr="002E3728">
              <w:rPr>
                <w:lang w:val="bg-BG"/>
              </w:rPr>
              <w:t xml:space="preserve"> умения в областта на </w:t>
            </w:r>
            <w:r w:rsidRPr="002E3728">
              <w:rPr>
                <w:b/>
                <w:i/>
                <w:lang w:val="bg-BG"/>
              </w:rPr>
              <w:t>отраслите от критично значение</w:t>
            </w:r>
            <w:r w:rsidRPr="002E3728">
              <w:rPr>
                <w:lang w:val="bg-BG"/>
              </w:rPr>
              <w:t>, както и в адаптирането към промяна, свързана с декарбонизацията, в контекста на оказващи натиск стратегически геополитически предизвикателства, настоящият регламент следва да влезе в сила в деня след публикуването му в Официален вестник на Европейския съюз,]</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Съображение 11</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(11)</w:t>
            </w:r>
            <w:r w:rsidRPr="002E3728">
              <w:rPr>
                <w:lang w:val="bg-BG"/>
              </w:rPr>
              <w:tab/>
              <w:t xml:space="preserve">[Като се има предвид спешната необходимост от допускане на важни инвестиции в умения в областта на </w:t>
            </w:r>
            <w:r w:rsidRPr="002E3728">
              <w:rPr>
                <w:b/>
                <w:i/>
                <w:lang w:val="bg-BG"/>
              </w:rPr>
              <w:t>отбранителната</w:t>
            </w:r>
            <w:r w:rsidRPr="002E3728">
              <w:rPr>
                <w:lang w:val="bg-BG"/>
              </w:rPr>
              <w:t xml:space="preserve"> промишленост, както и в адаптирането към промяна, свързана с декарбонизацията, в контекста на оказващи натиск стратегически геополитически предизвикателства, настоящият регламент следва да влезе в </w:t>
            </w:r>
            <w:r w:rsidRPr="002E3728">
              <w:rPr>
                <w:lang w:val="bg-BG"/>
              </w:rPr>
              <w:lastRenderedPageBreak/>
              <w:t>сила в деня след публикуването му в Официален вестник на Европейския съюз,]</w:t>
            </w:r>
          </w:p>
        </w:tc>
        <w:tc>
          <w:tcPr>
            <w:tcW w:w="4876" w:type="dxa"/>
            <w:hideMark/>
          </w:tcPr>
          <w:p w:rsidR="005B0D0B" w:rsidRPr="002E3728" w:rsidRDefault="005B0D0B" w:rsidP="00C41D59">
            <w:pPr>
              <w:pStyle w:val="Normal6"/>
              <w:rPr>
                <w:szCs w:val="24"/>
                <w:lang w:val="bg-BG"/>
              </w:rPr>
            </w:pPr>
            <w:r w:rsidRPr="002E3728">
              <w:rPr>
                <w:lang w:val="bg-BG"/>
              </w:rPr>
              <w:lastRenderedPageBreak/>
              <w:t>(11)</w:t>
            </w:r>
            <w:r w:rsidRPr="002E3728">
              <w:rPr>
                <w:lang w:val="bg-BG"/>
              </w:rPr>
              <w:tab/>
              <w:t xml:space="preserve">[Като се има предвид спешната необходимост от допускане на важни инвестиции в умения в областта на </w:t>
            </w:r>
            <w:r w:rsidRPr="002E3728">
              <w:rPr>
                <w:b/>
                <w:i/>
                <w:lang w:val="bg-BG"/>
              </w:rPr>
              <w:t>техническата</w:t>
            </w:r>
            <w:r w:rsidRPr="002E3728">
              <w:rPr>
                <w:lang w:val="bg-BG"/>
              </w:rPr>
              <w:t xml:space="preserve"> промишленост, както и в адаптирането към промяна, свързана с декарбонизацията, в контекста на оказващи натиск стратегически геополитически предизвикателства, настоящият регламент следва да влезе в </w:t>
            </w:r>
            <w:r w:rsidRPr="002E3728">
              <w:rPr>
                <w:lang w:val="bg-BG"/>
              </w:rPr>
              <w:lastRenderedPageBreak/>
              <w:t>сила в деня след публикуването му в Официален вестник на Европейския съюз,]</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49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1 – първа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 xml:space="preserve">През 2026 г. Комисията ще изплати 4,5% от общата подкрепа по линия на ЕСФ+, както е посочено в решението за одобряване на изменението на програмата, под формата на допълнително еднократно предварително финансиране. Процентът на еднократното предварително финансиране през 2026 г. се увеличава до 9,5% за програми, обхващащи един или повече региони от ниво 2 по NUTS, граничещи с Русия, Беларус </w:t>
            </w:r>
            <w:r w:rsidRPr="002E3728">
              <w:rPr>
                <w:b/>
                <w:i/>
                <w:lang w:val="bg-BG"/>
              </w:rPr>
              <w:t>или</w:t>
            </w:r>
            <w:r w:rsidRPr="002E3728">
              <w:rPr>
                <w:lang w:val="bg-BG"/>
              </w:rPr>
              <w:t xml:space="preserve"> Украйна, при условие че програмата не обхваща цялата територия на държавата членка. Когато в дадена държава членка региони от ниво 2 по NUTS, граничещи с Русия, Беларус или Украйна, са включени изключително в програми, обхващащи цялата територия на въпросната държава членка, посоченото в настоящия параграф увеличено предварително финансиране се прилага по отношение на тези програми.</w:t>
            </w:r>
          </w:p>
        </w:tc>
        <w:tc>
          <w:tcPr>
            <w:tcW w:w="4876" w:type="dxa"/>
            <w:hideMark/>
          </w:tcPr>
          <w:p w:rsidR="005B0D0B" w:rsidRPr="002E3728" w:rsidRDefault="005B0D0B" w:rsidP="00C41D59">
            <w:pPr>
              <w:pStyle w:val="Normal6"/>
              <w:rPr>
                <w:szCs w:val="24"/>
                <w:lang w:val="bg-BG"/>
              </w:rPr>
            </w:pPr>
            <w:r w:rsidRPr="002E3728">
              <w:rPr>
                <w:lang w:val="bg-BG"/>
              </w:rPr>
              <w:t>През 2026 г. Комисията ще изплати 4,5% от общата подкрепа по линия на ЕСФ+, както е посочено в решението за одобряване на изменението на програмата, под формата на допълнително еднократно предварително финансиране. Процентът на еднократното предварително финансиране през 2026 г. се увеличава до 9,5 % за програми, обхващащи един или повече региони от ниво 2 по NUTS, граничещи с Русия, Беларус</w:t>
            </w:r>
            <w:r w:rsidRPr="002E3728">
              <w:rPr>
                <w:b/>
                <w:i/>
                <w:lang w:val="bg-BG"/>
              </w:rPr>
              <w:t>,</w:t>
            </w:r>
            <w:r w:rsidRPr="002E3728">
              <w:rPr>
                <w:lang w:val="bg-BG"/>
              </w:rPr>
              <w:t xml:space="preserve"> Украйна</w:t>
            </w:r>
            <w:r w:rsidRPr="002E3728">
              <w:rPr>
                <w:b/>
                <w:i/>
                <w:lang w:val="bg-BG"/>
              </w:rPr>
              <w:t xml:space="preserve"> и регионите, значително засегнати от неконвенционални или хибридни рискове</w:t>
            </w:r>
            <w:r w:rsidRPr="002E3728">
              <w:rPr>
                <w:lang w:val="bg-BG"/>
              </w:rPr>
              <w:t>, при условие че програмата не обхваща цялата територия на държавата членка. Когато в дадена държава членка региони от ниво 2 по NUTS, граничещи с Русия, Беларус</w:t>
            </w:r>
            <w:r w:rsidRPr="002E3728">
              <w:rPr>
                <w:b/>
                <w:i/>
                <w:lang w:val="bg-BG"/>
              </w:rPr>
              <w:t>,</w:t>
            </w:r>
            <w:r w:rsidRPr="002E3728">
              <w:rPr>
                <w:lang w:val="bg-BG"/>
              </w:rPr>
              <w:t xml:space="preserve"> Украйна</w:t>
            </w:r>
            <w:r w:rsidRPr="002E3728">
              <w:rPr>
                <w:b/>
                <w:i/>
                <w:lang w:val="bg-BG"/>
              </w:rPr>
              <w:t xml:space="preserve"> и регионите, значително засегнати от неконвенционални или хибридни рискове</w:t>
            </w:r>
            <w:r w:rsidRPr="002E3728">
              <w:rPr>
                <w:lang w:val="bg-BG"/>
              </w:rPr>
              <w:t xml:space="preserve">, са включени извънредно в програми, обхващащи цялата територия на въпросната държава членка, посоченото в настоящия параграф увеличено предварително финансиране се прилага по отношение на тези програми. </w:t>
            </w:r>
            <w:r w:rsidRPr="002E3728">
              <w:rPr>
                <w:b/>
                <w:i/>
                <w:lang w:val="bg-BG"/>
              </w:rPr>
              <w:t xml:space="preserve">Прилагането на извънредното предварително финансиране обаче, по-специално на разпределеното в рамките на едно </w:t>
            </w:r>
            <w:r w:rsidRPr="002E3728">
              <w:rPr>
                <w:b/>
                <w:i/>
                <w:lang w:val="bg-BG"/>
              </w:rPr>
              <w:lastRenderedPageBreak/>
              <w:t>плащане в размер на 30% от разпределените средства, подлежи на предварителна оценка на финансовото отражение върху годишните средства от бюджета на ЕС. При условие че бъде установен значителен натиск, се активира компенсаторен механизъм, за да се даде възможност за временна корекция на процента на предварителното финансиране.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pPr>
        <w:pStyle w:val="CrossRef"/>
        <w:rPr>
          <w:lang w:val="bg-BG"/>
        </w:rPr>
      </w:pPr>
      <w:r w:rsidRPr="002E3728">
        <w:rPr>
          <w:lang w:val="bg-BG"/>
        </w:rPr>
        <w:t>(Точки 30 – 31 от становище 02/2025 на ЕСП)</w:t>
      </w:r>
    </w:p>
    <w:p w:rsidR="005B0D0B" w:rsidRPr="002E3728" w:rsidRDefault="005B0D0B" w:rsidP="005B0D0B">
      <w:pPr>
        <w:pStyle w:val="JustificationTitle"/>
        <w:rPr>
          <w:noProof w:val="0"/>
          <w:lang w:val="bg-BG"/>
        </w:rPr>
      </w:pPr>
      <w:r w:rsidRPr="002E3728">
        <w:rPr>
          <w:rStyle w:val="HideTWBExt"/>
          <w:i w:val="0"/>
          <w:lang w:val="bg-BG"/>
        </w:rPr>
        <w:t>&lt;TitreJust&gt;</w:t>
      </w:r>
      <w:r w:rsidRPr="002E3728">
        <w:rPr>
          <w:lang w:val="bg-BG"/>
        </w:rPr>
        <w:t>Обосновка</w:t>
      </w:r>
      <w:r w:rsidRPr="002E3728">
        <w:rPr>
          <w:rStyle w:val="HideTWBExt"/>
          <w:i w:val="0"/>
          <w:lang w:val="bg-BG"/>
        </w:rPr>
        <w:t>&lt;/TitreJust&gt;</w:t>
      </w:r>
    </w:p>
    <w:p w:rsidR="005B0D0B" w:rsidRPr="002E3728" w:rsidRDefault="005B0D0B" w:rsidP="005B0D0B">
      <w:pPr>
        <w:pStyle w:val="Normal12Italic"/>
        <w:rPr>
          <w:noProof w:val="0"/>
          <w:lang w:val="bg-BG"/>
        </w:rPr>
      </w:pPr>
      <w:r w:rsidRPr="002E3728">
        <w:rPr>
          <w:lang w:val="bg-BG"/>
        </w:rPr>
        <w:t>Заради натиска, което това извънредно предварително финансиране – по-специално до 30% в определени случаи – би могло да окаже върху годишния бюджет на ЕС. Препоръчва се пълно обосноваване на една такава мярка и прилагане на механизми за корекция.</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 параграф 1 – първа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 xml:space="preserve">През 2026 г. Комисията ще изплати 4,5% от общата подкрепа по линия на ЕСФ+, както е посочено в решението за одобряване на изменението на програмата, под формата на допълнително еднократно предварително финансиране. Процентът на еднократното предварително финансиране през 2026 г. се увеличава </w:t>
            </w:r>
            <w:r w:rsidRPr="002E3728">
              <w:rPr>
                <w:lang w:val="bg-BG"/>
              </w:rPr>
              <w:lastRenderedPageBreak/>
              <w:t>до 9,5% за програми, обхващащи един или повече региони от ниво 2 по NUTS, граничещи с Русия, Беларус или Украйна, при условие че програмата не обхваща цялата територия на държавата членка. Когато в дадена държава членка региони от ниво 2 по NUTS, граничещи с Русия, Беларус или Украйна, са включени изключително в програми, обхващащи цялата територия на въпросната държава членка, посоченото в настоящия параграф увеличено предварително финансиране се прилага по отношение на тези програми.</w:t>
            </w:r>
          </w:p>
        </w:tc>
        <w:tc>
          <w:tcPr>
            <w:tcW w:w="4876" w:type="dxa"/>
            <w:hideMark/>
          </w:tcPr>
          <w:p w:rsidR="005B0D0B" w:rsidRPr="002E3728" w:rsidRDefault="005B0D0B" w:rsidP="00C41D59">
            <w:pPr>
              <w:pStyle w:val="Normal6"/>
              <w:rPr>
                <w:szCs w:val="24"/>
                <w:lang w:val="bg-BG"/>
              </w:rPr>
            </w:pPr>
            <w:r w:rsidRPr="002E3728">
              <w:rPr>
                <w:lang w:val="bg-BG"/>
              </w:rPr>
              <w:lastRenderedPageBreak/>
              <w:t xml:space="preserve">През 2026 г. Комисията ще изплати 4,5% от общата подкрепа по линия на ЕСФ+, както е посочено в решението за одобряване на изменението на програмата, под формата на допълнително еднократно предварително финансиране. </w:t>
            </w:r>
            <w:r w:rsidRPr="002E3728">
              <w:rPr>
                <w:b/>
                <w:i/>
                <w:lang w:val="bg-BG"/>
              </w:rPr>
              <w:t xml:space="preserve">Допълнителното предварително финансиране се прилага само когато </w:t>
            </w:r>
            <w:r w:rsidRPr="002E3728">
              <w:rPr>
                <w:b/>
                <w:i/>
                <w:lang w:val="bg-BG"/>
              </w:rPr>
              <w:lastRenderedPageBreak/>
              <w:t>са одобрени преразпределения на най-малко 5% от финансовите ресурси по програмата към един или повече специални приоритети, установени в съответствие с членове 12а и 12г, и при условие че намесите са насочени към по-малки бенефициери, при условие че искането за изменение на програмата е подадено до 31 декември 2025 г.</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lang w:val="bg-BG"/>
              </w:rPr>
              <w:t xml:space="preserve">Процентът на еднократното предварително финансиране през 2026 г. се увеличава до 9,5% за </w:t>
            </w:r>
            <w:r w:rsidRPr="002E3728">
              <w:rPr>
                <w:b/>
                <w:i/>
                <w:lang w:val="bg-BG"/>
              </w:rPr>
              <w:t>всички</w:t>
            </w:r>
            <w:r w:rsidRPr="002E3728">
              <w:rPr>
                <w:lang w:val="bg-BG"/>
              </w:rPr>
              <w:t xml:space="preserve"> програми, обхващащи един или повече региони от ниво 2 по NUTS, граничещи с Русия, Беларус или Украйна, при условие че програмата не обхваща цялата територия на държавата членка. Когато в дадена държава членка региони от ниво 2 по NUTS, граничещи с Русия, Беларус или Украйна, са включени изключително в програми, обхващащи цялата територия на въпросната държава членка, посоченото в настоящия параграф увеличено предварително финансиране се прилага по отношение на тези програми.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1 – втора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 xml:space="preserve">Допълнителното предварително </w:t>
            </w:r>
            <w:r w:rsidRPr="002E3728">
              <w:rPr>
                <w:b/>
                <w:i/>
                <w:lang w:val="bg-BG"/>
              </w:rPr>
              <w:lastRenderedPageBreak/>
              <w:t>финансиране, посочено в първата алинея от настоящия параграф,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 12в и 12г, при условие че искането за изменение на програмата е подадено до 31 декември 2025 г.</w:t>
            </w:r>
          </w:p>
        </w:tc>
        <w:tc>
          <w:tcPr>
            <w:tcW w:w="4876" w:type="dxa"/>
            <w:hideMark/>
          </w:tcPr>
          <w:p w:rsidR="005B0D0B" w:rsidRPr="002E3728" w:rsidRDefault="005B0D0B" w:rsidP="00C41D59">
            <w:pPr>
              <w:pStyle w:val="Normal6"/>
              <w:rPr>
                <w:szCs w:val="24"/>
                <w:lang w:val="bg-BG"/>
              </w:rPr>
            </w:pPr>
            <w:r w:rsidRPr="002E3728">
              <w:rPr>
                <w:b/>
                <w:i/>
                <w:lang w:val="bg-BG"/>
              </w:rPr>
              <w:lastRenderedPageBreak/>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1 – втора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Допълнителното предварително финансиране, посочено в първата алинея от настоящия параграф,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 12в и 12г, при условие че искането за изменение на програмата е подадено до 31 декември 2025 г.</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lastRenderedPageBreak/>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1 – втора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Допълнителното</w:t>
            </w:r>
            <w:r w:rsidRPr="002E3728">
              <w:rPr>
                <w:lang w:val="bg-BG"/>
              </w:rPr>
              <w:t xml:space="preserve"> предварително финансиране</w:t>
            </w:r>
            <w:r w:rsidRPr="002E3728">
              <w:rPr>
                <w:b/>
                <w:i/>
                <w:lang w:val="bg-BG"/>
              </w:rPr>
              <w:t>, посочено в първата алинея от настоящия параграф,</w:t>
            </w:r>
            <w:r w:rsidRPr="002E3728">
              <w:rPr>
                <w:lang w:val="bg-BG"/>
              </w:rPr>
              <w:t xml:space="preserve"> се </w:t>
            </w:r>
            <w:r w:rsidRPr="002E3728">
              <w:rPr>
                <w:b/>
                <w:i/>
                <w:lang w:val="bg-BG"/>
              </w:rPr>
              <w:t>прилага само когато са одобрени преразпределения на най-малко 15% от</w:t>
            </w:r>
            <w:r w:rsidRPr="002E3728">
              <w:rPr>
                <w:lang w:val="bg-BG"/>
              </w:rPr>
              <w:t xml:space="preserve"> финансовите ресурси </w:t>
            </w:r>
            <w:r w:rsidRPr="002E3728">
              <w:rPr>
                <w:b/>
                <w:i/>
                <w:lang w:val="bg-BG"/>
              </w:rPr>
              <w:t>по програмата към един или повече специални</w:t>
            </w:r>
            <w:r w:rsidRPr="002E3728">
              <w:rPr>
                <w:lang w:val="bg-BG"/>
              </w:rPr>
              <w:t xml:space="preserve"> приоритети</w:t>
            </w:r>
            <w:r w:rsidRPr="002E3728">
              <w:rPr>
                <w:b/>
                <w:i/>
                <w:lang w:val="bg-BG"/>
              </w:rPr>
              <w:t>, установени в съответствие с членове 12а, 12в и 12г,</w:t>
            </w:r>
            <w:r w:rsidRPr="002E3728">
              <w:rPr>
                <w:lang w:val="bg-BG"/>
              </w:rPr>
              <w:t xml:space="preserve"> при условие че </w:t>
            </w:r>
            <w:r w:rsidRPr="002E3728">
              <w:rPr>
                <w:b/>
                <w:i/>
                <w:lang w:val="bg-BG"/>
              </w:rPr>
              <w:t>искането за изменение на програмата е подадено до 31 декември 2025 г</w:t>
            </w:r>
            <w:r w:rsidRPr="002E3728">
              <w:rPr>
                <w:lang w:val="bg-BG"/>
              </w:rPr>
              <w:t>.</w:t>
            </w:r>
          </w:p>
        </w:tc>
        <w:tc>
          <w:tcPr>
            <w:tcW w:w="4876" w:type="dxa"/>
            <w:hideMark/>
          </w:tcPr>
          <w:p w:rsidR="005B0D0B" w:rsidRPr="002E3728" w:rsidRDefault="005B0D0B" w:rsidP="00C41D59">
            <w:pPr>
              <w:pStyle w:val="Normal6"/>
              <w:rPr>
                <w:szCs w:val="24"/>
                <w:lang w:val="bg-BG"/>
              </w:rPr>
            </w:pPr>
            <w:r w:rsidRPr="002E3728">
              <w:rPr>
                <w:b/>
                <w:bCs/>
                <w:i/>
                <w:iCs/>
                <w:lang w:val="bg-BG"/>
              </w:rPr>
              <w:t>И</w:t>
            </w:r>
            <w:r w:rsidRPr="002E3728">
              <w:rPr>
                <w:b/>
                <w:i/>
                <w:lang w:val="bg-BG"/>
              </w:rPr>
              <w:t>звънредното</w:t>
            </w:r>
            <w:r w:rsidRPr="002E3728">
              <w:rPr>
                <w:lang w:val="bg-BG"/>
              </w:rPr>
              <w:t xml:space="preserve"> предварително финансиране </w:t>
            </w:r>
            <w:r w:rsidRPr="002E3728">
              <w:rPr>
                <w:b/>
                <w:i/>
                <w:lang w:val="bg-BG"/>
              </w:rPr>
              <w:t>(4,5% или 9,5% за програми в региони от ниво 2 по NUTS) не се прилага автоматично над прага от 12,5% за преразпределение на</w:t>
            </w:r>
            <w:r w:rsidRPr="002E3728">
              <w:rPr>
                <w:lang w:val="bg-BG"/>
              </w:rPr>
              <w:t xml:space="preserve"> финансовите ресурси.</w:t>
            </w:r>
            <w:r w:rsidRPr="002E3728">
              <w:rPr>
                <w:b/>
                <w:i/>
                <w:lang w:val="bg-BG"/>
              </w:rPr>
              <w:t xml:space="preserve"> Комисията, в сътрудничество с държавите членки, оценява съвместно и посредством сравнителен анализ, включително качествените и количествените аспекти, дали извършеното преразпределение действително отговаря на определените</w:t>
            </w:r>
            <w:r w:rsidRPr="002E3728">
              <w:rPr>
                <w:lang w:val="bg-BG"/>
              </w:rPr>
              <w:t xml:space="preserve"> </w:t>
            </w:r>
            <w:r w:rsidRPr="002E3728">
              <w:rPr>
                <w:b/>
                <w:i/>
                <w:lang w:val="bg-BG"/>
              </w:rPr>
              <w:t>стратегически</w:t>
            </w:r>
            <w:r w:rsidRPr="002E3728">
              <w:rPr>
                <w:lang w:val="bg-BG"/>
              </w:rPr>
              <w:t xml:space="preserve"> приоритети.</w:t>
            </w:r>
            <w:r w:rsidRPr="002E3728">
              <w:rPr>
                <w:b/>
                <w:i/>
                <w:lang w:val="bg-BG"/>
              </w:rPr>
              <w:t xml:space="preserve"> Този анализ може да доведе до прилагане на допълнителните финансови мерки, дори в случаите, когато процентът на преразпределение не достигне 12,5%,</w:t>
            </w:r>
            <w:r w:rsidRPr="002E3728">
              <w:rPr>
                <w:lang w:val="bg-BG"/>
              </w:rPr>
              <w:t xml:space="preserve"> при условие че </w:t>
            </w:r>
            <w:r w:rsidRPr="002E3728">
              <w:rPr>
                <w:b/>
                <w:i/>
                <w:lang w:val="bg-BG"/>
              </w:rPr>
              <w:t>стратегическата необходимост от корекцията бъде надеждно обоснована</w:t>
            </w:r>
            <w:r w:rsidRPr="002E3728">
              <w:rPr>
                <w:lang w:val="bg-BG"/>
              </w:rPr>
              <w:t>.</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pPr>
        <w:pStyle w:val="CrossRef"/>
        <w:rPr>
          <w:lang w:val="bg-BG"/>
        </w:rPr>
      </w:pPr>
      <w:r w:rsidRPr="002E3728">
        <w:rPr>
          <w:lang w:val="bg-BG"/>
        </w:rPr>
        <w:t>(Вж. точки 30 – 31 от становище 02/2025 на ЕСП.)</w:t>
      </w:r>
    </w:p>
    <w:p w:rsidR="005B0D0B" w:rsidRPr="002E3728" w:rsidRDefault="005B0D0B" w:rsidP="005B0D0B">
      <w:pPr>
        <w:pStyle w:val="JustificationTitle"/>
        <w:rPr>
          <w:noProof w:val="0"/>
          <w:lang w:val="bg-BG"/>
        </w:rPr>
      </w:pPr>
      <w:r w:rsidRPr="002E3728">
        <w:rPr>
          <w:rStyle w:val="HideTWBExt"/>
          <w:i w:val="0"/>
          <w:lang w:val="bg-BG"/>
        </w:rPr>
        <w:t>&lt;TitreJust&gt;</w:t>
      </w:r>
      <w:r w:rsidRPr="002E3728">
        <w:rPr>
          <w:lang w:val="bg-BG"/>
        </w:rPr>
        <w:t>Обосновка</w:t>
      </w:r>
      <w:r w:rsidRPr="002E3728">
        <w:rPr>
          <w:rStyle w:val="HideTWBExt"/>
          <w:i w:val="0"/>
          <w:lang w:val="bg-BG"/>
        </w:rPr>
        <w:t>&lt;/TitreJust&gt;</w:t>
      </w:r>
    </w:p>
    <w:p w:rsidR="005B0D0B" w:rsidRPr="002E3728" w:rsidRDefault="005B0D0B" w:rsidP="005B0D0B">
      <w:pPr>
        <w:pStyle w:val="Normal12Italic"/>
        <w:rPr>
          <w:noProof w:val="0"/>
          <w:lang w:val="bg-BG"/>
        </w:rPr>
      </w:pPr>
      <w:r w:rsidRPr="002E3728">
        <w:rPr>
          <w:lang w:val="bg-BG"/>
        </w:rPr>
        <w:t>Предлага се съответният параграф на член 5а да бъде изменен, така че при превишаване на прага от 15%, вместо мерките автоматично да бъдат прилагани, да се възприеме смесен подход, при който също така се отчита качественото обосноваване за преразпределението.</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lastRenderedPageBreak/>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1 – втора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 xml:space="preserve">Допълнителното предварително финансиране, посочено в първата алинея от настоящия параграф, се прилага само когато са одобрени преразпределения на най-малко </w:t>
            </w:r>
            <w:r w:rsidRPr="002E3728">
              <w:rPr>
                <w:b/>
                <w:i/>
                <w:lang w:val="bg-BG"/>
              </w:rPr>
              <w:t xml:space="preserve">15 </w:t>
            </w:r>
            <w:r w:rsidRPr="002E3728">
              <w:rPr>
                <w:lang w:val="bg-BG"/>
              </w:rPr>
              <w:t xml:space="preserve">% от финансовите ресурси по </w:t>
            </w:r>
            <w:r w:rsidRPr="002E3728">
              <w:rPr>
                <w:b/>
                <w:i/>
                <w:lang w:val="bg-BG"/>
              </w:rPr>
              <w:t>програмата</w:t>
            </w:r>
            <w:r w:rsidRPr="002E3728">
              <w:rPr>
                <w:lang w:val="bg-BG"/>
              </w:rPr>
              <w:t xml:space="preserve"> към един или повече специални приоритети, установени в съответствие с членове 12а, 12в и 12г, при условие че искането за изменение на програмата е подадено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t xml:space="preserve">Допълнителното предварително финансиране, посочено в първата алинея от настоящия параграф, се прилага само когато са одобрени </w:t>
            </w:r>
            <w:r w:rsidRPr="002E3728">
              <w:rPr>
                <w:b/>
                <w:i/>
                <w:lang w:val="bg-BG"/>
              </w:rPr>
              <w:t>необходими и обосновани</w:t>
            </w:r>
            <w:r w:rsidRPr="002E3728">
              <w:rPr>
                <w:lang w:val="bg-BG"/>
              </w:rPr>
              <w:t xml:space="preserve"> преразпределения на най-малко </w:t>
            </w:r>
            <w:r w:rsidRPr="002E3728">
              <w:rPr>
                <w:b/>
                <w:i/>
                <w:lang w:val="bg-BG"/>
              </w:rPr>
              <w:t>10</w:t>
            </w:r>
            <w:r w:rsidRPr="002E3728">
              <w:rPr>
                <w:lang w:val="bg-BG"/>
              </w:rPr>
              <w:t xml:space="preserve">% от финансовите ресурси по </w:t>
            </w:r>
            <w:r w:rsidRPr="002E3728">
              <w:rPr>
                <w:b/>
                <w:i/>
                <w:lang w:val="bg-BG"/>
              </w:rPr>
              <w:t>фонда</w:t>
            </w:r>
            <w:r w:rsidRPr="002E3728">
              <w:rPr>
                <w:lang w:val="bg-BG"/>
              </w:rPr>
              <w:t xml:space="preserve"> към един или повече специални приоритети, установени в съответствие с членове 12а, 12в и 12г, при условие че искането за изменение на програмата е подадено до 31 декември 2025 г.</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4D0A66" w:rsidRPr="002E3728">
        <w:t>Елена Донацан</w:t>
      </w:r>
      <w:r w:rsidRPr="002E3728">
        <w:t xml:space="preserve">, </w:t>
      </w:r>
      <w:r w:rsidR="004D0A66" w:rsidRPr="002E3728">
        <w:t>Франческо Торсели</w:t>
      </w:r>
      <w:r w:rsidRPr="002E3728">
        <w:t xml:space="preserve">, </w:t>
      </w:r>
      <w:r w:rsidR="004D0A66" w:rsidRPr="002E3728">
        <w:t>Мариятереза Вивалдини</w:t>
      </w:r>
      <w:r w:rsidRPr="002E3728">
        <w:t>, Киара Джема</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1 – втора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Допълнителното предварително финансиране, посочено в първата алинея от настоящия параграф,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w:t>
            </w:r>
            <w:r w:rsidRPr="002E3728">
              <w:rPr>
                <w:b/>
                <w:i/>
                <w:lang w:val="bg-BG"/>
              </w:rPr>
              <w:t xml:space="preserve">, </w:t>
            </w:r>
            <w:r w:rsidRPr="002E3728">
              <w:rPr>
                <w:lang w:val="bg-BG"/>
              </w:rPr>
              <w:t xml:space="preserve">12в </w:t>
            </w:r>
            <w:r w:rsidRPr="002E3728">
              <w:rPr>
                <w:b/>
                <w:bCs/>
                <w:i/>
                <w:iCs/>
                <w:lang w:val="bg-BG"/>
              </w:rPr>
              <w:t>и</w:t>
            </w:r>
            <w:r w:rsidRPr="002E3728">
              <w:rPr>
                <w:lang w:val="bg-BG"/>
              </w:rPr>
              <w:t xml:space="preserve"> </w:t>
            </w:r>
            <w:r w:rsidRPr="002E3728">
              <w:rPr>
                <w:b/>
                <w:i/>
                <w:lang w:val="bg-BG"/>
              </w:rPr>
              <w:t>12г</w:t>
            </w:r>
            <w:r w:rsidRPr="002E3728">
              <w:rPr>
                <w:lang w:val="bg-BG"/>
              </w:rPr>
              <w:t>, при условие че искането за изменение на програмата е подадено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t>Допълнителното предварително финансиране, посочено в първата алинея от настоящия параграф,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w:t>
            </w:r>
            <w:r w:rsidRPr="002E3728">
              <w:rPr>
                <w:b/>
                <w:bCs/>
                <w:i/>
                <w:iCs/>
                <w:lang w:val="bg-BG"/>
              </w:rPr>
              <w:t xml:space="preserve"> и</w:t>
            </w:r>
            <w:r w:rsidRPr="002E3728">
              <w:rPr>
                <w:lang w:val="bg-BG"/>
              </w:rPr>
              <w:t xml:space="preserve"> 12в, при условие че искането за изменение на програмата е подадено до 31 декември 2025 г.</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 xml:space="preserve">Чрез дерогация от член 63, параграф 2 и член 105, параграф 2 от 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15%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 12в и 12г от настоящия регламент в контекста на междинния преглед.</w:t>
            </w:r>
          </w:p>
        </w:tc>
        <w:tc>
          <w:tcPr>
            <w:tcW w:w="4876" w:type="dxa"/>
            <w:hideMark/>
          </w:tcPr>
          <w:p w:rsidR="005B0D0B" w:rsidRPr="002E3728" w:rsidRDefault="005B0D0B" w:rsidP="00C41D59">
            <w:pPr>
              <w:pStyle w:val="Normal6"/>
              <w:rPr>
                <w:szCs w:val="24"/>
                <w:lang w:val="bg-BG"/>
              </w:rPr>
            </w:pPr>
            <w:r w:rsidRPr="002E3728">
              <w:rPr>
                <w:lang w:val="bg-BG"/>
              </w:rPr>
              <w:t>(2)</w:t>
            </w:r>
            <w:r w:rsidRPr="002E3728">
              <w:rPr>
                <w:lang w:val="bg-BG"/>
              </w:rPr>
              <w:tab/>
              <w:t xml:space="preserve">Чрез дерогация от член 63, параграф 2 и член 105, параграф 2 от 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12,5%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 12в и 12г от настоящия регламент в контекста на междинния преглед.</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Greens/EFA</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 xml:space="preserve">Чрез дерогация от член 63, параграф 2 и член 105, параграф 2 от </w:t>
            </w:r>
            <w:r w:rsidRPr="002E3728">
              <w:rPr>
                <w:lang w:val="bg-BG"/>
              </w:rPr>
              <w:lastRenderedPageBreak/>
              <w:t xml:space="preserve">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15%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 12в и 12г от настоящия регламент в контекста на междинния преглед.</w:t>
            </w:r>
          </w:p>
        </w:tc>
        <w:tc>
          <w:tcPr>
            <w:tcW w:w="4876" w:type="dxa"/>
            <w:hideMark/>
          </w:tcPr>
          <w:p w:rsidR="005B0D0B" w:rsidRPr="002E3728" w:rsidRDefault="005B0D0B" w:rsidP="00C41D59">
            <w:pPr>
              <w:pStyle w:val="Normal6"/>
              <w:rPr>
                <w:szCs w:val="24"/>
                <w:lang w:val="bg-BG"/>
              </w:rPr>
            </w:pPr>
            <w:r w:rsidRPr="002E3728">
              <w:rPr>
                <w:lang w:val="bg-BG"/>
              </w:rPr>
              <w:lastRenderedPageBreak/>
              <w:t>(2)</w:t>
            </w:r>
            <w:r w:rsidRPr="002E3728">
              <w:rPr>
                <w:lang w:val="bg-BG"/>
              </w:rPr>
              <w:tab/>
              <w:t xml:space="preserve">Чрез дерогация от член 63, параграф 2 и член 105, параграф 2 от </w:t>
            </w:r>
            <w:r w:rsidRPr="002E3728">
              <w:rPr>
                <w:lang w:val="bg-BG"/>
              </w:rPr>
              <w:lastRenderedPageBreak/>
              <w:t xml:space="preserve">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 12в и 12г от настоящия регламент в контекста на междинния преглед.</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 xml:space="preserve">Чрез дерогация от член 63, параграф 2 и член 105, параграф 2 от 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15</w:t>
            </w:r>
            <w:r w:rsidRPr="002E3728">
              <w:rPr>
                <w:lang w:val="bg-BG"/>
              </w:rPr>
              <w:t xml:space="preserve">% от финансовите ресурси по </w:t>
            </w:r>
            <w:r w:rsidRPr="002E3728">
              <w:rPr>
                <w:b/>
                <w:i/>
                <w:lang w:val="bg-BG"/>
              </w:rPr>
              <w:t>програмата</w:t>
            </w:r>
            <w:r w:rsidRPr="002E3728">
              <w:rPr>
                <w:lang w:val="bg-BG"/>
              </w:rPr>
              <w:t xml:space="preserve"> към един или повече специални приоритети, установени в съответствие с членове 12а, 12в и 12г от настоящия регламент в контекста на междинния </w:t>
            </w:r>
            <w:r w:rsidRPr="002E3728">
              <w:rPr>
                <w:lang w:val="bg-BG"/>
              </w:rPr>
              <w:lastRenderedPageBreak/>
              <w:t>преглед.</w:t>
            </w:r>
          </w:p>
        </w:tc>
        <w:tc>
          <w:tcPr>
            <w:tcW w:w="4876" w:type="dxa"/>
            <w:hideMark/>
          </w:tcPr>
          <w:p w:rsidR="005B0D0B" w:rsidRPr="002E3728" w:rsidRDefault="005B0D0B" w:rsidP="00C41D59">
            <w:pPr>
              <w:pStyle w:val="Normal6"/>
              <w:rPr>
                <w:szCs w:val="24"/>
                <w:lang w:val="bg-BG"/>
              </w:rPr>
            </w:pPr>
            <w:r w:rsidRPr="002E3728">
              <w:rPr>
                <w:lang w:val="bg-BG"/>
              </w:rPr>
              <w:lastRenderedPageBreak/>
              <w:t>(2)</w:t>
            </w:r>
            <w:r w:rsidRPr="002E3728">
              <w:rPr>
                <w:lang w:val="bg-BG"/>
              </w:rPr>
              <w:tab/>
              <w:t xml:space="preserve">Чрез дерогация от член 63, параграф 2 и член 105, параграф 2 от 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10</w:t>
            </w:r>
            <w:r w:rsidRPr="002E3728">
              <w:rPr>
                <w:lang w:val="bg-BG"/>
              </w:rPr>
              <w:t xml:space="preserve">% от финансовите ресурси по </w:t>
            </w:r>
            <w:r w:rsidRPr="002E3728">
              <w:rPr>
                <w:b/>
                <w:i/>
                <w:lang w:val="bg-BG"/>
              </w:rPr>
              <w:t>фонда</w:t>
            </w:r>
            <w:r w:rsidRPr="002E3728">
              <w:rPr>
                <w:lang w:val="bg-BG"/>
              </w:rPr>
              <w:t xml:space="preserve"> към един или повече специални приоритети, установени в съответствие с членове 12а, 12в и 12г от настоящия регламент в контекста на междинния </w:t>
            </w:r>
            <w:r w:rsidRPr="002E3728">
              <w:rPr>
                <w:lang w:val="bg-BG"/>
              </w:rPr>
              <w:lastRenderedPageBreak/>
              <w:t>преглед.</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59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4D0A66" w:rsidRPr="002E3728">
        <w:t>Елена Донацан</w:t>
      </w:r>
      <w:r w:rsidRPr="002E3728">
        <w:t xml:space="preserve">, </w:t>
      </w:r>
      <w:r w:rsidR="004D0A66" w:rsidRPr="002E3728">
        <w:t>Франческо Торсели</w:t>
      </w:r>
      <w:r w:rsidRPr="002E3728">
        <w:t xml:space="preserve">, </w:t>
      </w:r>
      <w:r w:rsidR="004D0A66" w:rsidRPr="002E3728">
        <w:t>Мариятереза Вивалдини</w:t>
      </w:r>
      <w:r w:rsidRPr="002E3728">
        <w:t>, Киара Джема</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962FEE">
            <w:pPr>
              <w:pStyle w:val="Normal6"/>
              <w:rPr>
                <w:lang w:val="bg-BG"/>
              </w:rPr>
            </w:pPr>
            <w:r w:rsidRPr="002E3728">
              <w:rPr>
                <w:lang w:val="bg-BG"/>
              </w:rPr>
              <w:t>(2)</w:t>
            </w:r>
            <w:r w:rsidRPr="002E3728">
              <w:rPr>
                <w:lang w:val="bg-BG"/>
              </w:rPr>
              <w:tab/>
              <w:t>Чрез дерогация от член 63, параграф 2 и член 105, параграф 2 от 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15% от финансовите ресурси по програмата към един или повече специални приоритети, установени в съответствие с членове 12а</w:t>
            </w:r>
            <w:r w:rsidRPr="002E3728">
              <w:rPr>
                <w:b/>
                <w:i/>
                <w:lang w:val="bg-BG"/>
              </w:rPr>
              <w:t xml:space="preserve">, </w:t>
            </w:r>
            <w:r w:rsidRPr="002E3728">
              <w:rPr>
                <w:lang w:val="bg-BG"/>
              </w:rPr>
              <w:t xml:space="preserve">12в </w:t>
            </w:r>
            <w:r w:rsidRPr="002E3728">
              <w:rPr>
                <w:b/>
                <w:i/>
                <w:lang w:val="bg-BG"/>
              </w:rPr>
              <w:t>и</w:t>
            </w:r>
            <w:r w:rsidRPr="002E3728">
              <w:rPr>
                <w:lang w:val="bg-BG"/>
              </w:rPr>
              <w:t xml:space="preserve"> </w:t>
            </w:r>
            <w:r w:rsidRPr="002E3728">
              <w:rPr>
                <w:b/>
                <w:i/>
                <w:lang w:val="bg-BG"/>
              </w:rPr>
              <w:t>12г</w:t>
            </w:r>
            <w:r w:rsidRPr="002E3728">
              <w:rPr>
                <w:lang w:val="bg-BG"/>
              </w:rPr>
              <w:t xml:space="preserve"> от настоящия регламент в контекста на междинния преглед.</w:t>
            </w:r>
          </w:p>
        </w:tc>
        <w:tc>
          <w:tcPr>
            <w:tcW w:w="4876" w:type="dxa"/>
            <w:hideMark/>
          </w:tcPr>
          <w:p w:rsidR="005B0D0B" w:rsidRPr="002E3728" w:rsidRDefault="005B0D0B" w:rsidP="00962FEE">
            <w:pPr>
              <w:pStyle w:val="Normal6"/>
              <w:rPr>
                <w:szCs w:val="24"/>
                <w:lang w:val="bg-BG"/>
              </w:rPr>
            </w:pPr>
            <w:r w:rsidRPr="002E3728">
              <w:rPr>
                <w:lang w:val="bg-BG"/>
              </w:rPr>
              <w:t>(2)</w:t>
            </w:r>
            <w:r w:rsidRPr="002E3728">
              <w:rPr>
                <w:lang w:val="bg-BG"/>
              </w:rPr>
              <w:tab/>
              <w:t>Чрез дерогация от член</w:t>
            </w:r>
            <w:r w:rsidR="00962FEE" w:rsidRPr="002E3728">
              <w:rPr>
                <w:lang w:val="bg-BG"/>
              </w:rPr>
              <w:t> </w:t>
            </w:r>
            <w:r w:rsidRPr="002E3728">
              <w:rPr>
                <w:lang w:val="bg-BG"/>
              </w:rPr>
              <w:t>63, параграф</w:t>
            </w:r>
            <w:r w:rsidR="00962FEE" w:rsidRPr="002E3728">
              <w:rPr>
                <w:lang w:val="bg-BG"/>
              </w:rPr>
              <w:t> </w:t>
            </w:r>
            <w:r w:rsidRPr="002E3728">
              <w:rPr>
                <w:lang w:val="bg-BG"/>
              </w:rPr>
              <w:t>2 и член</w:t>
            </w:r>
            <w:r w:rsidR="00962FEE" w:rsidRPr="002E3728">
              <w:rPr>
                <w:lang w:val="bg-BG"/>
              </w:rPr>
              <w:t> </w:t>
            </w:r>
            <w:r w:rsidRPr="002E3728">
              <w:rPr>
                <w:lang w:val="bg-BG"/>
              </w:rPr>
              <w:t>105, параграф</w:t>
            </w:r>
            <w:r w:rsidR="00962FEE" w:rsidRPr="002E3728">
              <w:rPr>
                <w:lang w:val="bg-BG"/>
              </w:rPr>
              <w:t> </w:t>
            </w:r>
            <w:r w:rsidRPr="002E3728">
              <w:rPr>
                <w:lang w:val="bg-BG"/>
              </w:rPr>
              <w:t>2 от Регламент (ЕС) 2021/1060 срокът за допустимостта на разходите, за възстановяването на разходите, както и за отмяната на бюджетни задължения е 31</w:t>
            </w:r>
            <w:r w:rsidR="00962FEE" w:rsidRPr="002E3728">
              <w:rPr>
                <w:lang w:val="bg-BG"/>
              </w:rPr>
              <w:t> </w:t>
            </w:r>
            <w:r w:rsidRPr="002E3728">
              <w:rPr>
                <w:lang w:val="bg-BG"/>
              </w:rPr>
              <w:t>декември 2030</w:t>
            </w:r>
            <w:r w:rsidR="00962FEE" w:rsidRPr="002E3728">
              <w:rPr>
                <w:lang w:val="bg-BG"/>
              </w:rPr>
              <w:t> </w:t>
            </w:r>
            <w:r w:rsidRPr="002E3728">
              <w:rPr>
                <w:lang w:val="bg-BG"/>
              </w:rPr>
              <w:t xml:space="preserve">г. Тази дерогация се прилага само когато са одобрени изменения на програмата за преразпределяне на най-малко 15% от финансовите ресурси по програмата към един или повече специални приоритети, установени в съответствие с членове 12а </w:t>
            </w:r>
            <w:r w:rsidRPr="002E3728">
              <w:rPr>
                <w:b/>
                <w:i/>
                <w:lang w:val="bg-BG"/>
              </w:rPr>
              <w:t>и</w:t>
            </w:r>
            <w:r w:rsidRPr="002E3728">
              <w:rPr>
                <w:lang w:val="bg-BG"/>
              </w:rPr>
              <w:t xml:space="preserve"> 12в от настоящия регламент в контекста на междинния преглед.</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 xml:space="preserve">Чрез дерогация от член 63, </w:t>
            </w:r>
            <w:r w:rsidRPr="002E3728">
              <w:rPr>
                <w:lang w:val="bg-BG"/>
              </w:rPr>
              <w:lastRenderedPageBreak/>
              <w:t xml:space="preserve">параграф 2 и член 105, параграф 2 от 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15%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w:t>
            </w:r>
            <w:r w:rsidRPr="002E3728">
              <w:rPr>
                <w:b/>
                <w:i/>
                <w:lang w:val="bg-BG"/>
              </w:rPr>
              <w:t>, 12в</w:t>
            </w:r>
            <w:r w:rsidRPr="002E3728">
              <w:rPr>
                <w:lang w:val="bg-BG"/>
              </w:rPr>
              <w:t xml:space="preserve"> и 12г от настоящия регламент в контекста на междинния преглед.</w:t>
            </w:r>
          </w:p>
        </w:tc>
        <w:tc>
          <w:tcPr>
            <w:tcW w:w="4876" w:type="dxa"/>
            <w:hideMark/>
          </w:tcPr>
          <w:p w:rsidR="005B0D0B" w:rsidRPr="002E3728" w:rsidRDefault="005B0D0B" w:rsidP="00C41D59">
            <w:pPr>
              <w:pStyle w:val="Normal6"/>
              <w:rPr>
                <w:szCs w:val="24"/>
                <w:lang w:val="bg-BG"/>
              </w:rPr>
            </w:pPr>
            <w:r w:rsidRPr="002E3728">
              <w:rPr>
                <w:lang w:val="bg-BG"/>
              </w:rPr>
              <w:lastRenderedPageBreak/>
              <w:t>(2)</w:t>
            </w:r>
            <w:r w:rsidRPr="002E3728">
              <w:rPr>
                <w:lang w:val="bg-BG"/>
              </w:rPr>
              <w:tab/>
              <w:t xml:space="preserve">Чрез дерогация от член 63, </w:t>
            </w:r>
            <w:r w:rsidRPr="002E3728">
              <w:rPr>
                <w:lang w:val="bg-BG"/>
              </w:rPr>
              <w:lastRenderedPageBreak/>
              <w:t xml:space="preserve">параграф 2 и член 105, параграф 2 от Регламент (ЕС) 2021/1060 срокът за допустимостта на разходите, за възстановяването на разходите, както и за отмяната на бюджетни задължения е 31 декември 2030 г. Тази дерогация се прилага само когато са одобрени изменения на програмата за преразпределяне на най-малко </w:t>
            </w:r>
            <w:r w:rsidRPr="002E3728">
              <w:rPr>
                <w:b/>
                <w:i/>
                <w:lang w:val="bg-BG"/>
              </w:rPr>
              <w:t>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 и 12г от настоящия регламент в контекста на междинния преглед.</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w:t>
      </w:r>
      <w:r w:rsidR="00482FDA" w:rsidRPr="002E3728">
        <w:t xml:space="preserve"> </w:t>
      </w:r>
      <w:r w:rsidRPr="002E3728">
        <w:t>а – параграф 2</w:t>
      </w:r>
      <w:r w:rsidR="00482FDA" w:rsidRPr="002E3728">
        <w:t xml:space="preserve"> </w:t>
      </w:r>
      <w:r w:rsidRPr="002E3728">
        <w:t>a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(2а)</w:t>
            </w:r>
            <w:r w:rsidRPr="002E3728">
              <w:rPr>
                <w:b/>
                <w:i/>
                <w:lang w:val="bg-BG"/>
              </w:rPr>
              <w:tab/>
              <w:t>Когато изменят програмите, за специалните приоритети държавите членки включват, с непосредственото и пълноценно участие на социалните партньори, задължения за бенефициерите да спазват условията на труд и заетост съгласно приложимото право на Съюза и националното право, конвенциите на МОТ и колективните трудови договори.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lastRenderedPageBreak/>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w:t>
      </w:r>
      <w:r w:rsidR="00482FDA" w:rsidRPr="002E3728">
        <w:t xml:space="preserve"> </w:t>
      </w:r>
      <w:r w:rsidRPr="002E3728">
        <w:t>а – параграф 2</w:t>
      </w:r>
      <w:r w:rsidR="00482FDA" w:rsidRPr="002E3728">
        <w:t xml:space="preserve"> </w:t>
      </w:r>
      <w:r w:rsidRPr="002E3728">
        <w:t>a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(2а)</w:t>
            </w:r>
            <w:r w:rsidRPr="002E3728">
              <w:rPr>
                <w:b/>
                <w:i/>
                <w:lang w:val="bg-BG"/>
              </w:rPr>
              <w:tab/>
              <w:t>При препрограмирането държавите членки работят в тясно сътрудничество със социалните партньори и спазват условията на труд и заетост съгласно приложимите конвенции на МОТ, правото на Съюза или националното право и колективните трудови договори.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3</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w:t>
            </w:r>
            <w:r w:rsidRPr="002E3728">
              <w:rPr>
                <w:lang w:val="bg-BG"/>
              </w:rPr>
              <w:lastRenderedPageBreak/>
              <w:t xml:space="preserve">програми, обхващащи цялата територия на посочената държава членка. </w:t>
            </w:r>
            <w:r w:rsidRPr="002E3728">
              <w:rPr>
                <w:b/>
                <w:i/>
                <w:lang w:val="bg-BG"/>
              </w:rPr>
              <w:t>Дерогацията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 12в и 12г от настоящия регламент в контекста на междинния преглед, при условие че изменението на програмата е представено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lastRenderedPageBreak/>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w:t>
            </w:r>
            <w:r w:rsidRPr="002E3728">
              <w:rPr>
                <w:lang w:val="bg-BG"/>
              </w:rPr>
              <w:lastRenderedPageBreak/>
              <w:t>програми, обхващащи цялата територия на посочената държава членка.</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3</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w:t>
            </w:r>
            <w:r w:rsidRPr="002E3728">
              <w:rPr>
                <w:b/>
                <w:i/>
                <w:lang w:val="bg-BG"/>
              </w:rPr>
              <w:t xml:space="preserve">Дерогацията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 12в и 12г от настоящия регламент в </w:t>
            </w:r>
            <w:r w:rsidRPr="002E3728">
              <w:rPr>
                <w:b/>
                <w:i/>
                <w:lang w:val="bg-BG"/>
              </w:rPr>
              <w:lastRenderedPageBreak/>
              <w:t>контекста на междинния преглед, при условие че изменението на програмата е представено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lastRenderedPageBreak/>
              <w:t>(3)</w:t>
            </w:r>
            <w:r w:rsidRPr="002E3728">
              <w:rPr>
                <w:lang w:val="bg-BG"/>
              </w:rPr>
              <w:tab/>
              <w:t>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3</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w:t>
            </w:r>
            <w:r w:rsidRPr="002E3728">
              <w:rPr>
                <w:b/>
                <w:i/>
                <w:lang w:val="bg-BG"/>
              </w:rPr>
              <w:t>или</w:t>
            </w:r>
            <w:r w:rsidRPr="002E3728">
              <w:rPr>
                <w:lang w:val="bg-BG"/>
              </w:rPr>
              <w:t xml:space="preserve"> Украйна, е в размер на </w:t>
            </w:r>
            <w:r w:rsidRPr="002E3728">
              <w:rPr>
                <w:b/>
                <w:i/>
                <w:lang w:val="bg-BG"/>
              </w:rPr>
              <w:t>100</w:t>
            </w:r>
            <w:r w:rsidRPr="002E3728">
              <w:rPr>
                <w:lang w:val="bg-BG"/>
              </w:rPr>
              <w:t xml:space="preserve">%.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w:t>
            </w:r>
            <w:r w:rsidRPr="002E3728">
              <w:rPr>
                <w:b/>
                <w:i/>
                <w:lang w:val="bg-BG"/>
              </w:rPr>
              <w:t>15%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 12в и 12г от настоящия регламент в контекста на междинния преглед, при условие че изменението на програмата е представено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t>(3)</w:t>
            </w:r>
            <w:r w:rsidRPr="002E3728">
              <w:rPr>
                <w:lang w:val="bg-BG"/>
              </w:rPr>
              <w:tab/>
              <w:t>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w:t>
            </w:r>
            <w:r w:rsidRPr="002E3728">
              <w:rPr>
                <w:b/>
                <w:i/>
                <w:lang w:val="bg-BG"/>
              </w:rPr>
              <w:t>,</w:t>
            </w:r>
            <w:r w:rsidRPr="002E3728">
              <w:rPr>
                <w:lang w:val="bg-BG"/>
              </w:rPr>
              <w:t xml:space="preserve"> Украйна</w:t>
            </w:r>
            <w:r w:rsidRPr="002E3728">
              <w:rPr>
                <w:b/>
                <w:i/>
                <w:lang w:val="bg-BG"/>
              </w:rPr>
              <w:t xml:space="preserve"> и регионите, значително засегнати от неконвенционални или хибридни рискове</w:t>
            </w:r>
            <w:r w:rsidRPr="002E3728">
              <w:rPr>
                <w:lang w:val="bg-BG"/>
              </w:rPr>
              <w:t xml:space="preserve">, е в размер на </w:t>
            </w:r>
            <w:r w:rsidRPr="002E3728">
              <w:rPr>
                <w:b/>
                <w:i/>
                <w:lang w:val="bg-BG"/>
              </w:rPr>
              <w:t>95</w:t>
            </w:r>
            <w:r w:rsidRPr="002E3728">
              <w:rPr>
                <w:lang w:val="bg-BG"/>
              </w:rPr>
              <w:t xml:space="preserve">%.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w:t>
            </w:r>
            <w:r w:rsidRPr="002E3728">
              <w:rPr>
                <w:b/>
                <w:i/>
                <w:lang w:val="bg-BG"/>
              </w:rPr>
              <w:t>12,5%</w:t>
            </w:r>
            <w:r w:rsidRPr="002E3728">
              <w:rPr>
                <w:lang w:val="bg-BG"/>
              </w:rPr>
              <w:t xml:space="preserve"> от финансовите ресурси по програмата към един или повече специални приоритети, установени в съответствие с членове 12а, 12в и 12г от настоящия регламент в контекста на междинния преглед, при условие че изменението на програмата е представено до 31 декември 2025 г.</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 xml:space="preserve">(Настоящото изменение се прилага в целия текст. Приемането му ще наложи съответните промени в целия </w:t>
            </w:r>
            <w:r w:rsidRPr="002E3728">
              <w:rPr>
                <w:i/>
                <w:lang w:val="bg-BG"/>
              </w:rPr>
              <w:lastRenderedPageBreak/>
              <w:t>текст.)</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3</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w:t>
            </w:r>
            <w:r w:rsidRPr="002E3728">
              <w:rPr>
                <w:b/>
                <w:i/>
                <w:lang w:val="bg-BG"/>
              </w:rPr>
              <w:t>, 12в</w:t>
            </w:r>
            <w:r w:rsidRPr="002E3728">
              <w:rPr>
                <w:lang w:val="bg-BG"/>
              </w:rPr>
              <w:t xml:space="preserve"> и 12г от настоящия регламент в контекста на междинния преглед, при условие че изменението на програмата е представено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t>(3)</w:t>
            </w:r>
            <w:r w:rsidRPr="002E3728">
              <w:rPr>
                <w:lang w:val="bg-BG"/>
              </w:rPr>
              <w:tab/>
              <w:t>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 и 12г от настоящия регламент в контекста на междинния преглед, при условие че изменението на програмата е представено до 31 декември 2025 г.</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lastRenderedPageBreak/>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3</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w:t>
            </w:r>
            <w:r w:rsidRPr="002E3728">
              <w:rPr>
                <w:b/>
                <w:i/>
                <w:lang w:val="bg-BG"/>
              </w:rPr>
              <w:t>15</w:t>
            </w:r>
            <w:r w:rsidRPr="002E3728">
              <w:rPr>
                <w:lang w:val="bg-BG"/>
              </w:rPr>
              <w:t xml:space="preserve">% от финансовите ресурси по </w:t>
            </w:r>
            <w:r w:rsidRPr="002E3728">
              <w:rPr>
                <w:b/>
                <w:i/>
                <w:lang w:val="bg-BG"/>
              </w:rPr>
              <w:t>програмата</w:t>
            </w:r>
            <w:r w:rsidRPr="002E3728">
              <w:rPr>
                <w:lang w:val="bg-BG"/>
              </w:rPr>
              <w:t xml:space="preserve"> към един или повече специални приоритети, установени в съответствие с членове 12а, 12в и 12г от настоящия регламент в контекста на междинния преглед, при условие че изменението на програмата е представено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w:t>
            </w:r>
            <w:r w:rsidRPr="002E3728">
              <w:rPr>
                <w:b/>
                <w:i/>
                <w:lang w:val="bg-BG"/>
              </w:rPr>
              <w:t>10</w:t>
            </w:r>
            <w:r w:rsidRPr="002E3728">
              <w:rPr>
                <w:lang w:val="bg-BG"/>
              </w:rPr>
              <w:t xml:space="preserve">% от финансовите ресурси по </w:t>
            </w:r>
            <w:r w:rsidRPr="002E3728">
              <w:rPr>
                <w:b/>
                <w:i/>
                <w:lang w:val="bg-BG"/>
              </w:rPr>
              <w:t>фонда</w:t>
            </w:r>
            <w:r w:rsidRPr="002E3728">
              <w:rPr>
                <w:lang w:val="bg-BG"/>
              </w:rPr>
              <w:t xml:space="preserve"> към един или повече специални приоритети, установени в съответствие с членове 12а, 12в и 12г от настоящия регламент в контекста на междинния преглед, при условие че изменението на програмата е представено до 31 декември 2025 г.</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4D0A66" w:rsidRPr="002E3728">
        <w:t>Елена Донацан</w:t>
      </w:r>
      <w:r w:rsidRPr="002E3728">
        <w:t xml:space="preserve">, </w:t>
      </w:r>
      <w:r w:rsidR="004D0A66" w:rsidRPr="002E3728">
        <w:t>Франческо Торсели</w:t>
      </w:r>
      <w:r w:rsidRPr="002E3728">
        <w:t xml:space="preserve">, </w:t>
      </w:r>
      <w:r w:rsidR="004D0A66" w:rsidRPr="002E3728">
        <w:t>Мариятереза Вивалдини</w:t>
      </w:r>
      <w:r w:rsidRPr="002E3728">
        <w:t>, Киара Джема</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3</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w:t>
            </w:r>
            <w:r w:rsidRPr="002E3728">
              <w:rPr>
                <w:lang w:val="bg-BG"/>
              </w:rPr>
              <w:lastRenderedPageBreak/>
              <w:t>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w:t>
            </w:r>
            <w:r w:rsidRPr="002E3728">
              <w:rPr>
                <w:b/>
                <w:i/>
                <w:lang w:val="bg-BG"/>
              </w:rPr>
              <w:t xml:space="preserve">, </w:t>
            </w:r>
            <w:r w:rsidRPr="002E3728">
              <w:rPr>
                <w:lang w:val="bg-BG"/>
              </w:rPr>
              <w:t xml:space="preserve">12в </w:t>
            </w:r>
            <w:r w:rsidRPr="002E3728">
              <w:rPr>
                <w:b/>
                <w:bCs/>
                <w:i/>
                <w:iCs/>
                <w:lang w:val="bg-BG"/>
              </w:rPr>
              <w:t>и</w:t>
            </w:r>
            <w:r w:rsidRPr="002E3728">
              <w:rPr>
                <w:lang w:val="bg-BG"/>
              </w:rPr>
              <w:t xml:space="preserve"> </w:t>
            </w:r>
            <w:r w:rsidRPr="002E3728">
              <w:rPr>
                <w:b/>
                <w:i/>
                <w:lang w:val="bg-BG"/>
              </w:rPr>
              <w:t>12г</w:t>
            </w:r>
            <w:r w:rsidRPr="002E3728">
              <w:rPr>
                <w:lang w:val="bg-BG"/>
              </w:rPr>
              <w:t xml:space="preserve"> от настоящия регламент в контекста на междинния преглед, при условие че изменението на програмата е представено до 31 декември 2025 г.</w:t>
            </w:r>
          </w:p>
        </w:tc>
        <w:tc>
          <w:tcPr>
            <w:tcW w:w="4876" w:type="dxa"/>
            <w:hideMark/>
          </w:tcPr>
          <w:p w:rsidR="005B0D0B" w:rsidRPr="002E3728" w:rsidRDefault="005B0D0B" w:rsidP="00C41D59">
            <w:pPr>
              <w:pStyle w:val="Normal6"/>
              <w:rPr>
                <w:szCs w:val="24"/>
                <w:lang w:val="bg-BG"/>
              </w:rPr>
            </w:pPr>
            <w:r w:rsidRPr="002E3728">
              <w:rPr>
                <w:lang w:val="bg-BG"/>
              </w:rPr>
              <w:lastRenderedPageBreak/>
              <w:t>(3)</w:t>
            </w:r>
            <w:r w:rsidRPr="002E3728">
              <w:rPr>
                <w:lang w:val="bg-BG"/>
              </w:rPr>
              <w:tab/>
              <w:t xml:space="preserve">Чрез дерогация от член 112 от Регламент (ЕС) 2021/1060 максималната ставка на съфинансиране за приоритети в програми, обхващащи един или повече </w:t>
            </w:r>
            <w:r w:rsidRPr="002E3728">
              <w:rPr>
                <w:lang w:val="bg-BG"/>
              </w:rPr>
              <w:lastRenderedPageBreak/>
              <w:t xml:space="preserve">региони от ниво 2 по NUTS, граничещи с Русия, Беларус или Украйна, е в размер на 100%. По-високата ставка на съфинансиране не се прилага за програми, обхващащи цялата територия на съответната държава членка, освен ако тези региони не са включени само в програми, обхващащи цялата територия на посочената държава членка. Дерогацията се прилага само когато са одобрени преразпределения на най-малко 15% от финансовите ресурси по програмата към един или повече специални приоритети, установени в съответствие с членове 12а </w:t>
            </w:r>
            <w:r w:rsidRPr="002E3728">
              <w:rPr>
                <w:b/>
                <w:bCs/>
                <w:i/>
                <w:iCs/>
                <w:lang w:val="bg-BG"/>
              </w:rPr>
              <w:t>и</w:t>
            </w:r>
            <w:r w:rsidRPr="002E3728">
              <w:rPr>
                <w:lang w:val="bg-BG"/>
              </w:rPr>
              <w:t xml:space="preserve"> 12в от настоящия регламент в контекста на междинния преглед, при условие че изменението на програмата е представено до 31 декември 2025 г.</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69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4</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(4)</w:t>
            </w:r>
            <w:r w:rsidRPr="002E3728">
              <w:rPr>
                <w:lang w:val="bg-BG"/>
              </w:rPr>
              <w:tab/>
            </w:r>
            <w:r w:rsidRPr="002E3728">
              <w:rPr>
                <w:b/>
                <w:i/>
                <w:lang w:val="bg-BG"/>
              </w:rPr>
              <w:t>В срок от 2 месеца от влизането в сила на Регламент (ЕС) XXXX/XXXX [настоящия регламент]</w:t>
            </w:r>
            <w:r w:rsidRPr="002E3728">
              <w:rPr>
                <w:lang w:val="bg-BG"/>
              </w:rPr>
              <w:t xml:space="preserve">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членове 12а, 12в и 12г. Прилагат се </w:t>
            </w:r>
            <w:r w:rsidRPr="002E3728">
              <w:rPr>
                <w:lang w:val="bg-BG"/>
              </w:rPr>
              <w:lastRenderedPageBreak/>
              <w:t>сроковете, определени в член 18, параграф 3 от Регламент (ЕС) 2021/1060.</w:t>
            </w:r>
          </w:p>
        </w:tc>
        <w:tc>
          <w:tcPr>
            <w:tcW w:w="4876" w:type="dxa"/>
            <w:hideMark/>
          </w:tcPr>
          <w:p w:rsidR="005B0D0B" w:rsidRPr="002E3728" w:rsidRDefault="005B0D0B" w:rsidP="00C41D59">
            <w:pPr>
              <w:pStyle w:val="Normal6"/>
              <w:rPr>
                <w:szCs w:val="24"/>
                <w:lang w:val="bg-BG"/>
              </w:rPr>
            </w:pPr>
            <w:r w:rsidRPr="002E3728">
              <w:rPr>
                <w:lang w:val="bg-BG"/>
              </w:rPr>
              <w:lastRenderedPageBreak/>
              <w:t>(4)</w:t>
            </w:r>
            <w:r w:rsidRPr="002E3728">
              <w:rPr>
                <w:lang w:val="bg-BG"/>
              </w:rPr>
              <w:tab/>
            </w:r>
            <w:r w:rsidRPr="002E3728">
              <w:rPr>
                <w:b/>
                <w:bCs/>
                <w:i/>
                <w:iCs/>
                <w:lang w:val="bg-BG"/>
              </w:rPr>
              <w:t>До</w:t>
            </w:r>
            <w:r w:rsidRPr="002E3728">
              <w:rPr>
                <w:lang w:val="bg-BG"/>
              </w:rPr>
              <w:t xml:space="preserve"> </w:t>
            </w:r>
            <w:r w:rsidRPr="002E3728">
              <w:rPr>
                <w:b/>
                <w:i/>
                <w:lang w:val="bg-BG"/>
              </w:rPr>
              <w:t>31 декември 2025 г.</w:t>
            </w:r>
            <w:r w:rsidRPr="002E3728">
              <w:rPr>
                <w:lang w:val="bg-BG"/>
              </w:rPr>
              <w:t xml:space="preserve">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членове 12а, 12в и 12г. Прилагат се сроковете, определени в член 18, параграф 3 от </w:t>
            </w:r>
            <w:r w:rsidRPr="002E3728">
              <w:rPr>
                <w:lang w:val="bg-BG"/>
              </w:rPr>
              <w:lastRenderedPageBreak/>
              <w:t>Регламент (ЕС) 2021/1060.</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4D0A66" w:rsidRPr="002E3728">
        <w:t>Елена Донацан</w:t>
      </w:r>
      <w:r w:rsidRPr="002E3728">
        <w:t xml:space="preserve">, </w:t>
      </w:r>
      <w:r w:rsidR="004D0A66" w:rsidRPr="002E3728">
        <w:t>Франческо Торсели</w:t>
      </w:r>
      <w:r w:rsidRPr="002E3728">
        <w:t xml:space="preserve">, </w:t>
      </w:r>
      <w:r w:rsidR="004D0A66" w:rsidRPr="002E3728">
        <w:t>Мариятереза Вивалдини</w:t>
      </w:r>
      <w:r w:rsidRPr="002E3728">
        <w:t>, Киара Джема</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4</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(4)</w:t>
            </w:r>
            <w:r w:rsidRPr="002E3728">
              <w:rPr>
                <w:lang w:val="bg-BG"/>
              </w:rPr>
              <w:tab/>
              <w:t>В срок от 2 месеца от влизането в сила на Регламент (ЕС) XXXX/XXXX [настоящия регламент]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членове 12а</w:t>
            </w:r>
            <w:r w:rsidRPr="002E3728">
              <w:rPr>
                <w:b/>
                <w:i/>
                <w:lang w:val="bg-BG"/>
              </w:rPr>
              <w:t xml:space="preserve">, </w:t>
            </w:r>
            <w:r w:rsidRPr="002E3728">
              <w:rPr>
                <w:lang w:val="bg-BG"/>
              </w:rPr>
              <w:t xml:space="preserve">12в </w:t>
            </w:r>
            <w:r w:rsidRPr="002E3728">
              <w:rPr>
                <w:b/>
                <w:bCs/>
                <w:i/>
                <w:iCs/>
                <w:lang w:val="bg-BG"/>
              </w:rPr>
              <w:t>и</w:t>
            </w:r>
            <w:r w:rsidRPr="002E3728">
              <w:rPr>
                <w:lang w:val="bg-BG"/>
              </w:rPr>
              <w:t xml:space="preserve"> </w:t>
            </w:r>
            <w:r w:rsidRPr="002E3728">
              <w:rPr>
                <w:b/>
                <w:i/>
                <w:lang w:val="bg-BG"/>
              </w:rPr>
              <w:t>12г</w:t>
            </w:r>
            <w:r w:rsidRPr="002E3728">
              <w:rPr>
                <w:lang w:val="bg-BG"/>
              </w:rPr>
              <w:t>. Прилагат се сроковете, определени в член 18, параграф 3 от Регламент (ЕС) 2021/1060.</w:t>
            </w:r>
          </w:p>
        </w:tc>
        <w:tc>
          <w:tcPr>
            <w:tcW w:w="4876" w:type="dxa"/>
            <w:hideMark/>
          </w:tcPr>
          <w:p w:rsidR="005B0D0B" w:rsidRPr="002E3728" w:rsidRDefault="005B0D0B" w:rsidP="00C41D59">
            <w:pPr>
              <w:pStyle w:val="Normal6"/>
              <w:rPr>
                <w:szCs w:val="24"/>
                <w:lang w:val="bg-BG"/>
              </w:rPr>
            </w:pPr>
            <w:r w:rsidRPr="002E3728">
              <w:rPr>
                <w:lang w:val="bg-BG"/>
              </w:rPr>
              <w:t>(4)</w:t>
            </w:r>
            <w:r w:rsidRPr="002E3728">
              <w:rPr>
                <w:lang w:val="bg-BG"/>
              </w:rPr>
              <w:tab/>
              <w:t xml:space="preserve">В срок от 2 месеца от влизането в сила на Регламент (ЕС) XXXX/XXXX [настоящия регламент]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членове 12а </w:t>
            </w:r>
            <w:r w:rsidRPr="002E3728">
              <w:rPr>
                <w:b/>
                <w:bCs/>
                <w:i/>
                <w:iCs/>
                <w:lang w:val="bg-BG"/>
              </w:rPr>
              <w:t>и</w:t>
            </w:r>
            <w:r w:rsidRPr="002E3728">
              <w:rPr>
                <w:lang w:val="bg-BG"/>
              </w:rPr>
              <w:t xml:space="preserve"> 12в. Прилагат се сроковете, определени в член 18, параграф 3 от Регламент (ЕС) 2021/1060.</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4</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(4)</w:t>
            </w:r>
            <w:r w:rsidRPr="002E3728">
              <w:rPr>
                <w:lang w:val="bg-BG"/>
              </w:rPr>
              <w:tab/>
              <w:t>В срок от 2 месеца от влизането в сила на Регламент (ЕС) XXXX/XXXX [настоящия регламент]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членове 12а</w:t>
            </w:r>
            <w:r w:rsidRPr="002E3728">
              <w:rPr>
                <w:b/>
                <w:i/>
                <w:lang w:val="bg-BG"/>
              </w:rPr>
              <w:t>, 12в</w:t>
            </w:r>
            <w:r w:rsidRPr="002E3728">
              <w:rPr>
                <w:lang w:val="bg-BG"/>
              </w:rPr>
              <w:t xml:space="preserve"> и 12г. Прилагат се сроковете, определени в член 18, параграф 3 от Регламент (ЕС) 2021/1060.</w:t>
            </w:r>
          </w:p>
        </w:tc>
        <w:tc>
          <w:tcPr>
            <w:tcW w:w="4876" w:type="dxa"/>
            <w:hideMark/>
          </w:tcPr>
          <w:p w:rsidR="005B0D0B" w:rsidRPr="002E3728" w:rsidRDefault="005B0D0B" w:rsidP="00C41D59">
            <w:pPr>
              <w:pStyle w:val="Normal6"/>
              <w:rPr>
                <w:szCs w:val="24"/>
                <w:lang w:val="bg-BG"/>
              </w:rPr>
            </w:pPr>
            <w:r w:rsidRPr="002E3728">
              <w:rPr>
                <w:lang w:val="bg-BG"/>
              </w:rPr>
              <w:t>(4)</w:t>
            </w:r>
            <w:r w:rsidRPr="002E3728">
              <w:rPr>
                <w:lang w:val="bg-BG"/>
              </w:rPr>
              <w:tab/>
              <w:t>В срок от 2 месеца от влизането в сила на Регламент (ЕС) XXXX/XXXX [настоящия регламент]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членове 12а и 12г. Прилагат се сроковете, определени в член 18, параграф 3 от Регламент (ЕС) 2021/1060.</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подточка 1</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5 a – параграф 4</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(4)</w:t>
            </w:r>
            <w:r w:rsidRPr="002E3728">
              <w:rPr>
                <w:lang w:val="bg-BG"/>
              </w:rPr>
              <w:tab/>
              <w:t xml:space="preserve">В срок от 2 месеца от влизането в сила на Регламент (ЕС) XXXX/XXXX [настоящия регламент]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w:t>
            </w:r>
            <w:r w:rsidRPr="002E3728">
              <w:rPr>
                <w:lang w:val="bg-BG"/>
              </w:rPr>
              <w:lastRenderedPageBreak/>
              <w:t>членове 12а</w:t>
            </w:r>
            <w:r w:rsidRPr="002E3728">
              <w:rPr>
                <w:b/>
                <w:i/>
                <w:lang w:val="bg-BG"/>
              </w:rPr>
              <w:t>, 12в</w:t>
            </w:r>
            <w:r w:rsidRPr="002E3728">
              <w:rPr>
                <w:lang w:val="bg-BG"/>
              </w:rPr>
              <w:t xml:space="preserve"> и 12г. Прилагат се сроковете, определени в член 18, параграф 3 от Регламент (ЕС) 2021/1060.</w:t>
            </w:r>
          </w:p>
        </w:tc>
        <w:tc>
          <w:tcPr>
            <w:tcW w:w="4876" w:type="dxa"/>
            <w:hideMark/>
          </w:tcPr>
          <w:p w:rsidR="005B0D0B" w:rsidRPr="002E3728" w:rsidRDefault="005B0D0B" w:rsidP="00C41D59">
            <w:pPr>
              <w:pStyle w:val="Normal6"/>
              <w:rPr>
                <w:szCs w:val="24"/>
                <w:lang w:val="bg-BG"/>
              </w:rPr>
            </w:pPr>
            <w:r w:rsidRPr="002E3728">
              <w:rPr>
                <w:lang w:val="bg-BG"/>
              </w:rPr>
              <w:lastRenderedPageBreak/>
              <w:t>(4)</w:t>
            </w:r>
            <w:r w:rsidRPr="002E3728">
              <w:rPr>
                <w:lang w:val="bg-BG"/>
              </w:rPr>
              <w:tab/>
              <w:t xml:space="preserve">В срок от 2 месеца от влизането в сила на Регламент (ЕС) XXXX/XXXX [настоящия регламент] в допълнение към оценката за всяка програма относно резултата от междинния преглед, която трябва да бъде представена в съответствие с член 18, параграф 2 от Регламент (ЕС) 2021/1060, държавите членки могат да представят отново допълнителна оценка, както и свързани искания за изменения на програмата, като вземат предвид възможността за специални приоритети в съответствие с </w:t>
            </w:r>
            <w:r w:rsidRPr="002E3728">
              <w:rPr>
                <w:lang w:val="bg-BG"/>
              </w:rPr>
              <w:lastRenderedPageBreak/>
              <w:t>членове 12а и 12г. Прилагат се сроковете, определени в член 18, параграф 3 от Регламент (ЕС) 2021/1060.</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2</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w:t>
      </w:r>
      <w:r w:rsidR="00C41D59" w:rsidRPr="002E3728">
        <w:t xml:space="preserve"> </w:t>
      </w:r>
      <w:r w:rsidRPr="002E3728">
        <w:t>а – първа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В допълнение към предварителното финансиране за програмата, предвидено в член 90, параграфи 1 и 2 от Регламент (ЕС) 2021/1060, когато Комисията одобри изменение на програма, включващо един или повече приоритети, насочени към операции, подкрепяни от ЕСФ+, допринасящи за целите на STEP по член 2 от Регламент (ЕС) 2024/795, тя осигурява извънредно предварително финансиране в размер на 30% въз основа на заделените средства за тези приоритети, при условие че изменението на програмата бъде представено на Комисията до 31 декември 2025 г. Това извънредно предварително финансиране се изплаща в срок от 60 дни от приемането на решението на Комисията за одобрение на изменението на програмата.</w:t>
            </w:r>
            <w:r w:rsidRPr="002E3728">
              <w:rPr>
                <w:b/>
                <w:i/>
                <w:lang w:val="bg-BG"/>
              </w:rPr>
              <w:t>;</w:t>
            </w:r>
          </w:p>
        </w:tc>
        <w:tc>
          <w:tcPr>
            <w:tcW w:w="4876" w:type="dxa"/>
            <w:hideMark/>
          </w:tcPr>
          <w:p w:rsidR="005B0D0B" w:rsidRPr="002E3728" w:rsidRDefault="005B0D0B" w:rsidP="00C41D59">
            <w:pPr>
              <w:pStyle w:val="Normal6"/>
              <w:rPr>
                <w:szCs w:val="24"/>
                <w:lang w:val="bg-BG"/>
              </w:rPr>
            </w:pPr>
            <w:r w:rsidRPr="002E3728">
              <w:rPr>
                <w:lang w:val="bg-BG"/>
              </w:rPr>
              <w:t xml:space="preserve">В допълнение към предварителното финансиране за програмата, предвидено в член 90, параграфи 1 и 2 от Регламент (ЕС) 2021/1060, когато Комисията одобри изменение на програма, включващо един или повече приоритети, насочени към операции, подкрепяни от ЕСФ+, допринасящи за целите на STEP по член 2 от Регламент (ЕС) 2024/795, тя осигурява извънредно предварително финансиране в размер на 30% въз основа на заделените средства за тези приоритети, при условие че </w:t>
            </w:r>
            <w:r w:rsidRPr="002E3728">
              <w:rPr>
                <w:b/>
                <w:i/>
                <w:lang w:val="bg-BG"/>
              </w:rPr>
              <w:t>по-малките бенефициери има приоритетен достъп до финансиране и че</w:t>
            </w:r>
            <w:r w:rsidRPr="002E3728">
              <w:rPr>
                <w:lang w:val="bg-BG"/>
              </w:rPr>
              <w:t xml:space="preserve"> изменението на програмата бъде представено на Комисията до 31 декември 2025 г. Това извънредно предварително финансиране се изплаща в срок от 60 дни от приемането на решението на Комисията за одобрение на изменението на програмата.</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 – уводна част</w:t>
      </w:r>
      <w:r w:rsidRPr="002E37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(3)</w:t>
            </w:r>
            <w:r w:rsidRPr="002E3728">
              <w:rPr>
                <w:lang w:val="bg-BG"/>
              </w:rPr>
              <w:tab/>
            </w:r>
            <w:r w:rsidRPr="002E3728">
              <w:rPr>
                <w:b/>
                <w:i/>
                <w:lang w:val="bg-BG"/>
              </w:rPr>
              <w:t>вмъкват</w:t>
            </w:r>
            <w:r w:rsidRPr="002E3728">
              <w:rPr>
                <w:lang w:val="bg-BG"/>
              </w:rPr>
              <w:t xml:space="preserve"> се </w:t>
            </w:r>
            <w:r w:rsidRPr="002E3728">
              <w:rPr>
                <w:b/>
                <w:i/>
                <w:lang w:val="bg-BG"/>
              </w:rPr>
              <w:t>следните членове 12в и</w:t>
            </w:r>
            <w:r w:rsidRPr="002E3728">
              <w:rPr>
                <w:lang w:val="bg-BG"/>
              </w:rPr>
              <w:t> 12г:</w:t>
            </w:r>
          </w:p>
        </w:tc>
        <w:tc>
          <w:tcPr>
            <w:tcW w:w="4876" w:type="dxa"/>
            <w:hideMark/>
          </w:tcPr>
          <w:p w:rsidR="005B0D0B" w:rsidRPr="002E3728" w:rsidRDefault="005B0D0B" w:rsidP="00C41D59">
            <w:pPr>
              <w:pStyle w:val="Normal6"/>
              <w:rPr>
                <w:szCs w:val="24"/>
                <w:lang w:val="bg-BG"/>
              </w:rPr>
            </w:pPr>
            <w:r w:rsidRPr="002E3728">
              <w:rPr>
                <w:lang w:val="bg-BG"/>
              </w:rPr>
              <w:t>(3)</w:t>
            </w:r>
            <w:r w:rsidRPr="002E3728">
              <w:rPr>
                <w:lang w:val="bg-BG"/>
              </w:rPr>
              <w:tab/>
            </w:r>
            <w:r w:rsidRPr="002E3728">
              <w:rPr>
                <w:b/>
                <w:i/>
                <w:lang w:val="bg-BG"/>
              </w:rPr>
              <w:t>вмъква</w:t>
            </w:r>
            <w:r w:rsidRPr="002E3728">
              <w:rPr>
                <w:lang w:val="bg-BG"/>
              </w:rPr>
              <w:t xml:space="preserve"> се </w:t>
            </w:r>
            <w:r w:rsidRPr="002E3728">
              <w:rPr>
                <w:b/>
                <w:i/>
                <w:lang w:val="bg-BG"/>
              </w:rPr>
              <w:t>следният член</w:t>
            </w:r>
            <w:r w:rsidRPr="002E3728">
              <w:rPr>
                <w:lang w:val="bg-BG"/>
              </w:rPr>
              <w:t> 12г:</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 a (нова)</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д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(3a)</w:t>
            </w:r>
            <w:r w:rsidRPr="002E3728">
              <w:rPr>
                <w:b/>
                <w:i/>
                <w:lang w:val="bg-BG"/>
              </w:rPr>
              <w:tab/>
              <w:t>Насоки и административно опростяване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Не по-късно от 60 дни след влизането в сила на настоящия регламент Комисията публикува набор от подробни насоки, придружени от система за въпроси и отговори, насочен към изясняване на техническите, правните и процедурните последици от мерките, приети в членове 5а, 12в и 12г. Тези насоки ще направляват управляващите органи в еднообразното прилагане на регламента, като се намалява административната тежест и се улеснява ранното преодоляване на евентуални съмнения.</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Вили Сьовндал</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{Greens/EFA}</w:t>
      </w:r>
      <w:r w:rsidRPr="002E3728">
        <w:t>от името на групата Verts/ALE</w:t>
      </w:r>
      <w:r w:rsidRPr="002E3728">
        <w:rPr>
          <w:rStyle w:val="HideTWBExt"/>
        </w:rPr>
        <w:t>&lt;/AuNomDe&gt;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Член 12 в</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(Заличаване на член 12в)</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Бранислав Ондруш</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Член 12 в</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Член 12 в</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lastRenderedPageBreak/>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79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заглавие</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Подкрепа за отбранителната промишленост</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w:t>
      </w:r>
      <w:r w:rsidR="00C41D59" w:rsidRPr="002E3728">
        <w:t xml:space="preserve"> </w:t>
      </w:r>
      <w:r w:rsidRPr="002E3728">
        <w:t>в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(1)</w:t>
            </w:r>
            <w:r w:rsidRPr="002E3728">
              <w:rPr>
                <w:b/>
                <w:i/>
                <w:lang w:val="bg-BG"/>
              </w:rPr>
              <w:tab/>
              <w:t>Държавите членки могат да решат да включат в програмата подкрепа за развитието на умения в областта на отбранителната промишленост по специални приоритети. Такива специални приоритети могат да подкрепят всяка от специфичните цели, определени в член 4, параграф 1, букви а)—л).</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Бранислав Ондруш</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lastRenderedPageBreak/>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w:t>
      </w:r>
      <w:r w:rsidR="00C41D59" w:rsidRPr="002E3728">
        <w:t xml:space="preserve"> </w:t>
      </w:r>
      <w:r w:rsidRPr="002E3728">
        <w:t>в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(1)</w:t>
            </w:r>
            <w:r w:rsidRPr="002E3728">
              <w:rPr>
                <w:b/>
                <w:i/>
                <w:lang w:val="bg-BG"/>
              </w:rPr>
              <w:tab/>
              <w:t>Държавите членки могат да решат да включат в програмата подкрепа за развитието на умения в областта на отбранителната промишленост по специални приоритети. Такива специални приоритети могат да подкрепят всяка от специфичните цели, определени в член 4, параграф 1, букви а)—л).</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w:t>
      </w:r>
      <w:r w:rsidR="00C41D59" w:rsidRPr="002E3728">
        <w:t xml:space="preserve"> </w:t>
      </w:r>
      <w:r w:rsidRPr="002E3728">
        <w:t>в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(1)</w:t>
            </w:r>
            <w:r w:rsidRPr="002E3728">
              <w:rPr>
                <w:b/>
                <w:i/>
                <w:lang w:val="bg-BG"/>
              </w:rPr>
              <w:tab/>
              <w:t>Държавите членки могат да решат да включат в програмата подкрепа за развитието на умения в областта на отбранителната промишленост по специални приоритети. Такива специални приоритети могат да подкрепят всяка от специфичните цели, определени в член 4, параграф 1, букви а)—л).</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lastRenderedPageBreak/>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w:t>
      </w:r>
      <w:r w:rsidR="00C41D59" w:rsidRPr="002E3728">
        <w:t xml:space="preserve"> </w:t>
      </w:r>
      <w:r w:rsidRPr="002E3728">
        <w:t>в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 xml:space="preserve">Държавите членки могат да решат да включат в програмата подкрепа за развитието на умения в областта на отбранителната промишленост по специални приоритети. Такива специални приоритети </w:t>
            </w:r>
            <w:r w:rsidRPr="002E3728">
              <w:rPr>
                <w:b/>
                <w:i/>
                <w:lang w:val="bg-BG"/>
              </w:rPr>
              <w:t>могат да</w:t>
            </w:r>
            <w:r w:rsidRPr="002E3728">
              <w:rPr>
                <w:lang w:val="bg-BG"/>
              </w:rPr>
              <w:t xml:space="preserve"> подкрепят всяка от специфичните цели, определени в член 4, параграф 1</w:t>
            </w:r>
            <w:r w:rsidRPr="002E3728">
              <w:rPr>
                <w:b/>
                <w:i/>
                <w:lang w:val="bg-BG"/>
              </w:rPr>
              <w:t>, букви а)—л)</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 xml:space="preserve">Държавите членки могат да решат да включат в програмата подкрепа за развитието на умения </w:t>
            </w:r>
            <w:r w:rsidRPr="002E3728">
              <w:rPr>
                <w:b/>
                <w:i/>
                <w:lang w:val="bg-BG"/>
              </w:rPr>
              <w:t>и за обучение, както и за научноизследователска и развойна дейност и иновации</w:t>
            </w:r>
            <w:r w:rsidRPr="002E3728">
              <w:rPr>
                <w:lang w:val="bg-BG"/>
              </w:rPr>
              <w:t xml:space="preserve"> в областта на отбранителната промишленост по специални приоритети. Такива специални приоритети подкрепят всяка от специфичните цели, определени в член 4, параграф 1.</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 xml:space="preserve">Държавите членки могат да решат да включат в програмата подкрепа за развитието на умения в областта на отбранителната промишленост по специални приоритети. Такива специални приоритети </w:t>
            </w:r>
            <w:r w:rsidRPr="002E3728">
              <w:rPr>
                <w:b/>
                <w:i/>
                <w:lang w:val="bg-BG"/>
              </w:rPr>
              <w:t xml:space="preserve">могат да </w:t>
            </w:r>
            <w:r w:rsidRPr="002E3728">
              <w:rPr>
                <w:lang w:val="bg-BG"/>
              </w:rPr>
              <w:t>подкрепят</w:t>
            </w:r>
            <w:r w:rsidRPr="002E3728">
              <w:rPr>
                <w:b/>
                <w:i/>
                <w:lang w:val="bg-BG"/>
              </w:rPr>
              <w:t xml:space="preserve"> всяка</w:t>
            </w:r>
            <w:r w:rsidRPr="002E3728">
              <w:rPr>
                <w:lang w:val="bg-BG"/>
              </w:rPr>
              <w:t xml:space="preserve"> от специфичните цели, определени в член 4, параграф 1, букви а)—л).</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Държавите членки могат да решат да включат в програмата подкрепа за развитието на умения в областта на отбранителната промишленост по специални приоритети. Такива специални приоритети подкрепят</w:t>
            </w:r>
            <w:r w:rsidRPr="002E3728">
              <w:rPr>
                <w:b/>
                <w:i/>
                <w:lang w:val="bg-BG"/>
              </w:rPr>
              <w:t xml:space="preserve"> една или повече</w:t>
            </w:r>
            <w:r w:rsidRPr="002E3728">
              <w:rPr>
                <w:lang w:val="bg-BG"/>
              </w:rPr>
              <w:t xml:space="preserve"> от специфичните цели, определени в член 4, параграф 1, букви а)—л).</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Грегори Алион</w:t>
      </w:r>
      <w:r w:rsidRPr="002E3728">
        <w:t xml:space="preserve">, </w:t>
      </w:r>
      <w:r w:rsidR="00D04981" w:rsidRPr="002E3728">
        <w:t>Брижит Ван Ден Берг</w:t>
      </w:r>
      <w:r w:rsidRPr="002E3728">
        <w:t>, Мари-Пиер Ведрен</w:t>
      </w:r>
      <w:r w:rsidRPr="002E3728">
        <w:rPr>
          <w:rStyle w:val="HideTWBExt"/>
          <w:b w:val="0"/>
        </w:rPr>
        <w:t>&lt;/Members&gt;</w:t>
      </w:r>
    </w:p>
    <w:p w:rsidR="005B0D0B" w:rsidRPr="002E3728" w:rsidRDefault="005B0D0B" w:rsidP="005B0D0B">
      <w:r w:rsidRPr="002E3728">
        <w:rPr>
          <w:rStyle w:val="HideTWBExt"/>
        </w:rPr>
        <w:lastRenderedPageBreak/>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1 a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(1a)</w:t>
            </w:r>
            <w:r w:rsidRPr="002E3728">
              <w:rPr>
                <w:b/>
                <w:i/>
                <w:lang w:val="bg-BG"/>
              </w:rPr>
              <w:tab/>
              <w:t xml:space="preserve">Ефективните политики в областта на уменията и обучението, включени за критичните функции, както се подчертава в съюза на уменията, са от съществено значение, за да се гарантира, че работниците разполагат с подходящите компетентности и могат да бъдат мобилизирани в целия ЕС по време на криза. В тази връзка държавите членки насърчават обучението, уменията, гражданската ангажираност и развитието на мобилността, обхващащи отбраната </w:t>
            </w:r>
            <w:r w:rsidR="00602DDF">
              <w:rPr>
                <w:b/>
                <w:i/>
                <w:lang w:val="bg-BG"/>
              </w:rPr>
              <w:t xml:space="preserve">и гражданската защита, за да </w:t>
            </w:r>
            <w:r w:rsidRPr="002E3728">
              <w:rPr>
                <w:b/>
                <w:i/>
                <w:lang w:val="bg-BG"/>
              </w:rPr>
              <w:t>бъдат предоставени на професионалните работници и доброволците необходимият експертен опит и подходящите компетентности във всички държави членки и сектори.</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1 a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(1a)</w:t>
            </w:r>
            <w:r w:rsidRPr="002E3728">
              <w:rPr>
                <w:b/>
                <w:i/>
                <w:lang w:val="bg-BG"/>
              </w:rPr>
              <w:tab/>
              <w:t xml:space="preserve">За целите на настоящия член „инвестиции в отбранителната промишленост“ означава инвестиции, които имат доказан принос за стратегическата отбранителна способност на Съюза и които са в </w:t>
            </w:r>
            <w:r w:rsidRPr="002E3728">
              <w:rPr>
                <w:b/>
                <w:i/>
                <w:lang w:val="bg-BG"/>
              </w:rPr>
              <w:lastRenderedPageBreak/>
              <w:t>съответствие със Стратегията за европейската отбранителна промишленост (СЕОП). Доколкото е възможно, тези инвестиции са съответствие с принципа за ненанасяне на значителни вреди и са насочени в полза на бенефициери, намиращи се в държави членки или в асоциирани държави, в съответствие с правната рамка на ЕС.</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pPr>
        <w:pStyle w:val="CrossRef"/>
        <w:rPr>
          <w:lang w:val="bg-BG"/>
        </w:rPr>
      </w:pPr>
      <w:r w:rsidRPr="002E3728">
        <w:rPr>
          <w:lang w:val="bg-BG"/>
        </w:rPr>
        <w:t>(Вж. формулировката в точки 12 – 19 от становище 02/2025 на ЕСП)</w:t>
      </w:r>
    </w:p>
    <w:p w:rsidR="005B0D0B" w:rsidRPr="002E3728" w:rsidRDefault="005B0D0B" w:rsidP="005B0D0B">
      <w:pPr>
        <w:pStyle w:val="JustificationTitle"/>
        <w:rPr>
          <w:noProof w:val="0"/>
          <w:lang w:val="bg-BG"/>
        </w:rPr>
      </w:pPr>
      <w:r w:rsidRPr="002E3728">
        <w:rPr>
          <w:rStyle w:val="HideTWBExt"/>
          <w:i w:val="0"/>
          <w:lang w:val="bg-BG"/>
        </w:rPr>
        <w:t>&lt;TitreJust&gt;</w:t>
      </w:r>
      <w:r w:rsidRPr="002E3728">
        <w:rPr>
          <w:lang w:val="bg-BG"/>
        </w:rPr>
        <w:t>Обосновка</w:t>
      </w:r>
      <w:r w:rsidRPr="002E3728">
        <w:rPr>
          <w:rStyle w:val="HideTWBExt"/>
          <w:i w:val="0"/>
          <w:lang w:val="bg-BG"/>
        </w:rPr>
        <w:t>&lt;/TitreJust&gt;</w:t>
      </w:r>
    </w:p>
    <w:p w:rsidR="005B0D0B" w:rsidRPr="002E3728" w:rsidRDefault="005B0D0B" w:rsidP="005B0D0B">
      <w:pPr>
        <w:pStyle w:val="Normal12Italic"/>
        <w:rPr>
          <w:noProof w:val="0"/>
          <w:lang w:val="bg-BG"/>
        </w:rPr>
      </w:pPr>
      <w:r w:rsidRPr="002E3728">
        <w:rPr>
          <w:lang w:val="bg-BG"/>
        </w:rPr>
        <w:t>Макар и да имат положителни икономически ефекти, инвестициите в областта на отбраната трябва да бъдат приведени в съответствие с европейските стратегии и да зачитат принципа за ненанасяне на значителни вреди и критериите за териториално сближаване.</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2021/1060</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1 б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(1б)</w:t>
            </w:r>
            <w:r w:rsidRPr="002E3728">
              <w:rPr>
                <w:b/>
                <w:i/>
                <w:lang w:val="bg-BG"/>
              </w:rPr>
              <w:tab/>
              <w:t xml:space="preserve">Да се позволи на държавите членки чрез стимули и целенасочено обучение да разпределят ресурси за привличане на млади таланти и предприемачи в регионите, особено в селските райони. Това може да включва създаване на специализирани центрове за обучение, насочени към стратегически сектори, като например отбраната, киберустойчивостта или </w:t>
            </w:r>
            <w:r w:rsidRPr="002E3728">
              <w:rPr>
                <w:b/>
                <w:i/>
                <w:lang w:val="bg-BG"/>
              </w:rPr>
              <w:lastRenderedPageBreak/>
              <w:t>технологиите с двойна употреба, като се подкрепя развитието на уменията, съгласувано със стратегическата автономност на Съюза, и същевременно се укрепва регионалното сближаване.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(2)</w:t>
            </w:r>
            <w:r w:rsidRPr="002E3728">
              <w:rPr>
                <w:b/>
                <w:i/>
                <w:lang w:val="bg-BG"/>
              </w:rPr>
              <w:tab/>
              <w:t>Ресурсите, разпределени за специалния приоритет, както е посочено в параграф 1, не се вземат предвид при осигуряване на съответствие с изискванията за тематична концентрация, както е посочено в член 7 от настоящия регламент.</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89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(2)</w:t>
            </w:r>
            <w:r w:rsidRPr="002E3728">
              <w:rPr>
                <w:b/>
                <w:i/>
                <w:lang w:val="bg-BG"/>
              </w:rPr>
              <w:tab/>
              <w:t>Ресурсите, разпределени за специалния приоритет, както е посочено в параграф 1, не се вземат предвид при осигуряване на съответствие с изискванията за тематична концентрация, както е посочено в член 7 от настоящия регламент.</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Бранислав Ондруш</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w:t>
      </w:r>
      <w:r w:rsidR="00C41D59" w:rsidRPr="002E3728">
        <w:t xml:space="preserve"> </w:t>
      </w:r>
      <w:r w:rsidRPr="002E3728">
        <w:t>в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(2)</w:t>
            </w:r>
            <w:r w:rsidRPr="002E3728">
              <w:rPr>
                <w:b/>
                <w:i/>
                <w:lang w:val="bg-BG"/>
              </w:rPr>
              <w:tab/>
              <w:t>Ресурсите, разпределени за специалния приоритет, както е посочено в параграф 1, не се вземат предвид при осигуряване на съответствие с изискванията за тематична концентрация, както е посочено в член 7 от настоящия регламент.</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2</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(2)</w:t>
            </w:r>
            <w:r w:rsidRPr="002E3728">
              <w:rPr>
                <w:lang w:val="bg-BG"/>
              </w:rPr>
              <w:tab/>
              <w:t xml:space="preserve">Ресурсите, разпределени за специалния приоритет, както е посочено в параграф 1, </w:t>
            </w:r>
            <w:r w:rsidRPr="002E3728">
              <w:rPr>
                <w:b/>
                <w:i/>
                <w:lang w:val="bg-BG"/>
              </w:rPr>
              <w:t>не</w:t>
            </w:r>
            <w:r w:rsidRPr="002E3728">
              <w:rPr>
                <w:lang w:val="bg-BG"/>
              </w:rPr>
              <w:t xml:space="preserve"> се вземат предвид при осигуряване на съответствие с изискванията за тематична концентрация, както е посочено в член 7 от настоящия регламент.</w:t>
            </w:r>
          </w:p>
        </w:tc>
        <w:tc>
          <w:tcPr>
            <w:tcW w:w="4876" w:type="dxa"/>
            <w:hideMark/>
          </w:tcPr>
          <w:p w:rsidR="005B0D0B" w:rsidRPr="002E3728" w:rsidRDefault="005B0D0B" w:rsidP="00C41D59">
            <w:pPr>
              <w:pStyle w:val="Normal6"/>
              <w:rPr>
                <w:szCs w:val="24"/>
                <w:lang w:val="bg-BG"/>
              </w:rPr>
            </w:pPr>
            <w:r w:rsidRPr="002E3728">
              <w:rPr>
                <w:lang w:val="bg-BG"/>
              </w:rPr>
              <w:t>(2)</w:t>
            </w:r>
            <w:r w:rsidRPr="002E3728">
              <w:rPr>
                <w:lang w:val="bg-BG"/>
              </w:rPr>
              <w:tab/>
              <w:t>Ресурсите, разпределени за специалния приоритет, както е посочено в параграф 1, се вземат предвид при осигуряване на съответствие с изискванията за тематична концентрация, както е посочено в член 7 от настоящия регламент.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3</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(3)</w:t>
            </w:r>
            <w:r w:rsidRPr="002E3728">
              <w:rPr>
                <w:b/>
                <w:i/>
                <w:lang w:val="bg-BG"/>
              </w:rPr>
              <w:tab/>
              <w:t>В допълнение към годишното предварително финансиране за програмата, предвидено в член 90, параграфи 1 и 2 от Регламент (ЕС) 2021/1060, Комисията изплаща 30% от разпределените средства за специалните приоритети, посочени в параграф 1 от настоящия член, както е посочено в решението за одобряване на изменението на програмата, под формата на извънредно еднократно предварително финансиране.</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Това извънредно предварително финансиране се изплаща в срок от 60 дни от приемането на решението на Комисията за одобрение на изменението на програмата в съответствие с член 24 от Регламент (ЕС) 2021/1060.</w:t>
            </w:r>
          </w:p>
        </w:tc>
        <w:tc>
          <w:tcPr>
            <w:tcW w:w="4876" w:type="dxa"/>
          </w:tcPr>
          <w:p w:rsidR="005B0D0B" w:rsidRPr="002E3728" w:rsidRDefault="005B0D0B" w:rsidP="00C41D59">
            <w:pPr>
              <w:pStyle w:val="Normal6"/>
              <w:rPr>
                <w:szCs w:val="24"/>
                <w:lang w:val="bg-BG"/>
              </w:rPr>
            </w:pP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lastRenderedPageBreak/>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3 – първа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допълнение към годишното предварително финансиране за програмата, предвидено в член 90, параграфи 1 и 2 от Регламент (ЕС) 2021/1060, Комисията изплаща 30% от разпределените средства за специалните приоритети, посочени в параграф 1 от настоящия член, както е посочено в решението за одобряване на изменението на програмата, под формата на извънредно еднократно предварително финансиране.</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3 – втора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Това извънредно предварително финансиране се изплаща в срок от 60 дни от приемането на решението на Комисията за одобрение на изменението на програмата в съответствие с член 24 от Регламент (ЕС) 2021/1060.</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4</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(4)</w:t>
            </w:r>
            <w:r w:rsidRPr="002E3728">
              <w:rPr>
                <w:b/>
                <w:i/>
                <w:lang w:val="bg-BG"/>
              </w:rPr>
              <w:tab/>
              <w:t>В съответствие с член 90, параграф 5 от Регламент (ЕС) 2021/1060 сумата, изплатена като извънредно предварително финансиране, се уравнява в сметките на Комисията най-късно с последната счетоводна година.</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съответствие с член 90, параграф 6 от Регламент (ЕС) 2021/1060 всички лихви, получени от извънредното предварително финансиране, се използват за съответната програма по същия начин като средствата от ЕСФ+ и се включват в отчетите за последната счетоводна година.</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съответствие с член 97, параграф 1 от Регламент (ЕС) 2021/1060 извънредното предварително финансиране не се спира.</w:t>
            </w:r>
          </w:p>
        </w:tc>
        <w:tc>
          <w:tcPr>
            <w:tcW w:w="4876" w:type="dxa"/>
          </w:tcPr>
          <w:p w:rsidR="005B0D0B" w:rsidRPr="002E3728" w:rsidRDefault="005B0D0B" w:rsidP="00C41D59">
            <w:pPr>
              <w:pStyle w:val="Normal6"/>
              <w:rPr>
                <w:szCs w:val="24"/>
                <w:lang w:val="bg-BG"/>
              </w:rPr>
            </w:pP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съответствие с член 105, параграф 1 от Регламент (ЕС) 2021/1060 предварителното финансиране, което се взема предвид с цел изчисляване на сумите, за които ще бъдат отменени бюджетни задължения, включва изплатеното извънредно предварително финансиране.</w:t>
            </w:r>
          </w:p>
        </w:tc>
        <w:tc>
          <w:tcPr>
            <w:tcW w:w="4876" w:type="dxa"/>
          </w:tcPr>
          <w:p w:rsidR="005B0D0B" w:rsidRPr="002E3728" w:rsidRDefault="005B0D0B" w:rsidP="00C41D59">
            <w:pPr>
              <w:pStyle w:val="Normal6"/>
              <w:rPr>
                <w:szCs w:val="24"/>
                <w:lang w:val="bg-BG"/>
              </w:rPr>
            </w:pP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lastRenderedPageBreak/>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4 – първа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съответствие с член 90, параграф 5 от Регламент (ЕС) 2021/1060 сумата, изплатена като извънредно предварително финансиране, се уравнява в сметките на Комисията най-късно с последната счетоводна година.</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4 – втора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съответствие с член 90, параграф 6 от Регламент (ЕС) 2021/1060 всички лихви, получени от извънредното предварително финансиране, се използват за съответната програма по същия начин като средствата от ЕСФ+ и се включват в отчетите за последната счетоводна година.</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w:t>
      </w:r>
      <w:r w:rsidRPr="002E3728">
        <w:lastRenderedPageBreak/>
        <w:t xml:space="preserve">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4 – трета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съответствие с член 97, параграф 1 от Регламент (ЕС) 2021/1060 извънредното предварително финансиране не се спира.</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99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4 – четвърта алинея</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В съответствие с член 105, параграф 1 от Регламент (ЕС) 2021/1060 предварителното финансиране, което се взема предвид с цел изчисляване на сумите, за които ще бъдат отменени бюджетни задължения, включва изплатеното извънредно предварително финансиране.</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645DA" w:rsidRPr="002E3728">
        <w:t>Мария Захария</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lastRenderedPageBreak/>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5</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(5)</w:t>
            </w:r>
            <w:r w:rsidRPr="002E3728">
              <w:rPr>
                <w:b/>
                <w:i/>
                <w:lang w:val="bg-BG"/>
              </w:rPr>
              <w:tab/>
              <w:t>Чрез дерогация от член 112 от Регламент (ЕС) 2021/1060 максималната ставка на съфинансиране за специалните приоритети, посочени в параграф 1 от настоящия член, е 100%.</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w:t>
      </w:r>
      <w:r w:rsidR="00C41D59" w:rsidRPr="002E3728">
        <w:t xml:space="preserve"> </w:t>
      </w:r>
      <w:r w:rsidRPr="002E3728">
        <w:t>в – параграф 5</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(5)</w:t>
            </w:r>
            <w:r w:rsidRPr="002E3728">
              <w:rPr>
                <w:b/>
                <w:i/>
                <w:lang w:val="bg-BG"/>
              </w:rPr>
              <w:tab/>
              <w:t>Чрез дерогация от член 112 от Регламент (ЕС) 2021/1060 максималната ставка на съфинансиране за специалните приоритети, посочени в параграф 1 от настоящия член, е 100%.</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5</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(5)</w:t>
            </w:r>
            <w:r w:rsidRPr="002E3728">
              <w:rPr>
                <w:lang w:val="bg-BG"/>
              </w:rPr>
              <w:tab/>
              <w:t xml:space="preserve">Чрез дерогация от член 112 от </w:t>
            </w:r>
            <w:r w:rsidRPr="002E3728">
              <w:rPr>
                <w:lang w:val="bg-BG"/>
              </w:rPr>
              <w:lastRenderedPageBreak/>
              <w:t xml:space="preserve">Регламент (ЕС) 2021/1060 максималната ставка на съфинансиране за </w:t>
            </w:r>
            <w:r w:rsidRPr="002E3728">
              <w:rPr>
                <w:b/>
                <w:i/>
                <w:lang w:val="bg-BG"/>
              </w:rPr>
              <w:t>специалните</w:t>
            </w:r>
            <w:r w:rsidRPr="002E3728">
              <w:rPr>
                <w:lang w:val="bg-BG"/>
              </w:rPr>
              <w:t xml:space="preserve"> приоритети</w:t>
            </w:r>
            <w:r w:rsidRPr="002E3728">
              <w:rPr>
                <w:b/>
                <w:i/>
                <w:lang w:val="bg-BG"/>
              </w:rPr>
              <w:t>, посочени в параграф 1 от настоящия член,</w:t>
            </w:r>
            <w:r w:rsidRPr="002E3728">
              <w:rPr>
                <w:lang w:val="bg-BG"/>
              </w:rPr>
              <w:t xml:space="preserve"> </w:t>
            </w:r>
            <w:r w:rsidRPr="002E3728">
              <w:rPr>
                <w:b/>
                <w:i/>
                <w:lang w:val="bg-BG"/>
              </w:rPr>
              <w:t>е 100%</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lastRenderedPageBreak/>
              <w:t>(5)</w:t>
            </w:r>
            <w:r w:rsidRPr="002E3728">
              <w:rPr>
                <w:lang w:val="bg-BG"/>
              </w:rPr>
              <w:tab/>
              <w:t xml:space="preserve">Чрез дерогация от член 112 от </w:t>
            </w:r>
            <w:r w:rsidRPr="002E3728">
              <w:rPr>
                <w:lang w:val="bg-BG"/>
              </w:rPr>
              <w:lastRenderedPageBreak/>
              <w:t xml:space="preserve">Регламент (ЕС) 2021/1060 максималната ставка на съфинансиране за </w:t>
            </w:r>
            <w:r w:rsidRPr="002E3728">
              <w:rPr>
                <w:b/>
                <w:i/>
                <w:lang w:val="bg-BG"/>
              </w:rPr>
              <w:t>конкретните</w:t>
            </w:r>
            <w:r w:rsidRPr="002E3728">
              <w:rPr>
                <w:lang w:val="bg-BG"/>
              </w:rPr>
              <w:t xml:space="preserve"> приоритети </w:t>
            </w:r>
            <w:r w:rsidRPr="002E3728">
              <w:rPr>
                <w:b/>
                <w:i/>
                <w:lang w:val="bg-BG"/>
              </w:rPr>
              <w:t xml:space="preserve">в областта на отбраната може да бъде определена на 95% само когато е доказана необходимостта от общо финансиране, без да се възпрепятства пропорционалната вноска на държавите членки. </w:t>
            </w:r>
            <w:r w:rsidRPr="002E3728">
              <w:rPr>
                <w:b/>
                <w:bCs/>
                <w:i/>
                <w:iCs/>
                <w:lang w:val="bg-BG"/>
              </w:rPr>
              <w:t>Тази</w:t>
            </w:r>
            <w:r w:rsidRPr="002E3728">
              <w:rPr>
                <w:b/>
                <w:i/>
                <w:lang w:val="bg-BG"/>
              </w:rPr>
              <w:t xml:space="preserve"> дерогация</w:t>
            </w:r>
            <w:r w:rsidRPr="002E3728">
              <w:rPr>
                <w:lang w:val="bg-BG"/>
              </w:rPr>
              <w:t xml:space="preserve"> </w:t>
            </w:r>
            <w:r w:rsidRPr="002E3728">
              <w:rPr>
                <w:b/>
                <w:i/>
                <w:lang w:val="bg-BG"/>
              </w:rPr>
              <w:t>зависи от предварителното одобрение, чрез сравнителен анализ, на справедливостта и устойчивостта на инвестициите, за да се избегнат дисбалансите, които биха могли да облагодетелстват непропорционално по-развитите региони</w:t>
            </w:r>
            <w:r w:rsidRPr="002E3728">
              <w:rPr>
                <w:lang w:val="bg-BG"/>
              </w:rPr>
              <w:t>.</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(Това изменение се прилага към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pPr>
        <w:pStyle w:val="CrossRef"/>
        <w:rPr>
          <w:lang w:val="bg-BG"/>
        </w:rPr>
      </w:pPr>
      <w:r w:rsidRPr="002E3728">
        <w:rPr>
          <w:lang w:val="bg-BG"/>
        </w:rPr>
        <w:t>(Вж. точки 32 – 35 от становище 02/2025 на ЕСП.)</w:t>
      </w:r>
    </w:p>
    <w:p w:rsidR="005B0D0B" w:rsidRPr="002E3728" w:rsidRDefault="005B0D0B" w:rsidP="005B0D0B">
      <w:pPr>
        <w:pStyle w:val="JustificationTitle"/>
        <w:rPr>
          <w:noProof w:val="0"/>
          <w:lang w:val="bg-BG"/>
        </w:rPr>
      </w:pPr>
      <w:r w:rsidRPr="002E3728">
        <w:rPr>
          <w:rStyle w:val="HideTWBExt"/>
          <w:i w:val="0"/>
          <w:lang w:val="bg-BG"/>
        </w:rPr>
        <w:t>&lt;TitreJust&gt;</w:t>
      </w:r>
      <w:r w:rsidRPr="002E3728">
        <w:rPr>
          <w:lang w:val="bg-BG"/>
        </w:rPr>
        <w:t>Обосновка</w:t>
      </w:r>
      <w:r w:rsidRPr="002E3728">
        <w:rPr>
          <w:rStyle w:val="HideTWBExt"/>
          <w:i w:val="0"/>
          <w:lang w:val="bg-BG"/>
        </w:rPr>
        <w:t>&lt;/TitreJust&gt;</w:t>
      </w:r>
    </w:p>
    <w:p w:rsidR="005B0D0B" w:rsidRPr="002E3728" w:rsidRDefault="005B0D0B" w:rsidP="005B0D0B">
      <w:pPr>
        <w:pStyle w:val="Normal12Italic"/>
        <w:rPr>
          <w:noProof w:val="0"/>
          <w:lang w:val="bg-BG"/>
        </w:rPr>
      </w:pPr>
      <w:r w:rsidRPr="002E3728">
        <w:rPr>
          <w:lang w:val="bg-BG"/>
        </w:rPr>
        <w:t>Безразборното прилагане на цялостно финансиране (100% съфинансиране) може да облагодетелства по-развитите региони и да отслаби ефекта на ливъридж от съфинансирането. Ето защо се препоръчва тази мярка да бъде строго обвързана с условия.</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5</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(5)</w:t>
            </w:r>
            <w:r w:rsidRPr="002E3728">
              <w:rPr>
                <w:lang w:val="bg-BG"/>
              </w:rPr>
              <w:tab/>
              <w:t>Чрез дерогация от член 112 от Регламент (ЕС) 2021/1060 максималната ставка на съфинансиране за специалните приоритети, посочени в параграф 1 от настоящия член, е 100%.</w:t>
            </w:r>
          </w:p>
        </w:tc>
        <w:tc>
          <w:tcPr>
            <w:tcW w:w="4876" w:type="dxa"/>
            <w:hideMark/>
          </w:tcPr>
          <w:p w:rsidR="005B0D0B" w:rsidRPr="002E3728" w:rsidRDefault="005B0D0B" w:rsidP="00C41D59">
            <w:pPr>
              <w:pStyle w:val="Normal6"/>
              <w:rPr>
                <w:szCs w:val="24"/>
                <w:lang w:val="bg-BG"/>
              </w:rPr>
            </w:pPr>
            <w:r w:rsidRPr="002E3728">
              <w:rPr>
                <w:lang w:val="bg-BG"/>
              </w:rPr>
              <w:t>(5)</w:t>
            </w:r>
            <w:r w:rsidRPr="002E3728">
              <w:rPr>
                <w:lang w:val="bg-BG"/>
              </w:rPr>
              <w:tab/>
              <w:t>Чрез дерогация от член 112 от Регламент (ЕС) 2021/1060 максималната ставка на съфинансиране за специалните приоритети, посочени в параграф 1 от настоящия член, е 100%</w:t>
            </w:r>
            <w:r w:rsidRPr="002E3728">
              <w:rPr>
                <w:b/>
                <w:i/>
                <w:lang w:val="bg-BG"/>
              </w:rPr>
              <w:t xml:space="preserve">, като същевременно се запазва </w:t>
            </w:r>
            <w:r w:rsidRPr="002E3728">
              <w:rPr>
                <w:b/>
                <w:i/>
                <w:lang w:val="bg-BG"/>
              </w:rPr>
              <w:lastRenderedPageBreak/>
              <w:t>настоящото разграничение между категориите региони</w:t>
            </w:r>
            <w:r w:rsidRPr="002E3728">
              <w:rPr>
                <w:lang w:val="bg-BG"/>
              </w:rPr>
              <w:t>.</w:t>
            </w:r>
          </w:p>
        </w:tc>
      </w:tr>
    </w:tbl>
    <w:p w:rsidR="005B0D0B" w:rsidRPr="002E3728" w:rsidRDefault="005B0D0B" w:rsidP="005B0D0B">
      <w:pPr>
        <w:pStyle w:val="Olang"/>
        <w:rPr>
          <w:lang w:val="bg-BG"/>
        </w:rPr>
      </w:pPr>
      <w:r w:rsidRPr="002E3728">
        <w:rPr>
          <w:noProof w:val="0"/>
          <w:lang w:val="bg-BG"/>
        </w:rPr>
        <w:lastRenderedPageBreak/>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104</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в – параграф 5 a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(5a)</w:t>
            </w:r>
            <w:r w:rsidRPr="002E3728">
              <w:rPr>
                <w:b/>
                <w:i/>
                <w:lang w:val="bg-BG"/>
              </w:rPr>
              <w:tab/>
              <w:t>Държавите членки насърчават сътрудничеството между организациите, работещи по създаване и усвояване на умения, като например професионални, академични и научноизследователски институции и отрасли, за да се насърчават иновациите и да се подкрепят програмите за научни изследвания в рамките на Европейския съюз. Това включва мерки за подпомагане на развитието на нови технологии и на закрилата на правата върху интелектуалната собственост.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105</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4D0A66" w:rsidRPr="002E3728">
        <w:t>Елена Донацан</w:t>
      </w:r>
      <w:r w:rsidRPr="002E3728">
        <w:t xml:space="preserve">, </w:t>
      </w:r>
      <w:r w:rsidR="004D0A66" w:rsidRPr="002E3728">
        <w:t>Франческо Торсели</w:t>
      </w:r>
      <w:r w:rsidRPr="002E3728">
        <w:t xml:space="preserve">, </w:t>
      </w:r>
      <w:r w:rsidR="004D0A66" w:rsidRPr="002E3728">
        <w:t>Мариятереза Вивалдини</w:t>
      </w:r>
      <w:r w:rsidRPr="002E3728">
        <w:t>, Киара Джема</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b/>
                <w:i/>
                <w:lang w:val="bg-BG"/>
              </w:rPr>
              <w:t>Член 12 г</w:t>
            </w:r>
          </w:p>
        </w:tc>
        <w:tc>
          <w:tcPr>
            <w:tcW w:w="4876" w:type="dxa"/>
            <w:hideMark/>
          </w:tcPr>
          <w:p w:rsidR="005B0D0B" w:rsidRPr="002E3728" w:rsidRDefault="005B0D0B" w:rsidP="00C41D59">
            <w:pPr>
              <w:pStyle w:val="Normal6"/>
              <w:rPr>
                <w:szCs w:val="24"/>
                <w:lang w:val="bg-BG"/>
              </w:rPr>
            </w:pPr>
            <w:r w:rsidRPr="002E3728">
              <w:rPr>
                <w:b/>
                <w:i/>
                <w:lang w:val="bg-BG"/>
              </w:rPr>
              <w:t>заличава се</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pPr>
        <w:pStyle w:val="JustificationTitle"/>
        <w:rPr>
          <w:noProof w:val="0"/>
          <w:lang w:val="bg-BG"/>
        </w:rPr>
      </w:pPr>
      <w:r w:rsidRPr="002E3728">
        <w:rPr>
          <w:rStyle w:val="HideTWBExt"/>
          <w:i w:val="0"/>
          <w:lang w:val="bg-BG"/>
        </w:rPr>
        <w:lastRenderedPageBreak/>
        <w:t>&lt;TitreJust&gt;</w:t>
      </w:r>
      <w:r w:rsidRPr="002E3728">
        <w:rPr>
          <w:lang w:val="bg-BG"/>
        </w:rPr>
        <w:t>Обосновка</w:t>
      </w:r>
      <w:r w:rsidRPr="002E3728">
        <w:rPr>
          <w:rStyle w:val="HideTWBExt"/>
          <w:i w:val="0"/>
          <w:lang w:val="bg-BG"/>
        </w:rPr>
        <w:t>&lt;/TitreJust&gt;</w:t>
      </w:r>
    </w:p>
    <w:p w:rsidR="005B0D0B" w:rsidRPr="002E3728" w:rsidRDefault="005B0D0B" w:rsidP="005B0D0B">
      <w:pPr>
        <w:pStyle w:val="Normal12Italic"/>
        <w:rPr>
          <w:noProof w:val="0"/>
          <w:lang w:val="bg-BG"/>
        </w:rPr>
      </w:pPr>
      <w:r w:rsidRPr="002E3728">
        <w:rPr>
          <w:lang w:val="bg-BG"/>
        </w:rPr>
        <w:t>Конкурентоспособността и амбициозните цели в областта на климата не могат да вървят ръка за ръка. Европейският социален фонд плюс следва да се съсредоточи върху социални цели и не би следвало да служи като още един инструмент за изпълнение на екологосъобразните политики.</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106</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Маравиляс Абадия Ховер</w:t>
      </w:r>
      <w:r w:rsidRPr="002E3728">
        <w:t xml:space="preserve">, </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Държавите членки могат да решат да програмират подкрепа, насочена към придобиване на умения, повишаване на квалификацията и преквалификация</w:t>
            </w:r>
            <w:r w:rsidRPr="002E3728">
              <w:rPr>
                <w:b/>
                <w:bCs/>
                <w:i/>
                <w:iCs/>
                <w:lang w:val="bg-BG"/>
              </w:rPr>
              <w:t xml:space="preserve"> с оглед на адаптиране</w:t>
            </w:r>
            <w:r w:rsidRPr="002E3728">
              <w:rPr>
                <w:lang w:val="bg-BG"/>
              </w:rPr>
              <w:t xml:space="preserve"> на работниците, предприятията </w:t>
            </w:r>
            <w:r w:rsidRPr="002E3728">
              <w:rPr>
                <w:b/>
                <w:bCs/>
                <w:i/>
                <w:iCs/>
                <w:lang w:val="bg-BG"/>
              </w:rPr>
              <w:t>и предприемачите</w:t>
            </w:r>
            <w:r w:rsidRPr="002E3728">
              <w:rPr>
                <w:lang w:val="bg-BG"/>
              </w:rPr>
              <w:t xml:space="preserve"> към </w:t>
            </w:r>
            <w:r w:rsidRPr="002E3728">
              <w:rPr>
                <w:b/>
                <w:bCs/>
                <w:i/>
                <w:iCs/>
                <w:lang w:val="bg-BG"/>
              </w:rPr>
              <w:t>промените, допринасящи за</w:t>
            </w:r>
            <w:r w:rsidRPr="002E3728">
              <w:rPr>
                <w:lang w:val="bg-BG"/>
              </w:rPr>
              <w:t xml:space="preserve"> декарбонизацията на производствения капацитет </w:t>
            </w:r>
            <w:r w:rsidRPr="002E3728">
              <w:rPr>
                <w:b/>
                <w:bCs/>
                <w:i/>
                <w:iCs/>
                <w:lang w:val="bg-BG"/>
              </w:rPr>
              <w:t>съгласно</w:t>
            </w:r>
            <w:r w:rsidRPr="002E3728">
              <w:rPr>
                <w:lang w:val="bg-BG"/>
              </w:rPr>
              <w:t xml:space="preserve"> </w:t>
            </w:r>
            <w:r w:rsidRPr="002E3728">
              <w:rPr>
                <w:b/>
                <w:bCs/>
                <w:i/>
                <w:iCs/>
                <w:lang w:val="bg-BG"/>
              </w:rPr>
              <w:t>специални приоритети</w:t>
            </w:r>
            <w:r w:rsidRPr="002E3728">
              <w:rPr>
                <w:lang w:val="bg-BG"/>
              </w:rPr>
              <w:t>.</w:t>
            </w:r>
            <w:r w:rsidRPr="002E3728">
              <w:rPr>
                <w:b/>
                <w:i/>
                <w:lang w:val="bg-BG"/>
              </w:rPr>
              <w:t xml:space="preserve"> </w:t>
            </w:r>
            <w:r w:rsidRPr="002E3728">
              <w:rPr>
                <w:b/>
                <w:bCs/>
                <w:i/>
                <w:iCs/>
                <w:lang w:val="bg-BG"/>
              </w:rPr>
              <w:t>Такива</w:t>
            </w:r>
            <w:r w:rsidRPr="002E3728">
              <w:rPr>
                <w:lang w:val="bg-BG"/>
              </w:rPr>
              <w:t xml:space="preserve"> специални приоритети </w:t>
            </w:r>
            <w:r w:rsidRPr="002E3728">
              <w:rPr>
                <w:b/>
                <w:bCs/>
                <w:i/>
                <w:iCs/>
                <w:lang w:val="bg-BG"/>
              </w:rPr>
              <w:t>могат да подкрепят</w:t>
            </w:r>
            <w:r w:rsidRPr="002E3728">
              <w:rPr>
                <w:lang w:val="bg-BG"/>
              </w:rPr>
              <w:t xml:space="preserve"> всяка от специфичните цели, </w:t>
            </w:r>
            <w:r w:rsidRPr="002E3728">
              <w:rPr>
                <w:b/>
                <w:bCs/>
                <w:i/>
                <w:iCs/>
                <w:lang w:val="bg-BG"/>
              </w:rPr>
              <w:t>определени</w:t>
            </w:r>
            <w:r w:rsidRPr="002E3728">
              <w:rPr>
                <w:lang w:val="bg-BG"/>
              </w:rPr>
              <w:t xml:space="preserve"> в член 4, параграф 1, букви а)—л).</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 xml:space="preserve">Държавите членки може да програмират </w:t>
            </w:r>
            <w:r w:rsidRPr="002E3728">
              <w:rPr>
                <w:b/>
                <w:i/>
                <w:lang w:val="bg-BG"/>
              </w:rPr>
              <w:t>целенасочена</w:t>
            </w:r>
            <w:r w:rsidRPr="002E3728">
              <w:rPr>
                <w:lang w:val="bg-BG"/>
              </w:rPr>
              <w:t xml:space="preserve"> подкрепа </w:t>
            </w:r>
            <w:r w:rsidRPr="002E3728">
              <w:rPr>
                <w:b/>
                <w:i/>
                <w:lang w:val="bg-BG"/>
              </w:rPr>
              <w:t>за</w:t>
            </w:r>
            <w:r w:rsidRPr="002E3728">
              <w:rPr>
                <w:lang w:val="bg-BG"/>
              </w:rPr>
              <w:t xml:space="preserve"> </w:t>
            </w:r>
            <w:r w:rsidRPr="002E3728">
              <w:rPr>
                <w:b/>
                <w:i/>
                <w:lang w:val="bg-BG"/>
              </w:rPr>
              <w:t>мерки за</w:t>
            </w:r>
            <w:r w:rsidRPr="002E3728">
              <w:rPr>
                <w:lang w:val="bg-BG"/>
              </w:rPr>
              <w:t xml:space="preserve"> придобиване на умения, повишаване на квалификацията и преквалификация</w:t>
            </w:r>
            <w:r w:rsidRPr="002E3728">
              <w:rPr>
                <w:b/>
                <w:i/>
                <w:lang w:val="bg-BG"/>
              </w:rPr>
              <w:t>, за да помогнат</w:t>
            </w:r>
            <w:r w:rsidRPr="002E3728">
              <w:rPr>
                <w:lang w:val="bg-BG"/>
              </w:rPr>
              <w:t xml:space="preserve"> на работниците, предприятията</w:t>
            </w:r>
            <w:r w:rsidRPr="002E3728">
              <w:rPr>
                <w:b/>
                <w:i/>
                <w:lang w:val="bg-BG"/>
              </w:rPr>
              <w:t xml:space="preserve"> — особено малките и средните предприятия (МСП) — да се адаптират </w:t>
            </w:r>
            <w:r w:rsidRPr="002E3728">
              <w:rPr>
                <w:lang w:val="bg-BG"/>
              </w:rPr>
              <w:t>към</w:t>
            </w:r>
            <w:r w:rsidRPr="002E3728">
              <w:rPr>
                <w:b/>
                <w:i/>
                <w:lang w:val="bg-BG"/>
              </w:rPr>
              <w:t xml:space="preserve"> структурните промени, свързани с</w:t>
            </w:r>
            <w:r w:rsidRPr="002E3728">
              <w:rPr>
                <w:lang w:val="bg-BG"/>
              </w:rPr>
              <w:t xml:space="preserve"> декарбонизацията</w:t>
            </w:r>
            <w:r w:rsidR="00602DDF" w:rsidRPr="00602DDF">
              <w:rPr>
                <w:lang w:val="bg-BG"/>
              </w:rPr>
              <w:t xml:space="preserve"> </w:t>
            </w:r>
            <w:r w:rsidRPr="002E3728">
              <w:rPr>
                <w:lang w:val="bg-BG"/>
              </w:rPr>
              <w:t>на производствения капацитет</w:t>
            </w:r>
            <w:r w:rsidRPr="002E3728">
              <w:rPr>
                <w:b/>
                <w:i/>
                <w:lang w:val="bg-BG"/>
              </w:rPr>
              <w:t>. Тези</w:t>
            </w:r>
            <w:r w:rsidRPr="002E3728">
              <w:rPr>
                <w:lang w:val="bg-BG"/>
              </w:rPr>
              <w:t xml:space="preserve"> специални приоритети </w:t>
            </w:r>
            <w:r w:rsidRPr="002E3728">
              <w:rPr>
                <w:b/>
                <w:i/>
                <w:lang w:val="bg-BG"/>
              </w:rPr>
              <w:t xml:space="preserve">следва да укрепят капацитета на МСП, за да продължат да бъдат конкурентоспособни, устойчиви и иновативни в екологичния преход. </w:t>
            </w:r>
            <w:bookmarkStart w:id="0" w:name="_GoBack"/>
            <w:bookmarkEnd w:id="0"/>
            <w:r w:rsidRPr="002E3728">
              <w:rPr>
                <w:b/>
                <w:i/>
                <w:lang w:val="bg-BG"/>
              </w:rPr>
              <w:t>Такива приоритети могат да допринасят за</w:t>
            </w:r>
            <w:r w:rsidRPr="002E3728">
              <w:rPr>
                <w:lang w:val="bg-BG"/>
              </w:rPr>
              <w:t xml:space="preserve"> всяка от специфичните цели, в член 4, параграф 1, букви а)—л).</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i/>
                <w:lang w:val="bg-BG"/>
              </w:rPr>
              <w:t>(Настоящото изменение се прилага в целия текст. Приемането му ще наложи съответните промени в целия текст.)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107</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CF314A" w:rsidRPr="002E3728">
        <w:t>Мари Доши</w:t>
      </w:r>
      <w:r w:rsidRPr="002E3728">
        <w:t xml:space="preserve">, </w:t>
      </w:r>
      <w:r w:rsidR="00CF314A" w:rsidRPr="002E3728">
        <w:t>Никола Бартушек</w:t>
      </w:r>
      <w:r w:rsidRPr="002E3728">
        <w:t xml:space="preserve">, </w:t>
      </w:r>
      <w:r w:rsidR="00C41D59" w:rsidRPr="002E3728">
        <w:t>Пал Секереш</w:t>
      </w:r>
      <w:r w:rsidRPr="002E3728">
        <w:rPr>
          <w:rStyle w:val="HideTWBExt"/>
          <w:b w:val="0"/>
        </w:rPr>
        <w:t>&lt;/Members&gt;</w:t>
      </w:r>
    </w:p>
    <w:p w:rsidR="005B0D0B" w:rsidRPr="002E3728" w:rsidRDefault="005B0D0B" w:rsidP="005B0D0B">
      <w:r w:rsidRPr="002E3728">
        <w:rPr>
          <w:rStyle w:val="HideTWBExt"/>
        </w:rPr>
        <w:t>&lt;AuNomDe&gt;</w:t>
      </w:r>
      <w:r w:rsidRPr="002E3728">
        <w:rPr>
          <w:rStyle w:val="HideTWBInt"/>
        </w:rPr>
        <w:t>{EMPL}</w:t>
      </w:r>
      <w:r w:rsidRPr="002E3728">
        <w:t>от името на комисията по заетост и социални въпроси</w:t>
      </w:r>
      <w:r w:rsidRPr="002E3728">
        <w:rPr>
          <w:rStyle w:val="HideTWBExt"/>
        </w:rPr>
        <w:t>&lt;/AuNomDe&gt;</w:t>
      </w:r>
    </w:p>
    <w:p w:rsidR="005B0D0B" w:rsidRPr="002E3728" w:rsidRDefault="005B0D0B" w:rsidP="005B0D0B">
      <w:pPr>
        <w:pStyle w:val="NormalBold"/>
      </w:pPr>
      <w:r w:rsidRPr="002E3728">
        <w:rPr>
          <w:rStyle w:val="HideTWBExt"/>
          <w:b w:val="0"/>
        </w:rPr>
        <w:lastRenderedPageBreak/>
        <w:t>&lt;Members&gt;</w:t>
      </w:r>
      <w:r w:rsidRPr="002E3728">
        <w:t>Северин Вербрук, Рашел Блом</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 xml:space="preserve">Държавите членки могат да решат да програмират подкрепа, насочена към придобиване на умения, повишаване на квалификацията и преквалификация с оглед на адаптиране на работниците, предприятията и предприемачите </w:t>
            </w:r>
            <w:r w:rsidRPr="002E3728">
              <w:rPr>
                <w:b/>
                <w:i/>
                <w:lang w:val="bg-BG"/>
              </w:rPr>
              <w:t>към промените</w:t>
            </w:r>
            <w:r w:rsidRPr="002E3728">
              <w:rPr>
                <w:lang w:val="bg-BG"/>
              </w:rPr>
              <w:t xml:space="preserve">, допринасящи за </w:t>
            </w:r>
            <w:r w:rsidRPr="002E3728">
              <w:rPr>
                <w:b/>
                <w:i/>
                <w:lang w:val="bg-BG"/>
              </w:rPr>
              <w:t>декарбонизацията</w:t>
            </w:r>
            <w:r w:rsidRPr="002E3728">
              <w:rPr>
                <w:lang w:val="bg-BG"/>
              </w:rPr>
              <w:t xml:space="preserve"> на </w:t>
            </w:r>
            <w:r w:rsidRPr="002E3728">
              <w:rPr>
                <w:b/>
                <w:i/>
                <w:lang w:val="bg-BG"/>
              </w:rPr>
              <w:t>производствения</w:t>
            </w:r>
            <w:r w:rsidRPr="002E3728">
              <w:rPr>
                <w:lang w:val="bg-BG"/>
              </w:rPr>
              <w:t xml:space="preserve"> капацитет съгласно специални приоритети. Такива специални приоритети могат да подкрепят всяка от специфичните цели, определени в член 4, параграф 1, букви а)—л).</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 xml:space="preserve">Държавите членки могат да решат да програмират подкрепа, насочена към придобиване на умения, повишаване на квалификацията и преквалификация с оглед на адаптиране на работниците, предприятията и предприемачите, допринасящи за </w:t>
            </w:r>
            <w:r w:rsidRPr="002E3728">
              <w:rPr>
                <w:b/>
                <w:i/>
                <w:lang w:val="bg-BG"/>
              </w:rPr>
              <w:t>повишаването</w:t>
            </w:r>
            <w:r w:rsidRPr="002E3728">
              <w:rPr>
                <w:lang w:val="bg-BG"/>
              </w:rPr>
              <w:t xml:space="preserve"> на </w:t>
            </w:r>
            <w:r w:rsidRPr="002E3728">
              <w:rPr>
                <w:b/>
                <w:i/>
                <w:lang w:val="bg-BG"/>
              </w:rPr>
              <w:t>промишления производствен</w:t>
            </w:r>
            <w:r w:rsidRPr="002E3728">
              <w:rPr>
                <w:lang w:val="bg-BG"/>
              </w:rPr>
              <w:t xml:space="preserve"> капацитет </w:t>
            </w:r>
            <w:r w:rsidRPr="002E3728">
              <w:rPr>
                <w:b/>
                <w:i/>
                <w:lang w:val="bg-BG"/>
              </w:rPr>
              <w:t>и увеличаването на средствата за производство, включително производството на ядрена енергия,</w:t>
            </w:r>
            <w:r w:rsidRPr="002E3728">
              <w:rPr>
                <w:lang w:val="bg-BG"/>
              </w:rPr>
              <w:t xml:space="preserve"> съгласно специални приоритети. Такива специални приоритети могат да подкрепят всяка от специфичните цели, определени в член 4, параграф 1, букви а)—л).</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{FR}</w:t>
      </w:r>
      <w:r w:rsidRPr="002E3728">
        <w:rPr>
          <w:noProof w:val="0"/>
          <w:lang w:val="bg-BG"/>
        </w:rPr>
        <w:t>fr</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108</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F516DE" w:rsidRPr="002E3728">
        <w:t>Марит Май</w:t>
      </w:r>
      <w:r w:rsidRPr="002E3728">
        <w:t xml:space="preserve">, </w:t>
      </w:r>
      <w:r w:rsidR="00D04981" w:rsidRPr="002E3728">
        <w:t>Естел Кьолеманс</w:t>
      </w:r>
      <w:r w:rsidRPr="002E3728">
        <w:t xml:space="preserve">, Габриеле Бишоф, Алисия Омс Хинел, Евелин Регнер, Марк Анжел, </w:t>
      </w:r>
      <w:r w:rsidR="00D04981" w:rsidRPr="002E3728">
        <w:t>Идоя Мендия</w:t>
      </w:r>
      <w:r w:rsidRPr="002E3728">
        <w:t xml:space="preserve">, Вилия Блинкевичуте, </w:t>
      </w:r>
      <w:r w:rsidR="00D04981" w:rsidRPr="002E3728">
        <w:t>Еон О’Риърдойн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Държавите членки могат да решат да програмират подкрепа, насочена към придобиване на умения, повишаване на квалификацията и преквалификация с оглед на адаптиране на работниците, предприятията и предприемачите към промените, допринасящи за декарбонизацията на производствения капацитет съгласно специални приоритети. Такива специални приоритети могат да подкрепят всяка от специфичните цели, определени в член 4, параграф 1, букви а)</w:t>
            </w:r>
            <w:r w:rsidRPr="002E3728">
              <w:rPr>
                <w:b/>
                <w:i/>
                <w:lang w:val="bg-BG"/>
              </w:rPr>
              <w:t>—л</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Държавите членки могат да решат</w:t>
            </w:r>
            <w:r w:rsidRPr="002E3728">
              <w:rPr>
                <w:b/>
                <w:i/>
                <w:lang w:val="bg-BG"/>
              </w:rPr>
              <w:t>, след провеждане на консултации със социалните партньори на национално равнище,</w:t>
            </w:r>
            <w:r w:rsidRPr="002E3728">
              <w:rPr>
                <w:lang w:val="bg-BG"/>
              </w:rPr>
              <w:t xml:space="preserve"> да програмират подкрепа, насочена към придобиване на умения, повишаване на квалификацията и преквалификация с оглед на адаптиране на работниците, предприятията и предприемачите към промените, допринасящи за декарбонизацията на производствения капацитет съгласно специални приоритети. Такива специални приоритети могат да подкрепят всяка от специфичните цели, определени в член 4, параграф 1, букви а)</w:t>
            </w:r>
            <w:r w:rsidRPr="002E3728">
              <w:rPr>
                <w:b/>
                <w:i/>
                <w:lang w:val="bg-BG"/>
              </w:rPr>
              <w:t>—ж</w:t>
            </w:r>
            <w:r w:rsidRPr="002E3728">
              <w:rPr>
                <w:lang w:val="bg-BG"/>
              </w:rPr>
              <w:t>).</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109</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Яна Том</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 xml:space="preserve">Държавите членки могат да решат да програмират подкрепа, насочена към придобиване на умения, повишаване на квалификацията </w:t>
            </w:r>
            <w:r w:rsidRPr="002E3728">
              <w:rPr>
                <w:b/>
                <w:bCs/>
                <w:i/>
                <w:iCs/>
                <w:lang w:val="bg-BG"/>
              </w:rPr>
              <w:t>и</w:t>
            </w:r>
            <w:r w:rsidRPr="002E3728">
              <w:rPr>
                <w:lang w:val="bg-BG"/>
              </w:rPr>
              <w:t xml:space="preserve"> преквалификация с оглед на адаптиране на работниците, предприятията и предприемачите към промените, допринасящи за декарбонизацията на производствения капацитет съгласно специални приоритети. Такива специални приоритети </w:t>
            </w:r>
            <w:r w:rsidRPr="002E3728">
              <w:rPr>
                <w:b/>
                <w:i/>
                <w:lang w:val="bg-BG"/>
              </w:rPr>
              <w:t>могат да</w:t>
            </w:r>
            <w:r w:rsidRPr="002E3728">
              <w:rPr>
                <w:lang w:val="bg-BG"/>
              </w:rPr>
              <w:t xml:space="preserve"> подкрепят всяка от специфичните цели, определени в член 4, параграф 1</w:t>
            </w:r>
            <w:r w:rsidRPr="002E3728">
              <w:rPr>
                <w:b/>
                <w:i/>
                <w:lang w:val="bg-BG"/>
              </w:rPr>
              <w:t>, букви а)—л)</w:t>
            </w:r>
            <w:r w:rsidRPr="002E3728">
              <w:rPr>
                <w:lang w:val="bg-BG"/>
              </w:rPr>
              <w:t>.</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Държавите членки могат да решат да програмират подкрепа, насочена към придобиване на умения, повишаване на квалификацията</w:t>
            </w:r>
            <w:r w:rsidRPr="002E3728">
              <w:rPr>
                <w:b/>
                <w:i/>
                <w:lang w:val="bg-BG"/>
              </w:rPr>
              <w:t xml:space="preserve">, </w:t>
            </w:r>
            <w:r w:rsidRPr="002E3728">
              <w:rPr>
                <w:lang w:val="bg-BG"/>
              </w:rPr>
              <w:t xml:space="preserve">преквалификация </w:t>
            </w:r>
            <w:r w:rsidRPr="002E3728">
              <w:rPr>
                <w:b/>
                <w:bCs/>
                <w:i/>
                <w:iCs/>
                <w:lang w:val="bg-BG"/>
              </w:rPr>
              <w:t>и</w:t>
            </w:r>
            <w:r w:rsidRPr="002E3728">
              <w:rPr>
                <w:lang w:val="bg-BG"/>
              </w:rPr>
              <w:t xml:space="preserve"> </w:t>
            </w:r>
            <w:r w:rsidRPr="002E3728">
              <w:rPr>
                <w:b/>
                <w:i/>
                <w:lang w:val="bg-BG"/>
              </w:rPr>
              <w:t>обучение, както и научноизследователска и развойна дейност и иновации,</w:t>
            </w:r>
            <w:r w:rsidRPr="002E3728">
              <w:rPr>
                <w:lang w:val="bg-BG"/>
              </w:rPr>
              <w:t xml:space="preserve"> с оглед на адаптиране на работниците, предприятията и предприемачите към промените, допринасящи за декарбонизацията на производствения капацитет съгласно специални приоритети. Такива специални приоритети подкрепят всяка от специфичните цели, определени в член 4, параграф 1.</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110</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1</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(1)</w:t>
            </w:r>
            <w:r w:rsidRPr="002E3728">
              <w:rPr>
                <w:lang w:val="bg-BG"/>
              </w:rPr>
              <w:tab/>
              <w:t xml:space="preserve">Държавите членки могат да решат да програмират подкрепа, насочена към придобиване на умения, повишаване на квалификацията и преквалификация с оглед на адаптиране на работниците, предприятията и предприемачите към промените, допринасящи за декарбонизацията на производствения капацитет съгласно специални приоритети. Такива специални приоритети </w:t>
            </w:r>
            <w:r w:rsidRPr="002E3728">
              <w:rPr>
                <w:b/>
                <w:i/>
                <w:lang w:val="bg-BG"/>
              </w:rPr>
              <w:t xml:space="preserve">могат да </w:t>
            </w:r>
            <w:r w:rsidRPr="002E3728">
              <w:rPr>
                <w:lang w:val="bg-BG"/>
              </w:rPr>
              <w:t>подкрепят</w:t>
            </w:r>
            <w:r w:rsidRPr="002E3728">
              <w:rPr>
                <w:b/>
                <w:i/>
                <w:lang w:val="bg-BG"/>
              </w:rPr>
              <w:t xml:space="preserve"> всяка</w:t>
            </w:r>
            <w:r w:rsidRPr="002E3728">
              <w:rPr>
                <w:lang w:val="bg-BG"/>
              </w:rPr>
              <w:t xml:space="preserve"> от специфичните цели, определени в член 4, параграф 1, букви а)—л).</w:t>
            </w:r>
          </w:p>
        </w:tc>
        <w:tc>
          <w:tcPr>
            <w:tcW w:w="4876" w:type="dxa"/>
            <w:hideMark/>
          </w:tcPr>
          <w:p w:rsidR="005B0D0B" w:rsidRPr="002E3728" w:rsidRDefault="005B0D0B" w:rsidP="00C41D59">
            <w:pPr>
              <w:pStyle w:val="Normal6"/>
              <w:rPr>
                <w:szCs w:val="24"/>
                <w:lang w:val="bg-BG"/>
              </w:rPr>
            </w:pPr>
            <w:r w:rsidRPr="002E3728">
              <w:rPr>
                <w:lang w:val="bg-BG"/>
              </w:rPr>
              <w:t>(1)</w:t>
            </w:r>
            <w:r w:rsidRPr="002E3728">
              <w:rPr>
                <w:lang w:val="bg-BG"/>
              </w:rPr>
              <w:tab/>
              <w:t>Държавите членки могат да решат да програмират подкрепа, насочена към придобиване на умения, повишаване на квалификацията и преквалификация с оглед на адаптиране на работниците, предприятията и предприемачите към промените, допринасящи за декарбонизацията на производствения капацитет съгласно специални приоритети. Такива специални приоритети подкрепят</w:t>
            </w:r>
            <w:r w:rsidRPr="002E3728">
              <w:rPr>
                <w:b/>
                <w:i/>
                <w:lang w:val="bg-BG"/>
              </w:rPr>
              <w:t xml:space="preserve"> една или повече</w:t>
            </w:r>
            <w:r w:rsidRPr="002E3728">
              <w:rPr>
                <w:lang w:val="bg-BG"/>
              </w:rPr>
              <w:t xml:space="preserve"> от специфичните цели, определени в член 4, параграф 1, букви а)—л).</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111</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1 a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(1a)</w:t>
            </w:r>
            <w:r w:rsidRPr="002E3728">
              <w:rPr>
                <w:b/>
                <w:i/>
                <w:lang w:val="bg-BG"/>
              </w:rPr>
              <w:tab/>
              <w:t>Ресурсите, разпределени за специалния приоритет, посочен в параграф 1, се вземат предвид при осигуряване на съответствие с изискванията за тематична концентрация, както е посочено в член 7 от настоящия регламент.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112</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341B19" w:rsidRPr="002E3728">
        <w:t>Мириам Лексман</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5</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hideMark/>
          </w:tcPr>
          <w:p w:rsidR="005B0D0B" w:rsidRPr="002E3728" w:rsidRDefault="005B0D0B" w:rsidP="00C41D59">
            <w:pPr>
              <w:pStyle w:val="Normal6"/>
              <w:rPr>
                <w:lang w:val="bg-BG"/>
              </w:rPr>
            </w:pPr>
            <w:r w:rsidRPr="002E3728">
              <w:rPr>
                <w:lang w:val="bg-BG"/>
              </w:rPr>
              <w:t>(5)</w:t>
            </w:r>
            <w:r w:rsidRPr="002E3728">
              <w:rPr>
                <w:lang w:val="bg-BG"/>
              </w:rPr>
              <w:tab/>
              <w:t>Чрез дерогация от член 112 от Регламент (ЕС) 2021/1060 максималната ставка на съфинансиране за специалните приоритети, посочени в параграф 1 от настоящия член, е 100%.</w:t>
            </w:r>
          </w:p>
        </w:tc>
        <w:tc>
          <w:tcPr>
            <w:tcW w:w="4876" w:type="dxa"/>
            <w:hideMark/>
          </w:tcPr>
          <w:p w:rsidR="005B0D0B" w:rsidRPr="002E3728" w:rsidRDefault="005B0D0B" w:rsidP="00C41D59">
            <w:pPr>
              <w:pStyle w:val="Normal6"/>
              <w:rPr>
                <w:szCs w:val="24"/>
                <w:lang w:val="bg-BG"/>
              </w:rPr>
            </w:pPr>
            <w:r w:rsidRPr="002E3728">
              <w:rPr>
                <w:lang w:val="bg-BG"/>
              </w:rPr>
              <w:t>(5)</w:t>
            </w:r>
            <w:r w:rsidRPr="002E3728">
              <w:rPr>
                <w:lang w:val="bg-BG"/>
              </w:rPr>
              <w:tab/>
              <w:t>Чрез дерогация от член 112 от Регламент (ЕС) 2021/1060 максималната ставка на съфинансиране за специалните приоритети, посочени в параграф 1 от настоящия член, е 100%</w:t>
            </w:r>
            <w:r w:rsidRPr="002E3728">
              <w:rPr>
                <w:b/>
                <w:i/>
                <w:lang w:val="bg-BG"/>
              </w:rPr>
              <w:t>, като същевременно се запазва настоящото разграничение между категориите региони</w:t>
            </w:r>
            <w:r w:rsidRPr="002E3728">
              <w:rPr>
                <w:lang w:val="bg-BG"/>
              </w:rPr>
              <w:t>.</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pPr>
        <w:pStyle w:val="JustificationTitle"/>
        <w:rPr>
          <w:noProof w:val="0"/>
          <w:lang w:val="bg-BG"/>
        </w:rPr>
      </w:pPr>
      <w:r w:rsidRPr="002E3728">
        <w:rPr>
          <w:rStyle w:val="HideTWBExt"/>
          <w:i w:val="0"/>
          <w:lang w:val="bg-BG"/>
        </w:rPr>
        <w:t>&lt;TitreJust&gt;</w:t>
      </w:r>
      <w:r w:rsidRPr="002E3728">
        <w:rPr>
          <w:lang w:val="bg-BG"/>
        </w:rPr>
        <w:t>Обосновка</w:t>
      </w:r>
      <w:r w:rsidRPr="002E3728">
        <w:rPr>
          <w:rStyle w:val="HideTWBExt"/>
          <w:i w:val="0"/>
          <w:lang w:val="bg-BG"/>
        </w:rPr>
        <w:t>&lt;/TitreJust&gt;</w:t>
      </w:r>
    </w:p>
    <w:p w:rsidR="005B0D0B" w:rsidRPr="002E3728" w:rsidRDefault="005B0D0B" w:rsidP="005B0D0B">
      <w:pPr>
        <w:pStyle w:val="Normal12Italic"/>
        <w:rPr>
          <w:noProof w:val="0"/>
          <w:lang w:val="bg-BG"/>
        </w:rPr>
      </w:pPr>
      <w:r w:rsidRPr="002E3728">
        <w:rPr>
          <w:lang w:val="bg-BG"/>
        </w:rPr>
        <w:t>Необходимо е, за да се запази настоящото разграничение на ставката на съфинансиране между категориите региони.</w:t>
      </w:r>
    </w:p>
    <w:p w:rsidR="005B0D0B" w:rsidRPr="002E3728" w:rsidRDefault="005B0D0B" w:rsidP="005B0D0B">
      <w:r w:rsidRPr="002E3728">
        <w:rPr>
          <w:rStyle w:val="HideTWBExt"/>
        </w:rPr>
        <w:t>&lt;/Amend&gt;</w:t>
      </w:r>
    </w:p>
    <w:p w:rsidR="005B0D0B" w:rsidRPr="002E3728" w:rsidRDefault="005B0D0B" w:rsidP="005B0D0B">
      <w:pPr>
        <w:pStyle w:val="AMNumberTabs0"/>
        <w:keepNext/>
        <w:rPr>
          <w:lang w:val="bg-BG"/>
        </w:rPr>
      </w:pPr>
      <w:r w:rsidRPr="002E3728">
        <w:rPr>
          <w:rStyle w:val="HideTWBExt"/>
          <w:b w:val="0"/>
          <w:lang w:val="bg-BG"/>
        </w:rPr>
        <w:t>&lt;Amend&gt;</w:t>
      </w:r>
      <w:r w:rsidRPr="002E3728">
        <w:rPr>
          <w:lang w:val="bg-BG"/>
        </w:rPr>
        <w:t>Изменение</w:t>
      </w:r>
      <w:r w:rsidRPr="002E3728">
        <w:rPr>
          <w:lang w:val="bg-BG"/>
        </w:rPr>
        <w:tab/>
      </w:r>
      <w:r w:rsidRPr="002E3728">
        <w:rPr>
          <w:lang w:val="bg-BG"/>
        </w:rPr>
        <w:tab/>
      </w:r>
      <w:r w:rsidRPr="002E3728">
        <w:rPr>
          <w:rStyle w:val="HideTWBExt"/>
          <w:b w:val="0"/>
          <w:lang w:val="bg-BG"/>
        </w:rPr>
        <w:t>&lt;NumAm&gt;</w:t>
      </w:r>
      <w:r w:rsidRPr="002E3728">
        <w:rPr>
          <w:lang w:val="bg-BG"/>
        </w:rPr>
        <w:t>113</w:t>
      </w:r>
      <w:r w:rsidRPr="002E3728">
        <w:rPr>
          <w:rStyle w:val="HideTWBExt"/>
          <w:b w:val="0"/>
          <w:lang w:val="bg-BG"/>
        </w:rPr>
        <w:t>&lt;/NumAm&gt;</w:t>
      </w:r>
    </w:p>
    <w:p w:rsidR="005B0D0B" w:rsidRPr="002E3728" w:rsidRDefault="005B0D0B" w:rsidP="005B0D0B">
      <w:pPr>
        <w:pStyle w:val="NormalBold"/>
      </w:pPr>
      <w:r w:rsidRPr="002E3728">
        <w:rPr>
          <w:rStyle w:val="HideTWBExt"/>
          <w:b w:val="0"/>
        </w:rPr>
        <w:t>&lt;RepeatBlock-By&gt;&lt;Members&gt;</w:t>
      </w:r>
      <w:r w:rsidR="00D04981" w:rsidRPr="002E3728">
        <w:t>Брижит Ван Ден Берг</w:t>
      </w:r>
      <w:r w:rsidRPr="002E3728">
        <w:t xml:space="preserve">, </w:t>
      </w:r>
      <w:r w:rsidR="00D04981" w:rsidRPr="002E3728">
        <w:t>Христо Петров</w:t>
      </w:r>
      <w:r w:rsidRPr="002E3728">
        <w:t xml:space="preserve">, </w:t>
      </w:r>
      <w:r w:rsidR="00D04981" w:rsidRPr="002E3728">
        <w:t>Грегори Алион</w:t>
      </w:r>
      <w:r w:rsidRPr="002E3728">
        <w:t>, Еуджен Томак</w:t>
      </w:r>
      <w:r w:rsidRPr="002E3728">
        <w:rPr>
          <w:rStyle w:val="HideTWBExt"/>
          <w:b w:val="0"/>
        </w:rPr>
        <w:t>&lt;/Members&gt;</w:t>
      </w:r>
    </w:p>
    <w:p w:rsidR="005B0D0B" w:rsidRPr="002E3728" w:rsidRDefault="005B0D0B" w:rsidP="005B0D0B">
      <w:r w:rsidRPr="002E3728">
        <w:rPr>
          <w:rStyle w:val="HideTWBExt"/>
        </w:rPr>
        <w:t>&lt;/RepeatBlock-By&gt;</w:t>
      </w:r>
    </w:p>
    <w:p w:rsidR="005B0D0B" w:rsidRPr="002E3728" w:rsidRDefault="005B0D0B" w:rsidP="005B0D0B">
      <w:pPr>
        <w:pStyle w:val="NormalBold"/>
        <w:keepNext/>
      </w:pPr>
      <w:r w:rsidRPr="002E3728">
        <w:rPr>
          <w:rStyle w:val="HideTWBExt"/>
          <w:b w:val="0"/>
        </w:rPr>
        <w:t>&lt;DocAmend&gt;</w:t>
      </w:r>
      <w:r w:rsidRPr="002E3728">
        <w:t>Предложение за регламент</w:t>
      </w:r>
      <w:r w:rsidRPr="002E3728">
        <w:rPr>
          <w:rStyle w:val="HideTWBExt"/>
          <w:b w:val="0"/>
        </w:rPr>
        <w:t>&lt;/DocAmend&gt;</w:t>
      </w:r>
    </w:p>
    <w:p w:rsidR="005B0D0B" w:rsidRPr="002E3728" w:rsidRDefault="005B0D0B" w:rsidP="005B0D0B">
      <w:pPr>
        <w:pStyle w:val="NormalBold"/>
      </w:pPr>
      <w:r w:rsidRPr="002E3728">
        <w:rPr>
          <w:rStyle w:val="HideTWBExt"/>
          <w:b w:val="0"/>
        </w:rPr>
        <w:t>&lt;Article&gt;</w:t>
      </w:r>
      <w:r w:rsidRPr="002E3728">
        <w:t>Член 1 – параграф 1 – точка 3</w:t>
      </w:r>
      <w:r w:rsidRPr="002E3728">
        <w:rPr>
          <w:rStyle w:val="HideTWBExt"/>
          <w:b w:val="0"/>
        </w:rPr>
        <w:t>&lt;/Article&gt;</w:t>
      </w:r>
    </w:p>
    <w:p w:rsidR="005B0D0B" w:rsidRPr="002E3728" w:rsidRDefault="005B0D0B" w:rsidP="005B0D0B">
      <w:pPr>
        <w:keepNext/>
      </w:pPr>
      <w:r w:rsidRPr="002E3728">
        <w:rPr>
          <w:rStyle w:val="HideTWBExt"/>
        </w:rPr>
        <w:t>&lt;DocAmend2&gt;</w:t>
      </w:r>
      <w:r w:rsidRPr="002E3728">
        <w:t>Регламент (ЕС) 2021/1057</w:t>
      </w:r>
      <w:r w:rsidRPr="002E3728">
        <w:rPr>
          <w:rStyle w:val="HideTWBExt"/>
        </w:rPr>
        <w:t>&lt;/DocAmend2&gt;</w:t>
      </w:r>
    </w:p>
    <w:p w:rsidR="005B0D0B" w:rsidRPr="002E3728" w:rsidRDefault="005B0D0B" w:rsidP="005B0D0B">
      <w:r w:rsidRPr="002E3728">
        <w:rPr>
          <w:rStyle w:val="HideTWBExt"/>
        </w:rPr>
        <w:t>&lt;Article2&gt;</w:t>
      </w:r>
      <w:r w:rsidRPr="002E3728">
        <w:t>Член 12 г – параграф 5 a (нов)</w:t>
      </w:r>
      <w:r w:rsidRPr="002E372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66B" w:rsidRPr="002E3728" w:rsidTr="00C41D59">
        <w:trPr>
          <w:jc w:val="center"/>
        </w:trPr>
        <w:tc>
          <w:tcPr>
            <w:tcW w:w="9752" w:type="dxa"/>
            <w:gridSpan w:val="2"/>
          </w:tcPr>
          <w:p w:rsidR="005B0D0B" w:rsidRPr="002E3728" w:rsidRDefault="005B0D0B" w:rsidP="00C41D59">
            <w:pPr>
              <w:keepNext/>
            </w:pPr>
          </w:p>
        </w:tc>
      </w:tr>
      <w:tr w:rsidR="0063466B" w:rsidRPr="002E3728" w:rsidTr="00C41D59">
        <w:trPr>
          <w:jc w:val="center"/>
        </w:trPr>
        <w:tc>
          <w:tcPr>
            <w:tcW w:w="4876" w:type="dxa"/>
            <w:hideMark/>
          </w:tcPr>
          <w:p w:rsidR="005B0D0B" w:rsidRPr="002E3728" w:rsidRDefault="005B0D0B" w:rsidP="00C41D59">
            <w:pPr>
              <w:pStyle w:val="ColumnHeading"/>
              <w:keepNext/>
              <w:rPr>
                <w:lang w:val="bg-BG"/>
              </w:rPr>
            </w:pPr>
            <w:r w:rsidRPr="002E3728">
              <w:rPr>
                <w:lang w:val="bg-BG"/>
              </w:rPr>
              <w:t>Текст, предложен от Комисията</w:t>
            </w:r>
          </w:p>
        </w:tc>
        <w:tc>
          <w:tcPr>
            <w:tcW w:w="4876" w:type="dxa"/>
            <w:hideMark/>
          </w:tcPr>
          <w:p w:rsidR="005B0D0B" w:rsidRPr="002E3728" w:rsidRDefault="005B0D0B" w:rsidP="00C41D59">
            <w:pPr>
              <w:pStyle w:val="ColumnHeading"/>
              <w:keepNext/>
              <w:rPr>
                <w:lang w:val="bg-BG"/>
              </w:rPr>
            </w:pPr>
            <w:r w:rsidRPr="002E3728">
              <w:rPr>
                <w:lang w:val="bg-BG"/>
              </w:rPr>
              <w:t>Изменение</w:t>
            </w:r>
          </w:p>
        </w:tc>
      </w:tr>
      <w:tr w:rsidR="0063466B" w:rsidRPr="002E3728" w:rsidTr="00C41D59">
        <w:trPr>
          <w:jc w:val="center"/>
        </w:trPr>
        <w:tc>
          <w:tcPr>
            <w:tcW w:w="4876" w:type="dxa"/>
          </w:tcPr>
          <w:p w:rsidR="005B0D0B" w:rsidRPr="002E3728" w:rsidRDefault="005B0D0B" w:rsidP="00C41D59">
            <w:pPr>
              <w:pStyle w:val="Normal6"/>
              <w:rPr>
                <w:lang w:val="bg-BG"/>
              </w:rPr>
            </w:pPr>
          </w:p>
        </w:tc>
        <w:tc>
          <w:tcPr>
            <w:tcW w:w="4876" w:type="dxa"/>
            <w:hideMark/>
          </w:tcPr>
          <w:p w:rsidR="005B0D0B" w:rsidRPr="002E3728" w:rsidRDefault="005B0D0B" w:rsidP="00C41D59">
            <w:pPr>
              <w:pStyle w:val="Normal6"/>
              <w:rPr>
                <w:szCs w:val="24"/>
                <w:lang w:val="bg-BG"/>
              </w:rPr>
            </w:pPr>
            <w:r w:rsidRPr="002E3728">
              <w:rPr>
                <w:b/>
                <w:i/>
                <w:lang w:val="bg-BG"/>
              </w:rPr>
              <w:t>(5a)</w:t>
            </w:r>
            <w:r w:rsidRPr="002E3728">
              <w:rPr>
                <w:b/>
                <w:i/>
                <w:lang w:val="bg-BG"/>
              </w:rPr>
              <w:tab/>
              <w:t>Държавите членки насърчават сътрудничеството между организациите, работещи по създаване и усвояване на умения, като например професионални, академични и научноизследователски институции и отрасли, за да се насърчават иновациите и да се подкрепят програмите за научни изследвания в рамките на Европейския съюз. Това включва мерки за подпомагане на развитието на нови технологии и на закрилата на правата върху интелектуалната собственост.</w:t>
            </w:r>
          </w:p>
        </w:tc>
      </w:tr>
    </w:tbl>
    <w:p w:rsidR="005B0D0B" w:rsidRPr="002E3728" w:rsidRDefault="005B0D0B" w:rsidP="005B0D0B">
      <w:pPr>
        <w:pStyle w:val="Olang"/>
        <w:rPr>
          <w:lang w:val="bg-BG"/>
        </w:rPr>
      </w:pPr>
      <w:r w:rsidRPr="002E3728">
        <w:rPr>
          <w:noProof w:val="0"/>
          <w:lang w:val="bg-BG"/>
        </w:rPr>
        <w:t xml:space="preserve">Or. </w:t>
      </w:r>
      <w:r w:rsidRPr="002E3728">
        <w:rPr>
          <w:rStyle w:val="HideTWBExt"/>
          <w:lang w:val="bg-BG"/>
        </w:rPr>
        <w:t>&lt;Original&gt;</w:t>
      </w:r>
      <w:r w:rsidRPr="002E3728">
        <w:rPr>
          <w:rStyle w:val="HideTWBInt"/>
          <w:rFonts w:eastAsiaTheme="majorEastAsia"/>
          <w:lang w:val="bg-BG"/>
        </w:rPr>
        <w:t>{EN}</w:t>
      </w:r>
      <w:r w:rsidRPr="002E3728">
        <w:rPr>
          <w:noProof w:val="0"/>
          <w:lang w:val="bg-BG"/>
        </w:rPr>
        <w:t>en</w:t>
      </w:r>
      <w:r w:rsidRPr="002E3728">
        <w:rPr>
          <w:rStyle w:val="HideTWBExt"/>
          <w:lang w:val="bg-BG"/>
        </w:rPr>
        <w:t>&lt;/Original&gt;</w:t>
      </w:r>
    </w:p>
    <w:p w:rsidR="005B0D0B" w:rsidRPr="002E3728" w:rsidRDefault="005B0D0B" w:rsidP="005B0D0B">
      <w:pPr>
        <w:pStyle w:val="AmNumberTabs"/>
        <w:keepNext/>
      </w:pPr>
      <w:r w:rsidRPr="002E3728">
        <w:rPr>
          <w:rStyle w:val="HideTWBExt"/>
          <w:b w:val="0"/>
        </w:rPr>
        <w:t>&lt;/Amend&gt;&lt;/RepeatBlock-Amend&gt;</w:t>
      </w:r>
    </w:p>
    <w:p w:rsidR="008363E4" w:rsidRPr="002E3728" w:rsidRDefault="008363E4" w:rsidP="005B0D0B"/>
    <w:sectPr w:rsidR="008363E4" w:rsidRPr="002E3728" w:rsidSect="0057770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D59" w:rsidRPr="002E3728" w:rsidRDefault="00C41D59">
      <w:r w:rsidRPr="002E3728">
        <w:separator/>
      </w:r>
    </w:p>
  </w:endnote>
  <w:endnote w:type="continuationSeparator" w:id="0">
    <w:p w:rsidR="00C41D59" w:rsidRPr="002E3728" w:rsidRDefault="00C41D59">
      <w:r w:rsidRPr="002E37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706" w:rsidRPr="002E3728" w:rsidRDefault="00577706" w:rsidP="00577706">
    <w:pPr>
      <w:pStyle w:val="EPFooter"/>
    </w:pPr>
    <w:r w:rsidRPr="002E3728">
      <w:t>PE</w:t>
    </w:r>
    <w:r w:rsidRPr="002E3728">
      <w:rPr>
        <w:rStyle w:val="HideTWBExt"/>
      </w:rPr>
      <w:t>&lt;NoPE&gt;</w:t>
    </w:r>
    <w:r w:rsidRPr="002E3728">
      <w:t>773.390</w:t>
    </w:r>
    <w:r w:rsidRPr="002E3728">
      <w:rPr>
        <w:rStyle w:val="HideTWBExt"/>
      </w:rPr>
      <w:t>&lt;/NoPE&gt;&lt;Version&gt;</w:t>
    </w:r>
    <w:r w:rsidRPr="002E3728">
      <w:t>v01-00</w:t>
    </w:r>
    <w:r w:rsidRPr="002E3728">
      <w:rPr>
        <w:rStyle w:val="HideTWBExt"/>
      </w:rPr>
      <w:t>&lt;/Version&gt;</w:t>
    </w:r>
    <w:r w:rsidRPr="002E3728">
      <w:tab/>
    </w:r>
    <w:r w:rsidRPr="002E3728">
      <w:fldChar w:fldCharType="begin"/>
    </w:r>
    <w:r w:rsidRPr="002E3728">
      <w:instrText xml:space="preserve"> PAGE  \* MERGEFORMAT </w:instrText>
    </w:r>
    <w:r w:rsidRPr="002E3728">
      <w:fldChar w:fldCharType="separate"/>
    </w:r>
    <w:r w:rsidR="00602DDF">
      <w:rPr>
        <w:noProof/>
      </w:rPr>
      <w:t>76</w:t>
    </w:r>
    <w:r w:rsidRPr="002E3728">
      <w:fldChar w:fldCharType="end"/>
    </w:r>
    <w:r w:rsidRPr="002E3728">
      <w:t>/</w:t>
    </w:r>
    <w:fldSimple w:instr=" NUMPAGES  \* MERGEFORMAT ">
      <w:r w:rsidR="00602DDF">
        <w:rPr>
          <w:noProof/>
        </w:rPr>
        <w:t>81</w:t>
      </w:r>
    </w:fldSimple>
    <w:r w:rsidRPr="002E3728">
      <w:tab/>
    </w:r>
    <w:r w:rsidRPr="002E3728">
      <w:rPr>
        <w:rStyle w:val="HideTWBExt"/>
      </w:rPr>
      <w:t>&lt;PathFdR&gt;</w:t>
    </w:r>
    <w:r w:rsidR="002E3728" w:rsidRPr="002E3728">
      <w:t>AM\1321470BG.docx</w:t>
    </w:r>
    <w:r w:rsidRPr="002E3728">
      <w:rPr>
        <w:rStyle w:val="HideTWBExt"/>
      </w:rPr>
      <w:t>&lt;/PathFdR&gt;</w:t>
    </w:r>
  </w:p>
  <w:p w:rsidR="00C41D59" w:rsidRPr="002E3728" w:rsidRDefault="00577706" w:rsidP="00577706">
    <w:pPr>
      <w:pStyle w:val="EPFooter2"/>
    </w:pPr>
    <w:r w:rsidRPr="002E372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706" w:rsidRPr="002E3728" w:rsidRDefault="00577706" w:rsidP="00577706">
    <w:pPr>
      <w:pStyle w:val="EPFooter"/>
    </w:pPr>
    <w:r w:rsidRPr="002E3728">
      <w:rPr>
        <w:rStyle w:val="HideTWBExt"/>
      </w:rPr>
      <w:t>&lt;PathFdR&gt;</w:t>
    </w:r>
    <w:r w:rsidR="002E3728" w:rsidRPr="002E3728">
      <w:t>AM\1321470BG.docx</w:t>
    </w:r>
    <w:r w:rsidRPr="002E3728">
      <w:rPr>
        <w:rStyle w:val="HideTWBExt"/>
      </w:rPr>
      <w:t>&lt;/PathFdR&gt;</w:t>
    </w:r>
    <w:r w:rsidRPr="002E3728">
      <w:tab/>
    </w:r>
    <w:r w:rsidRPr="002E3728">
      <w:fldChar w:fldCharType="begin"/>
    </w:r>
    <w:r w:rsidRPr="002E3728">
      <w:instrText xml:space="preserve"> PAGE  \* MERGEFORMAT </w:instrText>
    </w:r>
    <w:r w:rsidRPr="002E3728">
      <w:fldChar w:fldCharType="separate"/>
    </w:r>
    <w:r w:rsidR="00602DDF">
      <w:rPr>
        <w:noProof/>
      </w:rPr>
      <w:t>77</w:t>
    </w:r>
    <w:r w:rsidRPr="002E3728">
      <w:fldChar w:fldCharType="end"/>
    </w:r>
    <w:r w:rsidRPr="002E3728">
      <w:t>/</w:t>
    </w:r>
    <w:fldSimple w:instr=" NUMPAGES  \* MERGEFORMAT ">
      <w:r w:rsidR="00602DDF">
        <w:rPr>
          <w:noProof/>
        </w:rPr>
        <w:t>81</w:t>
      </w:r>
    </w:fldSimple>
    <w:r w:rsidRPr="002E3728">
      <w:tab/>
      <w:t>PE</w:t>
    </w:r>
    <w:r w:rsidRPr="002E3728">
      <w:rPr>
        <w:rStyle w:val="HideTWBExt"/>
      </w:rPr>
      <w:t>&lt;NoPE&gt;</w:t>
    </w:r>
    <w:r w:rsidRPr="002E3728">
      <w:t>773.390</w:t>
    </w:r>
    <w:r w:rsidRPr="002E3728">
      <w:rPr>
        <w:rStyle w:val="HideTWBExt"/>
      </w:rPr>
      <w:t>&lt;/NoPE&gt;&lt;Version&gt;</w:t>
    </w:r>
    <w:r w:rsidRPr="002E3728">
      <w:t>v01-00</w:t>
    </w:r>
    <w:r w:rsidRPr="002E3728">
      <w:rPr>
        <w:rStyle w:val="HideTWBExt"/>
      </w:rPr>
      <w:t>&lt;/Version&gt;</w:t>
    </w:r>
  </w:p>
  <w:p w:rsidR="00C41D59" w:rsidRPr="002E3728" w:rsidRDefault="00577706" w:rsidP="00577706">
    <w:pPr>
      <w:pStyle w:val="EPFooter2"/>
    </w:pPr>
    <w:r w:rsidRPr="002E3728">
      <w:tab/>
    </w:r>
    <w:r w:rsidRPr="002E3728">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706" w:rsidRPr="002E3728" w:rsidRDefault="00577706" w:rsidP="00577706">
    <w:pPr>
      <w:pStyle w:val="EPFooter"/>
    </w:pPr>
    <w:r w:rsidRPr="002E3728">
      <w:rPr>
        <w:rStyle w:val="HideTWBExt"/>
      </w:rPr>
      <w:t>&lt;PathFdR&gt;</w:t>
    </w:r>
    <w:r w:rsidR="002E3728" w:rsidRPr="002E3728">
      <w:t>AM\1321470BG.docx</w:t>
    </w:r>
    <w:r w:rsidRPr="002E3728">
      <w:rPr>
        <w:rStyle w:val="HideTWBExt"/>
      </w:rPr>
      <w:t>&lt;/PathFdR&gt;</w:t>
    </w:r>
    <w:r w:rsidRPr="002E3728">
      <w:tab/>
    </w:r>
    <w:r w:rsidRPr="002E3728">
      <w:tab/>
      <w:t>PE</w:t>
    </w:r>
    <w:r w:rsidRPr="002E3728">
      <w:rPr>
        <w:rStyle w:val="HideTWBExt"/>
      </w:rPr>
      <w:t>&lt;NoPE&gt;</w:t>
    </w:r>
    <w:r w:rsidRPr="002E3728">
      <w:t>773.390</w:t>
    </w:r>
    <w:r w:rsidRPr="002E3728">
      <w:rPr>
        <w:rStyle w:val="HideTWBExt"/>
      </w:rPr>
      <w:t>&lt;/NoPE&gt;&lt;Version&gt;</w:t>
    </w:r>
    <w:r w:rsidRPr="002E3728">
      <w:t>v01-00</w:t>
    </w:r>
    <w:r w:rsidRPr="002E3728">
      <w:rPr>
        <w:rStyle w:val="HideTWBExt"/>
      </w:rPr>
      <w:t>&lt;/Version&gt;</w:t>
    </w:r>
  </w:p>
  <w:p w:rsidR="00C41D59" w:rsidRPr="002E3728" w:rsidRDefault="00577706" w:rsidP="00577706">
    <w:pPr>
      <w:pStyle w:val="EPFooter2"/>
    </w:pPr>
    <w:r w:rsidRPr="002E3728">
      <w:t>BG</w:t>
    </w:r>
    <w:r w:rsidRPr="002E3728">
      <w:tab/>
    </w:r>
    <w:r w:rsidRPr="002E3728">
      <w:rPr>
        <w:b w:val="0"/>
        <w:i/>
        <w:color w:val="C0C0C0"/>
        <w:sz w:val="22"/>
      </w:rPr>
      <w:t>Единство в многообразието</w:t>
    </w:r>
    <w:r w:rsidRPr="002E3728">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D59" w:rsidRPr="002E3728" w:rsidRDefault="00C41D59">
      <w:r w:rsidRPr="002E3728">
        <w:separator/>
      </w:r>
    </w:p>
  </w:footnote>
  <w:footnote w:type="continuationSeparator" w:id="0">
    <w:p w:rsidR="00C41D59" w:rsidRPr="002E3728" w:rsidRDefault="00C41D59">
      <w:r w:rsidRPr="002E37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DF" w:rsidRDefault="00602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DF" w:rsidRDefault="00602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DF" w:rsidRDefault="00602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BG"/>
    <w:docVar w:name="TXTLANGUEMIN" w:val="bg"/>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BG.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B0781"/>
    <w:rsid w:val="000D446F"/>
    <w:rsid w:val="000E7234"/>
    <w:rsid w:val="000F2A80"/>
    <w:rsid w:val="000F7815"/>
    <w:rsid w:val="00126BC4"/>
    <w:rsid w:val="00140AF0"/>
    <w:rsid w:val="00150057"/>
    <w:rsid w:val="00166CCB"/>
    <w:rsid w:val="001809DD"/>
    <w:rsid w:val="001A4802"/>
    <w:rsid w:val="001B24DC"/>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3AED"/>
    <w:rsid w:val="002C5761"/>
    <w:rsid w:val="002E3728"/>
    <w:rsid w:val="002E3F68"/>
    <w:rsid w:val="002E4311"/>
    <w:rsid w:val="002E7ECC"/>
    <w:rsid w:val="003003A7"/>
    <w:rsid w:val="00315664"/>
    <w:rsid w:val="00322475"/>
    <w:rsid w:val="003324BE"/>
    <w:rsid w:val="00341B19"/>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2FDA"/>
    <w:rsid w:val="00495E20"/>
    <w:rsid w:val="004D0A66"/>
    <w:rsid w:val="004E0AAC"/>
    <w:rsid w:val="004E1C4C"/>
    <w:rsid w:val="004F03F0"/>
    <w:rsid w:val="004F2903"/>
    <w:rsid w:val="005246D8"/>
    <w:rsid w:val="00547F73"/>
    <w:rsid w:val="00557617"/>
    <w:rsid w:val="00571479"/>
    <w:rsid w:val="00577706"/>
    <w:rsid w:val="005A7205"/>
    <w:rsid w:val="005A7EB4"/>
    <w:rsid w:val="005B0D0B"/>
    <w:rsid w:val="005B32E3"/>
    <w:rsid w:val="005E50C2"/>
    <w:rsid w:val="00602DDF"/>
    <w:rsid w:val="00607ABE"/>
    <w:rsid w:val="006337D4"/>
    <w:rsid w:val="0063466B"/>
    <w:rsid w:val="00637384"/>
    <w:rsid w:val="0066168A"/>
    <w:rsid w:val="00665DDA"/>
    <w:rsid w:val="00672807"/>
    <w:rsid w:val="006746CD"/>
    <w:rsid w:val="00687070"/>
    <w:rsid w:val="00695CC1"/>
    <w:rsid w:val="006965BE"/>
    <w:rsid w:val="00697A90"/>
    <w:rsid w:val="006A0E70"/>
    <w:rsid w:val="006A2838"/>
    <w:rsid w:val="006B4B58"/>
    <w:rsid w:val="006B6438"/>
    <w:rsid w:val="006D6B15"/>
    <w:rsid w:val="006F3F81"/>
    <w:rsid w:val="006F4B73"/>
    <w:rsid w:val="00702F62"/>
    <w:rsid w:val="0070486D"/>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D7C72"/>
    <w:rsid w:val="008F0DDD"/>
    <w:rsid w:val="00900CAE"/>
    <w:rsid w:val="00904AD5"/>
    <w:rsid w:val="00907CCA"/>
    <w:rsid w:val="009154FF"/>
    <w:rsid w:val="00917A85"/>
    <w:rsid w:val="00962FEE"/>
    <w:rsid w:val="00966038"/>
    <w:rsid w:val="009A65D8"/>
    <w:rsid w:val="009B0305"/>
    <w:rsid w:val="009B6EDD"/>
    <w:rsid w:val="009F230F"/>
    <w:rsid w:val="00A15973"/>
    <w:rsid w:val="00A233E9"/>
    <w:rsid w:val="00A46736"/>
    <w:rsid w:val="00A507FC"/>
    <w:rsid w:val="00A5426B"/>
    <w:rsid w:val="00A845EF"/>
    <w:rsid w:val="00A84E16"/>
    <w:rsid w:val="00A93389"/>
    <w:rsid w:val="00A93F8C"/>
    <w:rsid w:val="00A9537A"/>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D59"/>
    <w:rsid w:val="00C41E32"/>
    <w:rsid w:val="00C645DA"/>
    <w:rsid w:val="00C85D0F"/>
    <w:rsid w:val="00C92798"/>
    <w:rsid w:val="00CB34F1"/>
    <w:rsid w:val="00CB7B07"/>
    <w:rsid w:val="00CC3983"/>
    <w:rsid w:val="00CF314A"/>
    <w:rsid w:val="00D00CC7"/>
    <w:rsid w:val="00D04981"/>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07AD"/>
    <w:rsid w:val="00E57F50"/>
    <w:rsid w:val="00E660E2"/>
    <w:rsid w:val="00EA25AE"/>
    <w:rsid w:val="00EB3A71"/>
    <w:rsid w:val="00EE011D"/>
    <w:rsid w:val="00EE3E0D"/>
    <w:rsid w:val="00EF03A3"/>
    <w:rsid w:val="00EF11AD"/>
    <w:rsid w:val="00F134CE"/>
    <w:rsid w:val="00F27170"/>
    <w:rsid w:val="00F459F7"/>
    <w:rsid w:val="00F516DE"/>
    <w:rsid w:val="00F655B5"/>
    <w:rsid w:val="00F87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2C68A"/>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lang w:val="fr-FR"/>
    </w:rPr>
  </w:style>
  <w:style w:type="paragraph" w:customStyle="1" w:styleId="PERight">
    <w:name w:val="PERight"/>
    <w:basedOn w:val="Normal"/>
    <w:next w:val="Normal"/>
    <w:rsid w:val="00B81A9B"/>
    <w:pPr>
      <w:jc w:val="right"/>
    </w:pPr>
    <w:rPr>
      <w:rFonts w:ascii="Arial" w:hAnsi="Arial" w:cs="Arial"/>
      <w:sz w:val="22"/>
      <w:szCs w:val="22"/>
      <w:lang w:val="fr-FR"/>
    </w:rPr>
  </w:style>
  <w:style w:type="character" w:customStyle="1" w:styleId="Normal6Char">
    <w:name w:val="Normal6 Char"/>
    <w:basedOn w:val="DefaultParagraphFont"/>
    <w:link w:val="Normal6"/>
    <w:locked/>
    <w:rsid w:val="00B81A9B"/>
    <w:rPr>
      <w:sz w:val="24"/>
      <w:lang w:val="fr-FR"/>
    </w:rPr>
  </w:style>
  <w:style w:type="paragraph" w:customStyle="1" w:styleId="Normal6">
    <w:name w:val="Normal6"/>
    <w:basedOn w:val="Normal"/>
    <w:link w:val="Normal6Char"/>
    <w:rsid w:val="00B81A9B"/>
    <w:pPr>
      <w:spacing w:after="120"/>
    </w:pPr>
    <w:rPr>
      <w:lang w:val="fr-FR"/>
    </w:r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lang w:val="fr-FR"/>
    </w:rPr>
  </w:style>
  <w:style w:type="paragraph" w:customStyle="1" w:styleId="JustificationTitle">
    <w:name w:val="JustificationTitle"/>
    <w:basedOn w:val="Normal"/>
    <w:next w:val="Normal12"/>
    <w:rsid w:val="00B81A9B"/>
    <w:pPr>
      <w:keepNext/>
      <w:spacing w:before="240" w:after="240"/>
      <w:jc w:val="center"/>
    </w:pPr>
    <w:rPr>
      <w:i/>
      <w:noProof/>
      <w:lang w:val="fr-FR"/>
    </w:rPr>
  </w:style>
  <w:style w:type="paragraph" w:customStyle="1" w:styleId="Olang">
    <w:name w:val="Olang"/>
    <w:basedOn w:val="Normal"/>
    <w:rsid w:val="00B81A9B"/>
    <w:pPr>
      <w:spacing w:before="240" w:after="240"/>
      <w:jc w:val="right"/>
    </w:pPr>
    <w:rPr>
      <w:noProof/>
      <w:szCs w:val="24"/>
      <w:lang w:val="fr-FR"/>
    </w:rPr>
  </w:style>
  <w:style w:type="paragraph" w:customStyle="1" w:styleId="ColumnHeading">
    <w:name w:val="ColumnHeading"/>
    <w:basedOn w:val="Normal"/>
    <w:rsid w:val="00B81A9B"/>
    <w:pPr>
      <w:spacing w:after="240"/>
      <w:jc w:val="center"/>
    </w:pPr>
    <w:rPr>
      <w:i/>
      <w:lang w:val="fr-FR"/>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B81A9B"/>
    <w:pPr>
      <w:spacing w:before="240"/>
    </w:pPr>
    <w:rPr>
      <w:b/>
      <w:lang w:val="fr-FR"/>
    </w:rPr>
  </w:style>
  <w:style w:type="paragraph" w:customStyle="1" w:styleId="CrossRef">
    <w:name w:val="CrossRef"/>
    <w:basedOn w:val="Normal"/>
    <w:rsid w:val="00B81A9B"/>
    <w:pPr>
      <w:spacing w:before="240"/>
      <w:jc w:val="center"/>
    </w:pPr>
    <w:rPr>
      <w:i/>
      <w:lang w:val="fr-FR"/>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 w:type="character" w:customStyle="1" w:styleId="pointer">
    <w:name w:val="pointer"/>
    <w:basedOn w:val="DefaultParagraphFont"/>
    <w:rsid w:val="00341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18404</Words>
  <Characters>108637</Characters>
  <Application>Microsoft Office Word</Application>
  <DocSecurity>0</DocSecurity>
  <Lines>4631</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2025-05-28T08:46:00Z</dcterms:created>
  <dcterms:modified xsi:type="dcterms:W3CDTF">2025-05-28T08:46:00Z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AM\1321470BG.docx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OK - 2025/05/28 10:46</vt:lpwstr>
  </property>
</Properties>
</file>