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9C4E04" w:rsidRPr="009C4E04" w:rsidTr="00631FE6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9C4E04" w:rsidRPr="009C4E04" w:rsidRDefault="009C4E04" w:rsidP="00631FE6">
            <w:pPr>
              <w:pStyle w:val="EPName"/>
            </w:pPr>
            <w:r w:rsidRPr="009C4E04">
              <w:t>Europski parlament</w:t>
            </w:r>
          </w:p>
          <w:p w:rsidR="009C4E04" w:rsidRPr="009C4E04" w:rsidRDefault="009C4E04" w:rsidP="00631FE6">
            <w:pPr>
              <w:pStyle w:val="EPTerm"/>
            </w:pPr>
            <w:r w:rsidRPr="009C4E04">
              <w:t>2024-2029</w:t>
            </w:r>
          </w:p>
        </w:tc>
        <w:tc>
          <w:tcPr>
            <w:tcW w:w="2268" w:type="dxa"/>
            <w:shd w:val="clear" w:color="auto" w:fill="auto"/>
          </w:tcPr>
          <w:p w:rsidR="009C4E04" w:rsidRPr="009C4E04" w:rsidRDefault="009C4E04" w:rsidP="00631FE6">
            <w:pPr>
              <w:pStyle w:val="EPLogo"/>
            </w:pPr>
            <w:r w:rsidRPr="009C4E04">
              <w:rPr>
                <w:noProof/>
                <w:lang w:val="en-GB"/>
              </w:rPr>
              <w:drawing>
                <wp:inline distT="0" distB="0" distL="0" distR="0" wp14:anchorId="5E9D1412" wp14:editId="4B17E249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4E04" w:rsidRPr="009C4E04" w:rsidRDefault="009C4E04" w:rsidP="009C4E04">
      <w:pPr>
        <w:pStyle w:val="LineTop"/>
      </w:pPr>
    </w:p>
    <w:p w:rsidR="009C4E04" w:rsidRPr="009C4E04" w:rsidRDefault="009C4E04" w:rsidP="009C4E04">
      <w:pPr>
        <w:pStyle w:val="EPBody"/>
      </w:pPr>
      <w:r w:rsidRPr="009C4E04">
        <w:rPr>
          <w:rStyle w:val="HideTWBExt"/>
          <w:i w:val="0"/>
          <w:szCs w:val="20"/>
        </w:rPr>
        <w:t>&lt;Commission&gt;</w:t>
      </w:r>
      <w:r w:rsidRPr="009C4E04">
        <w:rPr>
          <w:rStyle w:val="HideTWBInt"/>
          <w:i w:val="0"/>
          <w:szCs w:val="20"/>
        </w:rPr>
        <w:t>{EMPL}</w:t>
      </w:r>
      <w:r w:rsidRPr="009C4E04">
        <w:t>Odbor za zapošljavanje i socijalna pitanja</w:t>
      </w:r>
      <w:r w:rsidRPr="009C4E04">
        <w:rPr>
          <w:rStyle w:val="HideTWBExt"/>
          <w:i w:val="0"/>
          <w:szCs w:val="20"/>
        </w:rPr>
        <w:t>&lt;/Commission&gt;</w:t>
      </w:r>
    </w:p>
    <w:p w:rsidR="009C4E04" w:rsidRPr="009C4E04" w:rsidRDefault="009C4E04" w:rsidP="009C4E04">
      <w:pPr>
        <w:pStyle w:val="LineBottom"/>
      </w:pPr>
    </w:p>
    <w:p w:rsidR="009C4E04" w:rsidRPr="009C4E04" w:rsidRDefault="009C4E04" w:rsidP="009C4E04">
      <w:pPr>
        <w:pStyle w:val="CoverReference"/>
      </w:pPr>
      <w:r w:rsidRPr="009C4E04">
        <w:rPr>
          <w:rStyle w:val="HideTWBExt"/>
          <w:b w:val="0"/>
        </w:rPr>
        <w:t>&lt;RefProc&gt;</w:t>
      </w:r>
      <w:r w:rsidRPr="009C4E04">
        <w:t>2025/0085</w:t>
      </w:r>
      <w:r w:rsidRPr="009C4E04">
        <w:rPr>
          <w:rStyle w:val="HideTWBExt"/>
          <w:b w:val="0"/>
        </w:rPr>
        <w:t>&lt;/RefProc&gt;&lt;RefTypeProc&gt;</w:t>
      </w:r>
      <w:r w:rsidRPr="009C4E04">
        <w:t>(COD)</w:t>
      </w:r>
      <w:r w:rsidRPr="009C4E04">
        <w:rPr>
          <w:rStyle w:val="HideTWBExt"/>
          <w:b w:val="0"/>
        </w:rPr>
        <w:t>&lt;/RefTypeProc&gt;</w:t>
      </w:r>
    </w:p>
    <w:p w:rsidR="00D71A71" w:rsidRPr="0070486D" w:rsidRDefault="00D71A71" w:rsidP="00D71A71">
      <w:pPr>
        <w:pStyle w:val="CoverDate"/>
      </w:pPr>
      <w:r w:rsidRPr="0070486D">
        <w:rPr>
          <w:rStyle w:val="HideTWBExt"/>
          <w:noProof w:val="0"/>
        </w:rPr>
        <w:t>&lt;Date&gt;</w:t>
      </w:r>
      <w:r w:rsidRPr="0070486D">
        <w:rPr>
          <w:rStyle w:val="HideTWBInt"/>
        </w:rPr>
        <w:t>{20/05/2025}</w:t>
      </w:r>
      <w:r w:rsidRPr="0070486D">
        <w:t>20.5.2025</w:t>
      </w:r>
      <w:r w:rsidRPr="0070486D">
        <w:rPr>
          <w:rStyle w:val="HideTWBExt"/>
          <w:noProof w:val="0"/>
        </w:rPr>
        <w:t>&lt;/Date&gt;</w:t>
      </w:r>
    </w:p>
    <w:p w:rsidR="00D71A71" w:rsidRPr="0070486D" w:rsidRDefault="00D71A71" w:rsidP="00D71A71">
      <w:pPr>
        <w:pStyle w:val="CoverDocType"/>
      </w:pPr>
      <w:r w:rsidRPr="0070486D">
        <w:rPr>
          <w:rStyle w:val="HideTWBExt"/>
          <w:b w:val="0"/>
          <w:noProof w:val="0"/>
        </w:rPr>
        <w:t>&lt;TypeAM&gt;</w:t>
      </w:r>
      <w:r>
        <w:t>AMANDMANI</w:t>
      </w:r>
      <w:r w:rsidRPr="0070486D">
        <w:rPr>
          <w:rStyle w:val="HideTWBExt"/>
          <w:b w:val="0"/>
          <w:noProof w:val="0"/>
        </w:rPr>
        <w:t>&lt;/TypeAM&gt;</w:t>
      </w:r>
      <w:bookmarkStart w:id="0" w:name="_GoBack"/>
      <w:bookmarkEnd w:id="0"/>
    </w:p>
    <w:p w:rsidR="009C4E04" w:rsidRPr="009C4E04" w:rsidRDefault="009C4E04" w:rsidP="009C4E04">
      <w:pPr>
        <w:pStyle w:val="CoverDocType24a"/>
      </w:pPr>
      <w:r w:rsidRPr="009C4E04">
        <w:rPr>
          <w:rStyle w:val="HideTWBExt"/>
          <w:b w:val="0"/>
        </w:rPr>
        <w:t>&lt;RangeAM&gt;</w:t>
      </w:r>
      <w:r w:rsidRPr="009C4E04">
        <w:t>1 - 113</w:t>
      </w:r>
      <w:r w:rsidRPr="009C4E04">
        <w:rPr>
          <w:rStyle w:val="HideTWBExt"/>
          <w:b w:val="0"/>
        </w:rPr>
        <w:t>&lt;/RangeAM&gt;</w:t>
      </w:r>
    </w:p>
    <w:p w:rsidR="009C4E04" w:rsidRPr="009C4E04" w:rsidRDefault="009C4E04" w:rsidP="009C4E04">
      <w:pPr>
        <w:pStyle w:val="CoverBold"/>
      </w:pPr>
      <w:r w:rsidRPr="009C4E04">
        <w:rPr>
          <w:rStyle w:val="HideTWBExt"/>
          <w:b w:val="0"/>
        </w:rPr>
        <w:t>&lt;TitreType&gt;</w:t>
      </w:r>
      <w:r w:rsidRPr="009C4E04">
        <w:t>Nacrt izvješća</w:t>
      </w:r>
      <w:r w:rsidRPr="009C4E04">
        <w:rPr>
          <w:rStyle w:val="HideTWBExt"/>
          <w:b w:val="0"/>
        </w:rPr>
        <w:t>&lt;/TitreType&gt;</w:t>
      </w:r>
    </w:p>
    <w:p w:rsidR="009C4E04" w:rsidRPr="009C4E04" w:rsidRDefault="009C4E04" w:rsidP="009C4E04">
      <w:pPr>
        <w:pStyle w:val="CoverBold"/>
      </w:pPr>
      <w:r w:rsidRPr="009C4E04">
        <w:rPr>
          <w:rStyle w:val="HideTWBExt"/>
          <w:b w:val="0"/>
        </w:rPr>
        <w:t>&lt;Rapporteur&gt;</w:t>
      </w:r>
      <w:r w:rsidRPr="009C4E04">
        <w:t>Marit Maij</w:t>
      </w:r>
      <w:r w:rsidRPr="009C4E04">
        <w:rPr>
          <w:rStyle w:val="HideTWBExt"/>
          <w:b w:val="0"/>
        </w:rPr>
        <w:t>&lt;/Rapporteur&gt;</w:t>
      </w:r>
    </w:p>
    <w:p w:rsidR="009C4E04" w:rsidRPr="009C4E04" w:rsidRDefault="009C4E04" w:rsidP="009C4E04">
      <w:pPr>
        <w:pStyle w:val="CoverNormal24a"/>
      </w:pPr>
    </w:p>
    <w:p w:rsidR="009C4E04" w:rsidRPr="009C4E04" w:rsidRDefault="009C4E04" w:rsidP="009C4E04">
      <w:pPr>
        <w:pStyle w:val="CoverNormal24a"/>
      </w:pPr>
      <w:r w:rsidRPr="009C4E04">
        <w:rPr>
          <w:rStyle w:val="HideTWBExt"/>
        </w:rPr>
        <w:t>&lt;Titre&gt;</w:t>
      </w:r>
      <w:r w:rsidRPr="009C4E04">
        <w:t>o izmjeni Uredbe (EU) 2021/1057 o uspostavi Europskog socijalnog fonda plus (ESF+) u pogledu posebnih mjera za svladavanje strateških izazova</w:t>
      </w:r>
      <w:r w:rsidRPr="009C4E04">
        <w:rPr>
          <w:rStyle w:val="HideTWBExt"/>
        </w:rPr>
        <w:t>&lt;/Titre&gt;</w:t>
      </w:r>
    </w:p>
    <w:p w:rsidR="009C4E04" w:rsidRPr="009C4E04" w:rsidRDefault="009C4E04" w:rsidP="009C4E04">
      <w:pPr>
        <w:pStyle w:val="CoverNormal"/>
      </w:pPr>
      <w:r w:rsidRPr="009C4E04">
        <w:rPr>
          <w:rStyle w:val="HideTWBExt"/>
        </w:rPr>
        <w:t>&lt;DocAmend&gt;</w:t>
      </w:r>
      <w:r w:rsidRPr="009C4E04">
        <w:t>Prijedlog uredbe</w:t>
      </w:r>
      <w:r w:rsidRPr="009C4E04">
        <w:rPr>
          <w:rStyle w:val="HideTWBExt"/>
        </w:rPr>
        <w:t>&lt;/DocAmend&gt;</w:t>
      </w:r>
    </w:p>
    <w:p w:rsidR="009C4E04" w:rsidRPr="009C4E04" w:rsidRDefault="009C4E04" w:rsidP="009C4E04">
      <w:pPr>
        <w:pStyle w:val="CoverNormal24a"/>
      </w:pPr>
      <w:r w:rsidRPr="009C4E04">
        <w:rPr>
          <w:rStyle w:val="HideTWBExt"/>
        </w:rPr>
        <w:t>&lt;DocRef&gt;</w:t>
      </w:r>
      <w:r w:rsidRPr="009C4E04">
        <w:t>(COM(2025)0164 – C10</w:t>
      </w:r>
      <w:r w:rsidRPr="009C4E04">
        <w:noBreakHyphen/>
        <w:t>0064/2025 – 2025/0085(COD))</w:t>
      </w:r>
      <w:r w:rsidRPr="009C4E04">
        <w:rPr>
          <w:rStyle w:val="HideTWBExt"/>
        </w:rPr>
        <w:t>&lt;/DocRef&gt;</w:t>
      </w:r>
    </w:p>
    <w:p w:rsidR="00B85286" w:rsidRPr="009C4E04" w:rsidRDefault="00FD39E9" w:rsidP="00E660E2">
      <w:pPr>
        <w:widowControl/>
        <w:tabs>
          <w:tab w:val="center" w:pos="4677"/>
        </w:tabs>
      </w:pPr>
      <w:r w:rsidRPr="009C4E04">
        <w:br w:type="page"/>
      </w:r>
      <w:r w:rsidRPr="009C4E04">
        <w:lastRenderedPageBreak/>
        <w:t>AM_Com_LegReport</w:t>
      </w:r>
    </w:p>
    <w:p w:rsidR="009C4E04" w:rsidRPr="009C4E04" w:rsidRDefault="00FD39E9" w:rsidP="009C4E04">
      <w:pPr>
        <w:pStyle w:val="AMNumberTabs0"/>
        <w:keepNext/>
      </w:pPr>
      <w:r w:rsidRPr="009C4E04">
        <w:br w:type="page"/>
      </w:r>
      <w:r w:rsidR="009C4E04" w:rsidRPr="009C4E04">
        <w:rPr>
          <w:rStyle w:val="HideTWBExt"/>
          <w:b w:val="0"/>
        </w:rPr>
        <w:lastRenderedPageBreak/>
        <w:t>&lt;RepeatBlock-Amend&gt;&lt;Amend&gt;</w:t>
      </w:r>
      <w:r w:rsidR="009C4E04" w:rsidRPr="009C4E04">
        <w:t>Amandman</w:t>
      </w:r>
      <w:r w:rsidR="009C4E04" w:rsidRPr="009C4E04">
        <w:tab/>
      </w:r>
      <w:r w:rsidR="009C4E04" w:rsidRPr="009C4E04">
        <w:tab/>
      </w:r>
      <w:r w:rsidR="009C4E04" w:rsidRPr="009C4E04">
        <w:rPr>
          <w:rStyle w:val="HideTWBExt"/>
          <w:b w:val="0"/>
        </w:rPr>
        <w:t>&lt;NumAm&gt;</w:t>
      </w:r>
      <w:r w:rsidR="009C4E04" w:rsidRPr="009C4E04">
        <w:t>1</w:t>
      </w:r>
      <w:r w:rsidR="009C4E04"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Estrella Galán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–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ColumnHeading"/>
              <w:keepNext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Prijedlog za odbijanje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Europski parlament odbija prijedlog Komisije.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(Iz fonda ESF+ ne smiju se financirati vještine niti mjere zapošljavanja povezane s obrambenim sektorom. Fond mora ostati predan svojim civilnim i socijalnim ciljevima te se ne smije prenamijeniti da bi se hitnim postupcima legitimizirale reforme povezane s obranom. Iako podupiremo dekarbonizaciju, koja je već izričito dopuštena za financiranje te se financira iz fonda ESF+, odbacujemo njezinu instrumentalizaciju za potrebe opravdavanja rashoda za obranu i naglašavamo da je za klimatsku politiku potrebna redovita demokratska rasprava.)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Pozivanje 5.a (novo)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uzimajući u obzir Mišljenje 02/2025 Europskog revizorskog suda,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lastRenderedPageBreak/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 -1.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(-1)</w:t>
            </w:r>
            <w:r w:rsidRPr="009C4E04">
              <w:rPr>
                <w:b/>
                <w:i/>
              </w:rPr>
              <w:tab/>
              <w:t>Glavni je cilj fonda ESF+ poduprijeti socijalnu uključenost i socijalnu koheziju te ostvariti načela i glavne ciljeve europskog stupa socijalnih prava podupiranjem ulaganja u ljude i sustave u području politike zapošljavanja, obrazovanja i socijalne uključenosti.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Branislav Ondruš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 1.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(1)</w:t>
            </w:r>
            <w:r w:rsidRPr="009C4E04">
              <w:rPr>
                <w:b/>
                <w:i/>
              </w:rPr>
              <w:tab/>
              <w:t>S obzirom na važne geopolitičke i gospodarske događaje koji su promijenili neke od strateških političkih prioriteta Unije, državama članicama treba omogućiti da odgovore na te strateške izazove i preusmjere svoja sredstva na nove prioritete.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Marie Dauchy, Nikola Bartůšek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{EMPL}</w:t>
      </w:r>
      <w:r w:rsidRPr="009C4E04">
        <w:t>u ime Odbora za zapošljavanje i socijalna pitanja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&lt;Members&gt;</w:t>
      </w:r>
      <w:r w:rsidRPr="009C4E04">
        <w:t>Séverine Werbrouck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 1.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 xml:space="preserve">S obzirom na važne geopolitičke i gospodarske događaje koji su promijenili </w:t>
            </w:r>
            <w:r w:rsidRPr="009C4E04">
              <w:lastRenderedPageBreak/>
              <w:t>neke od strateških političkih prioriteta Unije, državama članicama treba omogućiti da odgovore na te strateške izazove i preusmjere svoja sredstva na nove prioritete.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(1)</w:t>
            </w:r>
            <w:r w:rsidRPr="009C4E04">
              <w:tab/>
              <w:t xml:space="preserve">S obzirom na važne geopolitičke i gospodarske događaje koji su promijenili </w:t>
            </w:r>
            <w:r w:rsidRPr="009C4E04">
              <w:lastRenderedPageBreak/>
              <w:t xml:space="preserve">neke od strateških političkih prioriteta Unije, </w:t>
            </w:r>
            <w:r w:rsidRPr="009C4E04">
              <w:rPr>
                <w:b/>
                <w:i/>
              </w:rPr>
              <w:t xml:space="preserve">kao i na znatnu razliku između ciljeva fonda ESF+ i stvarnih zabrinutosti država članica u njegovu programiranju za razdoblje 2021. – 2027., </w:t>
            </w:r>
            <w:r w:rsidRPr="009C4E04">
              <w:t>državama članicama treba omogućiti da odgovore na te strateške izazove i preusmjere svoja sredstva na nove prioritete.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{FR}</w:t>
      </w:r>
      <w:r w:rsidRPr="009C4E04">
        <w:rPr>
          <w:noProof w:val="0"/>
        </w:rPr>
        <w:t>fr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 1.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 xml:space="preserve">S obzirom na važne geopolitičke i gospodarske događaje koji su promijenili neke od strateških političkih prioriteta Unije, državama članicama treba </w:t>
            </w:r>
            <w:r w:rsidRPr="009C4E04">
              <w:rPr>
                <w:b/>
                <w:i/>
              </w:rPr>
              <w:t>omogućiti</w:t>
            </w:r>
            <w:r w:rsidRPr="009C4E04">
              <w:t xml:space="preserve"> da odgovore na te strateške izazove i preusmjere svoja sredstva na nove prioritete</w:t>
            </w:r>
            <w:r w:rsidRPr="009C4E04"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(1)</w:t>
            </w:r>
            <w:r w:rsidRPr="009C4E04">
              <w:tab/>
              <w:t xml:space="preserve">S obzirom na važne geopolitičke i gospodarske događaje koji su promijenili neke od strateških političkih prioriteta Unije, državama članicama treba </w:t>
            </w:r>
            <w:r w:rsidRPr="009C4E04">
              <w:rPr>
                <w:b/>
                <w:i/>
              </w:rPr>
              <w:t>pružiti više strukturnih mogućnosti</w:t>
            </w:r>
            <w:r w:rsidRPr="009C4E04">
              <w:t xml:space="preserve"> da odgovore na te strateške izazove i </w:t>
            </w:r>
            <w:r w:rsidRPr="009C4E04">
              <w:rPr>
                <w:b/>
                <w:i/>
              </w:rPr>
              <w:t xml:space="preserve">potrebe industrija za ulaganjem te da </w:t>
            </w:r>
            <w:r w:rsidRPr="009C4E04">
              <w:t>preusmjere svoja sredstva na nove prioritete</w:t>
            </w:r>
            <w:r w:rsidRPr="009C4E04">
              <w:rPr>
                <w:b/>
                <w:i/>
              </w:rPr>
              <w:t>, uz istodobno očuvanje kohezije, otvaranje kvalitetnih radnih mjesta i očuvanje jednakih uvjeta za sve na unutarnjem tržištu;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 1.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 xml:space="preserve">S obzirom na važne geopolitičke i gospodarske događaje koji su promijenili </w:t>
            </w:r>
            <w:r w:rsidRPr="009C4E04">
              <w:lastRenderedPageBreak/>
              <w:t>neke od strateških političkih prioriteta Unije, državama članicama treba omogućiti da odgovore na te strateške izazove i preusmjere svoja sredstva na nove prioritete.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(1)</w:t>
            </w:r>
            <w:r w:rsidRPr="009C4E04">
              <w:tab/>
              <w:t xml:space="preserve">S obzirom na važne geopolitičke i gospodarske događaje koji su promijenili </w:t>
            </w:r>
            <w:r w:rsidRPr="009C4E04">
              <w:lastRenderedPageBreak/>
              <w:t>neke od strateških političkih prioriteta Unije, državama članicama treba omogućiti da odgovore na te strateške izazove i preusmjere svoja sredstva na nove prioritete</w:t>
            </w:r>
            <w:r w:rsidRPr="009C4E04">
              <w:rPr>
                <w:b/>
                <w:i/>
              </w:rPr>
              <w:t xml:space="preserve"> ako nije moguće riješiti te probleme u okviru područja primjene trenutačnih programa</w:t>
            </w:r>
            <w:r w:rsidRPr="009C4E04">
              <w:t>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Brigitte van den Berg, Jana Toom, Hristo Petrov, Grégory Allione, Eugen Tomac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 1.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>S obzirom na važne geopolitičke i gospodarske događaje koji su promijenili neke od strateških političkih prioriteta Unije, državama članicama treba omogućiti da odgovore na te strateške izazove i preusmjere svoja sredstva na nove prioritete.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(1)</w:t>
            </w:r>
            <w:r w:rsidRPr="009C4E04">
              <w:tab/>
              <w:t>S obzirom na važne geopolitičke i gospodarske događaje koji su promijenili neke od strateških političkih prioriteta Unije, državama članicama treba omogućiti da odgovore na te strateške izazove i preusmjere svoja sredstva na nove prioritete</w:t>
            </w:r>
            <w:r w:rsidRPr="009C4E04">
              <w:rPr>
                <w:b/>
                <w:i/>
              </w:rPr>
              <w:t>, na uključiv način</w:t>
            </w:r>
            <w:r w:rsidRPr="009C4E04">
              <w:t>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1.a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(1.a)</w:t>
            </w:r>
            <w:r w:rsidRPr="009C4E04">
              <w:rPr>
                <w:b/>
                <w:i/>
              </w:rPr>
              <w:tab/>
              <w:t xml:space="preserve">Prema Mišljenju Europskog revizorskog suda 02/2025 opetovana upotreba sredstava kohezijske politike za reagiranje na krizne situacije (npr. mjere za rješavanje problema migracijskih kriza ili drugih kriznih situacija) mogla bi ugroziti primarni cilj kohezijske politike, a to je smanjenje teritorijalnih razlika i </w:t>
            </w:r>
            <w:r w:rsidRPr="009C4E04">
              <w:rPr>
                <w:b/>
                <w:i/>
              </w:rPr>
              <w:lastRenderedPageBreak/>
              <w:t>promicanje gospodarske i socijalne kohezije u Europskoj uniji.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1.a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(1.a)</w:t>
            </w:r>
            <w:r w:rsidRPr="009C4E04">
              <w:rPr>
                <w:b/>
                <w:i/>
              </w:rPr>
              <w:tab/>
              <w:t>Glavni je cilj fonda ESF+ pružiti potporu državama članicama i regijama u postizanju socijalne uključenosti i aktiviranju tržišta rada ostvarivanjem načela i glavnih ciljeva europskog stupa socijalnih prava, koji su još daleko od ostvarenja.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1.b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(1.b)</w:t>
            </w:r>
            <w:r w:rsidRPr="009C4E04">
              <w:rPr>
                <w:b/>
                <w:i/>
              </w:rPr>
              <w:tab/>
              <w:t xml:space="preserve">Europska unija i države članice i dalje pokazuju da mogu brzo reagirati na geopolitičke događaje i da su spremne iskoristiti dostatna financijska sredstva za jačanje naše obrambene industrije preko različitih europskih i nacionalnih programa, što je pozitivno i potrebno za sigurnost Unije. Važno je ojačati naš obrambeni sektor programima za postizanje konkurentnosti. Istodobno je </w:t>
            </w:r>
            <w:r w:rsidRPr="009C4E04">
              <w:rPr>
                <w:b/>
                <w:i/>
              </w:rPr>
              <w:lastRenderedPageBreak/>
              <w:t>iznimno važno nastaviti ulagati u socijalne ciljeve naše Unije preko fonda ESF+ jer je socijalna kohezija temelj naše demokratske i društvene otpornosti koja je presudna za suočavanje s prijetnjama od agresije.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Marc Angel, Idoia Mendia, Vilija Blinkevičiūtė, Aodhán Ó Ríordáin, Evelyn Regner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1.c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(1.c)</w:t>
            </w:r>
            <w:r w:rsidRPr="009C4E04">
              <w:rPr>
                <w:b/>
                <w:i/>
              </w:rPr>
              <w:tab/>
              <w:t>Kohezijska politika mora ostati dugoročna politika utemeljena na ciljevima utvrđenima u člancima 174. i 175. UFEU-a. Kohezijska politika često se upotrebljava kao instrument za reagiranje na krizne situacije, a time se ne bi smjeli ugroziti dugoročniji politički i investicijski ciljevi kohezijske politike.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Branislav Ondruš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2.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(2)</w:t>
            </w:r>
            <w:r w:rsidRPr="009C4E04">
              <w:rPr>
                <w:b/>
                <w:i/>
              </w:rPr>
              <w:tab/>
              <w:t>Bijela knjiga o europskoj obrambenoj spremnosti 2030.</w:t>
            </w:r>
            <w:r w:rsidRPr="009C4E04">
              <w:rPr>
                <w:b/>
                <w:i/>
                <w:vertAlign w:val="superscript"/>
              </w:rPr>
              <w:t>3</w:t>
            </w:r>
            <w:r w:rsidRPr="009C4E04">
              <w:rPr>
                <w:b/>
                <w:i/>
              </w:rPr>
              <w:t xml:space="preserve"> temelj je za uspostavu istinske europske obrambene unije i u njoj se, među ostalim, poziva države članice da intenzivno ulažu u obranu i obrambenu industriju. U tom su pogledu u Komunikaciji Komisije „Unija </w:t>
            </w:r>
            <w:r w:rsidRPr="009C4E04">
              <w:rPr>
                <w:b/>
                <w:i/>
              </w:rPr>
              <w:lastRenderedPageBreak/>
              <w:t>vještina” od 5. ožujka 2025.</w:t>
            </w:r>
            <w:r w:rsidRPr="009C4E04">
              <w:rPr>
                <w:b/>
                <w:i/>
                <w:vertAlign w:val="superscript"/>
              </w:rPr>
              <w:t>4</w:t>
            </w:r>
            <w:r w:rsidRPr="009C4E04">
              <w:rPr>
                <w:b/>
                <w:i/>
              </w:rPr>
              <w:t xml:space="preserve"> („Komunikacija o uniji vještina”) utvrđene mjere za rješavanje problema manjka vještina u Uniji, među ostalim u okviru inicijative o paktu za vještine iz te komunikacije i velikih partnerstava koja se uspostavljaju u okviru tog pakta, uključujući partnerstva u području obrambenog ekosustava. Stoga je primjereno uključiti poticaje za fond ESF+ uspostavljen Uredbom (EU) 2021/1057 Europskog parlamenta i Vijeća</w:t>
            </w:r>
            <w:r w:rsidRPr="009C4E04">
              <w:rPr>
                <w:b/>
                <w:i/>
                <w:vertAlign w:val="superscript"/>
              </w:rPr>
              <w:t>5</w:t>
            </w:r>
            <w:r w:rsidRPr="009C4E04">
              <w:rPr>
                <w:b/>
                <w:i/>
              </w:rPr>
              <w:t xml:space="preserve"> kako bi se olakšao razvoj vještina u obrambenoj industriji.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lastRenderedPageBreak/>
              <w:t>Briše se.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__________________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  <w:vertAlign w:val="superscript"/>
              </w:rPr>
              <w:t>3</w:t>
            </w:r>
            <w:r w:rsidRPr="009C4E04">
              <w:t xml:space="preserve"> </w:t>
            </w:r>
            <w:r w:rsidRPr="009C4E04">
              <w:rPr>
                <w:b/>
                <w:i/>
              </w:rPr>
              <w:t xml:space="preserve"> Zajednička bijela knjiga o europskoj obrambenoj spremnosti 2030., JOIN(2025) 120 final, 19.3.2025.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  <w:vertAlign w:val="superscript"/>
              </w:rPr>
              <w:t>4</w:t>
            </w:r>
            <w:r w:rsidRPr="009C4E04">
              <w:t xml:space="preserve"> </w:t>
            </w:r>
            <w:r w:rsidRPr="009C4E04">
              <w:rPr>
                <w:b/>
                <w:i/>
              </w:rPr>
              <w:t>COM (2025) 90 završna verzija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  <w:vertAlign w:val="superscript"/>
              </w:rPr>
              <w:t>5</w:t>
            </w:r>
            <w:r w:rsidRPr="009C4E04">
              <w:t xml:space="preserve"> </w:t>
            </w:r>
            <w:r w:rsidRPr="009C4E04">
              <w:rPr>
                <w:b/>
                <w:i/>
              </w:rPr>
              <w:t>Uredba (EU) 2021/1057 Europskog parlamenta i Vijeća od 24. lipnja 2021. o uspostavi Europskog socijalnog fonda plus (ESF+) i stavljanju izvan snage Uredbe (EU) br. 1296/2013 (SL L 231, 30.6.2021., str. 21., ELI: http://data.europa.eu/eli/reg/2021/1057/oj).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Grégory Allione, Brigitte van den Berg, Marie-Pierre Vedrenne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2.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  <w:t>Bijela knjiga o europskoj obrambenoj spremnosti 2030.</w:t>
            </w:r>
            <w:r w:rsidRPr="009C4E04">
              <w:rPr>
                <w:vertAlign w:val="superscript"/>
              </w:rPr>
              <w:t>3</w:t>
            </w:r>
            <w:r w:rsidRPr="009C4E04">
              <w:t xml:space="preserve"> temelj je za uspostavu istinske europske obrambene unije i u njoj se, među ostalim, poziva države članice da intenzivno ulažu u </w:t>
            </w:r>
            <w:r w:rsidRPr="009C4E04">
              <w:lastRenderedPageBreak/>
              <w:t>obranu i obrambenu industriju. U tom su pogledu u Komunikaciji Komisije „Unija vještina” od 5. ožujka 2025.</w:t>
            </w:r>
            <w:r w:rsidRPr="009C4E04">
              <w:rPr>
                <w:vertAlign w:val="superscript"/>
              </w:rPr>
              <w:t>4</w:t>
            </w:r>
            <w:r w:rsidRPr="009C4E04">
              <w:t xml:space="preserve"> („Komunikacija o uniji vještina”) utvrđene mjere za rješavanje problema manjka vještina u Uniji, među ostalim u okviru inicijative o paktu za vještine iz te komunikacije i velikih partnerstava koja se uspostavljaju u okviru tog pakta, uključujući partnerstva u području obrambenog ekosustava. Stoga je primjereno uključiti poticaje za fond ESF+ uspostavljen Uredbom (EU) 2021/1057 Europskog parlamenta i Vijeća</w:t>
            </w:r>
            <w:r w:rsidRPr="009C4E04">
              <w:rPr>
                <w:vertAlign w:val="superscript"/>
              </w:rPr>
              <w:t>5</w:t>
            </w:r>
            <w:r w:rsidRPr="009C4E04">
              <w:t xml:space="preserve"> kako bi se olakšao razvoj vještina u obrambenoj industriji.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(2)</w:t>
            </w:r>
            <w:r w:rsidRPr="009C4E04">
              <w:tab/>
            </w:r>
            <w:r w:rsidRPr="009C4E04">
              <w:rPr>
                <w:b/>
                <w:i/>
              </w:rPr>
              <w:t xml:space="preserve">Kao dopuna izvješću Saulija Niinistöa „Safer together: Strenghtening Europe's civilian and military Preparedness and Readiness” (Sigurniji zajedno: Jačanje europske civilne i vojne </w:t>
            </w:r>
            <w:r w:rsidRPr="009C4E04">
              <w:rPr>
                <w:b/>
                <w:i/>
              </w:rPr>
              <w:lastRenderedPageBreak/>
              <w:t>spremnosti i pripravnosti)</w:t>
            </w:r>
            <w:r w:rsidRPr="009C4E04">
              <w:rPr>
                <w:b/>
                <w:i/>
                <w:vertAlign w:val="superscript"/>
              </w:rPr>
              <w:t>2a</w:t>
            </w:r>
            <w:r w:rsidRPr="009C4E04">
              <w:rPr>
                <w:b/>
                <w:i/>
              </w:rPr>
              <w:t xml:space="preserve"> i strategiji Unije za spremnost EU-a</w:t>
            </w:r>
            <w:r w:rsidRPr="009C4E04">
              <w:rPr>
                <w:b/>
                <w:i/>
                <w:vertAlign w:val="superscript"/>
              </w:rPr>
              <w:t>2b</w:t>
            </w:r>
            <w:r w:rsidRPr="009C4E04">
              <w:t xml:space="preserve"> Bijela knjiga o europskoj obrambenoj spremnosti 2030.</w:t>
            </w:r>
            <w:r w:rsidRPr="009C4E04">
              <w:rPr>
                <w:vertAlign w:val="superscript"/>
              </w:rPr>
              <w:t>3</w:t>
            </w:r>
            <w:r w:rsidRPr="009C4E04">
              <w:t xml:space="preserve"> temelj je za uspostavu istinske europske obrambene unije i u njoj se, među ostalim, poziva države članice da intenzivno ulažu u obranu</w:t>
            </w:r>
            <w:r w:rsidRPr="009C4E04">
              <w:rPr>
                <w:b/>
                <w:i/>
              </w:rPr>
              <w:t>, civilnu zaštitu</w:t>
            </w:r>
            <w:r w:rsidRPr="009C4E04">
              <w:t xml:space="preserve"> i obrambenu industriju</w:t>
            </w:r>
            <w:r w:rsidRPr="009C4E04">
              <w:rPr>
                <w:b/>
                <w:i/>
              </w:rPr>
              <w:t xml:space="preserve"> te u tehnologije s dvojnom namjenom, što bi trebalo ići ruku pod ruku sa socijalnom potrošnjom, otvaranjem radnih mjesta te mogućnostima usavršavanja i prekvalifikacije</w:t>
            </w:r>
            <w:r w:rsidRPr="009C4E04">
              <w:t>. U tom su pogledu u Komunikaciji Komisije „Unija vještina” od 5. ožujka 2025.</w:t>
            </w:r>
            <w:r w:rsidRPr="009C4E04">
              <w:rPr>
                <w:vertAlign w:val="superscript"/>
              </w:rPr>
              <w:t>4</w:t>
            </w:r>
            <w:r w:rsidRPr="009C4E04">
              <w:t xml:space="preserve"> („Komunikacija o uniji vještina”) utvrđene mjere za rješavanje problema manjka vještina u Uniji, među ostalim u okviru inicijative o paktu za vještine iz te komunikacije i velikih partnerstava koja se uspostavljaju u okviru tog pakta, uključujući partnerstva u području obrambenog ekosustava</w:t>
            </w:r>
            <w:r w:rsidRPr="009C4E04">
              <w:rPr>
                <w:b/>
                <w:i/>
              </w:rPr>
              <w:t>, uzajamno priznavanje kvalifikacija i diploma, mobilnost radne snage te inicijative u području strukovnog obrazovanja i osposobljavanja. Kako bi se državama članicama omogućilo ostvarivanje ciljeva iz ove Uredbe, trebalo bi poticati suradnju između javnih i privatnih aktera, kao i aktivno sudjelovanje socijalnih partnera, uključujući sindikate i organizacije poslodavaca, da bi se osigurao uključiv i održiv rast. Kako bi se državama članicama omogućilo da provedu smisleno i pravedno reprogramiranje i usmjere resurse na strateške aktere, primjereno je podržati mala i srednja poduzeća te start-up poduzeća u ključnoj ulozi koju imaju u području inovacija, gospodarske dinamičnosti i otvaranja radnih mjesta, s posebnim naglaskom na smanjenju prepreka za njihovo sudjelovanje te olakšavanju njihova pristupa resursima i mogućnostima</w:t>
            </w:r>
            <w:r w:rsidRPr="009C4E04">
              <w:t>. Stoga je primjereno uključiti poticaje za fond ESF+ uspostavljen Uredbom (EU) 2021/1057 Europskog parlamenta i Vijeća</w:t>
            </w:r>
            <w:r w:rsidRPr="009C4E04">
              <w:rPr>
                <w:vertAlign w:val="superscript"/>
              </w:rPr>
              <w:t>5</w:t>
            </w:r>
            <w:r w:rsidRPr="009C4E04">
              <w:t xml:space="preserve"> </w:t>
            </w:r>
            <w:r w:rsidRPr="009C4E04">
              <w:lastRenderedPageBreak/>
              <w:t xml:space="preserve">kako bi se olakšao razvoj vještina </w:t>
            </w:r>
            <w:r w:rsidRPr="009C4E04">
              <w:rPr>
                <w:b/>
                <w:i/>
              </w:rPr>
              <w:t xml:space="preserve">i osposobljavanja </w:t>
            </w:r>
            <w:r w:rsidRPr="009C4E04">
              <w:t xml:space="preserve">u </w:t>
            </w:r>
            <w:r w:rsidRPr="009C4E04">
              <w:rPr>
                <w:b/>
                <w:i/>
              </w:rPr>
              <w:t xml:space="preserve">civilnoj zaštiti i </w:t>
            </w:r>
            <w:r w:rsidRPr="009C4E04">
              <w:t>obrambenoj industriji</w:t>
            </w:r>
            <w:r w:rsidRPr="009C4E04">
              <w:rPr>
                <w:b/>
                <w:i/>
              </w:rPr>
              <w:t>, uz istodobno očuvanje socijalnih standarda</w:t>
            </w:r>
            <w:r w:rsidRPr="009C4E04">
              <w:t>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__________________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631FE6">
              <w:rPr>
                <w:b/>
                <w:i/>
                <w:vertAlign w:val="superscript"/>
              </w:rPr>
              <w:t>2a</w:t>
            </w:r>
            <w:r w:rsidRPr="009C4E04">
              <w:rPr>
                <w:b/>
                <w:i/>
              </w:rPr>
              <w:t xml:space="preserve"> Sauli Niinistö, Izvješće: Safer together – Strengthening Europe’s Civilian and Military Preparedness and Readiness (Sigurniji zajedno: Jačanje europske civilne i vojne spremnosti i pripravnosti), 30. listopada 2024.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  <w:vertAlign w:val="superscript"/>
              </w:rPr>
              <w:t>2b</w:t>
            </w:r>
            <w:r w:rsidRPr="009C4E04">
              <w:t xml:space="preserve"> </w:t>
            </w:r>
            <w:r w:rsidRPr="009C4E04">
              <w:rPr>
                <w:b/>
                <w:i/>
              </w:rPr>
              <w:t>ZAJEDNIČKA KOMUNIKACIJA EUROPSKOM PARLAMENTU, EUROPSKOM VIJEĆU, VIJEĆU, EUROPSKOM GOSPODARSKOM I SOCIJALNOM ODBORU I ODBORU REGIJA o Europskoj strategiji za Uniju pripravnosti, JOIN (2025) 130 final, 23. ožujka 2025.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3</w:t>
            </w:r>
            <w:r w:rsidRPr="009C4E04">
              <w:t xml:space="preserve"> Zajednička bijela knjiga o europskoj obrambenoj spremnosti 2030., JOIN(2025) 120 final, 19.3.2025.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3</w:t>
            </w:r>
            <w:r w:rsidRPr="009C4E04">
              <w:t xml:space="preserve"> Zajednička bijela knjiga o europskoj obrambenoj spremnosti 2030., JOIN(2025) 120 final, 19.3.2025.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4</w:t>
            </w:r>
            <w:r w:rsidRPr="009C4E04">
              <w:t xml:space="preserve"> COM (2025) 90 završna verzija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4</w:t>
            </w:r>
            <w:r w:rsidRPr="009C4E04">
              <w:t xml:space="preserve"> COM (2025) 90 završna verzija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5</w:t>
            </w:r>
            <w:r w:rsidRPr="009C4E04">
              <w:t xml:space="preserve"> Uredba (EU) 2021/1057 Europskog parlamenta i Vijeća od 24. lipnja 2021. o uspostavi Europskog socijalnog fonda plus (ESF+) i stavljanju izvan snage Uredbe (EU) br. 1296/2013 (SL L 231, 30.6.2021., str. 21., ELI: http://data.europa.eu/eli/reg/2021/1057/oj).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5</w:t>
            </w:r>
            <w:r w:rsidRPr="009C4E04">
              <w:t xml:space="preserve"> Uredba (EU) 2021/1057 Europskog parlamenta i Vijeća od 24. lipnja 2021. o uspostavi Europskog socijalnog fonda plus (ESF+) i stavljanju izvan snage Uredbe (EU) br. 1296/2013 (SL L 231, 30.6.2021., str. 21., ELI: http://data.europa.eu/eli/reg/2021/1057/oj).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Brigitte van den Berg, Jana Toom, Hristo Petrov, Grégory Allione, Eugen Tomac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2.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  <w:t>Bijela knjiga o europskoj obrambenoj spremnosti 2030.</w:t>
            </w:r>
            <w:r w:rsidRPr="009C4E04">
              <w:rPr>
                <w:vertAlign w:val="superscript"/>
              </w:rPr>
              <w:t>3</w:t>
            </w:r>
            <w:r w:rsidRPr="009C4E04">
              <w:t xml:space="preserve"> temelj je za </w:t>
            </w:r>
            <w:r w:rsidRPr="009C4E04">
              <w:lastRenderedPageBreak/>
              <w:t>uspostavu istinske europske obrambene unije i u njoj se, među ostalim, poziva države članice da intenzivno ulažu u obranu i obrambenu industriju. U tom su pogledu u Komunikaciji Komisije „Unija vještina” od 5. ožujka 2025.</w:t>
            </w:r>
            <w:r w:rsidRPr="009C4E04">
              <w:rPr>
                <w:vertAlign w:val="superscript"/>
              </w:rPr>
              <w:t>4</w:t>
            </w:r>
            <w:r w:rsidRPr="009C4E04">
              <w:t xml:space="preserve"> („Komunikacija o uniji vještina”) utvrđene mjere za rješavanje problema manjka vještina u Uniji, </w:t>
            </w:r>
            <w:r w:rsidRPr="009C4E04">
              <w:rPr>
                <w:b/>
                <w:i/>
              </w:rPr>
              <w:t xml:space="preserve">među ostalim </w:t>
            </w:r>
            <w:r w:rsidRPr="009C4E04">
              <w:t>u okviru inicijative o paktu za vještine</w:t>
            </w:r>
            <w:r w:rsidRPr="009C4E04">
              <w:rPr>
                <w:b/>
                <w:i/>
              </w:rPr>
              <w:t xml:space="preserve"> iz</w:t>
            </w:r>
            <w:r w:rsidRPr="009C4E04">
              <w:t xml:space="preserve"> te </w:t>
            </w:r>
            <w:r w:rsidRPr="009C4E04">
              <w:rPr>
                <w:b/>
                <w:i/>
              </w:rPr>
              <w:t>komunikacije</w:t>
            </w:r>
            <w:r w:rsidRPr="009C4E04">
              <w:t xml:space="preserve"> i velikih partnerstava </w:t>
            </w:r>
            <w:r w:rsidRPr="009C4E04">
              <w:rPr>
                <w:b/>
                <w:i/>
              </w:rPr>
              <w:t>koja</w:t>
            </w:r>
            <w:r w:rsidRPr="009C4E04">
              <w:t xml:space="preserve"> se </w:t>
            </w:r>
            <w:r w:rsidRPr="009C4E04">
              <w:rPr>
                <w:b/>
                <w:i/>
              </w:rPr>
              <w:t>uspostavljaju u okviru tog pakta</w:t>
            </w:r>
            <w:r w:rsidRPr="009C4E04">
              <w:t>, uključujući partnerstva u području obrambenog ekosustava. Stoga je primjereno uključiti poticaje za fond ESF+ uspostavljen Uredbom (EU) 2021/1057 Europskog parlamenta i Vijeća</w:t>
            </w:r>
            <w:r w:rsidRPr="009C4E04">
              <w:rPr>
                <w:vertAlign w:val="superscript"/>
              </w:rPr>
              <w:t>5</w:t>
            </w:r>
            <w:r w:rsidRPr="009C4E04">
              <w:t xml:space="preserve"> kako bi se olakšao razvoj vještina u obrambenoj industriji.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(2)</w:t>
            </w:r>
            <w:r w:rsidRPr="009C4E04">
              <w:tab/>
              <w:t xml:space="preserve">Bijela knjiga o europskoj obrambenoj spremnosti 2030.3 temelj je za </w:t>
            </w:r>
            <w:r w:rsidRPr="009C4E04">
              <w:lastRenderedPageBreak/>
              <w:t>uspostavu istinske europske obrambene unije i u njoj se, među ostalim, poziva države članice da intenzivno ulažu u obranu</w:t>
            </w:r>
            <w:r w:rsidRPr="009C4E04">
              <w:rPr>
                <w:b/>
                <w:i/>
              </w:rPr>
              <w:t>,</w:t>
            </w:r>
            <w:r w:rsidRPr="009C4E04">
              <w:t xml:space="preserve"> obrambenu industriju i </w:t>
            </w:r>
            <w:r w:rsidRPr="009C4E04">
              <w:rPr>
                <w:b/>
                <w:i/>
              </w:rPr>
              <w:t>tehnologije s dvojnom namjenom, što bi trebalo ići ruku pod ruku sa socijalnom potrošnjom, otvaranjem radnih mjesta te mogućnostima usavršavanja i prekvalifikacije</w:t>
            </w:r>
            <w:r w:rsidRPr="009C4E04">
              <w:t>. U tom su pogledu u Komunikaciji Komisije „Unija vještina” od 5. ožujka 2025.</w:t>
            </w:r>
            <w:r w:rsidRPr="009C4E04">
              <w:rPr>
                <w:vertAlign w:val="superscript"/>
              </w:rPr>
              <w:t>4</w:t>
            </w:r>
            <w:r w:rsidRPr="009C4E04">
              <w:t xml:space="preserve"> („Komunikacija o uniji vještina”) utvrđene mjere za rješavanje problema manjka vještina u Uniji, u okviru inicijative o paktu za vještine, velikih partnerstava, uključujući partnerstva u području obrambenog ekosustava</w:t>
            </w:r>
            <w:r w:rsidRPr="009C4E04">
              <w:rPr>
                <w:b/>
                <w:i/>
              </w:rPr>
              <w:t>, uzajamnog priznavanja kvalifikacija i diploma, mobilnosti radne snage</w:t>
            </w:r>
            <w:r w:rsidRPr="009C4E04">
              <w:t xml:space="preserve"> te </w:t>
            </w:r>
            <w:r w:rsidRPr="009C4E04">
              <w:rPr>
                <w:b/>
                <w:i/>
              </w:rPr>
              <w:t>inicijativa u području strukovnog obrazovanja</w:t>
            </w:r>
            <w:r w:rsidRPr="009C4E04">
              <w:t xml:space="preserve"> i </w:t>
            </w:r>
            <w:r w:rsidRPr="009C4E04">
              <w:rPr>
                <w:b/>
                <w:i/>
              </w:rPr>
              <w:t>osposobljavanja. Kako bi se državama članicama omogućilo ostvarivanje ciljeva iz ove Uredbe, trebalo bi poticati suradnju između javnih i privatnih aktera, kao i aktivno sudjelovanje socijalnih partnera, uključujući sindikate i organizacije poslodavaca, da bi se osigurao uključiv i održiv rast. Kako bi se državama članicama omogućilo da provedu smisleno i pravedno reprogramiranje i usmjere resurse na strateške aktere, primjereno je podržati mala i srednja poduzeća te start-up poduzeća u ključnoj ulozi koju imaju</w:t>
            </w:r>
            <w:r w:rsidRPr="009C4E04">
              <w:t xml:space="preserve"> u području </w:t>
            </w:r>
            <w:r w:rsidRPr="009C4E04">
              <w:rPr>
                <w:b/>
                <w:i/>
              </w:rPr>
              <w:t>inovacija, gospodarske dinamičnosti i otvaranja radnih mjesta, s posebnim naglaskom na smanjenju prepreka za njihovo sudjelovanje te olakšavanju njihova pristupa resursima i mogućnostima.</w:t>
            </w:r>
            <w:r w:rsidRPr="009C4E04">
              <w:t xml:space="preserve"> Stoga je primjereno uključiti poticaje za fond ESF+ uspostavljen Uredbom (EU) 2021/1057 Europskog parlamenta i Vijeća</w:t>
            </w:r>
            <w:r w:rsidRPr="009C4E04">
              <w:rPr>
                <w:vertAlign w:val="superscript"/>
              </w:rPr>
              <w:t>5</w:t>
            </w:r>
            <w:r w:rsidRPr="009C4E04">
              <w:t xml:space="preserve"> kako bi se olakšao razvoj vještina </w:t>
            </w:r>
            <w:r w:rsidRPr="009C4E04">
              <w:rPr>
                <w:b/>
                <w:i/>
              </w:rPr>
              <w:t xml:space="preserve">i osposobljavanja </w:t>
            </w:r>
            <w:r w:rsidRPr="009C4E04">
              <w:t>u obrambenoj industriji</w:t>
            </w:r>
            <w:r w:rsidRPr="009C4E04">
              <w:rPr>
                <w:b/>
                <w:i/>
              </w:rPr>
              <w:t>, uz istodobno očuvanje socijalnih standarda</w:t>
            </w:r>
            <w:r w:rsidRPr="009C4E04">
              <w:t>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__________________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lastRenderedPageBreak/>
              <w:t>3</w:t>
            </w:r>
            <w:r w:rsidRPr="009C4E04">
              <w:t xml:space="preserve"> Zajednička bijela knjiga o europskoj obrambenoj spremnosti 2030., JOIN(2025) 120 final, 19.3.2025.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3</w:t>
            </w:r>
            <w:r w:rsidRPr="009C4E04">
              <w:t xml:space="preserve"> Zajednička bijela knjiga o europskoj obrambenoj spremnosti 2030., JOIN(2025) 120 final, 19.3.2025.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4</w:t>
            </w:r>
            <w:r w:rsidRPr="009C4E04">
              <w:t xml:space="preserve"> COM (2025) 90 završna verzija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4</w:t>
            </w:r>
            <w:r w:rsidRPr="009C4E04">
              <w:t xml:space="preserve"> COM (2025) 90 završna verzija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5</w:t>
            </w:r>
            <w:r w:rsidRPr="009C4E04">
              <w:t xml:space="preserve"> Uredba (EU) 2021/1057 Europskog parlamenta i Vijeća od 24. lipnja 2021. o uspostavi Europskog socijalnog fonda plus (ESF+) i stavljanju izvan snage Uredbe (EU) br. 1296/2013 (SL L 231, 30.6.2021., str. 21., ELI: http://data.europa.eu/eli/reg/2021/1057/oj).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5</w:t>
            </w:r>
            <w:r w:rsidRPr="009C4E04">
              <w:t xml:space="preserve"> Uredba (EU) 2021/1057 Europskog parlamenta i Vijeća od 24. lipnja 2021. o uspostavi Europskog socijalnog fonda plus (ESF+) i stavljanju izvan snage Uredbe (EU) br. 1296/2013 (SL L 231, 30.6.2021., str. 21., ELI: http://data.europa.eu/eli/reg/2021/1057/oj).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2.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  <w:t>Bijela knjiga o europskoj obrambenoj spremnosti 2030.</w:t>
            </w:r>
            <w:r w:rsidRPr="009C4E04">
              <w:rPr>
                <w:vertAlign w:val="superscript"/>
              </w:rPr>
              <w:t>3</w:t>
            </w:r>
            <w:r w:rsidRPr="009C4E04">
              <w:t xml:space="preserve"> temelj je za uspostavu istinske europske obrambene unije i u njoj se, među ostalim, poziva države članice da intenzivno ulažu u obranu i obrambenu industriju. U tom su pogledu u Komunikaciji Komisije „Unija vještina” od 5. ožujka 2025.</w:t>
            </w:r>
            <w:r w:rsidRPr="009C4E04">
              <w:rPr>
                <w:vertAlign w:val="superscript"/>
              </w:rPr>
              <w:t>4</w:t>
            </w:r>
            <w:r w:rsidRPr="009C4E04">
              <w:t xml:space="preserve"> („Komunikacija o uniji vještina”) utvrđene mjere za rješavanje problema manjka vještina u Uniji, među ostalim u okviru inicijative o paktu za vještine iz te komunikacije i velikih partnerstava koja se uspostavljaju u okviru tog pakta, uključujući partnerstva u području obrambenog ekosustava. </w:t>
            </w:r>
            <w:r w:rsidRPr="009C4E04">
              <w:rPr>
                <w:b/>
                <w:i/>
              </w:rPr>
              <w:t>Stoga</w:t>
            </w:r>
            <w:r w:rsidRPr="009C4E04">
              <w:t xml:space="preserve"> je </w:t>
            </w:r>
            <w:r w:rsidRPr="009C4E04">
              <w:rPr>
                <w:b/>
                <w:i/>
              </w:rPr>
              <w:t>primjereno uključiti poticaje za fond</w:t>
            </w:r>
            <w:r w:rsidRPr="009C4E04">
              <w:t xml:space="preserve"> ESF+ uspostavljen Uredbom (EU) 2021/1057 Europskog parlamenta i Vijeća</w:t>
            </w:r>
            <w:r w:rsidRPr="009C4E04">
              <w:rPr>
                <w:vertAlign w:val="superscript"/>
              </w:rPr>
              <w:t>5</w:t>
            </w:r>
            <w:r w:rsidRPr="009C4E04">
              <w:t xml:space="preserve"> kako bi se olakšao razvoj vještina u obrambenoj industriji.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(2)</w:t>
            </w:r>
            <w:r w:rsidRPr="009C4E04">
              <w:tab/>
              <w:t>Bijela knjiga o europskoj obrambenoj spremnosti 2030.</w:t>
            </w:r>
            <w:r w:rsidRPr="009C4E04">
              <w:rPr>
                <w:vertAlign w:val="superscript"/>
              </w:rPr>
              <w:t>3</w:t>
            </w:r>
            <w:r w:rsidRPr="009C4E04">
              <w:t xml:space="preserve"> temelj je za uspostavu istinske europske obrambene unije i u njoj se, među ostalim, poziva države članice da intenzivno ulažu u obranu i obrambenu industriju. U tom su pogledu u Komunikaciji Komisije „Unija vještina” od 5. ožujka 2025.</w:t>
            </w:r>
            <w:r w:rsidRPr="009C4E04">
              <w:rPr>
                <w:vertAlign w:val="superscript"/>
              </w:rPr>
              <w:t>4</w:t>
            </w:r>
            <w:r w:rsidRPr="009C4E04">
              <w:t xml:space="preserve"> („Komunikacija o uniji vještina”) utvrđene mjere za rješavanje problema manjka vještina u Uniji, među ostalim u okviru inicijative o paktu za vještine iz te komunikacije i velikih partnerstava koja se uspostavljaju u okviru tog pakta, uključujući partnerstva u području obrambenog ekosustava. </w:t>
            </w:r>
            <w:r w:rsidRPr="009C4E04">
              <w:rPr>
                <w:b/>
                <w:i/>
              </w:rPr>
              <w:t>Europska unija i države članice reagiraju na geopolitičke događaje i spremne su iskoristiti potrebna financijska sredstva za jačanje naše obrambene industrije preko raznih europskih i nacionalnih programa.</w:t>
            </w:r>
            <w:r w:rsidRPr="009C4E04">
              <w:t xml:space="preserve"> </w:t>
            </w:r>
            <w:r w:rsidRPr="009C4E04">
              <w:rPr>
                <w:b/>
                <w:i/>
              </w:rPr>
              <w:t>Važno</w:t>
            </w:r>
            <w:r w:rsidRPr="009C4E04">
              <w:t xml:space="preserve"> je </w:t>
            </w:r>
            <w:r w:rsidRPr="009C4E04">
              <w:rPr>
                <w:b/>
                <w:i/>
              </w:rPr>
              <w:t xml:space="preserve">ojačati naš obrambeni sektor te </w:t>
            </w:r>
            <w:r w:rsidRPr="009C4E04">
              <w:rPr>
                <w:b/>
                <w:i/>
              </w:rPr>
              <w:lastRenderedPageBreak/>
              <w:t>istodobno nastaviti ulagati u socijalnu uključenost i koheziju naše Unije preko fonda ESF+, a države članice već sad mogu koristiti</w:t>
            </w:r>
            <w:r w:rsidRPr="009C4E04">
              <w:t xml:space="preserve"> ESF+ uspostavljen Uredbom (EU) 2021/1057 Europskog parlamenta i Vijeća</w:t>
            </w:r>
            <w:r w:rsidRPr="009C4E04">
              <w:rPr>
                <w:vertAlign w:val="superscript"/>
              </w:rPr>
              <w:t>5</w:t>
            </w:r>
            <w:r w:rsidRPr="009C4E04">
              <w:t xml:space="preserve"> kako bi se olakšao razvoj vještina u obrambenoj industriji.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__________________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3</w:t>
            </w:r>
            <w:r w:rsidRPr="009C4E04">
              <w:t xml:space="preserve"> Zajednička bijela knjiga o europskoj obrambenoj spremnosti 2030., JOIN(2025) 120 final, 19.3.2025.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3</w:t>
            </w:r>
            <w:r w:rsidRPr="009C4E04">
              <w:t xml:space="preserve"> Zajednička bijela knjiga o europskoj obrambenoj spremnosti 2030., JOIN(2025) 120 final, 19.3.2025.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4</w:t>
            </w:r>
            <w:r w:rsidRPr="009C4E04">
              <w:t xml:space="preserve"> COM (2025) 90 završna verzija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4</w:t>
            </w:r>
            <w:r w:rsidRPr="009C4E04">
              <w:t xml:space="preserve"> COM (2025) 90 završna verzija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5</w:t>
            </w:r>
            <w:r w:rsidRPr="009C4E04">
              <w:t xml:space="preserve"> Uredba (EU) 2021/1057 Europskog parlamenta i Vijeća od 24. lipnja 2021. o uspostavi Europskog socijalnog fonda plus (ESF+) i stavljanju izvan snage Uredbe (EU) br. 1296/2013 (SL L 231, 30.6.2021., str. 21., ELI: http://data.europa.eu/eli/reg/2021/1057/oj).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5</w:t>
            </w:r>
            <w:r w:rsidRPr="009C4E04">
              <w:t xml:space="preserve"> Uredba (EU) 2021/1057 Europskog parlamenta i Vijeća od 24. lipnja 2021. o uspostavi Europskog socijalnog fonda plus (ESF+) i stavljanju izvan snage Uredbe (EU) br. 1296/2013 (SL L 231, 30.6.2021., str. 21., ELI: http://data.europa.eu/eli/reg/2021/1057/oj).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Marie Dauchy, Nikola Bartůšek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{EMPL}</w:t>
      </w:r>
      <w:r w:rsidRPr="009C4E04">
        <w:t>u ime Odbora za zapošljavanje i socijalna pitanja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&lt;Members&gt;</w:t>
      </w:r>
      <w:r w:rsidRPr="009C4E04">
        <w:t>Séverine Werbrouck, Rachel Blom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2.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</w:r>
            <w:r w:rsidRPr="009C4E04">
              <w:rPr>
                <w:b/>
                <w:i/>
              </w:rPr>
              <w:t>Bijela knjiga o europskoj obrambenoj spremnosti 2030.</w:t>
            </w:r>
            <w:r w:rsidRPr="009C4E04">
              <w:rPr>
                <w:b/>
                <w:i/>
                <w:vertAlign w:val="superscript"/>
              </w:rPr>
              <w:t>3</w:t>
            </w:r>
            <w:r w:rsidRPr="009C4E04">
              <w:rPr>
                <w:b/>
                <w:i/>
              </w:rPr>
              <w:t xml:space="preserve"> temelj je za uspostavu istinske europske obrambene unije</w:t>
            </w:r>
            <w:r w:rsidRPr="009C4E04">
              <w:t xml:space="preserve"> i </w:t>
            </w:r>
            <w:r w:rsidRPr="009C4E04">
              <w:rPr>
                <w:b/>
                <w:i/>
              </w:rPr>
              <w:t>u njoj se, među ostalim, poziva države članice da intenzivno</w:t>
            </w:r>
            <w:r w:rsidRPr="009C4E04">
              <w:t xml:space="preserve"> ulažu u obranu i obrambenu industriju. </w:t>
            </w:r>
            <w:r w:rsidRPr="009C4E04">
              <w:rPr>
                <w:b/>
                <w:i/>
              </w:rPr>
              <w:t>U tom su pogledu u Komunikaciji Komisije „Unija vještina” od 5. ožujka 2025.</w:t>
            </w:r>
            <w:r w:rsidRPr="009C4E04">
              <w:rPr>
                <w:b/>
                <w:i/>
                <w:vertAlign w:val="superscript"/>
              </w:rPr>
              <w:t>4</w:t>
            </w:r>
            <w:r w:rsidRPr="009C4E04">
              <w:rPr>
                <w:b/>
                <w:i/>
              </w:rPr>
              <w:t xml:space="preserve"> („Komunikacija o uniji vještina”) utvrđene mjere za rješavanje problema manjka vještina</w:t>
            </w:r>
            <w:r w:rsidRPr="009C4E04">
              <w:t xml:space="preserve"> u </w:t>
            </w:r>
            <w:r w:rsidRPr="009C4E04">
              <w:rPr>
                <w:b/>
                <w:i/>
              </w:rPr>
              <w:t>Uniji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 xml:space="preserve">među ostalim u okviru inicijative o paktu za vještine iz te </w:t>
            </w:r>
            <w:r w:rsidRPr="009C4E04">
              <w:rPr>
                <w:b/>
                <w:i/>
              </w:rPr>
              <w:lastRenderedPageBreak/>
              <w:t>komunikacije i velikih partnerstava koja</w:t>
            </w:r>
            <w:r w:rsidRPr="009C4E04">
              <w:t xml:space="preserve"> se </w:t>
            </w:r>
            <w:r w:rsidRPr="009C4E04">
              <w:rPr>
                <w:b/>
                <w:i/>
              </w:rPr>
              <w:t>uspostavljaju u okviru tog pakta, uključujući partnerstva u području obrambenog ekosustava</w:t>
            </w:r>
            <w:r w:rsidRPr="009C4E04">
              <w:t>. Stoga je primjereno uključiti poticaje za fond ESF+ uspostavljen Uredbom (EU) 2021/1057 Europskog parlamenta i Vijeća</w:t>
            </w:r>
            <w:r w:rsidRPr="009C4E04">
              <w:rPr>
                <w:vertAlign w:val="superscript"/>
              </w:rPr>
              <w:t>5</w:t>
            </w:r>
            <w:r w:rsidRPr="009C4E04">
              <w:t xml:space="preserve"> kako bi se olakšao razvoj vještina u obrambenoj industriji.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(2)</w:t>
            </w:r>
            <w:r w:rsidRPr="009C4E04">
              <w:tab/>
            </w:r>
            <w:r w:rsidRPr="009C4E04">
              <w:rPr>
                <w:b/>
                <w:i/>
              </w:rPr>
              <w:t>Nedavne geopolitičke promjene podsjećaju države članice na potrebu da intenzivno</w:t>
            </w:r>
            <w:r w:rsidRPr="009C4E04">
              <w:t xml:space="preserve"> i </w:t>
            </w:r>
            <w:r w:rsidRPr="009C4E04">
              <w:rPr>
                <w:b/>
                <w:i/>
              </w:rPr>
              <w:t>brzo</w:t>
            </w:r>
            <w:r w:rsidRPr="009C4E04">
              <w:t xml:space="preserve"> ulažu u obranu i obrambenu industriju. </w:t>
            </w:r>
            <w:r w:rsidRPr="009C4E04">
              <w:rPr>
                <w:b/>
                <w:i/>
              </w:rPr>
              <w:t>Za to područje, koje je ekonomski profitabilno za Europljane i pruža mnoga kvalificirana radna mjesta, potrebno je osposobljavanje velike radne snage, posebno</w:t>
            </w:r>
            <w:r w:rsidRPr="009C4E04">
              <w:t xml:space="preserve"> u </w:t>
            </w:r>
            <w:r w:rsidRPr="009C4E04">
              <w:rPr>
                <w:b/>
                <w:i/>
              </w:rPr>
              <w:t>području najsuvremenijih tehnologija. Programi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djelovanja i partnerstva moraju biti usmjereni na razvoj tih vještina među stanovništvom država članica kako bi</w:t>
            </w:r>
            <w:r w:rsidRPr="009C4E04">
              <w:t xml:space="preserve"> se </w:t>
            </w:r>
            <w:r w:rsidRPr="009C4E04">
              <w:rPr>
                <w:b/>
                <w:i/>
              </w:rPr>
              <w:lastRenderedPageBreak/>
              <w:t>ono okoristilo tim stabilnim radnim mjestima i stručnim kvalifikacijama</w:t>
            </w:r>
            <w:r w:rsidRPr="009C4E04">
              <w:t>. Stoga je primjereno uključiti poticaje za fond ESF+ uspostavljen Uredbom (EU) 2021/1057 Europskog parlamenta i Vijeća</w:t>
            </w:r>
            <w:r w:rsidRPr="009C4E04">
              <w:rPr>
                <w:vertAlign w:val="superscript"/>
              </w:rPr>
              <w:t>5</w:t>
            </w:r>
            <w:r w:rsidRPr="009C4E04">
              <w:t xml:space="preserve"> kako bi se olakšao razvoj vještina u obrambenoj industriji.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lastRenderedPageBreak/>
              <w:t>__________________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3 Zajednička bijela knjiga o europskoj obrambenoj spremnosti 2030., JOIN(2025) 120 final, 19.3.2025.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4 COM(2025)90 final.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5 Uredba (EU) 2021/1057 Europskog parlamenta i Vijeća od 24. lipnja 2021. o uspostavi Europskog socijalnog fonda plus (ESF+) i stavljanju izvan snage Uredbe (EU) br. 1296/2013 (SL L 231, 30.6.2021., str. 21., ELI: https://data.europa.eu/eli/reg/2021/1057/oj).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{FR}</w:t>
      </w:r>
      <w:r w:rsidRPr="009C4E04">
        <w:rPr>
          <w:noProof w:val="0"/>
        </w:rPr>
        <w:t>fr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2.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  <w:t>Bijela knjiga o europskoj obrambenoj spremnosti 2030.</w:t>
            </w:r>
            <w:r w:rsidRPr="009C4E04">
              <w:rPr>
                <w:vertAlign w:val="superscript"/>
              </w:rPr>
              <w:t>3</w:t>
            </w:r>
            <w:r w:rsidRPr="009C4E04">
              <w:t xml:space="preserve"> temelj je za uspostavu istinske europske obrambene unije i u njoj se, među ostalim, poziva države članice da intenzivno ulažu u obranu i obrambenu industriju. U tom su pogledu u Komunikaciji Komisije „Unija vještina” od 5. ožujka 2025.</w:t>
            </w:r>
            <w:r w:rsidRPr="009C4E04">
              <w:rPr>
                <w:vertAlign w:val="superscript"/>
              </w:rPr>
              <w:t>4</w:t>
            </w:r>
            <w:r w:rsidRPr="009C4E04">
              <w:t xml:space="preserve"> („Komunikacija o uniji vještina”) utvrđene </w:t>
            </w:r>
            <w:r w:rsidRPr="009C4E04">
              <w:lastRenderedPageBreak/>
              <w:t>mjere za rješavanje problema manjka vještina u Uniji, među ostalim u okviru inicijative o paktu za vještine iz te komunikacije i velikih partnerstava koja se uspostavljaju u okviru tog pakta, uključujući partnerstva u području obrambenog ekosustava. Stoga je primjereno uključiti poticaje za fond ESF+ uspostavljen Uredbom (EU) 2021/1057 Europskog parlamenta i Vijeća</w:t>
            </w:r>
            <w:r w:rsidRPr="009C4E04">
              <w:rPr>
                <w:vertAlign w:val="superscript"/>
              </w:rPr>
              <w:t>5</w:t>
            </w:r>
            <w:r w:rsidRPr="009C4E04">
              <w:t xml:space="preserve"> kako bi se olakšao razvoj vještina u obrambenoj industriji.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(2)</w:t>
            </w:r>
            <w:r w:rsidRPr="009C4E04">
              <w:tab/>
            </w:r>
            <w:r w:rsidRPr="009C4E04">
              <w:rPr>
                <w:b/>
                <w:i/>
              </w:rPr>
              <w:t>Već je moguće podupirati razvoj vještina u obrambenoj industriji u okviru fonda ESF+ uspostavljenog Uredbom (EU) 2021/1057 Europskog parlamenta i Vijeća.</w:t>
            </w:r>
            <w:r w:rsidRPr="009C4E04">
              <w:t xml:space="preserve"> Bijela knjiga o europskoj obrambenoj spremnosti 2030.</w:t>
            </w:r>
            <w:r w:rsidRPr="009C4E04">
              <w:rPr>
                <w:vertAlign w:val="superscript"/>
              </w:rPr>
              <w:t>3</w:t>
            </w:r>
            <w:r w:rsidRPr="009C4E04">
              <w:t xml:space="preserve"> temelj je za uspostavu istinske europske obrambene unije i u njoj se, među ostalim, poziva države članice da intenzivno ulažu u </w:t>
            </w:r>
            <w:r w:rsidRPr="009C4E04">
              <w:lastRenderedPageBreak/>
              <w:t>obranu i obrambenu industriju. U tom su pogledu u Komunikaciji Komisije „Unija vještina” od 5. ožujka 2025.</w:t>
            </w:r>
            <w:r w:rsidRPr="009C4E04">
              <w:rPr>
                <w:vertAlign w:val="superscript"/>
              </w:rPr>
              <w:t>4</w:t>
            </w:r>
            <w:r w:rsidRPr="009C4E04">
              <w:t xml:space="preserve"> („Komunikacija o uniji vještina”) utvrđene mjere za rješavanje problema manjka vještina u Uniji, među ostalim u okviru inicijative o paktu za vještine iz te komunikacije i velikih partnerstava koja se uspostavljaju u okviru tog pakta, uključujući partnerstva u području obrambenog ekosustava.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__________________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3</w:t>
            </w:r>
            <w:r w:rsidRPr="009C4E04">
              <w:t xml:space="preserve"> Zajednička bijela knjiga o europskoj obrambenoj spremnosti 2030., JOIN(2025) 120 final, 19.3.2025.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3</w:t>
            </w:r>
            <w:r w:rsidRPr="009C4E04">
              <w:t xml:space="preserve"> Zajednička bijela knjiga o europskoj obrambenoj spremnosti 2030., JOIN(2025) 120 final, 19.3.2025.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4</w:t>
            </w:r>
            <w:r w:rsidRPr="009C4E04">
              <w:t xml:space="preserve"> COM (2025) 90 završna verzija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4</w:t>
            </w:r>
            <w:r w:rsidRPr="009C4E04">
              <w:t xml:space="preserve"> COM (2025) 90 završna verzija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5</w:t>
            </w:r>
            <w:r w:rsidRPr="009C4E04">
              <w:t xml:space="preserve"> Uredba (EU) 2021/1057 Europskog parlamenta i Vijeća od 24. lipnja 2021. o uspostavi Europskog socijalnog fonda plus (ESF+) i stavljanju izvan snage Uredbe (EU) br. 1296/2013 (SL L 231, 30.6.2021., str. 21., ELI: http://data.europa.eu/eli/reg/2021/1057/oj).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5</w:t>
            </w:r>
            <w:r w:rsidRPr="009C4E04">
              <w:t xml:space="preserve"> Uredba (EU) 2021/1057 Europskog parlamenta i Vijeća od 24. lipnja 2021. o uspostavi Europskog socijalnog fonda plus (ESF+) i stavljanju izvan snage Uredbe (EU) br. 1296/2013 (SL L 231, 30.6.2021., str. 21., ELI: http://data.europa.eu/eli/reg/2021/1057/oj).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Maria Zacharia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2.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</w:r>
            <w:r w:rsidRPr="009C4E04">
              <w:rPr>
                <w:b/>
                <w:i/>
              </w:rPr>
              <w:t>Bijela knjiga o europskoj obrambenoj spremnosti 2030.</w:t>
            </w:r>
            <w:r w:rsidRPr="009C4E04">
              <w:rPr>
                <w:b/>
                <w:i/>
                <w:vertAlign w:val="superscript"/>
              </w:rPr>
              <w:t>3</w:t>
            </w:r>
            <w:r w:rsidRPr="009C4E04">
              <w:rPr>
                <w:b/>
                <w:i/>
              </w:rPr>
              <w:t xml:space="preserve"> temelj je za uspostavu istinske europske obrambene</w:t>
            </w:r>
            <w:r w:rsidRPr="009C4E04">
              <w:t xml:space="preserve"> unije </w:t>
            </w:r>
            <w:r w:rsidRPr="009C4E04">
              <w:rPr>
                <w:b/>
                <w:i/>
              </w:rPr>
              <w:t>i u njoj se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među ostalim, poziva države članice da intenzivno ulažu</w:t>
            </w:r>
            <w:r w:rsidRPr="009C4E04">
              <w:t xml:space="preserve"> u </w:t>
            </w:r>
            <w:r w:rsidRPr="009C4E04">
              <w:rPr>
                <w:b/>
                <w:i/>
              </w:rPr>
              <w:t>obranu i obrambenu industriju. U tom su pogledu u Komunikaciji Komisije „Unija vještina” od 5. ožujka 2025.</w:t>
            </w:r>
            <w:r w:rsidRPr="009C4E04">
              <w:rPr>
                <w:b/>
                <w:i/>
                <w:vertAlign w:val="superscript"/>
              </w:rPr>
              <w:t>4</w:t>
            </w:r>
            <w:r w:rsidRPr="009C4E04">
              <w:rPr>
                <w:b/>
                <w:i/>
              </w:rPr>
              <w:t xml:space="preserve"> („Komunikacija o uniji vještina”) </w:t>
            </w:r>
            <w:r w:rsidRPr="009C4E04">
              <w:rPr>
                <w:b/>
                <w:i/>
              </w:rPr>
              <w:lastRenderedPageBreak/>
              <w:t>utvrđene mjere za rješavanje problema manjka vještina u Uniji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među ostalim u okviru inicijative o paktu za vještine iz te komunikacije i velikih partnerstava koja se uspostavljaju u okviru tog pakta</w:t>
            </w:r>
            <w:r w:rsidRPr="009C4E04">
              <w:t xml:space="preserve">, uključujući </w:t>
            </w:r>
            <w:r w:rsidRPr="009C4E04">
              <w:rPr>
                <w:b/>
                <w:i/>
              </w:rPr>
              <w:t>partnerstva u području obrambenog ekosustava</w:t>
            </w:r>
            <w:r w:rsidRPr="009C4E04">
              <w:t>.</w:t>
            </w:r>
            <w:r w:rsidRPr="009C4E04">
              <w:rPr>
                <w:b/>
                <w:i/>
              </w:rPr>
              <w:t xml:space="preserve"> Stoga je primjereno uključiti poticaje za fond ESF+ uspostavljen Uredbom (EU) 2021/1057 Europskog parlamenta i Vijeća</w:t>
            </w:r>
            <w:r w:rsidRPr="009C4E04">
              <w:rPr>
                <w:b/>
                <w:i/>
                <w:vertAlign w:val="superscript"/>
              </w:rPr>
              <w:t>5</w:t>
            </w:r>
            <w:r w:rsidRPr="009C4E04">
              <w:rPr>
                <w:b/>
                <w:i/>
              </w:rPr>
              <w:t xml:space="preserve"> kako bi se olakšao razvoj vještina u obrambenoj industriji</w:t>
            </w:r>
            <w:r w:rsidRPr="009C4E04">
              <w:t>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(2)</w:t>
            </w:r>
            <w:r w:rsidRPr="009C4E04">
              <w:tab/>
            </w:r>
            <w:r w:rsidRPr="009C4E04">
              <w:rPr>
                <w:b/>
                <w:i/>
              </w:rPr>
              <w:t>U skladu s predanošću</w:t>
            </w:r>
            <w:r w:rsidRPr="009C4E04">
              <w:t xml:space="preserve"> Unije </w:t>
            </w:r>
            <w:r w:rsidRPr="009C4E04">
              <w:rPr>
                <w:b/>
                <w:i/>
              </w:rPr>
              <w:t>miru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socijalnoj uključenosti i održivom razvoju te</w:t>
            </w:r>
            <w:r w:rsidRPr="009C4E04">
              <w:t xml:space="preserve"> u </w:t>
            </w:r>
            <w:r w:rsidRPr="009C4E04">
              <w:rPr>
                <w:b/>
                <w:i/>
              </w:rPr>
              <w:t>skladu s ciljevima Europskog socijalnog fonda plus financiranjem sredstvima Unije na temelju ove Uredbe ne smije se podupirati obrambena industrija niti aktivnosti povezane s razvojem, proizvodnjom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nabavom ili upotrebom vojnih sposobnosti</w:t>
            </w:r>
            <w:r w:rsidRPr="009C4E04">
              <w:t xml:space="preserve">, uključujući </w:t>
            </w:r>
            <w:r w:rsidRPr="009C4E04">
              <w:rPr>
                <w:b/>
                <w:i/>
              </w:rPr>
              <w:lastRenderedPageBreak/>
              <w:t>oružje, streljivo i obrambene sustave</w:t>
            </w:r>
            <w:r w:rsidRPr="009C4E04">
              <w:t xml:space="preserve">. </w:t>
            </w:r>
            <w:r w:rsidRPr="009C4E04">
              <w:rPr>
                <w:b/>
                <w:i/>
              </w:rPr>
              <w:t>Financiranje iz fonda ESF+ strogo je ograničeno na promicanje socijalne kohezije, zapošljavanja, obrazovanja, razvoja vještina, socijalnih inovacija te borbe protiv siromaštva i socijalne isključenosti</w:t>
            </w:r>
            <w:r w:rsidRPr="009C4E04">
              <w:t>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lastRenderedPageBreak/>
              <w:t>__________________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  <w:vertAlign w:val="superscript"/>
              </w:rPr>
              <w:t>3</w:t>
            </w:r>
            <w:r w:rsidRPr="009C4E04">
              <w:t xml:space="preserve"> </w:t>
            </w:r>
            <w:r w:rsidRPr="009C4E04">
              <w:rPr>
                <w:b/>
                <w:i/>
              </w:rPr>
              <w:t xml:space="preserve"> Zajednička bijela knjiga o europskoj obrambenoj spremnosti 2030., JOIN(2025) 120 final, 19.3.2025.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  <w:vertAlign w:val="superscript"/>
              </w:rPr>
              <w:t>4</w:t>
            </w:r>
            <w:r w:rsidRPr="009C4E04">
              <w:t xml:space="preserve"> </w:t>
            </w:r>
            <w:r w:rsidRPr="009C4E04">
              <w:rPr>
                <w:b/>
                <w:i/>
              </w:rPr>
              <w:t>COM (2025) 90 završna verzija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  <w:vertAlign w:val="superscript"/>
              </w:rPr>
              <w:t>5</w:t>
            </w:r>
            <w:r w:rsidRPr="009C4E04">
              <w:t xml:space="preserve"> </w:t>
            </w:r>
            <w:r w:rsidRPr="009C4E04">
              <w:rPr>
                <w:b/>
                <w:i/>
              </w:rPr>
              <w:t>Uredba (EU) 2021/1057 Europskog parlamenta i Vijeća od 24. lipnja 2021. o uspostavi Europskog socijalnog fonda plus (ESF+) i stavljanju izvan snage Uredbe (EU) br. 1296/2013 (SL L 231, 30.6.2021., str. 21., ELI: http://data.europa.eu/eli/reg/2021/1057/oj).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2.a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(2.a)</w:t>
            </w:r>
            <w:r w:rsidRPr="009C4E04">
              <w:rPr>
                <w:b/>
                <w:i/>
              </w:rPr>
              <w:tab/>
              <w:t xml:space="preserve">Od presudne je važnosti osigurati da se sve mjere koje se poduzimaju u kontekstu kriznih situacija pravilno razlikuju i da ne utječu na postizanje strukturnih i strateških ciljeva kohezijske politike. Poziva se na to da se u regulatorni okvir uključe zaštitne mjere kojima se sprečava ukidanje temeljne </w:t>
            </w:r>
            <w:r w:rsidRPr="009C4E04">
              <w:rPr>
                <w:b/>
                <w:i/>
              </w:rPr>
              <w:lastRenderedPageBreak/>
              <w:t>misije kohezijske politike.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2.a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(2.a)</w:t>
            </w:r>
            <w:r w:rsidRPr="009C4E04">
              <w:rPr>
                <w:b/>
                <w:i/>
              </w:rPr>
              <w:tab/>
              <w:t>Regije razine NUTS 2 koje graniče s Rusijom, Bjelarusom ili Ukrajinom nerazmjerno su pogođene ruskom ratnom agresijom , suočavaju se s gubitkom radnih mjesta, manjom gospodarskom aktivnošću i socijalnom isključenošću zbog manjeg broja međuljudskih kontakata.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2.b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(2.b)</w:t>
            </w:r>
            <w:r w:rsidRPr="009C4E04">
              <w:rPr>
                <w:b/>
                <w:i/>
              </w:rPr>
              <w:tab/>
              <w:t>Opetovanom upotrebom strukturnih resursa za reagiranje na krizne situacije mogla bi se ugroziti dugoročna održivost i učinkovitost kohezijske politike, i to istiskivanjem ulaganja koja bi u uobičajenim uvjetima bila usmjerena na poticanje uravnoteženog razvoja među regijama.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lastRenderedPageBreak/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Elena Donazzan, Francesco Torselli, Mariateresa Vivaldini, Chiara Gemma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3.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(3)</w:t>
            </w:r>
            <w:r w:rsidRPr="009C4E04">
              <w:rPr>
                <w:b/>
                <w:i/>
              </w:rPr>
              <w:tab/>
              <w:t>U okviru fonda ESF+ već se može podupirati prilagodba radnika, poduzetnika i poduzeća. U skladu s mjerama za dekarbonizaciju predloženima u Komunikaciji Komisije „Plan za čistu industriju: zajednički plan za konkurentnost i dekarbonizaciju” od 26. veljače 2025.</w:t>
            </w:r>
            <w:r w:rsidRPr="009C4E04">
              <w:rPr>
                <w:b/>
                <w:i/>
                <w:vertAlign w:val="superscript"/>
              </w:rPr>
              <w:t>6</w:t>
            </w:r>
            <w:r w:rsidRPr="009C4E04">
              <w:rPr>
                <w:b/>
                <w:i/>
              </w:rPr>
              <w:t xml:space="preserve"> i kako bi se dodatno olakšala industrijska prilagodba potrebna za dekarbonizaciju proizvodnih procesa i proizvoda, u kontekstu cilja da se osiguraju cjeloživotne mogućnosti za redovito usavršavanje i prekvalifikaciju ljudi, kako je utvrđeno u Komunikaciji o uniji vještina, među ostalim putem novopredloženog jamstva za vještine, sredstvima iz fonda ESF+ trebalo bi olakšati stjecanje vještina, održavanje radnih mjesta i otvaranje radnih mjesta tijekom cijelog procesa dekarbonizacije pružanjem fleksibilnosti u provedbi.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__________________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  <w:vertAlign w:val="superscript"/>
              </w:rPr>
              <w:t>6</w:t>
            </w:r>
            <w:r w:rsidRPr="009C4E04">
              <w:t xml:space="preserve"> </w:t>
            </w:r>
            <w:r w:rsidRPr="009C4E04">
              <w:rPr>
                <w:b/>
                <w:i/>
              </w:rPr>
              <w:t>COM (2025) 85 final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Brigitte van den Berg, Jana Toom, Hristo Petrov, Grégory Allione, Eugen Tomac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3.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(3)</w:t>
            </w:r>
            <w:r w:rsidRPr="009C4E04">
              <w:tab/>
              <w:t xml:space="preserve">U okviru fonda ESF+ već se može podupirati prilagodba radnika, poduzetnika </w:t>
            </w:r>
            <w:r w:rsidRPr="009C4E04">
              <w:lastRenderedPageBreak/>
              <w:t>i poduzeća. U skladu s mjerama za dekarbonizaciju predloženima u Komunikaciji Komisije „Plan za čistu industriju: zajednički plan za konkurentnost i dekarbonizaciju” od 26. veljače 2025.</w:t>
            </w:r>
            <w:r w:rsidRPr="009C4E04">
              <w:rPr>
                <w:vertAlign w:val="superscript"/>
              </w:rPr>
              <w:t>6</w:t>
            </w:r>
            <w:r w:rsidRPr="009C4E04">
              <w:t xml:space="preserve"> i kako bi se dodatno olakšala industrijska prilagodba potrebna za dekarbonizaciju proizvodnih procesa i proizvoda, u kontekstu cilja da se osiguraju cjeloživotne mogućnosti za redovito usavršavanje i prekvalifikaciju ljudi, kako je utvrđeno u Komunikaciji o uniji vještina, među ostalim putem novopredloženog jamstva za vještine, sredstvima iz fonda ESF+ trebalo bi olakšati stjecanje vještina, održavanje radnih mjesta i otvaranje radnih mjesta tijekom cijelog procesa dekarbonizacije pružanjem fleksibilnosti u provedbi.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(3)</w:t>
            </w:r>
            <w:r w:rsidRPr="009C4E04">
              <w:tab/>
              <w:t xml:space="preserve">U okviru fonda ESF+ već se može podupirati prilagodba radnika, poduzetnika </w:t>
            </w:r>
            <w:r w:rsidRPr="009C4E04">
              <w:lastRenderedPageBreak/>
              <w:t>i poduzeća. U skladu s mjerama za dekarbonizaciju predloženima u Komunikaciji Komisije „Plan za čistu industriju: zajednički plan za konkurentnost i dekarbonizaciju” od 26. veljače 2025.</w:t>
            </w:r>
            <w:r w:rsidRPr="009C4E04">
              <w:rPr>
                <w:vertAlign w:val="superscript"/>
              </w:rPr>
              <w:t>6</w:t>
            </w:r>
            <w:r w:rsidRPr="009C4E04">
              <w:t xml:space="preserve"> i kako bi se dodatno olakšala industrijska prilagodba potrebna za dekarbonizaciju proizvodnih procesa i proizvoda, u kontekstu cilja da se osiguraju cjeloživotne mogućnosti za redovito usavršavanje i prekvalifikaciju ljudi, kako je utvrđeno u Komunikaciji o uniji vještina, među ostalim putem novopredloženog jamstva za vještine, sredstvima iz fonda ESF+ trebalo bi olakšati stjecanje vještina, održavanje radnih mjesta i otvaranje radnih mjesta tijekom cijelog procesa dekarbonizacije pružanjem fleksibilnosti u provedbi. </w:t>
            </w:r>
            <w:r w:rsidRPr="009C4E04">
              <w:rPr>
                <w:b/>
                <w:i/>
              </w:rPr>
              <w:t>Kako bi se osigurala tranzicija koja nije potrebna samo s obzirom na digitalne i zelene ciljeve Unije nego je i socijalno pravedna, od presudne je važnosti da taj proces bude pravedan i uključiv. Posebnu pozornost trebalo bi posvetiti konkretnim potrebama i okolnostima slabije razvijenih regija. Te regije i njihovo stanovništvo trebali bi biti aktivno uključeni u tranziciju i imati koristi od nje, čime se osigurava njihova potpuna integracija u širu gospodarsku, socijalnu i ekološku preobrazbu Unije.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__________________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6</w:t>
            </w:r>
            <w:r w:rsidRPr="009C4E04">
              <w:t xml:space="preserve"> COM (2025) 85 final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6</w:t>
            </w:r>
            <w:r w:rsidRPr="009C4E04">
              <w:t xml:space="preserve"> COM (2025) 85 final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Marie Dauchy, Nikola Bartůšek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{EMPL}</w:t>
      </w:r>
      <w:r w:rsidRPr="009C4E04">
        <w:t>u ime Odbora za zapošljavanje i socijalna pitanja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&lt;Members&gt;</w:t>
      </w:r>
      <w:r w:rsidRPr="009C4E04">
        <w:t>Séverine Werbrouck, Rachel Blom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3.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(3)</w:t>
            </w:r>
            <w:r w:rsidRPr="009C4E04">
              <w:tab/>
              <w:t xml:space="preserve">U okviru fonda ESF+ već se može podupirati prilagodba radnika, poduzetnika i poduzeća. </w:t>
            </w:r>
            <w:r w:rsidRPr="009C4E04">
              <w:rPr>
                <w:b/>
                <w:i/>
              </w:rPr>
              <w:t>U skladu s mjerama za dekarbonizaciju predloženima u Komunikaciji Komisije „Plan za čistu industriju: zajednički plan za konkurentnost i dekarbonizaciju” od 26. veljače 2025.</w:t>
            </w:r>
            <w:r w:rsidRPr="009C4E04">
              <w:rPr>
                <w:b/>
                <w:i/>
                <w:vertAlign w:val="superscript"/>
              </w:rPr>
              <w:t>6</w:t>
            </w:r>
            <w:r w:rsidRPr="009C4E04">
              <w:rPr>
                <w:b/>
                <w:i/>
              </w:rPr>
              <w:t xml:space="preserve"> i kako bi</w:t>
            </w:r>
            <w:r w:rsidRPr="009C4E04">
              <w:t xml:space="preserve"> se </w:t>
            </w:r>
            <w:r w:rsidRPr="009C4E04">
              <w:rPr>
                <w:b/>
                <w:i/>
              </w:rPr>
              <w:t>dodatno olakšala industrijska prilagodba potrebna za dekarbonizaciju proizvodnih procesa i proizvoda,</w:t>
            </w:r>
            <w:r w:rsidRPr="009C4E04">
              <w:t xml:space="preserve"> u </w:t>
            </w:r>
            <w:r w:rsidRPr="009C4E04">
              <w:rPr>
                <w:b/>
                <w:i/>
              </w:rPr>
              <w:t>kontekstu cilja da se osiguraju cjeloživotne mogućnosti za redovito usavršavanje i prekvalifikaciju ljudi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kako je utvrđeno u Komunikaciji o uniji vještina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među ostalim putem novopredloženog jamstva</w:t>
            </w:r>
            <w:r w:rsidRPr="009C4E04">
              <w:t xml:space="preserve"> za </w:t>
            </w:r>
            <w:r w:rsidRPr="009C4E04">
              <w:rPr>
                <w:b/>
                <w:i/>
              </w:rPr>
              <w:t>vještine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sredstvima iz fonda ESF+ trebalo bi olakšati stjecanje vještina, održavanje radnih mjesta i otvaranje</w:t>
            </w:r>
            <w:r w:rsidRPr="009C4E04">
              <w:t xml:space="preserve"> radnih mjesta</w:t>
            </w:r>
            <w:r w:rsidRPr="009C4E04">
              <w:rPr>
                <w:b/>
                <w:i/>
              </w:rPr>
              <w:t xml:space="preserve"> tijekom cijelog procesa dekarbonizacije pružanjem fleksibilnosti u provedbi.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(3)</w:t>
            </w:r>
            <w:r w:rsidRPr="009C4E04">
              <w:tab/>
              <w:t xml:space="preserve">U okviru fonda ESF+ već se može podupirati prilagodba radnika, poduzetnika i poduzeća. </w:t>
            </w:r>
            <w:r w:rsidRPr="009C4E04">
              <w:rPr>
                <w:b/>
                <w:i/>
              </w:rPr>
              <w:t>Budući da se poteškoće s kojima</w:t>
            </w:r>
            <w:r w:rsidRPr="009C4E04">
              <w:t xml:space="preserve"> se </w:t>
            </w:r>
            <w:r w:rsidRPr="009C4E04">
              <w:rPr>
                <w:b/>
                <w:i/>
              </w:rPr>
              <w:t>suočavaju europske industrije</w:t>
            </w:r>
            <w:r w:rsidRPr="009C4E04">
              <w:t xml:space="preserve"> u </w:t>
            </w:r>
            <w:r w:rsidRPr="009C4E04">
              <w:rPr>
                <w:b/>
                <w:i/>
              </w:rPr>
              <w:t>velikoj mjeri mogu pripisati političkim odlukama Europske komisije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a posebno zelenom planu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kojim se stvara represivni normativni okvir</w:t>
            </w:r>
            <w:r w:rsidRPr="009C4E04">
              <w:t xml:space="preserve"> za </w:t>
            </w:r>
            <w:r w:rsidRPr="009C4E04">
              <w:rPr>
                <w:b/>
                <w:i/>
              </w:rPr>
              <w:t>našu industriju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ponekad ugrožavajući samo postojanje tih poduzeća u tom sektoru te s njime povezanih</w:t>
            </w:r>
            <w:r w:rsidRPr="009C4E04">
              <w:t xml:space="preserve"> radnih mjesta i </w:t>
            </w:r>
            <w:r w:rsidRPr="009C4E04">
              <w:rPr>
                <w:b/>
                <w:i/>
              </w:rPr>
              <w:t>vještina</w:t>
            </w:r>
            <w:r w:rsidRPr="009C4E04">
              <w:t xml:space="preserve">. U kontekstu cilja da se osiguraju cjeloživotne mogućnosti za redovito usavršavanje i prekvalifikaciju ljudi, kako je utvrđeno u Komunikaciji o uniji vještina, među ostalim putem novopredloženog jamstva za vještine, sredstvima iz fonda ESF+ trebalo bi olakšati stjecanje vještina, održavanje radnih mjesta i otvaranje radnih mjesta </w:t>
            </w:r>
            <w:r w:rsidRPr="009C4E04">
              <w:rPr>
                <w:b/>
                <w:i/>
              </w:rPr>
              <w:t>u industrijama, posebno u pogledu proizvodnje energije na europskom području,</w:t>
            </w:r>
            <w:r w:rsidRPr="009C4E04">
              <w:t xml:space="preserve"> pružanjem fleksibilnosti u provedbi.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__________________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6 COM(2025)85 final.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{FR}</w:t>
      </w:r>
      <w:r w:rsidRPr="009C4E04">
        <w:rPr>
          <w:noProof w:val="0"/>
        </w:rPr>
        <w:t>fr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3.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(3)</w:t>
            </w:r>
            <w:r w:rsidRPr="009C4E04">
              <w:tab/>
              <w:t xml:space="preserve">U okviru fonda ESF+ već se može podupirati prilagodba radnika, poduzetnika i poduzeća. U skladu s mjerama za dekarbonizaciju predloženima u </w:t>
            </w:r>
            <w:r w:rsidRPr="009C4E04">
              <w:lastRenderedPageBreak/>
              <w:t>Komunikaciji Komisije „Plan za čistu industriju: zajednički plan za konkurentnost i dekarbonizaciju” od 26. veljače 2025.</w:t>
            </w:r>
            <w:r w:rsidRPr="009C4E04">
              <w:rPr>
                <w:vertAlign w:val="superscript"/>
              </w:rPr>
              <w:t>6</w:t>
            </w:r>
            <w:r w:rsidRPr="009C4E04">
              <w:t xml:space="preserve"> i kako bi se dodatno olakšala industrijska prilagodba potrebna za dekarbonizaciju proizvodnih procesa i proizvoda, u kontekstu cilja da se osiguraju cjeloživotne mogućnosti za redovito usavršavanje i prekvalifikaciju ljudi, kako je utvrđeno u Komunikaciji o uniji vještina, među ostalim putem novopredloženog jamstva za vještine, sredstvima iz fonda ESF+ trebalo bi olakšati stjecanje vještina, održavanje radnih mjesta i otvaranje radnih mjesta tijekom cijelog procesa dekarbonizacije pružanjem fleksibilnosti u provedbi.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(3)</w:t>
            </w:r>
            <w:r w:rsidRPr="009C4E04">
              <w:tab/>
              <w:t xml:space="preserve">U okviru fonda ESF+ već se može podupirati prilagodba radnika, poduzetnika i poduzeća. U skladu s mjerama za dekarbonizaciju predloženima u </w:t>
            </w:r>
            <w:r w:rsidRPr="009C4E04">
              <w:lastRenderedPageBreak/>
              <w:t>Komunikaciji Komisije „Plan za čistu industriju: zajednički plan za konkurentnost i dekarbonizaciju” od 26. veljače 2025.</w:t>
            </w:r>
            <w:r w:rsidRPr="009C4E04">
              <w:rPr>
                <w:vertAlign w:val="superscript"/>
              </w:rPr>
              <w:t>6</w:t>
            </w:r>
            <w:r w:rsidRPr="009C4E04">
              <w:t xml:space="preserve"> i kako bi se dodatno olakšala industrijska prilagodba potrebna za dekarbonizaciju proizvodnih procesa i proizvoda, u kontekstu cilja da se osiguraju cjeloživotne mogućnosti za redovito usavršavanje i prekvalifikaciju ljudi, kako je utvrđeno u Komunikaciji o uniji vještina, među ostalim putem novopredloženog jamstva za vještine, sredstvima iz fonda ESF+ trebalo bi olakšati stjecanje vještina, održavanje radnih mjesta i otvaranje </w:t>
            </w:r>
            <w:r w:rsidRPr="009C4E04">
              <w:rPr>
                <w:b/>
                <w:i/>
              </w:rPr>
              <w:t xml:space="preserve">kvalitetnih </w:t>
            </w:r>
            <w:r w:rsidRPr="009C4E04">
              <w:t>radnih mjesta tijekom cijelog procesa dekarbonizacije pružanjem fleksibilnosti u provedbi.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__________________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6</w:t>
            </w:r>
            <w:r w:rsidRPr="009C4E04">
              <w:t xml:space="preserve"> COM (2025) 85 final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6</w:t>
            </w:r>
            <w:r w:rsidRPr="009C4E04">
              <w:t xml:space="preserve"> COM (2025) 85 final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3.a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(3.a)</w:t>
            </w:r>
            <w:r w:rsidRPr="009C4E04">
              <w:rPr>
                <w:b/>
                <w:i/>
              </w:rPr>
              <w:tab/>
              <w:t>Europski socijalni fond plus (ESF+) ključan je stup kohezijske politike, čiji je glavni cilj promicanje socijalne uključenosti, jednakosti pri zapošljavanju i smanjenja teritorijalnih nejednakosti.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3.b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(3.b)</w:t>
            </w:r>
            <w:r w:rsidRPr="009C4E04">
              <w:rPr>
                <w:b/>
                <w:i/>
              </w:rPr>
              <w:tab/>
              <w:t>Unatoč uključivanju novih strateških prioriteta na razini EU-a, ključno je da ESF+ ne odstupa od svoje socijalne misije, koja bi trebala ostati osnovna orijentacija za zadovoljavanje konkretnih potreba područja i njihovih zajednica.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29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3.c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(3.c)</w:t>
            </w:r>
            <w:r w:rsidRPr="009C4E04">
              <w:rPr>
                <w:b/>
                <w:i/>
              </w:rPr>
              <w:tab/>
              <w:t>Reprogramiranjem sredstava u okviru fonda ESF+ trebalo bi osigurati da se mjerama prilagodbe koje su odgovor na strateške izazove ne ugrozi njegov teritorijalni i socijalni pristup, već da se ojača njegov kapacitet za borbu protiv nejednakosti i promicanje ujednačenog razvoja.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3.d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(3.d)</w:t>
            </w:r>
            <w:r w:rsidRPr="009C4E04">
              <w:rPr>
                <w:b/>
                <w:i/>
              </w:rPr>
              <w:tab/>
              <w:t xml:space="preserve">Pravilna integracija dodatnih mjera ili financijske fleksibilnosti ključna je za zaštitu socijalne osnove fonda ESF+, a time se osigurava da ulaganje u nove prioritete ne dovede do ukidanja </w:t>
            </w:r>
            <w:r w:rsidRPr="009C4E04">
              <w:rPr>
                <w:b/>
                <w:i/>
              </w:rPr>
              <w:lastRenderedPageBreak/>
              <w:t>kohezivne uloge politike i da se sredstva ne preusmjere na isključivo strateške interese.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Brigitte van den Berg, Jana Toom, Hristo Petrov, Grégory Allione, Eugen Tomac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4.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(4)</w:t>
            </w:r>
            <w:r w:rsidRPr="009C4E04">
              <w:tab/>
              <w:t>U okviru fonda ESF+ već je moguće podupirati ulaganja kojima se doprinosi ciljevima Platforme za strateške tehnologije za Europu (STEP) uspostavljene Uredbom (EU) 2024/795 Europskog parlamenta i Vijeća</w:t>
            </w:r>
            <w:r w:rsidRPr="009C4E04">
              <w:rPr>
                <w:vertAlign w:val="superscript"/>
              </w:rPr>
              <w:t>7</w:t>
            </w:r>
            <w:r w:rsidRPr="009C4E04">
              <w:t>, kojom se nastoji ojačati tehnološko vodstvo Unije. Kako bi se dodatno potaknula ulaganja iz fonda ESF+ u tim ključnim područjima, trebalo bi proširiti mogućnost da se državama članicama osigura veće pretfinanciranje za povezane izmjene programa.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(4)</w:t>
            </w:r>
            <w:r w:rsidRPr="009C4E04">
              <w:tab/>
              <w:t>U okviru fonda ESF+ već je moguće podupirati ulaganja kojima se doprinosi ciljevima Platforme za strateške tehnologije za Europu (STEP) uspostavljene Uredbom (EU) 2024/795 Europskog parlamenta i Vijeća</w:t>
            </w:r>
            <w:r w:rsidRPr="009C4E04">
              <w:rPr>
                <w:vertAlign w:val="superscript"/>
              </w:rPr>
              <w:t>7</w:t>
            </w:r>
            <w:r w:rsidRPr="009C4E04">
              <w:t>, kojom se nastoji ojačati tehnološko vodstvo Unije</w:t>
            </w:r>
            <w:r w:rsidRPr="009C4E04">
              <w:rPr>
                <w:b/>
                <w:i/>
              </w:rPr>
              <w:t xml:space="preserve"> i razvoj vještina</w:t>
            </w:r>
            <w:r w:rsidRPr="009C4E04">
              <w:t>. Kako bi se dodatno potaknula ulaganja iz fonda ESF+ u tim ključnim područjima, trebalo bi proširiti mogućnost da se državama članicama osigura veće pretfinanciranje za povezane izmjene programa.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__________________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__________________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vertAlign w:val="superscript"/>
              </w:rPr>
              <w:t>7</w:t>
            </w:r>
            <w:r w:rsidRPr="009C4E04">
              <w:t xml:space="preserve"> Uredba (EU) 2024/795 Europskog parlamenta i Vijeća od 29. veljače 2024. o uspostavi Platforme za strateške tehnologije za Europu (STEP) i o izmjeni Direktive 2003/87/EZ i uredaba (EU) 2021/1058, (EU) 2021/1056, (EU) 2021/1057, (EU) br. 1303/2013, (EU) br. 223/2014, (EU) 2021/1060, (EU) 2021/523, (EU) 2021/695, (EU) 2021/697 i (EU) 2021/241 (SL L, 2024/795, 29.2.2024., ELI: http://data.europa.eu/eli/reg/2024/795/oj)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vertAlign w:val="superscript"/>
              </w:rPr>
              <w:t>7</w:t>
            </w:r>
            <w:r w:rsidRPr="009C4E04">
              <w:t xml:space="preserve"> Uredba (EU) 2024/795 Europskog parlamenta i Vijeća od 29. veljače 2024. o uspostavi Platforme za strateške tehnologije za Europu (STEP) i o izmjeni Direktive 2003/87/EZ i uredaba (EU) 2021/1058, (EU) 2021/1056, (EU) 2021/1057, (EU) br. 1303/2013, (EU) br. 223/2014, (EU) 2021/1060, (EU) 2021/523, (EU) 2021/695, (EU) 2021/697 i (EU) 2021/241 (SL L, 2024/795, 29.2.2024., ELI: http://data.europa.eu/eli/reg/2024/795/oj)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lastRenderedPageBreak/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Brigitte van den Berg, Jana Toom, Hristo Petrov, Grégory Allione, Eugen Tomac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4.a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(4.a)</w:t>
            </w:r>
            <w:r w:rsidRPr="009C4E04">
              <w:rPr>
                <w:b/>
                <w:i/>
              </w:rPr>
              <w:tab/>
              <w:t>Kako bi se odgovorilo na ključne izazove povezane s poticanjem inovacija i zaštitom znanja radi povećanja konkurentnosti i otpornosti Europske unije, države članice trebale bi promicati suradnju među organizacijama koje rade na stvaranju i prihvaćanju vještina, kao što su strukovne, akademske i istraživačke institucije te industrije. Takva je suradnja presudna za razvoj novih tehnologija i zaštitu intelektualnog vlasništva, a time se osigurava da EU ostane predvodnik u globalnim inovacijama.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4.a (nova)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(4.a)</w:t>
            </w:r>
            <w:r w:rsidRPr="009C4E04">
              <w:rPr>
                <w:b/>
                <w:i/>
              </w:rPr>
              <w:tab/>
              <w:t>U skladu s člankom 5. stavkom 1. drugim podstavkom Uredbe (EU) 2021/1060, ESF+ doprinosi specifičnom cilju omogućivanja regijama i ljudima da ublaže socijalne i ekonomske učinke te učinke na zapošljavanje i okoliš koje ima tranzicija na energetskim i klimatskim ciljevima Unije za 2030. i klimatski neutralnom gospodarstvu do 2050., na temelju Pariškog sporazuma.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5.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(5)</w:t>
            </w:r>
            <w:r w:rsidRPr="009C4E04">
              <w:tab/>
              <w:t xml:space="preserve">Kako bi se državama članicama omogućilo da provedu </w:t>
            </w:r>
            <w:r w:rsidRPr="009C4E04">
              <w:rPr>
                <w:b/>
                <w:i/>
              </w:rPr>
              <w:t>smisleno</w:t>
            </w:r>
            <w:r w:rsidRPr="009C4E04">
              <w:t xml:space="preserve"> reprogramiranje i usmjere sredstva na strateške prioritete Unije utvrđene u uvodnim izjavama 2., 3. i 4. bez daljnjih kašnjenja u provedbi, </w:t>
            </w:r>
            <w:r w:rsidRPr="009C4E04">
              <w:rPr>
                <w:b/>
                <w:i/>
              </w:rPr>
              <w:t>primjereno</w:t>
            </w:r>
            <w:r w:rsidRPr="009C4E04">
              <w:t xml:space="preserve"> je </w:t>
            </w:r>
            <w:r w:rsidRPr="009C4E04">
              <w:rPr>
                <w:b/>
                <w:i/>
              </w:rPr>
              <w:t>predvidjeti dodatnu</w:t>
            </w:r>
            <w:r w:rsidRPr="009C4E04">
              <w:t xml:space="preserve"> fleksibilnost. Preispitivanje u sredini programskog razdoblja </w:t>
            </w:r>
            <w:r w:rsidRPr="009C4E04">
              <w:rPr>
                <w:b/>
                <w:i/>
              </w:rPr>
              <w:t>trebalo bi iskoristiti</w:t>
            </w:r>
            <w:r w:rsidRPr="009C4E04">
              <w:t xml:space="preserve"> kao </w:t>
            </w:r>
            <w:r w:rsidRPr="009C4E04">
              <w:rPr>
                <w:b/>
                <w:i/>
              </w:rPr>
              <w:t>priliku</w:t>
            </w:r>
            <w:r w:rsidRPr="009C4E04">
              <w:t xml:space="preserve"> da se uzmu u obzir novi strateški izazovi i prioriteti</w:t>
            </w:r>
            <w:r w:rsidRPr="009C4E04">
              <w:rPr>
                <w:b/>
                <w:i/>
              </w:rPr>
              <w:t xml:space="preserve"> te bi stoga</w:t>
            </w:r>
            <w:r w:rsidRPr="009C4E04">
              <w:t xml:space="preserve"> državama članicama </w:t>
            </w:r>
            <w:r w:rsidRPr="009C4E04">
              <w:rPr>
                <w:b/>
                <w:i/>
              </w:rPr>
              <w:t>trebalo osigurati</w:t>
            </w:r>
            <w:r w:rsidRPr="009C4E04">
              <w:t xml:space="preserve"> dodatno vrijeme za dovršenje procjene </w:t>
            </w:r>
            <w:r w:rsidRPr="009C4E04">
              <w:rPr>
                <w:b/>
                <w:i/>
              </w:rPr>
              <w:t>ishoda preispitivanja</w:t>
            </w:r>
            <w:r w:rsidRPr="009C4E04">
              <w:t xml:space="preserve"> u </w:t>
            </w:r>
            <w:r w:rsidRPr="009C4E04">
              <w:rPr>
                <w:b/>
                <w:i/>
              </w:rPr>
              <w:t>sredini programskog razdoblja</w:t>
            </w:r>
            <w:r w:rsidRPr="009C4E04">
              <w:t xml:space="preserve"> i </w:t>
            </w:r>
            <w:r w:rsidRPr="009C4E04">
              <w:rPr>
                <w:b/>
                <w:i/>
              </w:rPr>
              <w:t>podnošenje povezanih izmjena programa</w:t>
            </w:r>
            <w:r w:rsidRPr="009C4E04">
              <w:t>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(5)</w:t>
            </w:r>
            <w:r w:rsidRPr="009C4E04">
              <w:tab/>
              <w:t xml:space="preserve">Kako bi se državama članicama omogućilo da provedu </w:t>
            </w:r>
            <w:r w:rsidRPr="009C4E04">
              <w:rPr>
                <w:b/>
                <w:i/>
              </w:rPr>
              <w:t>znatno</w:t>
            </w:r>
            <w:r w:rsidRPr="009C4E04">
              <w:t xml:space="preserve"> reprogramiranje i usmjere sredstva na strateške prioritete Unije utvrđene u uvodnim izjavama 2., 3. i 4. bez daljnjih kašnjenja u provedbi, </w:t>
            </w:r>
            <w:r w:rsidRPr="009C4E04">
              <w:rPr>
                <w:b/>
                <w:i/>
              </w:rPr>
              <w:t>potrebna</w:t>
            </w:r>
            <w:r w:rsidRPr="009C4E04">
              <w:t xml:space="preserve"> je </w:t>
            </w:r>
            <w:r w:rsidRPr="009C4E04">
              <w:rPr>
                <w:b/>
                <w:i/>
              </w:rPr>
              <w:t>veća</w:t>
            </w:r>
            <w:r w:rsidRPr="009C4E04">
              <w:t xml:space="preserve"> fleksibilnost. Preispitivanje u sredini programskog razdoblja </w:t>
            </w:r>
            <w:r w:rsidRPr="009C4E04">
              <w:rPr>
                <w:b/>
                <w:i/>
              </w:rPr>
              <w:t>predstavljeno je</w:t>
            </w:r>
            <w:r w:rsidRPr="009C4E04">
              <w:t xml:space="preserve"> kao </w:t>
            </w:r>
            <w:r w:rsidRPr="009C4E04">
              <w:rPr>
                <w:b/>
                <w:i/>
              </w:rPr>
              <w:t>prilika</w:t>
            </w:r>
            <w:r w:rsidRPr="009C4E04">
              <w:t xml:space="preserve"> da se uzmu u obzir novi strateški izazovi i prioriteti</w:t>
            </w:r>
            <w:r w:rsidRPr="009C4E04">
              <w:rPr>
                <w:b/>
                <w:i/>
              </w:rPr>
              <w:t>, čime se</w:t>
            </w:r>
            <w:r w:rsidRPr="009C4E04">
              <w:t xml:space="preserve"> državama članicama </w:t>
            </w:r>
            <w:r w:rsidRPr="009C4E04">
              <w:rPr>
                <w:b/>
                <w:i/>
              </w:rPr>
              <w:t>pruža</w:t>
            </w:r>
            <w:r w:rsidRPr="009C4E04">
              <w:t xml:space="preserve"> dodatno vrijeme za dovršenje procjene </w:t>
            </w:r>
            <w:r w:rsidRPr="009C4E04">
              <w:rPr>
                <w:b/>
                <w:i/>
              </w:rPr>
              <w:t>svoje uspješnosti i podnošenje odgovarajućih programskih izmjena. Međutim, obvezno treba dovesti u pitanje činjenicu da bi usmjeravanje napora na redefiniranje prioriteta na razini EU-a moglo uništiti samu bit kohezijske politike, koja se temelji na rješavanju pitanja konkretnih prioriteta i potreba teritorija. Preusmjeravanjem pozornosti na globalne strateške izazove mogla bi se degradirati primarna misija, odnosno smanjenje regionalnih razlika i promicanje ujednačenog teritorijalnog razvoja, što bi dovelo do gubitka teritorijalnog pristupa koji je obilježje kohezijske politike.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5.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(5)</w:t>
            </w:r>
            <w:r w:rsidRPr="009C4E04">
              <w:tab/>
              <w:t>Kako bi se državama članicama omogućilo da provedu smisleno reprogramiranje i usmjere sredstva na strateške prioritete Unije utvrđene u uvodnim izjavama 2., 3. i 4. bez daljnjih kašnjenja u provedbi, primjereno je predvidjeti dodatnu fleksibilnost. Preispitivanje u sredini programskog razdoblja trebalo bi iskoristiti kao priliku da se uzmu u obzir novi strateški izazovi i prioriteti te bi stoga državama članicama trebalo osigurati dodatno vrijeme za dovršenje procjene ishoda preispitivanja u sredini programskog razdoblja i podnošenje povezanih izmjena programa.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(5)</w:t>
            </w:r>
            <w:r w:rsidRPr="009C4E04">
              <w:tab/>
              <w:t xml:space="preserve">Kako bi se državama članicama omogućilo da provedu smisleno reprogramiranje </w:t>
            </w:r>
            <w:r w:rsidRPr="009C4E04">
              <w:rPr>
                <w:b/>
                <w:i/>
              </w:rPr>
              <w:t xml:space="preserve">bez gubljenja usredotočenosti na glavne ciljeve fonda </w:t>
            </w:r>
            <w:r w:rsidRPr="009C4E04">
              <w:t>i</w:t>
            </w:r>
            <w:r w:rsidRPr="009C4E04">
              <w:rPr>
                <w:b/>
                <w:i/>
              </w:rPr>
              <w:t xml:space="preserve"> da</w:t>
            </w:r>
            <w:r w:rsidRPr="009C4E04">
              <w:t xml:space="preserve"> usmjere sredstva na strateške prioritete Unije utvrđene u uvodnim izjavama 2., 3. i 4. bez daljnjih kašnjenja u provedbi, primjereno je predvidjeti dodatnu fleksibilnost. Preispitivanje u sredini programskog razdoblja trebalo bi iskoristiti kao priliku da se uzmu u obzir novi strateški izazovi i prioriteti te bi stoga državama članicama trebalo osigurati dodatno vrijeme za dovršenje procjene ishoda preispitivanja u sredini programskog razdoblja i podnošenje povezanih izmjena programa.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5.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(5)</w:t>
            </w:r>
            <w:r w:rsidRPr="009C4E04">
              <w:tab/>
              <w:t xml:space="preserve">Kako bi se državama članicama omogućilo da provedu smisleno reprogramiranje i usmjere sredstva na strateške prioritete Unije utvrđene u uvodnim izjavama </w:t>
            </w:r>
            <w:r w:rsidRPr="009C4E04">
              <w:rPr>
                <w:b/>
                <w:i/>
              </w:rPr>
              <w:t xml:space="preserve">2., </w:t>
            </w:r>
            <w:r w:rsidRPr="009C4E04">
              <w:t xml:space="preserve">3. i 4. bez daljnjih kašnjenja u provedbi, primjereno je predvidjeti dodatnu fleksibilnost. Preispitivanje u sredini programskog razdoblja trebalo bi iskoristiti kao priliku da se uzmu u obzir novi strateški izazovi i prioriteti te bi stoga državama članicama trebalo osigurati dodatno vrijeme za dovršenje procjene ishoda preispitivanja u </w:t>
            </w:r>
            <w:r w:rsidRPr="009C4E04">
              <w:lastRenderedPageBreak/>
              <w:t>sredini programskog razdoblja i podnošenje povezanih izmjena programa.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(5)</w:t>
            </w:r>
            <w:r w:rsidRPr="009C4E04">
              <w:tab/>
              <w:t>Kako bi se državama članicama omogućilo da provedu smisleno reprogramiranje i usmjere sredstva na strateške prioritete Unije utvrđene u uvodnim izjavama 3. i 4. bez daljnjih kašnjenja u provedbi, primjereno je predvidjeti dodatnu fleksibilnost. Preispitivanje u sredini programskog razdoblja trebalo bi iskoristiti kao priliku da se uzmu u obzir novi strateški</w:t>
            </w:r>
            <w:r w:rsidRPr="009C4E04">
              <w:rPr>
                <w:b/>
                <w:i/>
              </w:rPr>
              <w:t xml:space="preserve"> i socijalni</w:t>
            </w:r>
            <w:r w:rsidRPr="009C4E04">
              <w:t xml:space="preserve"> izazovi i prioriteti te bi stoga državama članicama trebalo osigurati dodatno vrijeme za dovršenje procjene ishoda </w:t>
            </w:r>
            <w:r w:rsidRPr="009C4E04">
              <w:lastRenderedPageBreak/>
              <w:t>preispitivanja u sredini programskog razdoblja i podnošenje povezanih izmjena programa.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Brigitte van den Berg, Jana Toom, Hristo Petrov, Grégory Allione, Eugen Tomac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5.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(5)</w:t>
            </w:r>
            <w:r w:rsidRPr="009C4E04">
              <w:tab/>
              <w:t>Kako bi se državama članicama omogućilo da provedu smisleno reprogramiranje i usmjere sredstva na strateške prioritete Unije utvrđene u uvodnim izjavama 2., 3. i 4. bez daljnjih kašnjenja u provedbi, primjereno je predvidjeti dodatnu fleksibilnost. Preispitivanje u sredini programskog razdoblja trebalo bi iskoristiti kao priliku da se uzmu u obzir novi strateški izazovi i prioriteti te bi stoga državama članicama trebalo osigurati dodatno vrijeme za dovršenje procjene ishoda preispitivanja u sredini programskog razdoblja i podnošenje povezanih izmjena programa.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(5)</w:t>
            </w:r>
            <w:r w:rsidRPr="009C4E04">
              <w:tab/>
              <w:t xml:space="preserve">Kako bi se državama članicama omogućilo da provedu smisleno </w:t>
            </w:r>
            <w:r w:rsidRPr="009C4E04">
              <w:rPr>
                <w:b/>
                <w:i/>
              </w:rPr>
              <w:t xml:space="preserve">i pravedno </w:t>
            </w:r>
            <w:r w:rsidRPr="009C4E04">
              <w:t>reprogramiranje i usmjere sredstva na strateške prioritete Unije utvrđene u uvodnim izjavama 2., 3. i 4. bez daljnjih kašnjenja u provedbi, primjereno je predvidjeti dodatnu fleksibilnost. Preispitivanje u sredini programskog razdoblja trebalo bi iskoristiti kao priliku da se uzmu u obzir novi strateški izazovi i prioriteti te bi stoga državama članicama trebalo osigurati dodatno vrijeme za dovršenje procjene ishoda preispitivanja u sredini programskog razdoblja i podnošenje povezanih izmjena programa.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Marie Dauchy, Nikola Bartůšek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{EMPL}</w:t>
      </w:r>
      <w:r w:rsidRPr="009C4E04">
        <w:t>u ime Odbora za zapošljavanje i socijalna pitanja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&lt;Members&gt;</w:t>
      </w:r>
      <w:r w:rsidRPr="009C4E04">
        <w:t>Séverine Werbrouck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6.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(6)</w:t>
            </w:r>
            <w:r w:rsidRPr="009C4E04">
              <w:tab/>
              <w:t xml:space="preserve">Kako bi se ubrzala provedba programa kohezijske politike i smanjio </w:t>
            </w:r>
            <w:r w:rsidRPr="009C4E04">
              <w:lastRenderedPageBreak/>
              <w:t>pritisak na nacionalne proračune te osigurala potrebna likvidnost za provedbu ključnih ulaganja, za te programe trebalo bi isplatiti dodatno jednokratno pretfinanciranje iz fonda ESF+. Zbog negativnih posljedica agresivnog rata Rusije protiv Ukrajine postotak pretfinanciranja trebalo bi dodatno povećati za određene programe koji obuhvaćaju jednu ili više regija razine NUTS 2 koje graniče s Rusijom, Bjelarusom ili Ukrajinom. Kako bi se potaknulo reprogramiranje radi usmjeravanja na ključne prioritete u kontekstu preispitivanja u sredini programskog razdoblja, dodatno pretfinanciranje trebalo bi biti dostupno samo ako je dosegnut određeni prag za preraspodjelu financijskih sredstava za određene ključne prioritete.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(6)</w:t>
            </w:r>
            <w:r w:rsidRPr="009C4E04">
              <w:tab/>
              <w:t xml:space="preserve">Kako bi se ubrzala provedba programa kohezijske politike i smanjio </w:t>
            </w:r>
            <w:r w:rsidRPr="009C4E04">
              <w:lastRenderedPageBreak/>
              <w:t>pritisak na nacionalne proračune te osigurala potrebna likvidnost za provedbu ključnih ulaganja, za te programe trebalo bi isplatiti dodatno jednokratno pretfinanciranje iz fonda ESF+. Zbog negativnih posljedica agresivnog rata Rusije protiv Ukrajine</w:t>
            </w:r>
            <w:r w:rsidRPr="009C4E04">
              <w:rPr>
                <w:b/>
                <w:i/>
              </w:rPr>
              <w:t>, uključujući povećani migracijski pritisak,</w:t>
            </w:r>
            <w:r w:rsidRPr="009C4E04">
              <w:t xml:space="preserve"> postotak pretfinanciranja trebalo bi dodatno povećati za određene programe koji obuhvaćaju jednu ili više regija razine NUTS 2 koje graniče s Rusijom, Bjelarusom ili Ukrajinom</w:t>
            </w:r>
            <w:r w:rsidRPr="009C4E04">
              <w:rPr>
                <w:b/>
                <w:i/>
              </w:rPr>
              <w:t>. Budući da su te iste regije zbog svojeg položaja na granicama Europske unije odavno točka pristupa masovne nezakonite imigracije, ta situacija ima i negativne učinke koji se pogoršavaju</w:t>
            </w:r>
            <w:r w:rsidRPr="009C4E04">
              <w:t>. Kako bi se potaknulo reprogramiranje radi usmjeravanja na ključne prioritete u kontekstu preispitivanja u sredini programskog razdoblja, dodatno pretfinanciranje trebalo bi biti dostupno samo ako je dosegnut određeni prag za preraspodjelu financijskih sredstava za određene ključne prioritete.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{FR}</w:t>
      </w:r>
      <w:r w:rsidRPr="009C4E04">
        <w:rPr>
          <w:noProof w:val="0"/>
        </w:rPr>
        <w:t>fr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39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6.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(6)</w:t>
            </w:r>
            <w:r w:rsidRPr="009C4E04">
              <w:tab/>
              <w:t xml:space="preserve">Kako bi se ubrzala provedba programa kohezijske politike i smanjio pritisak na nacionalne proračune te osigurala potrebna likvidnost za provedbu ključnih ulaganja, za te programe trebalo bi isplatiti dodatno jednokratno pretfinanciranje iz fonda ESF+. Zbog negativnih posljedica agresivnog rata Rusije protiv Ukrajine postotak pretfinanciranja trebalo bi dodatno </w:t>
            </w:r>
            <w:r w:rsidRPr="009C4E04">
              <w:lastRenderedPageBreak/>
              <w:t xml:space="preserve">povećati za određene programe koji obuhvaćaju jednu ili više regija razine NUTS 2 koje graniče s Rusijom, Bjelarusom </w:t>
            </w:r>
            <w:r w:rsidRPr="009C4E04">
              <w:rPr>
                <w:b/>
                <w:i/>
              </w:rPr>
              <w:t>ili</w:t>
            </w:r>
            <w:r w:rsidRPr="009C4E04">
              <w:t xml:space="preserve"> Ukrajinom. Kako bi se potaknulo reprogramiranje radi usmjeravanja na ključne prioritete u kontekstu preispitivanja u sredini programskog razdoblja, dodatno pretfinanciranje trebalo bi biti dostupno samo ako je dosegnut određeni prag za preraspodjelu financijskih sredstava za određene ključne prioritete.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(6)</w:t>
            </w:r>
            <w:r w:rsidRPr="009C4E04">
              <w:tab/>
              <w:t xml:space="preserve">Kako bi se ubrzala provedba programa kohezijske politike i smanjio pritisak na nacionalne proračune te osigurala potrebna likvidnost za provedbu ključnih ulaganja, za te programe trebalo bi isplatiti dodatno jednokratno pretfinanciranje iz fonda ESF+. Zbog negativnih posljedica agresivnog rata Rusije protiv Ukrajine postotak pretfinanciranja trebalo bi dodatno </w:t>
            </w:r>
            <w:r w:rsidRPr="009C4E04">
              <w:lastRenderedPageBreak/>
              <w:t>povećati za određene programe koji obuhvaćaju jednu ili više regija razine NUTS 2 koje graniče s Rusijom, Bjelarusom</w:t>
            </w:r>
            <w:r w:rsidRPr="009C4E04">
              <w:rPr>
                <w:b/>
                <w:i/>
              </w:rPr>
              <w:t>,</w:t>
            </w:r>
            <w:r w:rsidRPr="009C4E04">
              <w:t xml:space="preserve"> Ukrajinom </w:t>
            </w:r>
            <w:r w:rsidRPr="009C4E04">
              <w:rPr>
                <w:b/>
                <w:i/>
              </w:rPr>
              <w:t>i regijama koje su znatno pogođene nekonvencionalnim ili hibridnim rizicima</w:t>
            </w:r>
            <w:r w:rsidRPr="009C4E04">
              <w:t>. Kako bi se potaknulo reprogramiranje radi usmjeravanja na ključne prioritete u kontekstu preispitivanja u sredini programskog razdoblja, dodatno pretfinanciranje trebalo bi biti dostupno samo ako je dosegnut određeni prag za preraspodjelu financijskih sredstava za određene ključne prioritete.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6.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(6)</w:t>
            </w:r>
            <w:r w:rsidRPr="009C4E04">
              <w:tab/>
              <w:t xml:space="preserve">Kako bi se ubrzala provedba programa kohezijske politike i smanjio pritisak na nacionalne proračune te osigurala potrebna likvidnost za provedbu ključnih ulaganja, za te programe trebalo bi isplatiti dodatno jednokratno pretfinanciranje iz fonda ESF+. </w:t>
            </w:r>
            <w:r w:rsidRPr="009C4E04">
              <w:rPr>
                <w:b/>
                <w:i/>
              </w:rPr>
              <w:t>Zbog negativnih posljedica agresivnog rata Rusije protiv Ukrajine postotak pretfinanciranja trebalo bi dodatno povećati za određene programe koji obuhvaćaju jednu ili više regija razine NUTS 2 koje graniče s Rusijom, Bjelarusom ili Ukrajinom.</w:t>
            </w:r>
            <w:r w:rsidRPr="009C4E04">
              <w:t xml:space="preserve"> Kako bi se potaknulo reprogramiranje radi usmjeravanja na ključne prioritete u kontekstu preispitivanja u sredini programskog razdoblja, dodatno pretfinanciranje trebalo bi biti dostupno samo ako je dosegnut određeni prag za </w:t>
            </w:r>
            <w:r w:rsidRPr="009C4E04">
              <w:lastRenderedPageBreak/>
              <w:t>preraspodjelu financijskih sredstava za određene ključne prioritete.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(6)</w:t>
            </w:r>
            <w:r w:rsidRPr="009C4E04">
              <w:tab/>
              <w:t xml:space="preserve">Kako bi se ubrzala provedba programa kohezijske politike i smanjio pritisak na nacionalne proračune te osigurala potrebna likvidnost za provedbu ključnih ulaganja, za te programe trebalo bi isplatiti dodatno jednokratno pretfinanciranje iz fonda ESF+. Kako bi se potaknulo reprogramiranje radi usmjeravanja na ključne prioritete u kontekstu preispitivanja u sredini programskog razdoblja, dodatno pretfinanciranje trebalo bi biti dostupno samo ako je dosegnut određeni prag za preraspodjelu financijskih sredstava za određene ključne prioritete. </w:t>
            </w:r>
            <w:r w:rsidRPr="009C4E04">
              <w:rPr>
                <w:b/>
                <w:i/>
              </w:rPr>
              <w:t xml:space="preserve">Zbog negativnih posljedica agresivnog rata Rusije protiv Ukrajine postotak pretfinanciranja trebalo bi dodatno povećati za određene programe koji obuhvaćaju jednu ili više regija razine </w:t>
            </w:r>
            <w:r w:rsidRPr="009C4E04">
              <w:rPr>
                <w:b/>
                <w:i/>
              </w:rPr>
              <w:lastRenderedPageBreak/>
              <w:t>NUTS 2 koje graniče s Rusijom, Bjelarusom ili Ukrajinom, bez posebnih uvjeta za preraspodjelu financijskih sredstava iz programa za posebne prioritete.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7.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(7)</w:t>
            </w:r>
            <w:r w:rsidRPr="009C4E04">
              <w:tab/>
            </w:r>
            <w:r w:rsidRPr="009C4E04">
              <w:rPr>
                <w:b/>
                <w:i/>
              </w:rPr>
              <w:t>Nadalje,</w:t>
            </w:r>
            <w:r w:rsidRPr="009C4E04">
              <w:t xml:space="preserve"> kako bi </w:t>
            </w:r>
            <w:r w:rsidRPr="009C4E04">
              <w:rPr>
                <w:b/>
                <w:i/>
              </w:rPr>
              <w:t>se uzelo</w:t>
            </w:r>
            <w:r w:rsidRPr="009C4E04">
              <w:t xml:space="preserve"> u </w:t>
            </w:r>
            <w:r w:rsidRPr="009C4E04">
              <w:rPr>
                <w:b/>
                <w:i/>
              </w:rPr>
              <w:t>obzir vrijeme potrebno za preusmjeravanje ulaganja</w:t>
            </w:r>
            <w:r w:rsidRPr="009C4E04">
              <w:t xml:space="preserve"> i </w:t>
            </w:r>
            <w:r w:rsidRPr="009C4E04">
              <w:rPr>
                <w:b/>
                <w:i/>
              </w:rPr>
              <w:t>omogućilo da se dostupna sredstava iskoriste na najbolji mogući način, rokove za prihvatljivost rashoda i pravila o opozivu trebalo bi prilagoditi za programe u okviru kojih se sredstva preraspodjeljuju za strateške prioritete</w:t>
            </w:r>
            <w:r w:rsidRPr="009C4E04">
              <w:t>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(7)</w:t>
            </w:r>
            <w:r w:rsidRPr="009C4E04">
              <w:tab/>
              <w:t xml:space="preserve">Kako bi </w:t>
            </w:r>
            <w:r w:rsidRPr="009C4E04">
              <w:rPr>
                <w:b/>
                <w:i/>
              </w:rPr>
              <w:t>preispitivanje</w:t>
            </w:r>
            <w:r w:rsidRPr="009C4E04">
              <w:t xml:space="preserve"> u </w:t>
            </w:r>
            <w:r w:rsidRPr="009C4E04">
              <w:rPr>
                <w:b/>
                <w:i/>
              </w:rPr>
              <w:t>sredini programskog razdoblja imalo stvaran učinak</w:t>
            </w:r>
            <w:r w:rsidRPr="009C4E04">
              <w:t xml:space="preserve"> i </w:t>
            </w:r>
            <w:r w:rsidRPr="009C4E04">
              <w:rPr>
                <w:b/>
                <w:i/>
              </w:rPr>
              <w:t>poslužilo kao učinkovit poticaj državama članicama da svoje programe preusmjere prema novim strateškim prioritetima, prednost bi trebalo dati ulaganjima u tim područjima u okviru postojećih rokova prihvatljivosti i opoziva, bez produljenja trenutačnih rokova</w:t>
            </w:r>
            <w:r w:rsidRPr="009C4E04">
              <w:t>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8.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(8)</w:t>
            </w:r>
            <w:r w:rsidRPr="009C4E04">
              <w:tab/>
              <w:t xml:space="preserve">Na prioritete programa koji obuhvaćaju jednu ili više regija razine NUTS 2 koje graniče s Rusijom, Bjelarusom </w:t>
            </w:r>
            <w:r w:rsidRPr="009C4E04">
              <w:rPr>
                <w:b/>
                <w:i/>
              </w:rPr>
              <w:t>ili</w:t>
            </w:r>
            <w:r w:rsidRPr="009C4E04">
              <w:t xml:space="preserve"> Ukrajinom trebalo bi također biti moguće primijeniti najvišu stopu sufinanciranja u iznosu do </w:t>
            </w:r>
            <w:r w:rsidRPr="009C4E04">
              <w:rPr>
                <w:b/>
                <w:i/>
              </w:rPr>
              <w:t>100</w:t>
            </w:r>
            <w:r w:rsidRPr="009C4E04">
              <w:t> % zbog negativnih posljedica agresivnog rata Rusije protiv Ukrajine za te regije.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(8)</w:t>
            </w:r>
            <w:r w:rsidRPr="009C4E04">
              <w:tab/>
              <w:t>Na prioritete programa koji obuhvaćaju jednu ili više regija razine NUTS 2 koje graniče s Rusijom, Bjelarusom</w:t>
            </w:r>
            <w:r w:rsidRPr="009C4E04">
              <w:rPr>
                <w:b/>
                <w:i/>
              </w:rPr>
              <w:t>,</w:t>
            </w:r>
            <w:r w:rsidRPr="009C4E04">
              <w:t xml:space="preserve"> Ukrajinom </w:t>
            </w:r>
            <w:r w:rsidRPr="009C4E04">
              <w:rPr>
                <w:b/>
                <w:i/>
              </w:rPr>
              <w:t>i regijama koje su znatno pogođene nekonvencionalnim ili hibridnim rizicima</w:t>
            </w:r>
            <w:r w:rsidRPr="009C4E04">
              <w:t xml:space="preserve"> trebalo bi također biti moguće primijeniti najvišu stopu sufinanciranja u iznosu do </w:t>
            </w:r>
            <w:r w:rsidRPr="009C4E04">
              <w:rPr>
                <w:b/>
                <w:i/>
              </w:rPr>
              <w:t>95</w:t>
            </w:r>
            <w:r w:rsidRPr="009C4E04">
              <w:t xml:space="preserve"> % zbog negativnih posljedica agresivnog rata </w:t>
            </w:r>
            <w:r w:rsidRPr="009C4E04">
              <w:lastRenderedPageBreak/>
              <w:t>Rusije protiv Ukrajine za te regije.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8.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(8)</w:t>
            </w:r>
            <w:r w:rsidRPr="009C4E04">
              <w:tab/>
              <w:t>Na prioritete programa koji obuhvaćaju jednu ili više regija razine NUTS 2 koje graniče s Rusijom, Bjelarusom ili Ukrajinom trebalo bi također biti moguće primijeniti najvišu stopu sufinanciranja u iznosu do 100 % zbog negativnih posljedica agresivnog rata Rusije protiv Ukrajine za te regije.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(8)</w:t>
            </w:r>
            <w:r w:rsidRPr="009C4E04">
              <w:tab/>
              <w:t>Na prioritete programa koji obuhvaćaju jednu ili više regija razine NUTS 2 koje graniče s Rusijom, Bjelarusom ili Ukrajinom trebalo bi također biti moguće</w:t>
            </w:r>
            <w:r w:rsidRPr="009C4E04">
              <w:rPr>
                <w:b/>
                <w:i/>
              </w:rPr>
              <w:t>, uz zadržavanje trenutačne diferencijacije među kategorijama regija,</w:t>
            </w:r>
            <w:r w:rsidRPr="009C4E04">
              <w:t xml:space="preserve"> primijeniti najvišu stopu sufinanciranja u iznosu do 100 % zbog negativnih posljedica agresivnog rata Rusije protiv Ukrajine za te regije.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8.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(8)</w:t>
            </w:r>
            <w:r w:rsidRPr="009C4E04">
              <w:tab/>
              <w:t xml:space="preserve">Na </w:t>
            </w:r>
            <w:r w:rsidRPr="009C4E04">
              <w:rPr>
                <w:b/>
                <w:i/>
              </w:rPr>
              <w:t>prioritete programa</w:t>
            </w:r>
            <w:r w:rsidRPr="009C4E04">
              <w:t xml:space="preserve"> koji obuhvaćaju jednu ili više regija razine NUTS 2 koje graniče s Rusijom, Bjelarusom ili Ukrajinom trebalo bi također biti moguće primijeniti najvišu stopu sufinanciranja u iznosu do 100 % zbog negativnih posljedica agresivnog rata Rusije protiv Ukrajine za te regije.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(8)</w:t>
            </w:r>
            <w:r w:rsidRPr="009C4E04">
              <w:tab/>
              <w:t xml:space="preserve">Na </w:t>
            </w:r>
            <w:r w:rsidRPr="009C4E04">
              <w:rPr>
                <w:b/>
                <w:i/>
              </w:rPr>
              <w:t>programe</w:t>
            </w:r>
            <w:r w:rsidRPr="009C4E04">
              <w:t xml:space="preserve"> koji obuhvaćaju jednu ili više regija razine NUTS 2 koje graniče s Rusijom, Bjelarusom ili Ukrajinom trebalo bi također biti moguće primijeniti najvišu stopu sufinanciranja u iznosu do 100 % zbog negativnih posljedica agresivnog rata Rusije protiv Ukrajine za te regije.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9.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(9)</w:t>
            </w:r>
            <w:r w:rsidRPr="009C4E04">
              <w:tab/>
              <w:t>S obzirom na to da ciljeve ove Uredbe, odnosno pružanje odgovora na strateške izazove, preusmjeravanje ulaganja na ključne nove prioritete te pojednostavnjenje i ubrzavanje provedbe politika, ne mogu dostatno ostvariti države članice, nego se oni na bolji način mogu ostvariti na razini Unije, Unija može donijeti mjere u skladu s načelom supsidijarnosti utvrđenim u članku 5. Ugovora o Europskoj uniji. U skladu s načelom proporcionalnosti utvrđenim u tom članku, ova Uredba ne prelazi ono što je potrebno za ostvarivanje tog cilja.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(9)</w:t>
            </w:r>
            <w:r w:rsidRPr="009C4E04">
              <w:tab/>
              <w:t xml:space="preserve">S obzirom na to da ciljeve ove Uredbe, odnosno pružanje odgovora na strateške </w:t>
            </w:r>
            <w:r w:rsidRPr="009C4E04">
              <w:rPr>
                <w:b/>
                <w:i/>
              </w:rPr>
              <w:t xml:space="preserve">i socijalne </w:t>
            </w:r>
            <w:r w:rsidRPr="009C4E04">
              <w:t>izazove, preusmjeravanje ulaganja na ključne nove prioritete te pojednostavnjenje i ubrzavanje provedbe politika, ne mogu dostatno ostvariti države članice, nego se oni na bolji način mogu ostvariti na razini Unije, Unija može donijeti mjere u skladu s načelom supsidijarnosti utvrđenim u članku 5. Ugovora o Europskoj uniji. U skladu s načelom proporcionalnosti utvrđenim u tom članku, ova Uredba ne prelazi ono što je potrebno za ostvarivanje tog cilja.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9.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(9)</w:t>
            </w:r>
            <w:r w:rsidRPr="009C4E04">
              <w:tab/>
              <w:t xml:space="preserve">S obzirom na to da ciljeve ove Uredbe, odnosno pružanje odgovora na strateške izazove, preusmjeravanje ulaganja na ključne nove prioritete te pojednostavnjenje i ubrzavanje provedbe politika, ne mogu dostatno ostvariti države </w:t>
            </w:r>
            <w:r w:rsidRPr="009C4E04">
              <w:lastRenderedPageBreak/>
              <w:t>članice, nego se oni na bolji način mogu ostvariti na razini Unije, Unija može donijeti mjere u skladu s načelom supsidijarnosti utvrđenim u članku 5. Ugovora o Europskoj uniji. U skladu s načelom proporcionalnosti utvrđenim u tom članku, ova Uredba ne prelazi ono što je potrebno za ostvarivanje tog cilja.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(9)</w:t>
            </w:r>
            <w:r w:rsidRPr="009C4E04">
              <w:tab/>
              <w:t xml:space="preserve">S obzirom na to da ciljeve ove Uredbe, odnosno pružanje odgovora na strateške </w:t>
            </w:r>
            <w:r w:rsidRPr="009C4E04">
              <w:rPr>
                <w:b/>
                <w:i/>
              </w:rPr>
              <w:t xml:space="preserve">i socijalne </w:t>
            </w:r>
            <w:r w:rsidRPr="009C4E04">
              <w:t xml:space="preserve">izazove, preusmjeravanje ulaganja na ključne nove prioritete te pojednostavnjenje i ubrzavanje provedbe politika, ne mogu dostatno </w:t>
            </w:r>
            <w:r w:rsidRPr="009C4E04">
              <w:lastRenderedPageBreak/>
              <w:t>ostvariti države članice, nego se oni na bolji način mogu ostvariti na razini Unije, Unija može donijeti mjere u skladu s načelom supsidijarnosti utvrđenim u članku 5. Ugovora o Europskoj uniji. U skladu s načelom proporcionalnosti utvrđenim u tom članku, ova Uredba ne prelazi ono što je potrebno za ostvarivanje tog cilja.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11.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(11)</w:t>
            </w:r>
            <w:r w:rsidRPr="009C4E04">
              <w:tab/>
              <w:t xml:space="preserve">[S obzirom na </w:t>
            </w:r>
            <w:r w:rsidRPr="009C4E04">
              <w:rPr>
                <w:b/>
                <w:i/>
              </w:rPr>
              <w:t>hitnu</w:t>
            </w:r>
            <w:r w:rsidRPr="009C4E04">
              <w:t xml:space="preserve"> potrebu da se omoguće ključna ulaganja u vještine u </w:t>
            </w:r>
            <w:r w:rsidRPr="009C4E04">
              <w:rPr>
                <w:b/>
                <w:i/>
              </w:rPr>
              <w:t>obrambenoj industriji</w:t>
            </w:r>
            <w:r w:rsidRPr="009C4E04">
              <w:t xml:space="preserve"> i u prilagodbu promjenama povezanima s dekarbonizacijom u kontekstu strateških geopolitičkih izazova na koje treba hitno odgovoriti, ova bi Uredba trebala stupiti na snagu sljedećeg dana od dana objave u Službenom listu Europske unije,]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(11)</w:t>
            </w:r>
            <w:r w:rsidRPr="009C4E04">
              <w:tab/>
              <w:t xml:space="preserve">[S obzirom na </w:t>
            </w:r>
            <w:r w:rsidRPr="009C4E04">
              <w:rPr>
                <w:b/>
                <w:i/>
              </w:rPr>
              <w:t>povećanu</w:t>
            </w:r>
            <w:r w:rsidRPr="009C4E04">
              <w:t xml:space="preserve"> potrebu da se omoguće ključna ulaganja u </w:t>
            </w:r>
            <w:r w:rsidRPr="009C4E04">
              <w:rPr>
                <w:b/>
                <w:i/>
              </w:rPr>
              <w:t xml:space="preserve">konkretne </w:t>
            </w:r>
            <w:r w:rsidRPr="009C4E04">
              <w:t xml:space="preserve">vještine u </w:t>
            </w:r>
            <w:r w:rsidRPr="009C4E04">
              <w:rPr>
                <w:b/>
                <w:i/>
              </w:rPr>
              <w:t>kritičnim industrijama</w:t>
            </w:r>
            <w:r w:rsidRPr="009C4E04">
              <w:t xml:space="preserve"> i u prilagodbu promjenama povezanima s dekarbonizacijom u kontekstu strateških geopolitičkih izazova na koje treba hitno odgovoriti, ova bi Uredba trebala stupiti na snagu sljedećeg dana od dana objave u Službenom listu Europske unije,]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Uvodna izjava 11.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(11)</w:t>
            </w:r>
            <w:r w:rsidRPr="009C4E04">
              <w:tab/>
              <w:t xml:space="preserve">[S obzirom na hitnu potrebu da se omoguće ključna ulaganja u vještine u </w:t>
            </w:r>
            <w:r w:rsidRPr="009C4E04">
              <w:rPr>
                <w:b/>
                <w:i/>
              </w:rPr>
              <w:lastRenderedPageBreak/>
              <w:t>obrambenoj</w:t>
            </w:r>
            <w:r w:rsidRPr="009C4E04">
              <w:t xml:space="preserve"> industriji i u prilagodbu promjenama povezanima s dekarbonizacijom u kontekstu strateških geopolitičkih izazova na koje treba hitno odgovoriti, ova bi Uredba trebala stupiti na snagu sljedećeg dana od dana objave u Službenom listu Europske unije,]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(11)</w:t>
            </w:r>
            <w:r w:rsidRPr="009C4E04">
              <w:tab/>
              <w:t xml:space="preserve">[S obzirom na hitnu potrebu da se omoguće ključna ulaganja u vještine u </w:t>
            </w:r>
            <w:r w:rsidRPr="009C4E04">
              <w:rPr>
                <w:b/>
                <w:i/>
              </w:rPr>
              <w:lastRenderedPageBreak/>
              <w:t>tehničkoj</w:t>
            </w:r>
            <w:r w:rsidRPr="009C4E04">
              <w:t xml:space="preserve"> industriji i u prilagodbu promjenama povezanima s dekarbonizacijom u kontekstu strateških geopolitičkih izazova na koje treba hitno odgovoriti, ova bi Uredba trebala stupiti na snagu sljedećeg dana od dana objave u Službenom listu Europske unije,]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49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5.a – stavak 1. – prvi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 xml:space="preserve">Komisija 2026. isplaćuje 4,5 % ukupne potpore iz fonda ESF+ kao dodatno jednokratno pretfinanciranje kako je utvrđeno u odluci o odobrenju izmjene programa. Postotak jednokratnog pretfinanciranja 2026. povećava se na 9,5 % za programe koji obuhvaćaju jednu ili više regija razine NUTS 2 koje graniče s Rusijom, Bjelarusom </w:t>
            </w:r>
            <w:r w:rsidRPr="009C4E04">
              <w:rPr>
                <w:b/>
                <w:i/>
              </w:rPr>
              <w:t>ili</w:t>
            </w:r>
            <w:r w:rsidRPr="009C4E04">
              <w:t xml:space="preserve"> Ukrajinom, pod uvjetom da program ne obuhvaća cijelo državno područje države članice. Ako su u državi članici regije razine NUTS 2 koje graniče s Rusijom, Bjelarusom </w:t>
            </w:r>
            <w:r w:rsidRPr="009C4E04">
              <w:rPr>
                <w:b/>
                <w:bCs/>
                <w:i/>
                <w:iCs/>
              </w:rPr>
              <w:t>ili</w:t>
            </w:r>
            <w:r w:rsidRPr="009C4E04">
              <w:t xml:space="preserve"> Ukrajinom uključene isključivo u programe koji obuhvaćaju cijelo državno područje te države članice, na te se programe primjenjuje povećano pretfinanciranje utvrđeno u ovom stavku.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Komisija 2026. isplaćuje 4,5 % ukupne potpore iz fonda ESF+ kao dodatno jednokratno pretfinanciranje kako je utvrđeno u odluci o odobrenju izmjene programa. Postotak jednokratnog pretfinanciranja 2026. povećava se na 9,5 % za programe koji obuhvaćaju jednu ili više regija razine NUTS 2 koje graniče s Rusijom, Bjelarusom</w:t>
            </w:r>
            <w:r w:rsidRPr="009C4E04">
              <w:rPr>
                <w:b/>
                <w:i/>
              </w:rPr>
              <w:t>,</w:t>
            </w:r>
            <w:r w:rsidRPr="009C4E04">
              <w:t xml:space="preserve"> Ukrajinom </w:t>
            </w:r>
            <w:r w:rsidRPr="009C4E04">
              <w:rPr>
                <w:b/>
                <w:i/>
              </w:rPr>
              <w:t>i regijama koje su znatno pogođene nekonvencionalnim ili hibridnim rizicima</w:t>
            </w:r>
            <w:r w:rsidRPr="009C4E04">
              <w:t>, pod uvjetom da program ne obuhvaća cijelo državno područje države članice. Ako su u državi članici regije razine NUTS 2 koje graniče s Rusijom, Bjelarusom</w:t>
            </w:r>
            <w:r w:rsidRPr="009C4E04">
              <w:rPr>
                <w:b/>
                <w:i/>
              </w:rPr>
              <w:t>,</w:t>
            </w:r>
            <w:r w:rsidRPr="009C4E04">
              <w:t xml:space="preserve"> Ukrajinom </w:t>
            </w:r>
            <w:r w:rsidRPr="009C4E04">
              <w:rPr>
                <w:b/>
                <w:i/>
              </w:rPr>
              <w:t>i regijama koje su znatno pogođene nekonvencionalnim ili hibridnim rizicima</w:t>
            </w:r>
            <w:r w:rsidRPr="009C4E04">
              <w:t xml:space="preserve"> uključene isključivo u programe koji obuhvaćaju cijelo državno područje te države članice, na te se programe primjenjuje povećano pretfinanciranje utvrđeno u ovom stavku. </w:t>
            </w:r>
            <w:r w:rsidRPr="009C4E04">
              <w:rPr>
                <w:b/>
                <w:i/>
              </w:rPr>
              <w:t xml:space="preserve">Međutim, izvanredno pretfinanciranje, posebno ono koje je dodijeljeno u jednoj isplati od 30 % dodijeljenih sredstava, podliježe prethodnoj procjeni financijskog </w:t>
            </w:r>
            <w:r w:rsidRPr="009C4E04">
              <w:rPr>
                <w:b/>
                <w:i/>
              </w:rPr>
              <w:lastRenderedPageBreak/>
              <w:t>učinka na godišnja dodijeljena sredstva iz proračuna EU-a. Ako se utvrde znatni pritisci, aktivira se kompenzacijski mehanizam kako bi se omogućila privremena prilagodba pretfinancirane stope.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(Ova izmjena primjenjuje se u cijelom tekstu. Ako se usvoji bit će potrebno unijeti odgovarajuće promjene u cijelom tekstu.)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pPr>
        <w:pStyle w:val="CrossRef"/>
      </w:pPr>
      <w:r w:rsidRPr="009C4E04">
        <w:t>(Stavci 30. i 31. Mišljenja Europskog revizorskog suda 02/2025)</w:t>
      </w:r>
    </w:p>
    <w:p w:rsidR="009C4E04" w:rsidRPr="009C4E04" w:rsidRDefault="009C4E04" w:rsidP="009C4E04">
      <w:pPr>
        <w:pStyle w:val="JustificationTitle"/>
        <w:rPr>
          <w:noProof w:val="0"/>
        </w:rPr>
      </w:pPr>
      <w:r w:rsidRPr="009C4E04">
        <w:rPr>
          <w:rStyle w:val="HideTWBExt"/>
          <w:i w:val="0"/>
        </w:rPr>
        <w:t>&lt;TitreJust&gt;</w:t>
      </w:r>
      <w:r w:rsidRPr="009C4E04">
        <w:t>Obrazloženje</w:t>
      </w:r>
      <w:r w:rsidRPr="009C4E04">
        <w:rPr>
          <w:rStyle w:val="HideTWBExt"/>
          <w:i w:val="0"/>
        </w:rPr>
        <w:t>&lt;/TitreJust&gt;</w:t>
      </w:r>
    </w:p>
    <w:p w:rsidR="009C4E04" w:rsidRPr="009C4E04" w:rsidRDefault="009C4E04" w:rsidP="009C4E04">
      <w:pPr>
        <w:pStyle w:val="Normal12Italic"/>
        <w:rPr>
          <w:noProof w:val="0"/>
        </w:rPr>
      </w:pPr>
      <w:r w:rsidRPr="009C4E04">
        <w:t>Zbog pritiska koji bi to izvanredno pretfinanciranje, posebno do 30 % u određenim slučajevima, moglo imati na godišnji proračun EU-a. Preporučuje se da se takva mjera u potpunosti opravda i da se uspostave mehanizmi prilagodbe.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5. – stavak 1. – prvi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 xml:space="preserve">Komisija 2026. isplaćuje 4,5 % ukupne potpore iz fonda ESF+ kao dodatno jednokratno pretfinanciranje kako je utvrđeno u odluci o odobrenju izmjene programa. Postotak jednokratnog pretfinanciranja 2026. povećava se na 9,5 % za programe koji obuhvaćaju jednu ili više regija razine NUTS 2 koje graniče s Rusijom, Bjelarusom ili Ukrajinom, pod uvjetom da program ne obuhvaća cijelo državno područje države članice. Ako su u državi članici regije razine NUTS 2 koje graniče s Rusijom, Bjelarusom ili Ukrajinom uključene isključivo u </w:t>
            </w:r>
            <w:r w:rsidRPr="009C4E04">
              <w:lastRenderedPageBreak/>
              <w:t>programe koji obuhvaćaju cijelo državno područje te države članice, na te se programe primjenjuje povećano pretfinanciranje utvrđeno u ovom stavku.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 xml:space="preserve">Komisija 2026. isplaćuje 4,5 % ukupne potpore iz fonda ESF+ kao dodatno jednokratno pretfinanciranje kako je utvrđeno u odluci o odobrenju izmjene programa. </w:t>
            </w:r>
            <w:r w:rsidRPr="009C4E04">
              <w:rPr>
                <w:b/>
                <w:i/>
              </w:rPr>
              <w:t>Dodatno pretfinanciranje primjenjuje se samo ako su odobrene preraspodjele najmanje 5 % financijskih sredstava programa za jedan ili više posebnih prioriteta utvrđenih u skladu s člancima 12.a i 12.d te pod uvjetom da se intervencije odnose na manje korisnike i da je zahtjev za izmjenu programa podnesen do 31. prosinca 2025.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 xml:space="preserve">Postotak jednokratnog pretfinanciranja 2026. povećava se na 9,5 % za </w:t>
            </w:r>
            <w:r w:rsidRPr="009C4E04">
              <w:rPr>
                <w:b/>
                <w:i/>
              </w:rPr>
              <w:t>sve</w:t>
            </w:r>
            <w:r w:rsidRPr="009C4E04">
              <w:t xml:space="preserve"> programe koji obuhvaćaju jednu ili više regija razine NUTS 2 koje graniče s Rusijom, Bjelarusom ili Ukrajinom, pod uvjetom da program ne obuhvaća cijelo državno područje države članice. Ako su u državi članici regije razine NUTS 2 koje graniče s Rusijom, Bjelarusom ili Ukrajinom uključene isključivo u programe koji obuhvaćaju cijelo državno područje te države članice, na te se programe primjenjuje povećano pretfinanciranje utvrđeno u ovom stavku.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5.a – stavak 1. – drugi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Dodatno pretfinanciranje iz prvog podstavka ovog stavka primjenjuje se samo ako su odobrene preraspodjele najmanje 15 % financijskih sredstava programa za jedan ili više posebnih prioriteta utvrđenih u skladu s člancima 12.a, 12.c i 12.d, pod uvjetom da je zahtjev za izmjenu programa dostavljen do 31. prosinca 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lastRenderedPageBreak/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5.a – stavak 1. – drugi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Dodatno pretfinanciranje iz prvog podstavka ovog stavka primjenjuje se samo ako su odobrene preraspodjele najmanje 15 % financijskih sredstava programa za jedan ili više posebnih prioriteta utvrđenih u skladu s člancima 12.a, 12.c i 12.d, pod uvjetom da je zahtjev za izmjenu programa dostavljen do 31. prosinca 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5.a – stavak 1. – drugi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Dodatno</w:t>
            </w:r>
            <w:r w:rsidRPr="009C4E04">
              <w:t xml:space="preserve"> pretfinanciranje </w:t>
            </w:r>
            <w:r w:rsidRPr="009C4E04">
              <w:rPr>
                <w:b/>
                <w:i/>
              </w:rPr>
              <w:t>iz prvog podstavka ovog stavka</w:t>
            </w:r>
            <w:r w:rsidRPr="009C4E04">
              <w:t xml:space="preserve"> primjenjuje se </w:t>
            </w:r>
            <w:r w:rsidRPr="009C4E04">
              <w:rPr>
                <w:b/>
                <w:i/>
              </w:rPr>
              <w:t>samo ako su odobrene preraspodjele najmanje 15 %</w:t>
            </w:r>
            <w:r w:rsidRPr="009C4E04">
              <w:t xml:space="preserve"> financijskih sredstava</w:t>
            </w:r>
            <w:r w:rsidRPr="009C4E04">
              <w:rPr>
                <w:b/>
                <w:i/>
              </w:rPr>
              <w:t xml:space="preserve"> programa za jedan ili više posebnih prioriteta utvrđenih u skladu s člancima 12.a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12</w:t>
            </w:r>
            <w:r w:rsidRPr="009C4E04">
              <w:t>.</w:t>
            </w:r>
            <w:r w:rsidRPr="009C4E04">
              <w:rPr>
                <w:b/>
                <w:i/>
              </w:rPr>
              <w:t>c</w:t>
            </w:r>
            <w:r w:rsidRPr="009C4E04">
              <w:t xml:space="preserve"> i 12</w:t>
            </w:r>
            <w:r w:rsidRPr="009C4E04">
              <w:rPr>
                <w:b/>
                <w:i/>
              </w:rPr>
              <w:t>.d</w:t>
            </w:r>
            <w:r w:rsidRPr="009C4E04">
              <w:t xml:space="preserve">, pod uvjetom da je </w:t>
            </w:r>
            <w:r w:rsidRPr="009C4E04">
              <w:rPr>
                <w:b/>
                <w:i/>
              </w:rPr>
              <w:t>zahtjev za izmjenu programa dostavljen do 31. prosinca 2025</w:t>
            </w:r>
            <w:r w:rsidRPr="009C4E04">
              <w:t>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Izvanredno</w:t>
            </w:r>
            <w:r w:rsidRPr="009C4E04">
              <w:t xml:space="preserve"> pretfinanciranje </w:t>
            </w:r>
            <w:r w:rsidRPr="009C4E04">
              <w:rPr>
                <w:b/>
                <w:i/>
              </w:rPr>
              <w:t>(4,5 % ili 9,5 % za programe u susjednim regijama razine NUTS 2) ne</w:t>
            </w:r>
            <w:r w:rsidRPr="009C4E04">
              <w:t xml:space="preserve"> primjenjuje se </w:t>
            </w:r>
            <w:r w:rsidRPr="009C4E04">
              <w:rPr>
                <w:b/>
                <w:i/>
              </w:rPr>
              <w:t>automatski iznad praga od 12,5 % za preraspodjelu</w:t>
            </w:r>
            <w:r w:rsidRPr="009C4E04">
              <w:t xml:space="preserve"> financijskih sredstava</w:t>
            </w:r>
            <w:r w:rsidRPr="009C4E04">
              <w:rPr>
                <w:b/>
                <w:i/>
              </w:rPr>
              <w:t>. Komisija, u suradnji s državama članicama, zajedno i s pomoću usporedne analize, uključujući kvalitativne i kvantitativne aspekte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procjenjuje odgovara li provedena preraspodjela utvrđenim strateškim prioritetima na učinkovit način</w:t>
            </w:r>
            <w:r w:rsidRPr="009C4E04">
              <w:t>.</w:t>
            </w:r>
            <w:r w:rsidRPr="009C4E04">
              <w:rPr>
                <w:b/>
                <w:i/>
              </w:rPr>
              <w:t xml:space="preserve"> Ta analiza može dovesti do provedbe dodatnih financijskih mjera </w:t>
            </w:r>
            <w:r w:rsidRPr="009C4E04">
              <w:rPr>
                <w:b/>
                <w:i/>
              </w:rPr>
              <w:lastRenderedPageBreak/>
              <w:t>čak i u slučajevima kad stopa preraspodjele ne dosegne 12,5 %,</w:t>
            </w:r>
            <w:r w:rsidRPr="009C4E04">
              <w:t xml:space="preserve"> pod uvjetom da je </w:t>
            </w:r>
            <w:r w:rsidRPr="009C4E04">
              <w:rPr>
                <w:b/>
                <w:i/>
              </w:rPr>
              <w:t>strateška potreba za prilagodbom čvrsto opravdana</w:t>
            </w:r>
            <w:r w:rsidRPr="009C4E04">
              <w:t>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(Ova izmjena primjenjuje se u cijelom tekstu. Ako se usvoji bit će potrebno unijeti odgovarajuće promjene u cijelom tekstu.)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pPr>
        <w:pStyle w:val="CrossRef"/>
      </w:pPr>
      <w:r w:rsidRPr="009C4E04">
        <w:t>(Vidjeti Mišljenje Europskog revizorskog suda 02/2025, stavci 30. – 31.)</w:t>
      </w:r>
    </w:p>
    <w:p w:rsidR="009C4E04" w:rsidRPr="009C4E04" w:rsidRDefault="009C4E04" w:rsidP="009C4E04">
      <w:pPr>
        <w:pStyle w:val="JustificationTitle"/>
        <w:rPr>
          <w:noProof w:val="0"/>
        </w:rPr>
      </w:pPr>
      <w:r w:rsidRPr="009C4E04">
        <w:rPr>
          <w:rStyle w:val="HideTWBExt"/>
          <w:i w:val="0"/>
        </w:rPr>
        <w:t>&lt;TitreJust&gt;</w:t>
      </w:r>
      <w:r w:rsidRPr="009C4E04">
        <w:t>Obrazloženje</w:t>
      </w:r>
      <w:r w:rsidRPr="009C4E04">
        <w:rPr>
          <w:rStyle w:val="HideTWBExt"/>
          <w:i w:val="0"/>
        </w:rPr>
        <w:t>&lt;/TitreJust&gt;</w:t>
      </w:r>
    </w:p>
    <w:p w:rsidR="009C4E04" w:rsidRPr="009C4E04" w:rsidRDefault="009C4E04" w:rsidP="009C4E04">
      <w:pPr>
        <w:pStyle w:val="Normal12Italic"/>
        <w:rPr>
          <w:noProof w:val="0"/>
        </w:rPr>
      </w:pPr>
      <w:r w:rsidRPr="009C4E04">
        <w:t>Predlaže se da se odgovarajući stavak članka 5.a izmijeni tako da se umjesto automatske primjene mjera u slučaju prekoračenja praga od 15 % usvoji mješoviti pristup kojim se uzima u obzir i kvalitativno opravdanje za preraspodjelu.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5.a – stavak 1. – drugi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 xml:space="preserve">Dodatno pretfinanciranje iz prvog podstavka ovog stavka primjenjuje se samo ako su odobrene preraspodjele najmanje </w:t>
            </w:r>
            <w:r w:rsidRPr="009C4E04">
              <w:rPr>
                <w:b/>
                <w:i/>
              </w:rPr>
              <w:t>15</w:t>
            </w:r>
            <w:r w:rsidRPr="009C4E04">
              <w:t xml:space="preserve"> % financijskih sredstava </w:t>
            </w:r>
            <w:r w:rsidRPr="009C4E04">
              <w:rPr>
                <w:b/>
                <w:i/>
              </w:rPr>
              <w:t>programa</w:t>
            </w:r>
            <w:r w:rsidRPr="009C4E04">
              <w:t xml:space="preserve"> za jedan ili više posebnih prioriteta utvrđenih u skladu s člancima 12.a, 12.c i 12.d, pod uvjetom da je zahtjev za izmjenu programa dostavljen do 31. prosinca 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 xml:space="preserve">Dodatno pretfinanciranje iz prvog podstavka ovog stavka primjenjuje se samo ako su odobrene </w:t>
            </w:r>
            <w:r w:rsidRPr="009C4E04">
              <w:rPr>
                <w:b/>
                <w:i/>
              </w:rPr>
              <w:t xml:space="preserve">potrebne i opravdane </w:t>
            </w:r>
            <w:r w:rsidRPr="009C4E04">
              <w:t xml:space="preserve">preraspodjele najmanje </w:t>
            </w:r>
            <w:r w:rsidRPr="009C4E04">
              <w:rPr>
                <w:b/>
                <w:i/>
              </w:rPr>
              <w:t>10</w:t>
            </w:r>
            <w:r w:rsidRPr="009C4E04">
              <w:t xml:space="preserve"> % financijskih sredstava </w:t>
            </w:r>
            <w:r w:rsidRPr="009C4E04">
              <w:rPr>
                <w:b/>
                <w:i/>
              </w:rPr>
              <w:t>fonda</w:t>
            </w:r>
            <w:r w:rsidRPr="009C4E04">
              <w:t xml:space="preserve"> za jedan ili više posebnih prioriteta utvrđenih u skladu s člancima 12.a, 12.c i 12.d, pod uvjetom da je zahtjev za izmjenu programa dostavljen do 31. prosinca 2025.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Elena Donazzan, Francesco Torselli, Mariateresa Vivaldini, Chiara Gemma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lastRenderedPageBreak/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5.a – stavak 1. – drugi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Dodatno pretfinanciranje iz prvog podstavka ovog stavka primjenjuje se samo ako su odobrene preraspodjele najmanje 15 % financijskih sredstava programa za jedan ili više posebnih prioriteta utvrđenih u skladu s člancima 12.a</w:t>
            </w:r>
            <w:r w:rsidRPr="009C4E04">
              <w:rPr>
                <w:b/>
                <w:i/>
              </w:rPr>
              <w:t>, 12.c</w:t>
            </w:r>
            <w:r w:rsidRPr="009C4E04">
              <w:t xml:space="preserve"> i 12.</w:t>
            </w:r>
            <w:r w:rsidRPr="009C4E04">
              <w:rPr>
                <w:b/>
                <w:i/>
              </w:rPr>
              <w:t>d</w:t>
            </w:r>
            <w:r w:rsidRPr="009C4E04">
              <w:t>, pod uvjetom da je zahtjev za izmjenu programa dostavljen do 31. prosinca 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Dodatno pretfinanciranje iz prvog podstavka ovog stavka primjenjuje se samo ako su odobrene preraspodjele najmanje 15 % financijskih sredstava programa za jedan ili više posebnih prioriteta utvrđenih u skladu s člancima 12.a i 12.</w:t>
            </w:r>
            <w:r w:rsidRPr="009C4E04">
              <w:rPr>
                <w:b/>
                <w:i/>
              </w:rPr>
              <w:t>c</w:t>
            </w:r>
            <w:r w:rsidRPr="009C4E04">
              <w:t>, pod uvjetom da je zahtjev za izmjenu programa dostavljen do 31. prosinca 2025.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2.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  <w:t xml:space="preserve">Odstupajući od članka 63. stavka 2. i članka 105. stavka 2. Uredbe (EU) 2021/1060, rok za prihvatljivost rashoda, nadoknadu troškova i opoziv odobrenih sredstava je 31. prosinca 2030. To se odstupanje primjenjuje samo ako su odobrene izmjene programa kojima se najmanje </w:t>
            </w:r>
            <w:r w:rsidRPr="009C4E04">
              <w:rPr>
                <w:b/>
                <w:i/>
              </w:rPr>
              <w:t>15</w:t>
            </w:r>
            <w:r w:rsidRPr="009C4E04">
              <w:t> % financijskih sredstava programa preraspodjeljuje za jedan ili više posebnih prioriteta utvrđenih u skladu s člancima 12.a, 12.c i 12.d ove Uredbe u kontekstu preispitivanja u sredini programskog razdoblja.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(2)</w:t>
            </w:r>
            <w:r w:rsidRPr="009C4E04">
              <w:tab/>
              <w:t xml:space="preserve">Odstupajući od članka 63. stavka 2. i članka 105. stavka 2. Uredbe (EU) 2021/1060, rok za prihvatljivost rashoda, nadoknadu troškova i opoziv odobrenih sredstava je 31. prosinca 2030. To se odstupanje primjenjuje samo ako su odobrene izmjene programa kojima se najmanje </w:t>
            </w:r>
            <w:r w:rsidRPr="009C4E04">
              <w:rPr>
                <w:b/>
                <w:i/>
              </w:rPr>
              <w:t>12,5</w:t>
            </w:r>
            <w:r w:rsidRPr="009C4E04">
              <w:t> % financijskih sredstava programa preraspodjeljuje za jedan ili više posebnih prioriteta utvrđenih u skladu s člancima 12.a, 12.c i 12.d ove Uredbe u kontekstu preispitivanja u sredini programskog razdoblja.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(Ova izmjena primjenjuje se u cijelom tekstu. Ako se usvoji bit će potrebno unijeti odgovarajuće promjene u cijelom tekstu.)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lastRenderedPageBreak/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2.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  <w:t xml:space="preserve">Odstupajući od članka 63. stavka 2. i članka 105. stavka 2. Uredbe (EU) 2021/1060, rok za prihvatljivost rashoda, nadoknadu troškova i opoziv odobrenih sredstava je 31. prosinca 2030. To se odstupanje primjenjuje samo ako su odobrene izmjene programa kojima se najmanje </w:t>
            </w:r>
            <w:r w:rsidRPr="009C4E04">
              <w:rPr>
                <w:b/>
                <w:i/>
              </w:rPr>
              <w:t>15</w:t>
            </w:r>
            <w:r w:rsidRPr="009C4E04">
              <w:t> % financijskih sredstava programa preraspodjeljuje za jedan ili više posebnih prioriteta utvrđenih u skladu s člancima 12.a, 12.c i 12.d ove Uredbe u kontekstu preispitivanja u sredini programskog razdoblja.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(2)</w:t>
            </w:r>
            <w:r w:rsidRPr="009C4E04">
              <w:tab/>
              <w:t xml:space="preserve">Odstupajući od članka 63. stavka 2. i članka 105. stavka 2. Uredbe (EU) 2021/1060, rok za prihvatljivost rashoda, nadoknadu troškova i opoziv odobrenih sredstava je 31. prosinca 2030. To se odstupanje primjenjuje samo ako su odobrene izmjene programa kojima se najmanje </w:t>
            </w:r>
            <w:r w:rsidRPr="009C4E04">
              <w:rPr>
                <w:b/>
                <w:i/>
              </w:rPr>
              <w:t>5</w:t>
            </w:r>
            <w:r w:rsidRPr="009C4E04">
              <w:t> % financijskih sredstava programa preraspodjeljuje za jedan ili više posebnih prioriteta utvrđenih u skladu s člancima 12.a, 12.c i 12.d ove Uredbe u kontekstu preispitivanja u sredini programskog razdoblja.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(Ova izmjena primjenjuje se u cijelom tekstu. Ako se usvoji bit će potrebno unijeti odgovarajuće promjene u cijelom tekstu.)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2.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  <w:t xml:space="preserve">Odstupajući od članka 63. stavka 2. i članka 105. stavka 2. Uredbe (EU) 2021/1060, rok za prihvatljivost rashoda, nadoknadu troškova i opoziv odobrenih </w:t>
            </w:r>
            <w:r w:rsidRPr="009C4E04">
              <w:lastRenderedPageBreak/>
              <w:t xml:space="preserve">sredstava je 31. prosinca 2030. To se odstupanje primjenjuje samo ako su odobrene izmjene programa kojima se najmanje </w:t>
            </w:r>
            <w:r w:rsidRPr="009C4E04">
              <w:rPr>
                <w:b/>
                <w:i/>
              </w:rPr>
              <w:t>15</w:t>
            </w:r>
            <w:r w:rsidRPr="009C4E04">
              <w:t xml:space="preserve"> % financijskih sredstava </w:t>
            </w:r>
            <w:r w:rsidRPr="009C4E04">
              <w:rPr>
                <w:b/>
                <w:i/>
              </w:rPr>
              <w:t>programa</w:t>
            </w:r>
            <w:r w:rsidRPr="009C4E04">
              <w:t xml:space="preserve"> preraspodjeljuje za jedan ili više posebnih prioriteta utvrđenih u skladu s člancima 12.a, 12.c i 12.d ove Uredbe u kontekstu preispitivanja u sredini programskog razdoblja.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(2)</w:t>
            </w:r>
            <w:r w:rsidRPr="009C4E04">
              <w:tab/>
              <w:t xml:space="preserve">Odstupajući od članka 63. stavka 2. i članka 105. stavka 2. Uredbe (EU) 2021/1060, rok za prihvatljivost rashoda, nadoknadu troškova i opoziv odobrenih </w:t>
            </w:r>
            <w:r w:rsidRPr="009C4E04">
              <w:lastRenderedPageBreak/>
              <w:t xml:space="preserve">sredstava je 31. prosinca 2030. To se odstupanje primjenjuje samo ako su odobrene izmjene programa kojima se najmanje </w:t>
            </w:r>
            <w:r w:rsidRPr="009C4E04">
              <w:rPr>
                <w:b/>
                <w:i/>
              </w:rPr>
              <w:t>10</w:t>
            </w:r>
            <w:r w:rsidRPr="009C4E04">
              <w:t xml:space="preserve"> % financijskih sredstava </w:t>
            </w:r>
            <w:r w:rsidRPr="009C4E04">
              <w:rPr>
                <w:b/>
                <w:i/>
              </w:rPr>
              <w:t>fonda</w:t>
            </w:r>
            <w:r w:rsidRPr="009C4E04">
              <w:t xml:space="preserve"> preraspodjeljuje za jedan ili više posebnih prioriteta utvrđenih u skladu s člancima 12.a, 12.c i 12.d ove Uredbe u kontekstu preispitivanja u sredini programskog razdoblja.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59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Elena Donazzan, Francesco Torselli, Mariateresa Vivaldini, Chiara Gemma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2.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  <w:t>Odstupajući od članka 63. stavka 2. i članka 105. stavka 2. Uredbe (EU) 2021/1060, rok za prihvatljivost rashoda, nadoknadu troškova i opoziv odobrenih sredstava je 31. prosinca 2030. To se odstupanje primjenjuje samo ako su odobrene izmjene programa kojima se najmanje 15 % financijskih sredstava programa preraspodjeljuje za jedan ili više posebnih prioriteta utvrđenih u skladu s člancima 12.a</w:t>
            </w:r>
            <w:r w:rsidRPr="009C4E04">
              <w:rPr>
                <w:b/>
                <w:i/>
              </w:rPr>
              <w:t>, 12.c</w:t>
            </w:r>
            <w:r w:rsidRPr="009C4E04">
              <w:t xml:space="preserve"> i 12.</w:t>
            </w:r>
            <w:r w:rsidRPr="009C4E04">
              <w:rPr>
                <w:b/>
                <w:i/>
              </w:rPr>
              <w:t>d</w:t>
            </w:r>
            <w:r w:rsidRPr="009C4E04">
              <w:t xml:space="preserve"> ove Uredbe u kontekstu preispitivanja u sredini programskog razdoblja.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(2)</w:t>
            </w:r>
            <w:r w:rsidRPr="009C4E04">
              <w:tab/>
              <w:t>Odstupajući od članka 63. stavka 2. i članka 105. stavka 2. Uredbe (EU) 2021/1060, rok za prihvatljivost rashoda, nadoknadu troškova i opoziv odobrenih sredstava je 31. prosinca 2030. To se odstupanje primjenjuje samo ako su odobrene izmjene programa kojima se najmanje 15 % financijskih sredstava programa preraspodjeljuje za jedan ili više posebnih prioriteta utvrđenih u skladu s člancima 12.a i 12.</w:t>
            </w:r>
            <w:r w:rsidRPr="009C4E04">
              <w:rPr>
                <w:b/>
                <w:i/>
              </w:rPr>
              <w:t>c</w:t>
            </w:r>
            <w:r w:rsidRPr="009C4E04">
              <w:t xml:space="preserve"> ove Uredbe u kontekstu preispitivanja u sredini programskog razdoblja.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lastRenderedPageBreak/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2.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  <w:t xml:space="preserve">Odstupajući od članka 63. stavka 2. i članka 105. stavka 2. Uredbe (EU) 2021/1060, rok za prihvatljivost rashoda, nadoknadu troškova i opoziv odobrenih sredstava je 31. prosinca 2030. To se odstupanje primjenjuje samo ako su odobrene izmjene programa kojima se najmanje </w:t>
            </w:r>
            <w:r w:rsidRPr="009C4E04">
              <w:rPr>
                <w:b/>
                <w:i/>
              </w:rPr>
              <w:t>15</w:t>
            </w:r>
            <w:r w:rsidRPr="009C4E04">
              <w:t> % financijskih sredstava programa preraspodjeljuje za jedan ili više posebnih prioriteta utvrđenih u skladu s člancima 12.a</w:t>
            </w:r>
            <w:r w:rsidRPr="009C4E04">
              <w:rPr>
                <w:b/>
                <w:i/>
              </w:rPr>
              <w:t>, 12.c</w:t>
            </w:r>
            <w:r w:rsidRPr="009C4E04">
              <w:t xml:space="preserve"> i 12.d ove Uredbe u kontekstu preispitivanja u sredini programskog razdoblja.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(2)</w:t>
            </w:r>
            <w:r w:rsidRPr="009C4E04">
              <w:tab/>
              <w:t xml:space="preserve">Odstupajući od članka 63. stavka 2. i članka 105. stavka 2. Uredbe (EU) 2021/1060, rok za prihvatljivost rashoda, nadoknadu troškova i opoziv odobrenih sredstava je 31. prosinca 2030. To se odstupanje primjenjuje samo ako su odobrene izmjene programa kojima se najmanje </w:t>
            </w:r>
            <w:r w:rsidRPr="009C4E04">
              <w:rPr>
                <w:b/>
                <w:i/>
              </w:rPr>
              <w:t>5</w:t>
            </w:r>
            <w:r w:rsidRPr="009C4E04">
              <w:t> % financijskih sredstava programa preraspodjeljuje za jedan ili više posebnih prioriteta utvrđenih u skladu s člancima 12.a i 12.d ove Uredbe u kontekstu preispitivanja u sredini programskog razdoblja.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(Ova izmjena primjenjuje se u cijelom tekstu. Ako se usvoji bit će potrebno unijeti odgovarajuće promjene u cijelom tekstu.)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5.a – stavak 2.a (novi)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(2.a)</w:t>
            </w:r>
            <w:r w:rsidRPr="009C4E04">
              <w:rPr>
                <w:b/>
                <w:i/>
              </w:rPr>
              <w:tab/>
              <w:t xml:space="preserve">Pri izmjeni programa države članice, uz blisko i smisleno sudjelovanje socijalnih partnera, za posebne prioritete uvrštavaju obveze korisnika da poštuju uvjete rada i zaposlenja u skladu s primjenjivim pravom Unije i nacionalnim pravom, konvencijama MOR-a i </w:t>
            </w:r>
            <w:r w:rsidRPr="009C4E04">
              <w:rPr>
                <w:b/>
                <w:i/>
              </w:rPr>
              <w:lastRenderedPageBreak/>
              <w:t>kolektivnim ugovorima.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5.a – stavak 2.a (novi)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(2.a)</w:t>
            </w:r>
            <w:r w:rsidRPr="009C4E04">
              <w:rPr>
                <w:b/>
                <w:i/>
              </w:rPr>
              <w:tab/>
              <w:t>Pri reprogramiranju države članice blisko surađuju sa socijalnim partnerima i poštuju uvjete rada i zaposlenja u skladu s primjenjivim konvencijama MOR-a, pravom Unije i nacionalnim pravom te kolektivnim ugovorima.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3.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(3)</w:t>
            </w:r>
            <w:r w:rsidRPr="009C4E04">
              <w:tab/>
              <w:t xml:space="preserve">Odstupajući od članka 112. Uredbe (EU) 2021/1060, najviša stopa sufinanciranja za prioritete u programima koji obuhvaćaju jednu ili više regija razine NUTS 2 koje graniče s Rusijom, Bjelarusom ili Ukrajinom je 100 %. Viša stopa sufinanciranja ne primjenjuje se na programe koji obuhvaćaju cijelo državno </w:t>
            </w:r>
            <w:r w:rsidRPr="009C4E04">
              <w:lastRenderedPageBreak/>
              <w:t xml:space="preserve">područje predmetne države članice, osim ako su te regije uključene samo u programe koji obuhvaćaju cijelo državno područje te države članice. </w:t>
            </w:r>
            <w:r w:rsidRPr="009C4E04">
              <w:rPr>
                <w:b/>
                <w:i/>
              </w:rPr>
              <w:t>Odstupanje se primjenjuje samo ako su odobrene preraspodjele najmanje 15 % financijskih sredstava programa za jedan ili više posebnih prioriteta utvrđenih u skladu s člancima 12.a, 12.c i 12.d ove Uredbe u kontekstu preispitivanja u sredini programskog razdoblja, pod uvjetom da je izmjena programa podnesena do 31. prosinca 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(3)</w:t>
            </w:r>
            <w:r w:rsidRPr="009C4E04">
              <w:tab/>
              <w:t xml:space="preserve">Odstupajući od članka 112. Uredbe (EU) 2021/1060, najviša stopa sufinanciranja za prioritete u programima koji obuhvaćaju jednu ili više regija razine NUTS 2 koje graniče s Rusijom, Bjelarusom ili Ukrajinom je 100 %. Viša stopa sufinanciranja ne primjenjuje se na programe koji obuhvaćaju cijelo državno </w:t>
            </w:r>
            <w:r w:rsidRPr="009C4E04">
              <w:lastRenderedPageBreak/>
              <w:t>područje predmetne države članice, osim ako su te regije uključene samo u programe koji obuhvaćaju cijelo državno područje te države članice.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3.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(3)</w:t>
            </w:r>
            <w:r w:rsidRPr="009C4E04">
              <w:tab/>
              <w:t xml:space="preserve">Odstupajući od članka 112. Uredbe (EU) 2021/1060, najviša stopa sufinanciranja za prioritete u programima koji obuhvaćaju jednu ili više regija razine NUTS 2 koje graniče s Rusijom, Bjelarusom ili Ukrajinom je 100 %. Viša stopa sufinanciranja ne primjenjuje se na programe koji obuhvaćaju cijelo državno područje predmetne države članice, osim ako su te regije uključene samo u programe koji obuhvaćaju cijelo državno područje te države članice. </w:t>
            </w:r>
            <w:r w:rsidRPr="009C4E04">
              <w:rPr>
                <w:b/>
                <w:i/>
              </w:rPr>
              <w:t xml:space="preserve">Odstupanje se primjenjuje samo ako su odobrene preraspodjele najmanje 15 % financijskih sredstava programa za jedan ili više posebnih prioriteta utvrđenih u skladu s člancima 12.a, 12.c i 12.d ove Uredbe u kontekstu preispitivanja u sredini programskog razdoblja, pod uvjetom da je izmjena </w:t>
            </w:r>
            <w:r w:rsidRPr="009C4E04">
              <w:rPr>
                <w:b/>
                <w:i/>
              </w:rPr>
              <w:lastRenderedPageBreak/>
              <w:t>programa podnesena do 31. prosinca 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(3)</w:t>
            </w:r>
            <w:r w:rsidRPr="009C4E04">
              <w:tab/>
              <w:t>Odstupajući od članka 112. Uredbe (EU) 2021/1060, najviša stopa sufinanciranja za prioritete u programima koji obuhvaćaju jednu ili više regija razine NUTS 2 koje graniče s Rusijom, Bjelarusom ili Ukrajinom je 100 %. Viša stopa sufinanciranja ne primjenjuje se na programe koji obuhvaćaju cijelo državno područje predmetne države članice, osim ako su te regije uključene samo u programe koji obuhvaćaju cijelo državno područje te države članice.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3.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(3)</w:t>
            </w:r>
            <w:r w:rsidRPr="009C4E04">
              <w:tab/>
              <w:t xml:space="preserve">Odstupajući od članka 112. Uredbe (EU) 2021/1060, najviša stopa sufinanciranja za prioritete u programima koji obuhvaćaju jednu ili više regija razine NUTS 2 koje graniče s Rusijom, Bjelarusom </w:t>
            </w:r>
            <w:r w:rsidRPr="009C4E04">
              <w:rPr>
                <w:b/>
                <w:i/>
              </w:rPr>
              <w:t>ili</w:t>
            </w:r>
            <w:r w:rsidRPr="009C4E04">
              <w:t xml:space="preserve"> Ukrajinom je </w:t>
            </w:r>
            <w:r w:rsidRPr="009C4E04">
              <w:rPr>
                <w:b/>
                <w:i/>
              </w:rPr>
              <w:t>100</w:t>
            </w:r>
            <w:r w:rsidRPr="009C4E04">
              <w:t xml:space="preserve"> %. Viša stopa sufinanciranja ne primjenjuje se na programe koji obuhvaćaju cijelo državno područje predmetne države članice, osim ako su te regije uključene samo u programe koji obuhvaćaju cijelo državno područje te države članice. Odstupanje se primjenjuje samo ako su odobrene preraspodjele najmanje </w:t>
            </w:r>
            <w:r w:rsidRPr="009C4E04">
              <w:rPr>
                <w:b/>
                <w:i/>
              </w:rPr>
              <w:t>15</w:t>
            </w:r>
            <w:r w:rsidRPr="009C4E04">
              <w:t> % financijskih sredstava programa za jedan ili više posebnih prioriteta utvrđenih u skladu s člancima 12.a, 12.c i 12.d ove Uredbe u kontekstu preispitivanja u sredini programskog razdoblja, pod uvjetom da je izmjena programa podnesena do 31. prosinca 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(3)</w:t>
            </w:r>
            <w:r w:rsidRPr="009C4E04">
              <w:tab/>
              <w:t>Odstupajući od članka 112. Uredbe (EU) 2021/1060, najviša stopa sufinanciranja za prioritete u programima koji obuhvaćaju jednu ili više regija razine NUTS 2 koje graniče s Rusijom, Bjelarusom</w:t>
            </w:r>
            <w:r w:rsidRPr="009C4E04">
              <w:rPr>
                <w:b/>
                <w:i/>
              </w:rPr>
              <w:t>,</w:t>
            </w:r>
            <w:r w:rsidRPr="009C4E04">
              <w:t xml:space="preserve"> Ukrajinom </w:t>
            </w:r>
            <w:r w:rsidRPr="009C4E04">
              <w:rPr>
                <w:b/>
                <w:i/>
              </w:rPr>
              <w:t>i regijama koje su znatno pogođene nekonvencionalnim ili hibridnim rizicima</w:t>
            </w:r>
            <w:r w:rsidRPr="009C4E04">
              <w:t xml:space="preserve"> je </w:t>
            </w:r>
            <w:r w:rsidRPr="009C4E04">
              <w:rPr>
                <w:b/>
                <w:i/>
              </w:rPr>
              <w:t>95</w:t>
            </w:r>
            <w:r w:rsidRPr="009C4E04">
              <w:t xml:space="preserve"> %. Viša stopa sufinanciranja ne primjenjuje se na programe koji obuhvaćaju cijelo državno područje predmetne države članice, osim ako su te regije uključene samo u programe koji obuhvaćaju cijelo državno područje te države članice. Odstupanje se primjenjuje samo ako su odobrene preraspodjele najmanje </w:t>
            </w:r>
            <w:r w:rsidRPr="009C4E04">
              <w:rPr>
                <w:b/>
                <w:i/>
              </w:rPr>
              <w:t>12,5</w:t>
            </w:r>
            <w:r w:rsidRPr="009C4E04">
              <w:t> % financijskih sredstava programa za jedan ili više posebnih prioriteta utvrđenih u skladu s člancima 12.a, 12.c i 12.d ove Uredbe u kontekstu preispitivanja u sredini programskog razdoblja, pod uvjetom da je izmjena programa podnesena do 31. prosinca 2025.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(Ova izmjena primjenjuje se u cijelom tekstu. Ako se usvoji bit će potrebno unijeti odgovarajuće promjene u cijelom tekstu.)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lastRenderedPageBreak/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3.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(3)</w:t>
            </w:r>
            <w:r w:rsidRPr="009C4E04">
              <w:tab/>
              <w:t>Odstupajući od članka 112. Uredbe (EU) 2021/1060, najviša stopa sufinanciranja za prioritete u programima koji obuhvaćaju jednu ili više regija razine NUTS 2 koje graniče s Rusijom, Bjelarusom ili Ukrajinom je 100 %. Viša stopa sufinanciranja ne primjenjuje se na programe koji obuhvaćaju cijelo državno područje predmetne države članice, osim ako su te regije uključene samo u programe koji obuhvaćaju cijelo državno područje te države članice. Odstupanje se primjenjuje samo ako su odobrene preraspodjele najmanje 15 % financijskih sredstava programa za jedan ili više posebnih prioriteta utvrđenih u skladu s člancima 12.a</w:t>
            </w:r>
            <w:r w:rsidRPr="009C4E04">
              <w:rPr>
                <w:b/>
                <w:i/>
              </w:rPr>
              <w:t>, 12.c</w:t>
            </w:r>
            <w:r w:rsidRPr="009C4E04">
              <w:t xml:space="preserve"> i 12.d ove Uredbe u kontekstu preispitivanja u sredini programskog razdoblja, pod uvjetom da je izmjena programa podnesena do 31. prosinca 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(3)</w:t>
            </w:r>
            <w:r w:rsidRPr="009C4E04">
              <w:tab/>
              <w:t>Odstupajući od članka 112. Uredbe (EU) 2021/1060, najviša stopa sufinanciranja za prioritete u programima koji obuhvaćaju jednu ili više regija razine NUTS 2 koje graniče s Rusijom, Bjelarusom ili Ukrajinom je 100 %. Viša stopa sufinanciranja ne primjenjuje se na programe koji obuhvaćaju cijelo državno područje predmetne države članice, osim ako su te regije uključene samo u programe koji obuhvaćaju cijelo državno područje te države članice. Odstupanje se primjenjuje samo ako su odobrene preraspodjele najmanje 15 % financijskih sredstava programa za jedan ili više posebnih prioriteta utvrđenih u skladu s člancima 12.a i 12.d ove Uredbe u kontekstu preispitivanja u sredini programskog razdoblja, pod uvjetom da je izmjena programa podnesena do 31. prosinca 2025.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3.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(3)</w:t>
            </w:r>
            <w:r w:rsidRPr="009C4E04">
              <w:tab/>
              <w:t xml:space="preserve">Odstupajući od članka 112. Uredbe (EU) 2021/1060, najviša stopa </w:t>
            </w:r>
            <w:r w:rsidRPr="009C4E04">
              <w:lastRenderedPageBreak/>
              <w:t xml:space="preserve">sufinanciranja za prioritete u programima koji obuhvaćaju jednu ili više regija razine NUTS 2 koje graniče s Rusijom, Bjelarusom ili Ukrajinom je 100 %. Viša stopa sufinanciranja ne primjenjuje se na programe koji obuhvaćaju cijelo državno područje predmetne države članice, osim ako su te regije uključene samo u programe koji obuhvaćaju cijelo državno područje te države članice. Odstupanje se primjenjuje samo ako su odobrene preraspodjele najmanje </w:t>
            </w:r>
            <w:r w:rsidRPr="009C4E04">
              <w:rPr>
                <w:b/>
                <w:i/>
              </w:rPr>
              <w:t>15</w:t>
            </w:r>
            <w:r w:rsidRPr="009C4E04">
              <w:t xml:space="preserve"> % financijskih sredstava </w:t>
            </w:r>
            <w:r w:rsidRPr="009C4E04">
              <w:rPr>
                <w:b/>
                <w:i/>
              </w:rPr>
              <w:t>programa</w:t>
            </w:r>
            <w:r w:rsidRPr="009C4E04">
              <w:t xml:space="preserve"> za jedan ili više posebnih prioriteta utvrđenih u skladu s člancima 12.a, 12.c i 12.d ove Uredbe u kontekstu preispitivanja u sredini programskog razdoblja, pod uvjetom da je izmjena programa podnesena do 31. prosinca 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(3)</w:t>
            </w:r>
            <w:r w:rsidRPr="009C4E04">
              <w:tab/>
              <w:t xml:space="preserve">Odstupajući od članka 112. Uredbe (EU) 2021/1060, najviša stopa </w:t>
            </w:r>
            <w:r w:rsidRPr="009C4E04">
              <w:lastRenderedPageBreak/>
              <w:t xml:space="preserve">sufinanciranja za prioritete u programima koji obuhvaćaju jednu ili više regija razine NUTS 2 koje graniče s Rusijom, Bjelarusom ili Ukrajinom je 100 %. Viša stopa sufinanciranja ne primjenjuje se na programe koji obuhvaćaju cijelo državno područje predmetne države članice, osim ako su te regije uključene samo u programe koji obuhvaćaju cijelo državno područje te države članice. Odstupanje se primjenjuje samo ako su odobrene preraspodjele najmanje </w:t>
            </w:r>
            <w:r w:rsidRPr="009C4E04">
              <w:rPr>
                <w:b/>
                <w:i/>
              </w:rPr>
              <w:t>12,5</w:t>
            </w:r>
            <w:r w:rsidRPr="009C4E04">
              <w:t xml:space="preserve"> % financijskih sredstava </w:t>
            </w:r>
            <w:r w:rsidRPr="009C4E04">
              <w:rPr>
                <w:b/>
                <w:i/>
              </w:rPr>
              <w:t>fonda</w:t>
            </w:r>
            <w:r w:rsidRPr="009C4E04">
              <w:t xml:space="preserve"> za jedan ili više posebnih prioriteta utvrđenih u skladu s člancima 12.a, 12.c i 12.d ove Uredbe u kontekstu preispitivanja u sredini programskog razdoblja, pod uvjetom da je izmjena programa podnesena do 31. prosinca 2025.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Elena Donazzan, Francesco Torselli, Mariateresa Vivaldini, Chiara Gemma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3.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(3)</w:t>
            </w:r>
            <w:r w:rsidRPr="009C4E04">
              <w:tab/>
              <w:t xml:space="preserve">Odstupajući od članka 112. Uredbe (EU) 2021/1060, najviša stopa sufinanciranja za prioritete u programima koji obuhvaćaju jednu ili više regija razine NUTS 2 koje graniče s Rusijom, Bjelarusom ili Ukrajinom je 100 %. Viša stopa sufinanciranja ne primjenjuje se na programe koji obuhvaćaju cijelo državno područje predmetne države članice, osim ako su te regije uključene samo u programe koji obuhvaćaju cijelo državno područje te države članice. Odstupanje se primjenjuje samo ako su odobrene preraspodjele najmanje 15 % financijskih sredstava </w:t>
            </w:r>
            <w:r w:rsidRPr="009C4E04">
              <w:lastRenderedPageBreak/>
              <w:t>programa za jedan ili više posebnih prioriteta utvrđenih u skladu s člancima 12.a</w:t>
            </w:r>
            <w:r w:rsidRPr="009C4E04">
              <w:rPr>
                <w:b/>
                <w:i/>
              </w:rPr>
              <w:t>, 12.c</w:t>
            </w:r>
            <w:r w:rsidRPr="009C4E04">
              <w:t xml:space="preserve"> i 12.</w:t>
            </w:r>
            <w:r w:rsidRPr="009C4E04">
              <w:rPr>
                <w:b/>
                <w:i/>
              </w:rPr>
              <w:t>d</w:t>
            </w:r>
            <w:r w:rsidRPr="009C4E04">
              <w:t xml:space="preserve"> ove Uredbe u kontekstu preispitivanja u sredini programskog razdoblja, pod uvjetom da je izmjena programa podnesena do 31. prosinca 2025.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(3)</w:t>
            </w:r>
            <w:r w:rsidRPr="009C4E04">
              <w:tab/>
              <w:t xml:space="preserve">Odstupajući od članka 112. Uredbe (EU) 2021/1060, najviša stopa sufinanciranja za prioritete u programima koji obuhvaćaju jednu ili više regija razine NUTS 2 koje graniče s Rusijom, Bjelarusom ili Ukrajinom je 100 %. Viša stopa sufinanciranja ne primjenjuje se na programe koji obuhvaćaju cijelo državno područje predmetne države članice, osim ako su te regije uključene samo u programe koji obuhvaćaju cijelo državno područje te države članice. Odstupanje se primjenjuje samo ako su odobrene preraspodjele najmanje 15 % financijskih sredstava </w:t>
            </w:r>
            <w:r w:rsidRPr="009C4E04">
              <w:lastRenderedPageBreak/>
              <w:t>programa za jedan ili više posebnih prioriteta utvrđenih u skladu s člancima 12.a i 12.</w:t>
            </w:r>
            <w:r w:rsidRPr="009C4E04">
              <w:rPr>
                <w:b/>
                <w:i/>
              </w:rPr>
              <w:t>c</w:t>
            </w:r>
            <w:r w:rsidRPr="009C4E04">
              <w:t xml:space="preserve"> ove Uredbe u kontekstu preispitivanja u sredini programskog razdoblja, pod uvjetom da je izmjena programa podnesena do 31. prosinca 2025.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69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4.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(4)</w:t>
            </w:r>
            <w:r w:rsidRPr="009C4E04">
              <w:tab/>
              <w:t xml:space="preserve">Uz procjenu ishoda preispitivanja u sredini programskog razdoblja za svaki program koju treba dostaviti u skladu s člankom 18. stavkom 2. Uredbe (EU) 2021/1060, države članice mogu ponovno podnijeti dopunsku procjenu te povezane zahtjeve za izmjene programa, uzimajući u obzir mogućnosti u pogledu posebnih prioriteta u skladu s člancima 12.a, 12.c i 12.d </w:t>
            </w:r>
            <w:r w:rsidRPr="009C4E04">
              <w:rPr>
                <w:b/>
                <w:i/>
              </w:rPr>
              <w:t>u roku od dva mjeseca od stupanja na snagu Uredbe (EU) XXXX/XXXX [ova Uredba]</w:t>
            </w:r>
            <w:r w:rsidRPr="009C4E04">
              <w:t>. Primjenjuju se rokovi utvrđeni u članku 18. stavku 3. Uredbe (EU) 2021/1060.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(4)</w:t>
            </w:r>
            <w:r w:rsidRPr="009C4E04">
              <w:tab/>
              <w:t xml:space="preserve">Uz procjenu ishoda preispitivanja u sredini programskog razdoblja za svaki program koju treba dostaviti u skladu s člankom 18. stavkom 2. Uredbe (EU) 2021/1060, države članice mogu ponovno podnijeti dopunsku procjenu te povezane zahtjeve za izmjene programa, uzimajući u obzir mogućnosti u pogledu posebnih prioriteta u skladu s člancima 12.a, 12.c i 12.d </w:t>
            </w:r>
            <w:r w:rsidRPr="009C4E04">
              <w:rPr>
                <w:b/>
                <w:i/>
              </w:rPr>
              <w:t>do 31. prosinca 2025</w:t>
            </w:r>
            <w:r w:rsidRPr="009C4E04">
              <w:t>. Primjenjuju se rokovi utvrđeni u članku 18. stavku 3. Uredbe (EU) 2021/1060.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Elena Donazzan, Francesco Torselli, Mariateresa Vivaldini, Chiara Gemma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4.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(4)</w:t>
            </w:r>
            <w:r w:rsidRPr="009C4E04">
              <w:tab/>
              <w:t>Uz procjenu ishoda preispitivanja u sredini programskog razdoblja za svaki program koju treba dostaviti u skladu s člankom 18. stavkom 2. Uredbe (EU) 2021/1060, države članice mogu ponovno podnijeti dopunsku procjenu te povezane zahtjeve za izmjene programa, uzimajući u obzir mogućnosti u pogledu posebnih prioriteta u skladu s člancima 12.a</w:t>
            </w:r>
            <w:r w:rsidRPr="009C4E04">
              <w:rPr>
                <w:b/>
                <w:i/>
              </w:rPr>
              <w:t>, 12.c</w:t>
            </w:r>
            <w:r w:rsidRPr="009C4E04">
              <w:t xml:space="preserve"> i 12.</w:t>
            </w:r>
            <w:r w:rsidRPr="009C4E04">
              <w:rPr>
                <w:b/>
                <w:i/>
              </w:rPr>
              <w:t>d</w:t>
            </w:r>
            <w:r w:rsidRPr="009C4E04">
              <w:t xml:space="preserve"> u roku od dva mjeseca od stupanja na snagu Uredbe (EU) XXXX/XXXX [ova Uredba]. Primjenjuju se rokovi utvrđeni u članku 18. stavku 3. Uredbe (EU) 2021/1060.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(4)</w:t>
            </w:r>
            <w:r w:rsidRPr="009C4E04">
              <w:tab/>
              <w:t>Uz procjenu ishoda preispitivanja u sredini programskog razdoblja za svaki program koju treba dostaviti u skladu s člankom 18. stavkom 2. Uredbe (EU) 2021/1060, države članice mogu ponovno podnijeti dopunsku procjenu te povezane zahtjeve za izmjene programa, uzimajući u obzir mogućnosti u pogledu posebnih prioriteta u skladu s člancima 12.a i 12.</w:t>
            </w:r>
            <w:r w:rsidRPr="009C4E04">
              <w:rPr>
                <w:b/>
                <w:i/>
              </w:rPr>
              <w:t>c</w:t>
            </w:r>
            <w:r w:rsidRPr="009C4E04">
              <w:t xml:space="preserve"> u roku od dva mjeseca od stupanja na snagu Uredbe (EU) XXXX/XXXX [ova Uredba]. Primjenjuju se rokovi utvrđeni u članku 18. stavku 3. Uredbe (EU) 2021/1060.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4.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(4)</w:t>
            </w:r>
            <w:r w:rsidRPr="009C4E04">
              <w:tab/>
              <w:t>Uz procjenu ishoda preispitivanja u sredini programskog razdoblja za svaki program koju treba dostaviti u skladu s člankom 18. stavkom 2. Uredbe (EU) 2021/1060, države članice mogu ponovno podnijeti dopunsku procjenu te povezane zahtjeve za izmjene programa, uzimajući u obzir mogućnosti u pogledu posebnih prioriteta u skladu s člancima 12.a</w:t>
            </w:r>
            <w:r w:rsidRPr="009C4E04">
              <w:rPr>
                <w:b/>
                <w:i/>
              </w:rPr>
              <w:t>, 12.c</w:t>
            </w:r>
            <w:r w:rsidRPr="009C4E04">
              <w:t xml:space="preserve"> i 12.d u roku od dva mjeseca od stupanja na snagu Uredbe (EU) XXXX/XXXX [ova Uredba]. Primjenjuju se rokovi utvrđeni u članku 18. stavku 3. Uredbe (EU) 2021/1060.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(4)</w:t>
            </w:r>
            <w:r w:rsidRPr="009C4E04">
              <w:tab/>
              <w:t>Uz procjenu ishoda preispitivanja u sredini programskog razdoblja za svaki program koju treba dostaviti u skladu s člankom 18. stavkom 2. Uredbe (EU) 2021/1060, države članice mogu ponovno podnijeti dopunsku procjenu te povezane zahtjeve za izmjene programa, uzimajući u obzir mogućnosti u pogledu posebnih prioriteta u skladu s člancima 12.a i 12.d u roku od dva mjeseca od stupanja na snagu Uredbe (EU) XXXX/XXXX [ova Uredba]. Primjenjuju se rokovi utvrđeni u članku 18. stavku 3. Uredbe (EU) 2021/1060.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1.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5.a – stavak 4.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(4)</w:t>
            </w:r>
            <w:r w:rsidRPr="009C4E04">
              <w:tab/>
              <w:t>Uz procjenu ishoda preispitivanja u sredini programskog razdoblja za svaki program koju treba dostaviti u skladu s člankom 18. stavkom 2. Uredbe (EU) 2021/1060, države članice mogu ponovno podnijeti dopunsku procjenu te povezane zahtjeve za izmjene programa, uzimajući u obzir mogućnosti u pogledu posebnih prioriteta u skladu s člancima 12.a</w:t>
            </w:r>
            <w:r w:rsidRPr="009C4E04">
              <w:rPr>
                <w:b/>
                <w:i/>
              </w:rPr>
              <w:t>, 12.c</w:t>
            </w:r>
            <w:r w:rsidRPr="009C4E04">
              <w:t xml:space="preserve"> i 12.d u roku od dva mjeseca od stupanja na snagu Uredbe (EU) XXXX/XXXX [ova Uredba]. Primjenjuju se rokovi utvrđeni u članku 18. stavku 3. Uredbe (EU) 2021/1060.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(4)</w:t>
            </w:r>
            <w:r w:rsidRPr="009C4E04">
              <w:tab/>
              <w:t>Uz procjenu ishoda preispitivanja u sredini programskog razdoblja za svaki program koju treba dostaviti u skladu s člankom 18. stavkom 2. Uredbe (EU) 2021/1060, države članice mogu ponovno podnijeti dopunsku procjenu te povezane zahtjeve za izmjene programa, uzimajući u obzir mogućnosti u pogledu posebnih prioriteta u skladu s člancima 12.a i 12.d u roku od dva mjeseca od stupanja na snagu Uredbe (EU) XXXX/XXXX [ova Uredba]. Primjenjuju se rokovi utvrđeni u članku 18. stavku 3. Uredbe (EU) 2021/1060.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2.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12.a – prvi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 xml:space="preserve">Uz pretfinanciranje za program predviđeno u članku 90. stavcima 1. i 2. Uredbe (EU) 2021/1060, ako Komisija odobri izmjenu </w:t>
            </w:r>
            <w:r w:rsidRPr="009C4E04">
              <w:lastRenderedPageBreak/>
              <w:t>programa koja uključuje jedan ili više prioriteta namijenjenih operacijama koje primaju potporu iz fonda ESF+ kojima se doprinosi ciljevima STEP-a iz članka 2. Uredbe (EU) 2024/795, Komisija izvršava izvanredno pretfinanciranje u iznosu od 30 % na temelju dodjele tim prioritetima, pod uvjetom da je izmjena programa dostavljena Komisiji do 31. prosinca 2025. To izvanredno pretfinanciranje isplaćuje se u roku od 60 dana od donošenja odluke Komisije kojom se odobrava izmjena programa.</w:t>
            </w:r>
            <w:r w:rsidRPr="009C4E04">
              <w:rPr>
                <w:b/>
                <w:i/>
              </w:rPr>
              <w:t>;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 xml:space="preserve">Uz pretfinanciranje za program predviđeno u članku 90. stavcima 1. i 2. Uredbe (EU) 2021/1060, ako Komisija odobri izmjenu </w:t>
            </w:r>
            <w:r w:rsidRPr="009C4E04">
              <w:lastRenderedPageBreak/>
              <w:t xml:space="preserve">programa koja uključuje jedan ili više prioriteta namijenjenih operacijama koje primaju potporu iz fonda ESF+ kojima se doprinosi ciljevima STEP-a iz članka 2. Uredbe (EU) 2024/795, Komisija izvršava izvanredno pretfinanciranje u iznosu od 30 % na temelju dodjele za te prioritete, pod uvjetom da </w:t>
            </w:r>
            <w:r w:rsidRPr="009C4E04">
              <w:rPr>
                <w:b/>
                <w:i/>
              </w:rPr>
              <w:t xml:space="preserve">manji korisnici imaju prioritetan pristup financiranju i da </w:t>
            </w:r>
            <w:r w:rsidRPr="009C4E04">
              <w:t>je izmjena programa dostavljena Komisiji do 31. prosinca 2025. To izvanredno pretfinanciranje isplaćuje se u roku od 60 dana od donošenja odluke Komisije kojom se odobrava izmjena programa.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 – uvodni dio</w:t>
      </w:r>
      <w:r w:rsidRPr="009C4E0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(3)</w:t>
            </w:r>
            <w:r w:rsidRPr="009C4E04">
              <w:tab/>
            </w:r>
            <w:r w:rsidRPr="009C4E04">
              <w:rPr>
                <w:b/>
                <w:i/>
              </w:rPr>
              <w:t>umeću</w:t>
            </w:r>
            <w:r w:rsidRPr="009C4E04">
              <w:t xml:space="preserve"> se sljedeći </w:t>
            </w:r>
            <w:r w:rsidRPr="009C4E04">
              <w:rPr>
                <w:b/>
                <w:i/>
              </w:rPr>
              <w:t xml:space="preserve">članci 12.c i </w:t>
            </w:r>
            <w:r w:rsidRPr="009C4E04">
              <w:t>12.d: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(3)</w:t>
            </w:r>
            <w:r w:rsidRPr="009C4E04">
              <w:tab/>
            </w:r>
            <w:r w:rsidRPr="009C4E04">
              <w:rPr>
                <w:b/>
                <w:i/>
              </w:rPr>
              <w:t>umeće</w:t>
            </w:r>
            <w:r w:rsidRPr="009C4E04">
              <w:t xml:space="preserve"> se sljedeći </w:t>
            </w:r>
            <w:r w:rsidRPr="009C4E04">
              <w:rPr>
                <w:b/>
                <w:i/>
              </w:rPr>
              <w:t>članak </w:t>
            </w:r>
            <w:r w:rsidRPr="009C4E04">
              <w:t>12.d: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3.a (nova)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12.e (novi)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(3.a)</w:t>
            </w:r>
            <w:r w:rsidRPr="009C4E04">
              <w:rPr>
                <w:b/>
                <w:i/>
              </w:rPr>
              <w:tab/>
              <w:t>Smjernice i administrativno pojednostavljenje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 xml:space="preserve">Komisija najkasnije 60 dana nakon </w:t>
            </w:r>
            <w:r w:rsidRPr="009C4E04">
              <w:rPr>
                <w:b/>
                <w:i/>
              </w:rPr>
              <w:lastRenderedPageBreak/>
              <w:t>stupanja na snagu ove Uredbe objavljuje skup detaljnih smjernica popraćenih sustavom pitanja i odgovora, čiji je cilj pojasniti tehničke, pravne i postupovne implikacije mjera donesenih u člancima 5.a, 12.c i 12.d. Te će smjernice usmjeravati upravljačka tijela u ujednačenoj primjeni uredbe, čime će se smanjiti administrativno opterećenje i olakšati rano otklanjanje svih sumnji.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Villy Søvndal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{Greens/EFA}</w:t>
      </w:r>
      <w:r w:rsidRPr="009C4E04">
        <w:t>u ime Kluba zastupnika Verts/ALE-a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Članak 12.c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(Brisanje članka 12.c)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Branislav Ondruš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Članak 12.c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lastRenderedPageBreak/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Maria Zacharia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Članak 12.c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79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Maria Zacharia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naslov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Potpora obrambenoj industriji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Maria Zacharia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1.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(1)</w:t>
            </w:r>
            <w:r w:rsidRPr="009C4E04">
              <w:rPr>
                <w:b/>
                <w:i/>
              </w:rPr>
              <w:tab/>
              <w:t xml:space="preserve">Države članice mogu odlučiti programirati potporu za razvoj vještina u obrambenoj industriji u okviru posebnih prioriteta. U okviru takvih posebnih prioriteta mogu se podupirati bilo koji od specifičnih ciljeva utvrđenih u članku 4. </w:t>
            </w:r>
            <w:r w:rsidRPr="009C4E04">
              <w:rPr>
                <w:b/>
                <w:i/>
              </w:rPr>
              <w:lastRenderedPageBreak/>
              <w:t>stavku 1. točkama od (a) do (l).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lastRenderedPageBreak/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Branislav Ondruš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1.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(1)</w:t>
            </w:r>
            <w:r w:rsidRPr="009C4E04">
              <w:rPr>
                <w:b/>
                <w:i/>
              </w:rPr>
              <w:tab/>
              <w:t>Države članice mogu odlučiti programirati potporu za razvoj vještina u obrambenoj industriji u okviru posebnih prioriteta. U okviru takvih posebnih prioriteta mogu se podupirati bilo koji od specifičnih ciljeva utvrđenih u članku 4. stavku 1. točkama od (a) do (l).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1.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(1)</w:t>
            </w:r>
            <w:r w:rsidRPr="009C4E04">
              <w:rPr>
                <w:b/>
                <w:i/>
              </w:rPr>
              <w:tab/>
              <w:t>Države članice mogu odlučiti programirati potporu za razvoj vještina u obrambenoj industriji u okviru posebnih prioriteta. U okviru takvih posebnih prioriteta mogu se podupirati bilo koji od specifičnih ciljeva utvrđenih u članku 4. stavku 1. točkama od (a) do (l).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Brigitte van den Berg, Jana Toom, Hristo Petrov, Grégory Allione, Eugen Tomac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1.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 xml:space="preserve">Države članice mogu odlučiti programirati potporu za razvoj vještina u obrambenoj industriji u okviru posebnih prioriteta. U okviru takvih posebnih prioriteta </w:t>
            </w:r>
            <w:r w:rsidRPr="009C4E04">
              <w:rPr>
                <w:b/>
                <w:i/>
              </w:rPr>
              <w:t>mogu</w:t>
            </w:r>
            <w:r w:rsidRPr="009C4E04">
              <w:t xml:space="preserve"> se</w:t>
            </w:r>
            <w:r w:rsidRPr="009C4E04">
              <w:rPr>
                <w:b/>
                <w:i/>
              </w:rPr>
              <w:t xml:space="preserve"> podupirati</w:t>
            </w:r>
            <w:r w:rsidRPr="009C4E04">
              <w:t xml:space="preserve"> bilo koji od specifičnih ciljeva utvrđenih u članku 4. stavku 1.</w:t>
            </w:r>
            <w:r w:rsidRPr="009C4E04">
              <w:rPr>
                <w:b/>
                <w:i/>
              </w:rPr>
              <w:t xml:space="preserve"> točkama od (a) do (l).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(1)</w:t>
            </w:r>
            <w:r w:rsidRPr="009C4E04">
              <w:tab/>
              <w:t xml:space="preserve">Države članice mogu odlučiti programirati potporu za razvoj vještina </w:t>
            </w:r>
            <w:r w:rsidRPr="009C4E04">
              <w:rPr>
                <w:b/>
                <w:i/>
              </w:rPr>
              <w:t xml:space="preserve">i osposobljavanja, kao i za istraživanje i razvoj te inovacije </w:t>
            </w:r>
            <w:r w:rsidRPr="009C4E04">
              <w:t xml:space="preserve">u obrambenoj industriji u okviru posebnih prioriteta. U okviru takvih posebnih prioriteta </w:t>
            </w:r>
            <w:r w:rsidRPr="009C4E04">
              <w:rPr>
                <w:b/>
                <w:i/>
              </w:rPr>
              <w:t>podupire</w:t>
            </w:r>
            <w:r w:rsidRPr="009C4E04">
              <w:t xml:space="preserve"> se bilo koji od specifičnih ciljeva utvrđenih u članku 4. stavku 1.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1.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 xml:space="preserve">Države članice mogu odlučiti programirati potporu za razvoj vještina u obrambenoj industriji u okviru posebnih prioriteta. U okviru takvih posebnih prioriteta </w:t>
            </w:r>
            <w:r w:rsidRPr="009C4E04">
              <w:rPr>
                <w:b/>
                <w:i/>
              </w:rPr>
              <w:t>mogu</w:t>
            </w:r>
            <w:r w:rsidRPr="009C4E04">
              <w:t xml:space="preserve"> se </w:t>
            </w:r>
            <w:r w:rsidRPr="009C4E04">
              <w:rPr>
                <w:b/>
                <w:i/>
              </w:rPr>
              <w:t>podupirati bilo koji od</w:t>
            </w:r>
            <w:r w:rsidRPr="009C4E04">
              <w:t xml:space="preserve"> specifičnih ciljeva utvrđenih u članku 4. stavku 1. točkama od (a) do (l).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(1)</w:t>
            </w:r>
            <w:r w:rsidRPr="009C4E04">
              <w:tab/>
              <w:t xml:space="preserve">Države članice mogu odlučiti programirati potporu za razvoj vještina u obrambenoj industriji u okviru posebnih prioriteta. U okviru takvih posebnih prioriteta </w:t>
            </w:r>
            <w:r w:rsidRPr="009C4E04">
              <w:rPr>
                <w:b/>
                <w:i/>
              </w:rPr>
              <w:t>podupire</w:t>
            </w:r>
            <w:r w:rsidRPr="009C4E04">
              <w:t xml:space="preserve"> se </w:t>
            </w:r>
            <w:r w:rsidRPr="009C4E04">
              <w:rPr>
                <w:b/>
                <w:i/>
              </w:rPr>
              <w:t>jedan ili više</w:t>
            </w:r>
            <w:r w:rsidRPr="009C4E04">
              <w:t xml:space="preserve"> specifičnih ciljeva utvrđenih u članku 4. stavku 1. točkama od (a) do (l).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lastRenderedPageBreak/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Grégory Allione, Brigitte van den Berg, Marie-Pierre Vedrenne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stavak 1.a (novi)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(1.a)</w:t>
            </w:r>
            <w:r w:rsidRPr="009C4E04">
              <w:rPr>
                <w:b/>
                <w:i/>
              </w:rPr>
              <w:tab/>
              <w:t>Učinkovite politike u području vještina i osposobljavanja uvrštene za ključne funkcije, kako je istaknuto u uniji vještina, važne su kako bi se osiguralo da radnici imaju odgovarajuće kompetencije i da se u kriznim vremenima mogu mobilizirati u cijelom EU-u. U tom pogledu države članice promiču osposobljavanje, vještine, građanski angažman i razvoj mobilnosti u području obrane i civilne zaštite kako bi se profesionalnim radnicima i volonterima pružilo potrebno stručno znanje i odgovarajuće kompetencije, i to u svim državama članicama i sektorima.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stavak 1.a (novi)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(1.a)</w:t>
            </w:r>
            <w:r w:rsidRPr="009C4E04">
              <w:rPr>
                <w:b/>
                <w:i/>
              </w:rPr>
              <w:tab/>
              <w:t xml:space="preserve">Za potrebe ovog članka ulaganja u obrambenu industriju znače ulaganja kojima se dokazano doprinosi strateškoj obrambenoj sposobnosti Unije i koja su u skladu sa strategijom za europsku obrambenu industriju (EDIS). Takva su ulaganja, u mjeri u kojoj je to moguće, u </w:t>
            </w:r>
            <w:r w:rsidRPr="009C4E04">
              <w:rPr>
                <w:b/>
                <w:i/>
              </w:rPr>
              <w:lastRenderedPageBreak/>
              <w:t>skladu s načelom nenanošenja bitne štete i usmjerena su na korisnike sa sjedištem u državama članicama ili pridruženim zemljama, u skladu s pravnim okvirom EU-a.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(Ova izmjena primjenjuje se u cijelom tekstu. Ako se usvoji bit će potrebno unijeti odgovarajuće promjene u cijelom tekstu.)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pPr>
        <w:pStyle w:val="CrossRef"/>
      </w:pPr>
      <w:r w:rsidRPr="009C4E04">
        <w:t>(Vidjeti tekst stavaka 12. – 19. Mišljenja Europskog revizorskog suda 02/2025)</w:t>
      </w:r>
    </w:p>
    <w:p w:rsidR="009C4E04" w:rsidRPr="009C4E04" w:rsidRDefault="009C4E04" w:rsidP="009C4E04">
      <w:pPr>
        <w:pStyle w:val="JustificationTitle"/>
        <w:rPr>
          <w:noProof w:val="0"/>
        </w:rPr>
      </w:pPr>
      <w:r w:rsidRPr="009C4E04">
        <w:rPr>
          <w:rStyle w:val="HideTWBExt"/>
          <w:i w:val="0"/>
        </w:rPr>
        <w:t>&lt;TitreJust&gt;</w:t>
      </w:r>
      <w:r w:rsidRPr="009C4E04">
        <w:t>Obrazloženje</w:t>
      </w:r>
      <w:r w:rsidRPr="009C4E04">
        <w:rPr>
          <w:rStyle w:val="HideTWBExt"/>
          <w:i w:val="0"/>
        </w:rPr>
        <w:t>&lt;/TitreJust&gt;</w:t>
      </w:r>
    </w:p>
    <w:p w:rsidR="009C4E04" w:rsidRPr="009C4E04" w:rsidRDefault="009C4E04" w:rsidP="009C4E04">
      <w:pPr>
        <w:pStyle w:val="Normal12Italic"/>
        <w:rPr>
          <w:noProof w:val="0"/>
        </w:rPr>
      </w:pPr>
      <w:r w:rsidRPr="009C4E04">
        <w:t>Iako mogu imati pozitivne gospodarske učinke, ulaganja u obranu moraju biti usklađena s europskim strategijama te se njima mora poštovati načelo „nenanošenja bitne štete” i kriteriji teritorijalne usklađenosti.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2021/1060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stavak 1.b (novi)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(1.b)</w:t>
            </w:r>
            <w:r w:rsidRPr="009C4E04">
              <w:rPr>
                <w:b/>
                <w:i/>
              </w:rPr>
              <w:tab/>
              <w:t>Omogućiti državama članicama da dodijele sredstva za privlačenje mladih talenata i poduzetnika u regije, posebno ruralna područja, i to poticajima i ciljanim osposobljavanjem. To bi moglo obuhvaćati osnivanje specijaliziranih centara za osposobljavanje usmjerenih na strateške sektore kao što su obrana, kibernetička otpornost ili tehnologije s dvojnom namjenom, čime bi se podupirao razvoj vještina usklađenih sa strateškom autonomijom Unije uz istodobno jačanje regionalne kohezije.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(Ova izmjena primjenjuje se u cijelom tekstu. Ako se usvoji bit će potrebno unijeti odgovarajuće promjene u cijelom tekstu.)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Maria Zacharia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2.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(2)</w:t>
            </w:r>
            <w:r w:rsidRPr="009C4E04">
              <w:rPr>
                <w:b/>
                <w:i/>
              </w:rPr>
              <w:tab/>
              <w:t>Sredstva dodijeljena posebnom prioritetu iz stavka 1. ne uzimaju se u obzir pri osiguravanju usklađenosti sa zahtjevima za tematsku koncentraciju kako je utvrđeno u članku 7. ove Uredbe.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89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2.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(2)</w:t>
            </w:r>
            <w:r w:rsidRPr="009C4E04">
              <w:rPr>
                <w:b/>
                <w:i/>
              </w:rPr>
              <w:tab/>
              <w:t>Sredstva dodijeljena posebnom prioritetu iz stavka 1. ne uzimaju se u obzir pri osiguravanju usklađenosti sa zahtjevima za tematsku koncentraciju kako je utvrđeno u članku 7. ove Uredbe.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Branislav Ondruš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lastRenderedPageBreak/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2.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(2)</w:t>
            </w:r>
            <w:r w:rsidRPr="009C4E04">
              <w:rPr>
                <w:b/>
                <w:i/>
              </w:rPr>
              <w:tab/>
              <w:t>Sredstva dodijeljena posebnom prioritetu iz stavka 1. ne uzimaju se u obzir pri osiguravanju usklađenosti sa zahtjevima za tematsku koncentraciju kako je utvrđeno u članku 7. ove Uredbe.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2.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(2)</w:t>
            </w:r>
            <w:r w:rsidRPr="009C4E04">
              <w:tab/>
              <w:t xml:space="preserve">Sredstva dodijeljena posebnom prioritetu iz stavka 1. </w:t>
            </w:r>
            <w:r w:rsidRPr="009C4E04">
              <w:rPr>
                <w:b/>
                <w:i/>
              </w:rPr>
              <w:t xml:space="preserve">ne </w:t>
            </w:r>
            <w:r w:rsidRPr="009C4E04">
              <w:t>uzimaju se u obzir pri osiguravanju usklađenosti sa zahtjevima za tematsku koncentraciju kako je utvrđeno u članku 7. ove Uredbe.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(2)</w:t>
            </w:r>
            <w:r w:rsidRPr="009C4E04">
              <w:tab/>
              <w:t>Sredstva dodijeljena za posebni prioritet iz stavka 1. uzimaju se u obzir pri osiguravanju usklađenosti sa zahtjevima za tematsku koncentraciju kako je utvrđeno u članku 7. ove Uredbe.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Maria Zacharia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3.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(3)</w:t>
            </w:r>
            <w:r w:rsidRPr="009C4E04">
              <w:rPr>
                <w:b/>
                <w:i/>
              </w:rPr>
              <w:tab/>
              <w:t xml:space="preserve">Uz godišnje pretfinanciranje za program predviđeno u članku 90. </w:t>
            </w:r>
            <w:r w:rsidRPr="009C4E04">
              <w:rPr>
                <w:b/>
                <w:i/>
              </w:rPr>
              <w:lastRenderedPageBreak/>
              <w:t>stavcima 1. i 2. Uredbe (EU) 2021/1060, Komisija isplaćuje 30 % dodijeljenih sredstava posebnim prioritetima iz stavka 1. ovog članka kako je utvrđeno u odluci o odobrenju izmjene programa kao izvanredno jednokratno pretfinanciranje.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lastRenderedPageBreak/>
              <w:t>Briše se.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To izvanredno pretfinanciranje isplaćuje se u roku od 60 dana od donošenja odluke Komisije kojom se odobrava izmjena programa u skladu s člankom 24. Uredbe (EU) 2021/1060.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stavak 3. – prvi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Uz godišnje pretfinanciranje za program predviđeno u članku 90. stavcima 1. i 2. Uredbe (EU) 2021/1060, Komisija isplaćuje 30 % dodijeljenih sredstava posebnim prioritetima iz stavka 1. ovog članka kako je utvrđeno u odluci o odobrenju izmjene programa kao izvanredno jednokratno pretfinanciranje.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lastRenderedPageBreak/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stavak 3. – drugi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To izvanredno pretfinanciranje isplaćuje se u roku od 60 dana od donošenja odluke Komisije kojom se odobrava izmjena programa u skladu s člankom 24. Uredbe (EU) 2021/1060.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Maria Zacharia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4.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(4)</w:t>
            </w:r>
            <w:r w:rsidRPr="009C4E04">
              <w:rPr>
                <w:b/>
                <w:i/>
              </w:rPr>
              <w:tab/>
              <w:t>U skladu s člankom 90. stavkom 5. Uredbe (EU) 2021/1060 iznos isplaćen kao izvanredno pretfinanciranje poravnava se u računima Komisije najkasnije u konačnoj obračunskoj godini.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U skladu s člankom 90. stavkom 6. Uredbe (EU) 2021/1060 sve kamate nastale izvanrednim pretfinanciranjem upotrebljavaju se za predmetni program na jednak način kao fond ESF+ i navode se u računovodstvenoj dokumentaciji za konačnu obračunsku godinu.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U skladu s člankom 97. stavkom 1. Uredbe (EU) 2021/1060 izvanredno pretfinanciranje se ne suspendira.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U skladu s člankom 105. stavkom 1. Uredbe (EU) 2021/1060 pretfinanciranje koje se uzima u obzir za izračun iznosa koje treba opozvati uključuje isplaćeno izvanredno pretfinanciranje.</w:t>
            </w:r>
          </w:p>
        </w:tc>
        <w:tc>
          <w:tcPr>
            <w:tcW w:w="4876" w:type="dxa"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stavak 4. – prvi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U skladu s člankom 90. stavkom 5. Uredbe (EU) 2021/1060 iznos isplaćen kao izvanredno pretfinanciranje poravnava se u računima Komisije najkasnije u konačnoj obračunskoj godini.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stavak 4. – drugi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U skladu s člankom 90. stavkom 6. Uredbe (EU) 2021/1060 sve kamate nastale izvanrednim pretfinanciranjem upotrebljavaju se za predmetni program na jednak način kao fond ESF+ i navode se u računovodstvenoj dokumentaciji za konačnu obračunsku godinu.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lastRenderedPageBreak/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stavak 4. – treći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U skladu s člankom 97. stavkom 1. Uredbe (EU) 2021/1060 izvanredno pretfinanciranje se ne suspendira.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99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stavak 4. – četvrti podstavak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U skladu s člankom 105. stavkom 1. Uredbe (EU) 2021/1060 pretfinanciranje koje se uzima u obzir za izračun iznosa koje treba opozvati uključuje isplaćeno izvanredno pretfinanciranje.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Maria Zacharia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lastRenderedPageBreak/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5.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(5)</w:t>
            </w:r>
            <w:r w:rsidRPr="009C4E04">
              <w:rPr>
                <w:b/>
                <w:i/>
              </w:rPr>
              <w:tab/>
              <w:t>Odstupajući od članka 112. Uredbe (EU) 2021/1060, najviša stopa sufinanciranja za posebne prioritete iz stavka 1. ovog članka je 100 %.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5.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(5)</w:t>
            </w:r>
            <w:r w:rsidRPr="009C4E04">
              <w:rPr>
                <w:b/>
                <w:i/>
              </w:rPr>
              <w:tab/>
              <w:t>Odstupajući od članka 112. Uredbe (EU) 2021/1060, najviša stopa sufinanciranja za posebne prioritete iz stavka 1. ovog članka je 100 %.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5.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(5)</w:t>
            </w:r>
            <w:r w:rsidRPr="009C4E04">
              <w:tab/>
              <w:t>Odstupajući od članka</w:t>
            </w:r>
            <w:r w:rsidRPr="009C4E04">
              <w:rPr>
                <w:b/>
                <w:i/>
              </w:rPr>
              <w:t> </w:t>
            </w:r>
            <w:r w:rsidRPr="009C4E04">
              <w:t xml:space="preserve">112. Uredbe (EU) 2021/1060, najviša stopa sufinanciranja za </w:t>
            </w:r>
            <w:r w:rsidRPr="009C4E04">
              <w:rPr>
                <w:b/>
                <w:i/>
              </w:rPr>
              <w:t>posebne</w:t>
            </w:r>
            <w:r w:rsidRPr="009C4E04">
              <w:t xml:space="preserve"> prioritete </w:t>
            </w:r>
            <w:r w:rsidRPr="009C4E04">
              <w:rPr>
                <w:b/>
                <w:i/>
              </w:rPr>
              <w:t xml:space="preserve">iz </w:t>
            </w:r>
            <w:r w:rsidRPr="009C4E04">
              <w:rPr>
                <w:b/>
                <w:i/>
              </w:rPr>
              <w:lastRenderedPageBreak/>
              <w:t>stavka</w:t>
            </w:r>
            <w:r w:rsidRPr="009C4E04">
              <w:t> </w:t>
            </w:r>
            <w:r w:rsidRPr="009C4E04">
              <w:rPr>
                <w:b/>
                <w:i/>
              </w:rPr>
              <w:t>1</w:t>
            </w:r>
            <w:r w:rsidRPr="009C4E04">
              <w:t xml:space="preserve">. </w:t>
            </w:r>
            <w:r w:rsidRPr="009C4E04">
              <w:rPr>
                <w:b/>
                <w:i/>
              </w:rPr>
              <w:t>ovog članka je 100 %</w:t>
            </w:r>
            <w:r w:rsidRPr="009C4E04">
              <w:t>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(5)</w:t>
            </w:r>
            <w:r w:rsidRPr="009C4E04">
              <w:tab/>
              <w:t>Odstupajući od članka</w:t>
            </w:r>
            <w:r w:rsidRPr="009C4E04">
              <w:rPr>
                <w:b/>
                <w:i/>
              </w:rPr>
              <w:t xml:space="preserve"> </w:t>
            </w:r>
            <w:r w:rsidRPr="009C4E04">
              <w:t xml:space="preserve">112. Uredbe (EU) 2021/1060, najviša stopa sufinanciranja za </w:t>
            </w:r>
            <w:r w:rsidRPr="009C4E04">
              <w:rPr>
                <w:b/>
                <w:i/>
              </w:rPr>
              <w:t>konkretne</w:t>
            </w:r>
            <w:r w:rsidRPr="009C4E04">
              <w:t xml:space="preserve"> prioritete </w:t>
            </w:r>
            <w:r w:rsidRPr="009C4E04">
              <w:rPr>
                <w:b/>
                <w:i/>
              </w:rPr>
              <w:t>u području obrane može se utvrditi na 95</w:t>
            </w:r>
            <w:r w:rsidRPr="009C4E04">
              <w:t> </w:t>
            </w:r>
            <w:r w:rsidRPr="009C4E04">
              <w:rPr>
                <w:b/>
                <w:i/>
              </w:rPr>
              <w:t xml:space="preserve">% </w:t>
            </w:r>
            <w:r w:rsidRPr="009C4E04">
              <w:rPr>
                <w:b/>
                <w:i/>
              </w:rPr>
              <w:lastRenderedPageBreak/>
              <w:t>samo ako se dokaže potreba za ukupnim financiranjem, bez ometanja proporcionalnog doprinosa država članica</w:t>
            </w:r>
            <w:r w:rsidRPr="009C4E04">
              <w:t>.</w:t>
            </w:r>
            <w:r w:rsidRPr="009C4E04">
              <w:rPr>
                <w:b/>
                <w:i/>
              </w:rPr>
              <w:t xml:space="preserve"> To odstupanje ovisi o prijašnjem odobrenju, preko usporedne analize pravednosti i održivosti ulaganja kako bi se izbjegla neravnoteža koja bi mogla nerazmjerno pogodovati razvijenijim regijama</w:t>
            </w:r>
            <w:r w:rsidRPr="009C4E04">
              <w:t>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(Ova izmjena primjenjuje se u cijelom tekstu)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pPr>
        <w:pStyle w:val="CrossRef"/>
      </w:pPr>
      <w:r w:rsidRPr="009C4E04">
        <w:t>(Vidjeti stavke 32. – 35. Mišljenja Europskog revizorskog suda 02/2025)</w:t>
      </w:r>
    </w:p>
    <w:p w:rsidR="009C4E04" w:rsidRPr="009C4E04" w:rsidRDefault="009C4E04" w:rsidP="009C4E04">
      <w:pPr>
        <w:pStyle w:val="JustificationTitle"/>
        <w:rPr>
          <w:noProof w:val="0"/>
        </w:rPr>
      </w:pPr>
      <w:r w:rsidRPr="009C4E04">
        <w:rPr>
          <w:rStyle w:val="HideTWBExt"/>
          <w:i w:val="0"/>
        </w:rPr>
        <w:t>&lt;TitreJust&gt;</w:t>
      </w:r>
      <w:r w:rsidRPr="009C4E04">
        <w:t>Obrazloženje</w:t>
      </w:r>
      <w:r w:rsidRPr="009C4E04">
        <w:rPr>
          <w:rStyle w:val="HideTWBExt"/>
          <w:i w:val="0"/>
        </w:rPr>
        <w:t>&lt;/TitreJust&gt;</w:t>
      </w:r>
    </w:p>
    <w:p w:rsidR="009C4E04" w:rsidRPr="009C4E04" w:rsidRDefault="009C4E04" w:rsidP="009C4E04">
      <w:pPr>
        <w:pStyle w:val="Normal12Italic"/>
        <w:rPr>
          <w:noProof w:val="0"/>
        </w:rPr>
      </w:pPr>
      <w:r w:rsidRPr="009C4E04">
        <w:t>Neselektivna primjena punog financiranja (stopostotno sufinanciranje) može pogodovati razvijenijim regijama i oslabiti učinak poluge sufinanciranja te se stoga preporučuje da ta mjera bude strogo uvjetovana.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12.c – stavak 5.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(5)</w:t>
            </w:r>
            <w:r w:rsidRPr="009C4E04">
              <w:tab/>
              <w:t>Odstupajući od članka 112. Uredbe (EU) 2021/1060, najviša stopa sufinanciranja za posebne prioritete iz stavka 1. ovog članka je 100 %.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(5)</w:t>
            </w:r>
            <w:r w:rsidRPr="009C4E04">
              <w:tab/>
              <w:t>Odstupajući od članka 112. Uredbe (EU) 2021/1060, najviša stopa sufinanciranja za posebne prioritete iz stavka 1. ovog članka je 100 %</w:t>
            </w:r>
            <w:r w:rsidRPr="009C4E04">
              <w:rPr>
                <w:b/>
                <w:i/>
              </w:rPr>
              <w:t xml:space="preserve"> uz zadržavanje trenutačne diferencijacije među kategorijama regija</w:t>
            </w:r>
            <w:r w:rsidRPr="009C4E04">
              <w:t>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104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Brigitte van den Berg, Hristo Petrov, Grégory Allione, Eugen Tomac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lastRenderedPageBreak/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12.c – stavak 5.a (novi)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(5.a)</w:t>
            </w:r>
            <w:r w:rsidRPr="009C4E04">
              <w:rPr>
                <w:b/>
                <w:i/>
              </w:rPr>
              <w:tab/>
              <w:t>Države članice promiču suradnju među organizacijama koje rade na stvaranju i prihvaćanju vještina, kao što su strukovne, akademske i istraživačke institucije i industrije, radi poticanja inovacija i podupiranja istraživačkih programa u Europskoj uniji. To obuhvaća mjere za potporu razvoja novih tehnologija i zaštite intelektualnog vlasništva.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105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Elena Donazzan, Francesco Torselli, Mariateresa Vivaldini, Chiara Gemma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12.d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rPr>
                <w:b/>
                <w:i/>
              </w:rPr>
              <w:t>Članak 12.d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Briše se.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pPr>
        <w:pStyle w:val="JustificationTitle"/>
        <w:rPr>
          <w:noProof w:val="0"/>
        </w:rPr>
      </w:pPr>
      <w:r w:rsidRPr="009C4E04">
        <w:rPr>
          <w:rStyle w:val="HideTWBExt"/>
          <w:i w:val="0"/>
        </w:rPr>
        <w:t>&lt;TitreJust&gt;</w:t>
      </w:r>
      <w:r w:rsidRPr="009C4E04">
        <w:t>Obrazloženje</w:t>
      </w:r>
      <w:r w:rsidRPr="009C4E04">
        <w:rPr>
          <w:rStyle w:val="HideTWBExt"/>
          <w:i w:val="0"/>
        </w:rPr>
        <w:t>&lt;/TitreJust&gt;</w:t>
      </w:r>
    </w:p>
    <w:p w:rsidR="009C4E04" w:rsidRPr="009C4E04" w:rsidRDefault="009C4E04" w:rsidP="009C4E04">
      <w:pPr>
        <w:pStyle w:val="Normal12Italic"/>
        <w:rPr>
          <w:noProof w:val="0"/>
        </w:rPr>
      </w:pPr>
      <w:r w:rsidRPr="009C4E04">
        <w:t>Konkurentnost i ambiciozni klimatski ciljevi ne mogu ići ruku pod ruku. U središtu Europskog socijalnog fonda plus trebali bi biti socijalni ciljevi i ne bi trebao služiti kao još jedan instrument za provedbu zelenih politika.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106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Maravillas Abadía Jover, 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lastRenderedPageBreak/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12.d – stavak 1.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 xml:space="preserve">Države članice mogu </w:t>
            </w:r>
            <w:r w:rsidRPr="009C4E04">
              <w:rPr>
                <w:b/>
                <w:i/>
              </w:rPr>
              <w:t xml:space="preserve">odlučiti </w:t>
            </w:r>
            <w:r w:rsidRPr="009C4E04">
              <w:t xml:space="preserve">programirati potporu </w:t>
            </w:r>
            <w:r w:rsidRPr="009C4E04">
              <w:rPr>
                <w:b/>
                <w:i/>
              </w:rPr>
              <w:t>namijenjenu</w:t>
            </w:r>
            <w:r w:rsidRPr="009C4E04">
              <w:t xml:space="preserve"> za stjecanje vještina, usavršavanje i prekvalifikaciju </w:t>
            </w:r>
            <w:r w:rsidRPr="009C4E04">
              <w:rPr>
                <w:b/>
                <w:i/>
              </w:rPr>
              <w:t>radi prilagodbe radnika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poduzeća</w:t>
            </w:r>
            <w:r w:rsidRPr="009C4E04">
              <w:t xml:space="preserve"> i </w:t>
            </w:r>
            <w:r w:rsidRPr="009C4E04">
              <w:rPr>
                <w:b/>
                <w:i/>
              </w:rPr>
              <w:t>poduzetnika promjeni koja doprinosi dekarbonizaciji</w:t>
            </w:r>
            <w:r w:rsidRPr="009C4E04">
              <w:t xml:space="preserve"> proizvodnih kapaciteta</w:t>
            </w:r>
            <w:r w:rsidRPr="009C4E04">
              <w:rPr>
                <w:b/>
                <w:i/>
              </w:rPr>
              <w:t xml:space="preserve"> u okviru posebnih prioriteta. U okviru takvih posebnih prioriteta mogu se podupirati</w:t>
            </w:r>
            <w:r w:rsidRPr="009C4E04">
              <w:t xml:space="preserve"> bilo </w:t>
            </w:r>
            <w:r w:rsidRPr="009C4E04">
              <w:rPr>
                <w:b/>
                <w:i/>
              </w:rPr>
              <w:t>koji</w:t>
            </w:r>
            <w:r w:rsidRPr="009C4E04">
              <w:t xml:space="preserve"> od specifičnih ciljeva </w:t>
            </w:r>
            <w:r w:rsidRPr="009C4E04">
              <w:rPr>
                <w:b/>
                <w:i/>
              </w:rPr>
              <w:t>utvrđenih</w:t>
            </w:r>
            <w:r w:rsidRPr="009C4E04">
              <w:t xml:space="preserve"> u članku 4. stavku 1. točkama od (a) do (l).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(1)</w:t>
            </w:r>
            <w:r w:rsidRPr="009C4E04">
              <w:tab/>
              <w:t>Države članice mogu programirati</w:t>
            </w:r>
            <w:r w:rsidRPr="009C4E04">
              <w:rPr>
                <w:b/>
                <w:i/>
              </w:rPr>
              <w:t xml:space="preserve"> ciljanu</w:t>
            </w:r>
            <w:r w:rsidRPr="009C4E04">
              <w:t xml:space="preserve"> potporu </w:t>
            </w:r>
            <w:r w:rsidRPr="009C4E04">
              <w:rPr>
                <w:b/>
                <w:i/>
              </w:rPr>
              <w:t>za mjere</w:t>
            </w:r>
            <w:r w:rsidRPr="009C4E04">
              <w:t xml:space="preserve"> za stjecanje vještina, usavršavanje i prekvalifikaciju </w:t>
            </w:r>
            <w:r w:rsidRPr="009C4E04">
              <w:rPr>
                <w:b/>
                <w:i/>
              </w:rPr>
              <w:t>kako bi se radnicima i poduzećima</w:t>
            </w:r>
            <w:r w:rsidRPr="009C4E04">
              <w:t xml:space="preserve">, </w:t>
            </w:r>
            <w:r w:rsidRPr="009C4E04">
              <w:rPr>
                <w:b/>
                <w:i/>
              </w:rPr>
              <w:t>posebno malim</w:t>
            </w:r>
            <w:r w:rsidRPr="009C4E04">
              <w:t xml:space="preserve"> i </w:t>
            </w:r>
            <w:r w:rsidRPr="009C4E04">
              <w:rPr>
                <w:b/>
                <w:i/>
              </w:rPr>
              <w:t>srednjim poduzećima (MSP-ovi), pomoglo u tome da se prilagode strukturnim promjenama povezanima s dekarbonizacijom</w:t>
            </w:r>
            <w:r w:rsidRPr="009C4E04">
              <w:t xml:space="preserve"> proizvodnih kapaciteta</w:t>
            </w:r>
            <w:r w:rsidRPr="009C4E04">
              <w:rPr>
                <w:b/>
                <w:i/>
              </w:rPr>
              <w:t>. Ti posebni prioriteti trebali bi ojačati sposobnost MSP-ova da ostanu konkurentni, održivi i inovativni tijekom zelene tranzicije. Takvi prioriteti mogu doprinijeti</w:t>
            </w:r>
            <w:r w:rsidRPr="009C4E04">
              <w:t xml:space="preserve"> bilo </w:t>
            </w:r>
            <w:r w:rsidRPr="009C4E04">
              <w:rPr>
                <w:b/>
                <w:i/>
              </w:rPr>
              <w:t>kojemu</w:t>
            </w:r>
            <w:r w:rsidRPr="009C4E04">
              <w:t xml:space="preserve"> od specifičnih ciljeva </w:t>
            </w:r>
            <w:r w:rsidRPr="009C4E04">
              <w:rPr>
                <w:b/>
                <w:i/>
              </w:rPr>
              <w:t>navedenih</w:t>
            </w:r>
            <w:r w:rsidRPr="009C4E04">
              <w:t xml:space="preserve"> u članku 4. stavku 1. točkama od (a) do (l).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i/>
              </w:rPr>
              <w:t>(Ova izmjena primjenjuje se u cijelom tekstu. Ako se usvoji bit će potrebno unijeti odgovarajuće promjene u cijelom tekstu.)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107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Marie Dauchy, Nikola Bartůšek, Pál Szekeres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&lt;AuNomDe&gt;</w:t>
      </w:r>
      <w:r w:rsidRPr="009C4E04">
        <w:rPr>
          <w:rStyle w:val="HideTWBInt"/>
        </w:rPr>
        <w:t>{EMPL}</w:t>
      </w:r>
      <w:r w:rsidRPr="009C4E04">
        <w:t>u ime Odbora za zapošljavanje i socijalna pitanja</w:t>
      </w:r>
      <w:r w:rsidRPr="009C4E04">
        <w:rPr>
          <w:rStyle w:val="HideTWBExt"/>
        </w:rPr>
        <w:t>&lt;/AuNomDe&gt;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&lt;Members&gt;</w:t>
      </w:r>
      <w:r w:rsidRPr="009C4E04">
        <w:t>Séverine Werbrouck, Rachel Blom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 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12.d – stavak 1.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 xml:space="preserve">Države članice mogu odlučiti programirati potporu namijenjenu za stjecanje vještina, usavršavanje i prekvalifikaciju radi prilagodbe radnika, poduzeća i poduzetnika </w:t>
            </w:r>
            <w:r w:rsidRPr="009C4E04">
              <w:rPr>
                <w:b/>
                <w:i/>
              </w:rPr>
              <w:t>promjeni koja doprinosi dekarbonizaciji</w:t>
            </w:r>
            <w:r w:rsidRPr="009C4E04">
              <w:t xml:space="preserve"> proizvodnih </w:t>
            </w:r>
            <w:r w:rsidRPr="009C4E04">
              <w:rPr>
                <w:b/>
                <w:i/>
              </w:rPr>
              <w:lastRenderedPageBreak/>
              <w:t>kapaciteta</w:t>
            </w:r>
            <w:r w:rsidRPr="009C4E04">
              <w:t xml:space="preserve"> u okviru posebnih prioriteta. U okviru takvih posebnih prioriteta mogu se podupirati bilo koji od specifičnih ciljeva utvrđenih u članku 4. stavku 1. točkama od (a) do (l).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lastRenderedPageBreak/>
              <w:t>(1)</w:t>
            </w:r>
            <w:r w:rsidRPr="009C4E04">
              <w:tab/>
              <w:t xml:space="preserve">Države članice mogu odlučiti programirati potporu namijenjenu za stjecanje vještina, usavršavanje i prekvalifikaciju radi prilagodbe radnika, poduzeća i poduzetnika </w:t>
            </w:r>
            <w:r w:rsidRPr="009C4E04">
              <w:rPr>
                <w:b/>
                <w:i/>
              </w:rPr>
              <w:t>povećanju proizvodnih industrijskih kapaciteta i</w:t>
            </w:r>
            <w:r w:rsidRPr="009C4E04">
              <w:t xml:space="preserve"> </w:t>
            </w:r>
            <w:r w:rsidRPr="009C4E04">
              <w:lastRenderedPageBreak/>
              <w:t xml:space="preserve">proizvodnih </w:t>
            </w:r>
            <w:r w:rsidRPr="009C4E04">
              <w:rPr>
                <w:b/>
                <w:i/>
              </w:rPr>
              <w:t>sredstava, među kojima je proizvodnja nuklearne energije,</w:t>
            </w:r>
            <w:r w:rsidRPr="009C4E04">
              <w:t xml:space="preserve"> u okviru posebnih prioriteta. U okviru takvih posebnih prioriteta mogu se podupirati bilo koji od specifičnih ciljeva utvrđenih u članku 4. stavku 1. točkama od (a) do (l).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lastRenderedPageBreak/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{FR}</w:t>
      </w:r>
      <w:r w:rsidRPr="009C4E04">
        <w:rPr>
          <w:noProof w:val="0"/>
        </w:rPr>
        <w:t>fr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108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Marit Maij, Estelle Ceulemans, Gabriele Bischoff, Alicia Homs Ginel, Evelyn Regner, Marc Angel, Idoia Mendia, Vilija Blinkevičiūtė, Aodhán Ó Ríordáin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12.d – stavak 1.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>Države članice mogu odlučiti programirati potporu namijenjenu za stjecanje vještina, usavršavanje i prekvalifikaciju radi prilagodbe radnika, poduzeća i poduzetnika promjeni koja doprinosi dekarbonizaciji proizvodnih kapaciteta u okviru posebnih prioriteta. U okviru takvih posebnih prioriteta mogu se podupirati bilo koji od specifičnih ciljeva utvrđenih u članku 4. stavku 1. točkama od (a) do (</w:t>
            </w:r>
            <w:r w:rsidRPr="009C4E04">
              <w:rPr>
                <w:b/>
                <w:i/>
              </w:rPr>
              <w:t>l</w:t>
            </w:r>
            <w:r w:rsidRPr="009C4E04">
              <w:t>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(1)</w:t>
            </w:r>
            <w:r w:rsidRPr="009C4E04">
              <w:tab/>
              <w:t>Države članice</w:t>
            </w:r>
            <w:r w:rsidRPr="009C4E04">
              <w:rPr>
                <w:b/>
                <w:i/>
              </w:rPr>
              <w:t>, nakon savjetovanja sa socijalnim partnerima na nacionalnoj razini,</w:t>
            </w:r>
            <w:r w:rsidRPr="009C4E04">
              <w:t xml:space="preserve"> mogu odlučiti programirati potporu namijenjenu za stjecanje vještina, usavršavanje i prekvalifikaciju radi prilagodbe radnika, poduzeća i poduzetnika promjeni koja doprinosi dekarbonizaciji proizvodnih kapaciteta u okviru posebnih prioriteta. U okviru takvih posebnih prioriteta mogu se podupirati bilo koji od specifičnih ciljeva utvrđenih u članku 4. stavku 1. točkama od (a) do (</w:t>
            </w:r>
            <w:r w:rsidRPr="009C4E04">
              <w:rPr>
                <w:b/>
                <w:i/>
              </w:rPr>
              <w:t>g</w:t>
            </w:r>
            <w:r w:rsidRPr="009C4E04">
              <w:t>).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109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Brigitte van den Berg, Jana Toom, Hristo Petrov, Grégory Allione, Eugen Tomac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12.d – stavak 1.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 xml:space="preserve">Države članice mogu odlučiti programirati potporu namijenjenu za stjecanje vještina, usavršavanje i prekvalifikaciju radi prilagodbe radnika, poduzeća i poduzetnika promjeni koja doprinosi dekarbonizaciji proizvodnih kapaciteta u okviru posebnih prioriteta. U okviru takvih posebnih prioriteta </w:t>
            </w:r>
            <w:r w:rsidRPr="009C4E04">
              <w:rPr>
                <w:b/>
                <w:i/>
              </w:rPr>
              <w:t>mogu</w:t>
            </w:r>
            <w:r w:rsidRPr="009C4E04">
              <w:t xml:space="preserve"> se</w:t>
            </w:r>
            <w:r w:rsidRPr="009C4E04">
              <w:rPr>
                <w:b/>
                <w:i/>
              </w:rPr>
              <w:t xml:space="preserve"> podupirati</w:t>
            </w:r>
            <w:r w:rsidRPr="009C4E04">
              <w:t xml:space="preserve"> bilo koji od specifičnih ciljeva utvrđenih u članku 4. stavku 1.</w:t>
            </w:r>
            <w:r w:rsidRPr="009C4E04">
              <w:rPr>
                <w:b/>
                <w:i/>
              </w:rPr>
              <w:t xml:space="preserve"> točkama od (a) do (l).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(1)</w:t>
            </w:r>
            <w:r w:rsidRPr="009C4E04">
              <w:tab/>
              <w:t>Države članice mogu odlučiti programirati potporu namijenjenu za stjecanje vještina, usavršavanje</w:t>
            </w:r>
            <w:r w:rsidRPr="009C4E04">
              <w:rPr>
                <w:b/>
                <w:i/>
              </w:rPr>
              <w:t>,</w:t>
            </w:r>
            <w:r w:rsidRPr="009C4E04">
              <w:t xml:space="preserve"> prekvalifikaciju i </w:t>
            </w:r>
            <w:r w:rsidRPr="009C4E04">
              <w:rPr>
                <w:b/>
                <w:i/>
              </w:rPr>
              <w:t>osposobljavanje, kao i za istraživanje, razvoj i inovacije</w:t>
            </w:r>
            <w:r w:rsidRPr="009C4E04">
              <w:t xml:space="preserve"> radi prilagodbe radnika, poduzeća i poduzetnika promjeni koja doprinosi dekarbonizaciji proizvodnih kapaciteta u okviru posebnih prioriteta. U okviru takvih posebnih prioriteta </w:t>
            </w:r>
            <w:r w:rsidRPr="009C4E04">
              <w:rPr>
                <w:b/>
                <w:i/>
              </w:rPr>
              <w:t>podupire</w:t>
            </w:r>
            <w:r w:rsidRPr="009C4E04">
              <w:t xml:space="preserve"> se bilo koji od specifičnih ciljeva utvrđenih u članku 4. stavku 1.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110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12.d – stavak 1.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(1)</w:t>
            </w:r>
            <w:r w:rsidRPr="009C4E04">
              <w:tab/>
              <w:t xml:space="preserve">Države članice mogu odlučiti programirati potporu namijenjenu za stjecanje vještina, usavršavanje i prekvalifikaciju radi prilagodbe radnika, poduzeća i poduzetnika promjeni koja doprinosi dekarbonizaciji proizvodnih kapaciteta u okviru posebnih prioriteta. U okviru takvih posebnih prioriteta </w:t>
            </w:r>
            <w:r w:rsidRPr="009C4E04">
              <w:rPr>
                <w:b/>
                <w:i/>
              </w:rPr>
              <w:t>mogu</w:t>
            </w:r>
            <w:r w:rsidRPr="009C4E04">
              <w:t xml:space="preserve"> se </w:t>
            </w:r>
            <w:r w:rsidRPr="009C4E04">
              <w:rPr>
                <w:b/>
                <w:i/>
              </w:rPr>
              <w:t>podupirati bilo koji od</w:t>
            </w:r>
            <w:r w:rsidRPr="009C4E04">
              <w:t xml:space="preserve"> specifičnih ciljeva utvrđenih u članku 4. stavku 1. točkama od (a) do (l).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(1)</w:t>
            </w:r>
            <w:r w:rsidRPr="009C4E04">
              <w:tab/>
              <w:t xml:space="preserve">Države članice mogu odlučiti programirati potporu namijenjenu za stjecanje vještina, usavršavanje i prekvalifikaciju radi prilagodbe radnika, poduzeća i poduzetnika promjeni koja doprinosi dekarbonizaciji proizvodnih kapaciteta u okviru posebnih prioriteta. U okviru takvih posebnih prioriteta </w:t>
            </w:r>
            <w:r w:rsidRPr="009C4E04">
              <w:rPr>
                <w:b/>
                <w:i/>
              </w:rPr>
              <w:t>podupire</w:t>
            </w:r>
            <w:r w:rsidRPr="009C4E04">
              <w:t xml:space="preserve"> se </w:t>
            </w:r>
            <w:r w:rsidRPr="009C4E04">
              <w:rPr>
                <w:b/>
                <w:i/>
              </w:rPr>
              <w:t>jedan ili više</w:t>
            </w:r>
            <w:r w:rsidRPr="009C4E04">
              <w:t xml:space="preserve"> specifičnih ciljeva utvrđenih u članku 4. stavku 1. točkama od (a) do (l).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111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lastRenderedPageBreak/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12.d – stavak 1.a (novi)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(1.a)</w:t>
            </w:r>
            <w:r w:rsidRPr="009C4E04">
              <w:rPr>
                <w:b/>
                <w:i/>
              </w:rPr>
              <w:tab/>
              <w:t>Sredstva dodijeljena za posebni prioritet iz stavka 1. uzimaju se u obzir pri osiguravanju usklađenosti sa zahtjevima za tematsku koncentraciju kako je utvrđeno u članku 7. ove Uredbe.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112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Miriam Lexmann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 12.d – stavak 5.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</w:pPr>
            <w:r w:rsidRPr="009C4E04">
              <w:t>(5)</w:t>
            </w:r>
            <w:r w:rsidRPr="009C4E04">
              <w:tab/>
              <w:t>Odstupajući od članka 112. Uredbe (EU) 2021/1060, najviša stopa sufinanciranja za posebne prioritete iz stavka 1. ovog članka je 100 %.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t>(5)</w:t>
            </w:r>
            <w:r w:rsidRPr="009C4E04">
              <w:tab/>
              <w:t>Odstupajući od članka 112. Uredbe (EU) 2021/1060, najviša stopa sufinanciranja za posebne prioritete iz stavka 1. ovog članka je 100 %</w:t>
            </w:r>
            <w:r w:rsidRPr="009C4E04">
              <w:rPr>
                <w:b/>
                <w:i/>
              </w:rPr>
              <w:t xml:space="preserve"> uz zadržavanje trenutačne diferencijacije među kategorijama regija</w:t>
            </w:r>
            <w:r w:rsidRPr="009C4E04">
              <w:t>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pPr>
        <w:pStyle w:val="JustificationTitle"/>
        <w:rPr>
          <w:noProof w:val="0"/>
        </w:rPr>
      </w:pPr>
      <w:r w:rsidRPr="009C4E04">
        <w:rPr>
          <w:rStyle w:val="HideTWBExt"/>
          <w:i w:val="0"/>
        </w:rPr>
        <w:t>&lt;TitreJust&gt;</w:t>
      </w:r>
      <w:r w:rsidRPr="009C4E04">
        <w:t>Obrazloženje</w:t>
      </w:r>
      <w:r w:rsidRPr="009C4E04">
        <w:rPr>
          <w:rStyle w:val="HideTWBExt"/>
          <w:i w:val="0"/>
        </w:rPr>
        <w:t>&lt;/TitreJust&gt;</w:t>
      </w:r>
    </w:p>
    <w:p w:rsidR="009C4E04" w:rsidRPr="009C4E04" w:rsidRDefault="009C4E04" w:rsidP="009C4E04">
      <w:pPr>
        <w:pStyle w:val="Normal12Italic"/>
        <w:rPr>
          <w:noProof w:val="0"/>
        </w:rPr>
      </w:pPr>
      <w:r w:rsidRPr="009C4E04">
        <w:t>Potrebno kako bi se zadržala trenutačna diferencijacija stope sufinanciranja među kategorijama regija.</w:t>
      </w:r>
    </w:p>
    <w:p w:rsidR="009C4E04" w:rsidRPr="009C4E04" w:rsidRDefault="009C4E04" w:rsidP="009C4E04">
      <w:r w:rsidRPr="009C4E04">
        <w:rPr>
          <w:rStyle w:val="HideTWBExt"/>
        </w:rPr>
        <w:t>&lt;/Amend&gt;</w:t>
      </w:r>
    </w:p>
    <w:p w:rsidR="009C4E04" w:rsidRPr="009C4E04" w:rsidRDefault="009C4E04" w:rsidP="009C4E04">
      <w:pPr>
        <w:pStyle w:val="AMNumberTabs0"/>
        <w:keepNext/>
      </w:pPr>
      <w:r w:rsidRPr="009C4E04">
        <w:rPr>
          <w:rStyle w:val="HideTWBExt"/>
          <w:b w:val="0"/>
        </w:rPr>
        <w:t>&lt;Amend&gt;</w:t>
      </w:r>
      <w:r w:rsidRPr="009C4E04">
        <w:t>Amandman</w:t>
      </w:r>
      <w:r w:rsidRPr="009C4E04">
        <w:tab/>
      </w:r>
      <w:r w:rsidRPr="009C4E04">
        <w:tab/>
      </w:r>
      <w:r w:rsidRPr="009C4E04">
        <w:rPr>
          <w:rStyle w:val="HideTWBExt"/>
          <w:b w:val="0"/>
        </w:rPr>
        <w:t>&lt;NumAm&gt;</w:t>
      </w:r>
      <w:r w:rsidRPr="009C4E04">
        <w:t>113</w:t>
      </w:r>
      <w:r w:rsidRPr="009C4E04">
        <w:rPr>
          <w:rStyle w:val="HideTWBExt"/>
          <w:b w:val="0"/>
        </w:rPr>
        <w:t>&lt;/NumAm&gt;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&lt;RepeatBlock-By&gt;&lt;Members&gt;</w:t>
      </w:r>
      <w:r w:rsidRPr="009C4E04">
        <w:t>Brigitte van den Berg, Hristo Petrov, Grégory Allione, Eugen Tomac</w:t>
      </w:r>
      <w:r w:rsidRPr="009C4E04">
        <w:rPr>
          <w:rStyle w:val="HideTWBExt"/>
          <w:b w:val="0"/>
        </w:rPr>
        <w:t>&lt;/Members&gt;</w:t>
      </w:r>
    </w:p>
    <w:p w:rsidR="009C4E04" w:rsidRPr="009C4E04" w:rsidRDefault="009C4E04" w:rsidP="009C4E04">
      <w:r w:rsidRPr="009C4E04">
        <w:rPr>
          <w:rStyle w:val="HideTWBExt"/>
        </w:rPr>
        <w:t>&lt;/RepeatBlock-By&gt;</w:t>
      </w:r>
    </w:p>
    <w:p w:rsidR="009C4E04" w:rsidRPr="009C4E04" w:rsidRDefault="009C4E04" w:rsidP="009C4E04">
      <w:pPr>
        <w:pStyle w:val="NormalBold"/>
        <w:keepNext/>
      </w:pPr>
      <w:r w:rsidRPr="009C4E04">
        <w:rPr>
          <w:rStyle w:val="HideTWBExt"/>
          <w:b w:val="0"/>
        </w:rPr>
        <w:t>&lt;DocAmend&gt;</w:t>
      </w:r>
      <w:r w:rsidRPr="009C4E04">
        <w:t>Prijedlog uredbe</w:t>
      </w:r>
      <w:r w:rsidRPr="009C4E04">
        <w:rPr>
          <w:rStyle w:val="HideTWBExt"/>
          <w:b w:val="0"/>
        </w:rPr>
        <w:t>&lt;/DocAmend&gt;</w:t>
      </w:r>
    </w:p>
    <w:p w:rsidR="009C4E04" w:rsidRPr="009C4E04" w:rsidRDefault="009C4E04" w:rsidP="009C4E04">
      <w:pPr>
        <w:pStyle w:val="NormalBold"/>
      </w:pPr>
      <w:r w:rsidRPr="009C4E04">
        <w:rPr>
          <w:rStyle w:val="HideTWBExt"/>
          <w:b w:val="0"/>
        </w:rPr>
        <w:t>&lt;Article&gt;</w:t>
      </w:r>
      <w:r w:rsidRPr="009C4E04">
        <w:t>Članak 1. – stavak 1. – točka 3.</w:t>
      </w:r>
      <w:r w:rsidRPr="009C4E04">
        <w:rPr>
          <w:rStyle w:val="HideTWBExt"/>
          <w:b w:val="0"/>
        </w:rPr>
        <w:t>&lt;/Article&gt;</w:t>
      </w:r>
    </w:p>
    <w:p w:rsidR="009C4E04" w:rsidRPr="009C4E04" w:rsidRDefault="009C4E04" w:rsidP="009C4E04">
      <w:pPr>
        <w:keepNext/>
      </w:pPr>
      <w:r w:rsidRPr="009C4E04">
        <w:rPr>
          <w:rStyle w:val="HideTWBExt"/>
        </w:rPr>
        <w:lastRenderedPageBreak/>
        <w:t>&lt;DocAmend2&gt;</w:t>
      </w:r>
      <w:r w:rsidRPr="009C4E04">
        <w:t>Uredba (EU) 2021/1057</w:t>
      </w:r>
      <w:r w:rsidRPr="009C4E04">
        <w:rPr>
          <w:rStyle w:val="HideTWBExt"/>
        </w:rPr>
        <w:t>&lt;/DocAmend2&gt;</w:t>
      </w:r>
    </w:p>
    <w:p w:rsidR="009C4E04" w:rsidRPr="009C4E04" w:rsidRDefault="009C4E04" w:rsidP="009C4E04">
      <w:r w:rsidRPr="009C4E04">
        <w:rPr>
          <w:rStyle w:val="HideTWBExt"/>
        </w:rPr>
        <w:t>&lt;Article2&gt;</w:t>
      </w:r>
      <w:r w:rsidRPr="009C4E04">
        <w:t>Članak 12.d – stavak 5.a (novi)</w:t>
      </w:r>
      <w:r w:rsidRPr="009C4E04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C4E04" w:rsidRPr="009C4E04" w:rsidTr="00631FE6">
        <w:trPr>
          <w:jc w:val="center"/>
        </w:trPr>
        <w:tc>
          <w:tcPr>
            <w:tcW w:w="9752" w:type="dxa"/>
            <w:gridSpan w:val="2"/>
          </w:tcPr>
          <w:p w:rsidR="009C4E04" w:rsidRPr="009C4E04" w:rsidRDefault="009C4E04" w:rsidP="00631FE6">
            <w:pPr>
              <w:keepNext/>
            </w:pP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Tekst koji je predložila Komisija</w:t>
            </w: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ColumnHeading"/>
              <w:keepNext/>
            </w:pPr>
            <w:r w:rsidRPr="009C4E04">
              <w:t>Izmjena</w:t>
            </w:r>
          </w:p>
        </w:tc>
      </w:tr>
      <w:tr w:rsidR="009C4E04" w:rsidRPr="009C4E04" w:rsidTr="00631FE6">
        <w:trPr>
          <w:jc w:val="center"/>
        </w:trPr>
        <w:tc>
          <w:tcPr>
            <w:tcW w:w="4876" w:type="dxa"/>
          </w:tcPr>
          <w:p w:rsidR="009C4E04" w:rsidRPr="009C4E04" w:rsidRDefault="009C4E04" w:rsidP="00631FE6">
            <w:pPr>
              <w:pStyle w:val="Normal6"/>
            </w:pPr>
          </w:p>
        </w:tc>
        <w:tc>
          <w:tcPr>
            <w:tcW w:w="4876" w:type="dxa"/>
            <w:hideMark/>
          </w:tcPr>
          <w:p w:rsidR="009C4E04" w:rsidRPr="009C4E04" w:rsidRDefault="009C4E04" w:rsidP="00631FE6">
            <w:pPr>
              <w:pStyle w:val="Normal6"/>
              <w:rPr>
                <w:szCs w:val="24"/>
              </w:rPr>
            </w:pPr>
            <w:r w:rsidRPr="009C4E04">
              <w:rPr>
                <w:b/>
                <w:i/>
              </w:rPr>
              <w:t>(5.a)</w:t>
            </w:r>
            <w:r w:rsidRPr="009C4E04">
              <w:rPr>
                <w:b/>
                <w:i/>
              </w:rPr>
              <w:tab/>
              <w:t>Države članice promiču suradnju među organizacijama koje rade na stvaranju i prihvaćanju vještina, kao što su strukovne, akademske i istraživačke institucije i industrije, radi poticanja inovacija i podupiranja istraživačkih programa u Europskoj uniji. To obuhvaća mjere za potporu razvoja novih tehnologija i zaštite intelektualnog vlasništva.</w:t>
            </w:r>
          </w:p>
        </w:tc>
      </w:tr>
    </w:tbl>
    <w:p w:rsidR="009C4E04" w:rsidRPr="009C4E04" w:rsidRDefault="009C4E04" w:rsidP="009C4E04">
      <w:pPr>
        <w:pStyle w:val="Olang"/>
      </w:pPr>
      <w:r w:rsidRPr="009C4E04">
        <w:rPr>
          <w:noProof w:val="0"/>
        </w:rPr>
        <w:t xml:space="preserve">Or. </w:t>
      </w:r>
      <w:r w:rsidRPr="009C4E04">
        <w:rPr>
          <w:rStyle w:val="HideTWBExt"/>
        </w:rPr>
        <w:t>&lt;Original&gt;</w:t>
      </w:r>
      <w:r w:rsidRPr="009C4E04">
        <w:rPr>
          <w:rStyle w:val="HideTWBInt"/>
          <w:rFonts w:eastAsiaTheme="majorEastAsia"/>
        </w:rPr>
        <w:t>{EN}</w:t>
      </w:r>
      <w:r w:rsidRPr="009C4E04">
        <w:rPr>
          <w:noProof w:val="0"/>
        </w:rPr>
        <w:t>en</w:t>
      </w:r>
      <w:r w:rsidRPr="009C4E04">
        <w:rPr>
          <w:rStyle w:val="HideTWBExt"/>
        </w:rPr>
        <w:t>&lt;/Original&gt;</w:t>
      </w:r>
    </w:p>
    <w:p w:rsidR="009C4E04" w:rsidRPr="009C4E04" w:rsidRDefault="009C4E04" w:rsidP="009C4E04">
      <w:pPr>
        <w:pStyle w:val="AmNumberTabs"/>
        <w:keepNext/>
      </w:pPr>
      <w:r w:rsidRPr="009C4E04">
        <w:rPr>
          <w:rStyle w:val="HideTWBExt"/>
          <w:b w:val="0"/>
        </w:rPr>
        <w:t>&lt;/Amend&gt;&lt;/RepeatBlock-Amend&gt;</w:t>
      </w:r>
    </w:p>
    <w:p w:rsidR="008363E4" w:rsidRPr="009C4E04" w:rsidRDefault="008363E4" w:rsidP="009C4E04"/>
    <w:sectPr w:rsidR="008363E4" w:rsidRPr="009C4E04" w:rsidSect="009C4E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FE6" w:rsidRPr="00C70A07" w:rsidRDefault="00631FE6">
      <w:r w:rsidRPr="00C70A07">
        <w:separator/>
      </w:r>
    </w:p>
  </w:endnote>
  <w:endnote w:type="continuationSeparator" w:id="0">
    <w:p w:rsidR="00631FE6" w:rsidRPr="00C70A07" w:rsidRDefault="00631FE6">
      <w:r w:rsidRPr="00C70A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E6" w:rsidRDefault="00631FE6" w:rsidP="009C4E04">
    <w:pPr>
      <w:pStyle w:val="EPFooter"/>
    </w:pPr>
    <w:r>
      <w:t>PE</w:t>
    </w:r>
    <w:r w:rsidRPr="009C4E04">
      <w:rPr>
        <w:rStyle w:val="HideTWBExt"/>
      </w:rPr>
      <w:t>&lt;NoPE&gt;</w:t>
    </w:r>
    <w:r>
      <w:t>773.390</w:t>
    </w:r>
    <w:r w:rsidRPr="009C4E04">
      <w:rPr>
        <w:rStyle w:val="HideTWBExt"/>
      </w:rPr>
      <w:t>&lt;/NoPE&gt;&lt;Version&gt;</w:t>
    </w:r>
    <w:r>
      <w:t>v01-00</w:t>
    </w:r>
    <w:r w:rsidRPr="009C4E04">
      <w:rPr>
        <w:rStyle w:val="HideTWBExt"/>
      </w:rPr>
      <w:t>&lt;/Version&gt;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 w:rsidR="00D71A71">
      <w:rPr>
        <w:noProof/>
      </w:rPr>
      <w:t>2</w:t>
    </w:r>
    <w:r>
      <w:fldChar w:fldCharType="end"/>
    </w:r>
    <w:r>
      <w:t>/</w:t>
    </w:r>
    <w:r w:rsidR="00D71A71">
      <w:fldChar w:fldCharType="begin"/>
    </w:r>
    <w:r w:rsidR="00D71A71">
      <w:instrText xml:space="preserve"> NUMPAGES  \* MERGEFORMAT </w:instrText>
    </w:r>
    <w:r w:rsidR="00D71A71">
      <w:fldChar w:fldCharType="separate"/>
    </w:r>
    <w:r w:rsidR="00D71A71">
      <w:rPr>
        <w:noProof/>
      </w:rPr>
      <w:t>71</w:t>
    </w:r>
    <w:r w:rsidR="00D71A71">
      <w:rPr>
        <w:noProof/>
      </w:rPr>
      <w:fldChar w:fldCharType="end"/>
    </w:r>
    <w:r>
      <w:tab/>
    </w:r>
    <w:r w:rsidRPr="009C4E04">
      <w:rPr>
        <w:rStyle w:val="HideTWBExt"/>
      </w:rPr>
      <w:t>&lt;PathFdR&gt;</w:t>
    </w:r>
    <w:r>
      <w:t>AM\1321470HR.docx</w:t>
    </w:r>
    <w:r w:rsidRPr="009C4E04">
      <w:rPr>
        <w:rStyle w:val="HideTWBExt"/>
      </w:rPr>
      <w:t>&lt;/PathFdR&gt;</w:t>
    </w:r>
  </w:p>
  <w:p w:rsidR="00631FE6" w:rsidRPr="00C70A07" w:rsidRDefault="00631FE6" w:rsidP="009C4E04">
    <w:pPr>
      <w:pStyle w:val="EPFooter2"/>
    </w:pPr>
    <w:r>
      <w:t>HR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E6" w:rsidRDefault="00631FE6" w:rsidP="009C4E04">
    <w:pPr>
      <w:pStyle w:val="EPFooter"/>
    </w:pPr>
    <w:r w:rsidRPr="009C4E04">
      <w:rPr>
        <w:rStyle w:val="HideTWBExt"/>
      </w:rPr>
      <w:t>&lt;PathFdR&gt;</w:t>
    </w:r>
    <w:r>
      <w:t>AM\1321470HR.docx</w:t>
    </w:r>
    <w:r w:rsidRPr="009C4E04">
      <w:rPr>
        <w:rStyle w:val="HideTWBExt"/>
      </w:rPr>
      <w:t>&lt;/PathFdR&gt;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 w:rsidR="00D71A71">
      <w:rPr>
        <w:noProof/>
      </w:rPr>
      <w:t>71</w:t>
    </w:r>
    <w:r>
      <w:fldChar w:fldCharType="end"/>
    </w:r>
    <w:r>
      <w:t>/</w:t>
    </w:r>
    <w:r w:rsidR="00D71A71">
      <w:fldChar w:fldCharType="begin"/>
    </w:r>
    <w:r w:rsidR="00D71A71">
      <w:instrText xml:space="preserve"> NUMPAGES  \* MERGEFORMAT </w:instrText>
    </w:r>
    <w:r w:rsidR="00D71A71">
      <w:fldChar w:fldCharType="separate"/>
    </w:r>
    <w:r w:rsidR="00D71A71">
      <w:rPr>
        <w:noProof/>
      </w:rPr>
      <w:t>71</w:t>
    </w:r>
    <w:r w:rsidR="00D71A71">
      <w:rPr>
        <w:noProof/>
      </w:rPr>
      <w:fldChar w:fldCharType="end"/>
    </w:r>
    <w:r>
      <w:tab/>
      <w:t>PE</w:t>
    </w:r>
    <w:r w:rsidRPr="009C4E04">
      <w:rPr>
        <w:rStyle w:val="HideTWBExt"/>
      </w:rPr>
      <w:t>&lt;NoPE&gt;</w:t>
    </w:r>
    <w:r>
      <w:t>773.390</w:t>
    </w:r>
    <w:r w:rsidRPr="009C4E04">
      <w:rPr>
        <w:rStyle w:val="HideTWBExt"/>
      </w:rPr>
      <w:t>&lt;/NoPE&gt;&lt;Version&gt;</w:t>
    </w:r>
    <w:r>
      <w:t>v01-00</w:t>
    </w:r>
    <w:r w:rsidRPr="009C4E04">
      <w:rPr>
        <w:rStyle w:val="HideTWBExt"/>
      </w:rPr>
      <w:t>&lt;/Version&gt;</w:t>
    </w:r>
  </w:p>
  <w:p w:rsidR="00631FE6" w:rsidRPr="00C70A07" w:rsidRDefault="00631FE6" w:rsidP="009C4E04">
    <w:pPr>
      <w:pStyle w:val="EPFooter2"/>
    </w:pPr>
    <w:r>
      <w:tab/>
    </w:r>
    <w:r>
      <w:tab/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E6" w:rsidRDefault="00631FE6" w:rsidP="009C4E04">
    <w:pPr>
      <w:pStyle w:val="EPFooter"/>
    </w:pPr>
    <w:r w:rsidRPr="009C4E04">
      <w:rPr>
        <w:rStyle w:val="HideTWBExt"/>
      </w:rPr>
      <w:t>&lt;PathFdR&gt;</w:t>
    </w:r>
    <w:r>
      <w:t>AM\1321470HR.docx</w:t>
    </w:r>
    <w:r w:rsidRPr="009C4E04">
      <w:rPr>
        <w:rStyle w:val="HideTWBExt"/>
      </w:rPr>
      <w:t>&lt;/PathFdR&gt;</w:t>
    </w:r>
    <w:r>
      <w:tab/>
    </w:r>
    <w:r>
      <w:tab/>
      <w:t>PE</w:t>
    </w:r>
    <w:r w:rsidRPr="009C4E04">
      <w:rPr>
        <w:rStyle w:val="HideTWBExt"/>
      </w:rPr>
      <w:t>&lt;NoPE&gt;</w:t>
    </w:r>
    <w:r>
      <w:t>773.390</w:t>
    </w:r>
    <w:r w:rsidRPr="009C4E04">
      <w:rPr>
        <w:rStyle w:val="HideTWBExt"/>
      </w:rPr>
      <w:t>&lt;/NoPE&gt;&lt;Version&gt;</w:t>
    </w:r>
    <w:r>
      <w:t>v01-00</w:t>
    </w:r>
    <w:r w:rsidRPr="009C4E04">
      <w:rPr>
        <w:rStyle w:val="HideTWBExt"/>
      </w:rPr>
      <w:t>&lt;/Version&gt;</w:t>
    </w:r>
  </w:p>
  <w:p w:rsidR="00631FE6" w:rsidRPr="00C70A07" w:rsidRDefault="00631FE6" w:rsidP="009C4E04">
    <w:pPr>
      <w:pStyle w:val="EPFooter2"/>
    </w:pPr>
    <w:r>
      <w:t>HR</w:t>
    </w:r>
    <w:r>
      <w:tab/>
    </w:r>
    <w:r w:rsidRPr="009C4E04">
      <w:rPr>
        <w:b w:val="0"/>
        <w:i/>
        <w:color w:val="C0C0C0"/>
        <w:sz w:val="22"/>
      </w:rPr>
      <w:t>Ujedinjena u raznolikosti</w:t>
    </w:r>
    <w:r>
      <w:tab/>
      <w:t>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FE6" w:rsidRPr="00C70A07" w:rsidRDefault="00631FE6">
      <w:r w:rsidRPr="00C70A07">
        <w:separator/>
      </w:r>
    </w:p>
  </w:footnote>
  <w:footnote w:type="continuationSeparator" w:id="0">
    <w:p w:rsidR="00631FE6" w:rsidRPr="00C70A07" w:rsidRDefault="00631FE6">
      <w:r w:rsidRPr="00C70A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E6" w:rsidRDefault="00631F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E6" w:rsidRDefault="00631FE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E6" w:rsidRDefault="00631F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mirrorMargin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2MNU" w:val=" 1"/>
    <w:docVar w:name="AMACTMNU" w:val=" 1"/>
    <w:docVar w:name="AMPLURMNU" w:val=" 1"/>
    <w:docVar w:name="CODEMNU" w:val=" 1"/>
    <w:docVar w:name="COMKEY" w:val="EMPL"/>
    <w:docVar w:name="CVA" w:val="2"/>
    <w:docVar w:name="DOCCODMNU" w:val=" 1"/>
    <w:docVar w:name="DOCDT" w:val="20/05/2025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2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1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44\fbidi \froman\fcharset238\fprq2 Times New Roman CE;}{\f45\fbidi \froman\fcharset204\fprq2 Times New Roman Cyr;}_x000d__x000a_{\f47\fbidi \froman\fcharset161\fprq2 Times New Roman Greek;}{\f48\fbidi \froman\fcharset162\fprq2 Times New Roman Tur;}{\f49\fbidi \froman\fcharset177\fprq2 Times New Roman (Hebrew);}{\f50\fbidi \froman\fcharset178\fprq2 Times New Roman (Arabic);}_x000d__x000a_{\f51\fbidi \froman\fcharset186\fprq2 Times New Roman Baltic;}{\f52\fbidi \froman\fcharset163\fprq2 Times New Roman (Vietnamese);}{\f54\fbidi \fswiss\fcharset238\fprq2 Arial CE;}{\f55\fbidi \fswiss\fcharset204\fprq2 Arial Cyr;}_x000d__x000a_{\f57\fbidi \fswiss\fcharset161\fprq2 Arial Greek;}{\f58\fbidi \fswiss\fcharset162\fprq2 Arial Tur;}{\f59\fbidi \fswiss\fcharset177\fprq2 Arial (Hebrew);}{\f60\fbidi \fswiss\fcharset178\fprq2 Arial (Arabic);}_x000d__x000a_{\f61\fbidi \fswiss\fcharset186\fprq2 Arial Baltic;}{\f62\fbidi \fswiss\fcharset163\fprq2 Arial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3\fbidi \fswiss\fcharset177\fprq2 Calibri Light (Hebrew);}{\fhimajor\f31534\fbidi \fswiss\fcharset178\fprq2 Calibri Light (Arabic);}{\fhimajor\f31535\fbidi \fswiss\fcharset186\fprq2 Calibri Light Baltic;}_x000d__x000a_{\fhimajor\f31536\fbidi \fswiss\fcharset163\fprq2 Calibri Light (Vietnamese);}{\fbimajor\f31547\fbidi \fswiss\fcharset222\fprq2 DokChampa (Thai){\*\falt Leelawadee UI}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5641481 HideTWBInt;}}{\*\rsidtbl \rsid24658\rsid223860\rsid735077\rsid1718133\rsid2892074\rsid3565327_x000d__x000a_\rsid4666813\rsid5641481\rsid6641733\rsid7823322\rsid9636012\rsid10377208\rsid11215221\rsid11549030\rsid12154954\rsid14224502\rsid14382809\rsid14424199\rsid15204470\rsid15285974\rsid15950462\rsid16324206\rsid16662270}{\mmathPr\mmathFont34\mbrkBin0_x000d__x000a_\mbrkBinSub0\msmallFrac0\mdispDef1\mlMargin0\mrMargin0\mdefJc1\mwrapIndent1440\mintLim0\mnaryLim1}{\info{\author NOTARIDOU Aikaterini}{\operator Aikaterini NOTARIDOU}{\creatim\yr2025\mo5\dy20\hr11\min44}{\revtim\yr2025\mo5\dy20\hr11\min44}{\version1}_x000d__x000a_{\edmins0}{\nofpages1}{\nofwords2}{\nofchars16}{\nofcharsws17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5641481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NOTAR~1.EP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422450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422450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422450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422450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5641481\charrsid15009709 {\*\bkmkstart ReplaceBookmark}#}{\rtlch\fcs1 \af1 \ltrch\fcs0 _x000d__x000a_\cs17\v\f1\fs20\cf15\insrsid5641481\charrsid15009709 &gt;&gt;&gt;CVAR@@AmendA}{\rtlch\fcs1 \af0 \ltrch\fcs0 \insrsid5641481\charrsid15009709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a_x000d__x000a_c3c46b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1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44\fbidi \froman\fcharset238\fprq2 Times New Roman CE;}{\f45\fbidi \froman\fcharset204\fprq2 Times New Roman Cyr;}_x000d__x000a_{\f47\fbidi \froman\fcharset161\fprq2 Times New Roman Greek;}{\f48\fbidi \froman\fcharset162\fprq2 Times New Roman Tur;}{\f49\fbidi \froman\fcharset177\fprq2 Times New Roman (Hebrew);}{\f50\fbidi \froman\fcharset178\fprq2 Times New Roman (Arabic);}_x000d__x000a_{\f51\fbidi \froman\fcharset186\fprq2 Times New Roman Baltic;}{\f52\fbidi \froman\fcharset163\fprq2 Times New Roman (Vietnamese);}{\f54\fbidi \fswiss\fcharset238\fprq2 Arial CE;}{\f55\fbidi \fswiss\fcharset204\fprq2 Arial Cyr;}_x000d__x000a_{\f57\fbidi \fswiss\fcharset161\fprq2 Arial Greek;}{\f58\fbidi \fswiss\fcharset162\fprq2 Arial Tur;}{\f59\fbidi \fswiss\fcharset177\fprq2 Arial (Hebrew);}{\f60\fbidi \fswiss\fcharset178\fprq2 Arial (Arabic);}_x000d__x000a_{\f61\fbidi \fswiss\fcharset186\fprq2 Arial Baltic;}{\f62\fbidi \fswiss\fcharset163\fprq2 Arial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3\fbidi \fswiss\fcharset177\fprq2 Calibri Light (Hebrew);}{\fhimajor\f31534\fbidi \fswiss\fcharset178\fprq2 Calibri Light (Arabic);}{\fhimajor\f31535\fbidi \fswiss\fcharset186\fprq2 Calibri Light Baltic;}_x000d__x000a_{\fhimajor\f31536\fbidi \fswiss\fcharset163\fprq2 Calibri Light (Vietnamese);}{\fbimajor\f31547\fbidi \fswiss\fcharset222\fprq2 DokChampa (Thai){\*\falt Leelawadee UI}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3188753 HideTWBExt;}{\*\cs18 \additive \v\f1\fs20\cf15 _x000d__x000a_\spriority0 \styrsid13188753 HideTWBInt;}{\s19\ql \li0\ri0\sa120\nowidctlpar\wrapdefault\aspalpha\aspnum\faauto\adjustright\rin0\lin0\itap0 \rtlch\fcs1 \af0\afs20\alang1025 \ltrch\fcs0 \fs24\lang2057\langfe2057\cgrid\langnp2057\langfenp2057 _x000d__x000a_\sbasedon0 \snext19 \spriority0 \styrsid13188753 Normal6a;}{\s20\ql \li0\ri0\nowidctlpar\wrapdefault\aspalpha\aspnum\faauto\adjustright\rin0\lin0\itap0 \rtlch\fcs1 \af0\afs20\alang1025 \ltrch\fcs0 \b\fs24\lang2057\langfe2057\cgrid\langnp2057\langfenp2057 _x000d__x000a_\sbasedon0 \snext20 \spriority0 \styrsid13188753 NormalBold;}{\s21\qr \li0\ri0\sb240\sa240\nowidctlpar\wrapdefault\aspalpha\aspnum\faauto\adjustright\rin0\lin0\itap0 \rtlch\fcs1 \af0\afs20\alang1025 \ltrch\fcs0 _x000d__x000a_\fs24\lang2057\langfe2057\cgrid\langnp2057\langfenp2057 \sbasedon0 \snext21 \spriority0 \styrsid13188753 AmOrLang;}{\s22\qc \li0\ri0\sa240\nowidctlpar\wrapdefault\aspalpha\aspnum\faauto\adjustright\rin0\lin0\itap0 \rtlch\fcs1 \af0\afs20\alang1025 _x000d__x000a_\ltrch\fcs0 \i\fs24\lang2057\langfe2057\cgrid\langnp2057\langfenp2057 \sbasedon0 \snext22 \spriority0 \styrsid13188753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3188753 AmNumberTabs;}}{\*\rsidtbl \rsid24658\rsid223860\rsid735077\rsid1718133\rsid2892074\rsid3565327\rsid4666813\rsid6641733\rsid7823322_x000d__x000a_\rsid9636012\rsid10369668\rsid10377208\rsid11215221\rsid11549030\rsid12154954\rsid13188753\rsid14382809\rsid14424199\rsid15204470\rsid15285974\rsid15950462\rsid16324206\rsid16662270}{\mmathPr\mmathFont34\mbrkBin0\mbrkBinSub0\msmallFrac0\mdispDef1_x000d__x000a_\mlMargin0\mrMargin0\mdefJc1\mwrapIndent1440\mintLim0\mnaryLim1}{\info{\author NOTARIDOU Aikaterini}{\operator Aikaterini NOTARIDOU}{\creatim\yr2025\mo5\dy20\hr11\min38}{\revtim\yr2025\mo5\dy20\hr11\min38}{\version1}{\edmins0}{\nofpages1}{\nofwords70}_x000d__x000a_{\nofchars404}{\nofcharsws473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3188753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NOTAR~1.EP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036966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36966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36966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36966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3188753 \rtlch\fcs1 _x000d__x000a_\af0\afs20\alang1025 \ltrch\fcs0 \b\fs24\lang2057\langfe2057\cgrid\langnp2057\langfenp2057 {\rtlch\fcs1 \af0 \ltrch\fcs0 \cs17\b0\v\fs20\cf9\lang1024\langfe1024\loch\af1\hich\af1\dbch\af31501\noproof\insrsid13188753\charrsid15009709 {\*\bkmkstart restartA_x000d__x000a_}\hich\af1\dbch\af31501\loch\f1 &lt;AmendA&gt;}{\rtlch\fcs1 \af0 \ltrch\fcs0 \insrsid13188753\charrsid15009709 Amendment\tab \tab }{\rtlch\fcs1 \af0 \ltrch\fcs0 _x000d__x000a_\cs17\b0\v\fs20\cf9\lang1024\langfe1024\loch\af1\hich\af1\dbch\af31501\noproof\insrsid13188753\charrsid15009709 \hich\af1\dbch\af31501\loch\f1 &lt;NumAmA&gt;}{\rtlch\fcs1 \af0 \ltrch\fcs0 \insrsid13188753\charrsid15009709 #}{\rtlch\fcs1 \af1 \ltrch\fcs0 _x000d__x000a_\cs18\v\f1\fs20\cf15\insrsid13188753\charrsid15009709 ENMIENDA@NRAM@}{\rtlch\fcs1 \af0 \ltrch\fcs0 \insrsid13188753\charrsid15009709 #}{\rtlch\fcs1 \af0 \ltrch\fcs0 _x000d__x000a_\cs17\b0\v\fs20\cf9\lang1024\langfe1024\loch\af1\hich\af1\dbch\af31501\noproof\insrsid13188753\charrsid15009709 \hich\af1\dbch\af31501\loch\f1 &lt;/NumAmA&gt;}{\rtlch\fcs1 \af0 \ltrch\fcs0 \insrsid13188753\charrsid15009709 _x000d__x000a_\par }\pard\plain \ltrpar\s20\ql \li0\ri0\nowidctlpar\wrapdefault\aspalpha\aspnum\faauto\adjustright\rin0\lin0\itap0\pararsid13188753 \rtlch\fcs1 \af0\afs20\alang1025 \ltrch\fcs0 \b\fs24\lang2057\langfe2057\cgrid\langnp2057\langfenp2057 {\rtlch\fcs1 \af0 _x000d__x000a_\ltrch\fcs0 \cs17\b0\v\fs20\cf9\lang1024\langfe1024\loch\af1\hich\af1\dbch\af31501\noproof\insrsid13188753\charrsid15009709 \hich\af1\dbch\af31501\loch\f1 &lt;RepeatBlock-By&gt;}{\rtlch\fcs1 \af0 \ltrch\fcs0 \insrsid13188753\charrsid15009709 #}{\rtlch\fcs1 _x000d__x000a_\af1 \ltrch\fcs0 \cs18\v\f1\fs20\cf15\insrsid13188753\charrsid15009709 (MOD@InsideLoop()}{\rtlch\fcs1 \af0 \ltrch\fcs0 \insrsid13188753\charrsid15009709 ##}{\rtlch\fcs1 \af1 \ltrch\fcs0 \cs18\v\f1\fs20\cf15\insrsid13188753\charrsid15009709 _x000d__x000a_&gt;&gt;&gt;@[ZMEMBERSMSG]@}{\rtlch\fcs1 \af0 \ltrch\fcs0 \insrsid13188753\charrsid15009709 #}{\rtlch\fcs1 \af0 \ltrch\fcs0 \cs17\b0\v\fs20\cf9\lang1024\langfe1024\loch\af1\hich\af1\dbch\af31501\noproof\insrsid13188753\charrsid15009709 _x000d__x000a_\hich\af1\dbch\af31501\loch\f1 &lt;Members&gt;}{\rtlch\fcs1 \af0 \ltrch\fcs0 \insrsid13188753\charrsid15009709 #}{\rtlch\fcs1 \af1 \ltrch\fcs0 \cs18\v\f1\fs20\cf15\insrsid13188753\charrsid15009709 (MOD@InsideLoop(\'a7)}{\rtlch\fcs1 \af0 \ltrch\fcs0 _x000d__x000a_\insrsid13188753\charrsid15009709 #}{\rtlch\fcs1 \af0 \ltrch\fcs0 \cf10\insrsid13188753\charrsid15009709 \u9668\'3f}{\rtlch\fcs1 \af0 \ltrch\fcs0 \insrsid13188753\charrsid15009709 #}{\rtlch\fcs1 \af1 \ltrch\fcs0 _x000d__x000a_\cs18\v\f1\fs20\cf15\insrsid13188753\charrsid15009709 TVTMEMBERS\'a7@MEMBERS@}{\rtlch\fcs1 \af0 \ltrch\fcs0 \insrsid13188753\charrsid15009709 #}{\rtlch\fcs1 \af0 \ltrch\fcs0 \cf10\insrsid13188753\charrsid15009709 \u9658\'3f}{\rtlch\fcs1 \af0 \ltrch\fcs0 _x000d__x000a_\cs17\b0\v\fs20\cf9\lang1024\langfe1024\loch\af1\hich\af1\dbch\af31501\noproof\insrsid13188753\charrsid15009709 \hich\af1\dbch\af31501\loch\f1 &lt;/Members&gt;}{\rtlch\fcs1 \af0 \ltrch\fcs0 \insrsid13188753\charrsid15009709 _x000d__x000a_\par }\pard\plain \ltrpar\ql \li0\ri0\widctlpar\wrapdefault\aspalpha\aspnum\faauto\adjustright\rin0\lin0\itap0\pararsid13188753 \rtlch\fcs1 \af0\afs20\alang1025 \ltrch\fcs0 \fs24\lang2057\langfe2057\cgrid\langnp2057\langfenp2057 {\rtlch\fcs1 \af0 \ltrch\fcs0 _x000d__x000a_\cs17\v\fs20\cf9\lang1024\langfe1024\loch\af1\hich\af1\dbch\af31501\noproof\insrsid13188753\charrsid15009709 \hich\af1\dbch\af31501\loch\f1 &lt;AuNomDe&gt;&lt;OptDel&gt;}{\rtlch\fcs1 \af0 \ltrch\fcs0 \insrsid13188753\charrsid15009709 #}{\rtlch\fcs1 \af1 \ltrch\fcs0 _x000d__x000a_\cs18\v\f1\fs20\cf15\insrsid13188753\charrsid15009709 MNU[ONBEHALFYES][NOTAPP]@CHOICE@}{\rtlch\fcs1 \af0 \ltrch\fcs0 \insrsid13188753\charrsid15009709 #}{\rtlch\fcs1 \af0 \ltrch\fcs0 _x000d__x000a_\cs17\v\fs20\cf9\lang1024\langfe1024\loch\af1\hich\af1\dbch\af31501\noproof\insrsid13188753\charrsid15009709 \hich\af1\dbch\af31501\loch\f1 &lt;/OptDel&gt;&lt;/AuNomDe&gt;}{\rtlch\fcs1 \af0 \ltrch\fcs0 \insrsid13188753\charrsid15009709 _x000d__x000a_\par &lt;&lt;&lt;}{\rtlch\fcs1 \af0 \ltrch\fcs0 \cs17\v\fs20\cf9\lang1024\langfe1024\loch\af1\hich\af1\dbch\af31501\noproof\insrsid13188753\charrsid15009709 \hich\af1\dbch\af31501\loch\f1 &lt;/RepeatBlock-By&gt;}{\rtlch\fcs1 \af0 \ltrch\fcs0 _x000d__x000a_\insrsid13188753\charrsid15009709 _x000d__x000a_\par }\pard\plain \ltrpar\s20\ql \li0\ri0\nowidctlpar\wrapdefault\aspalpha\aspnum\faauto\adjustright\rin0\lin0\itap0\pararsid13188753 \rtlch\fcs1 \af0\afs20\alang1025 \ltrch\fcs0 \b\fs24\lang2057\langfe2057\cgrid\langnp2057\langfenp2057 {\rtlch\fcs1 \af0 _x000d__x000a_\ltrch\fcs0 \cs17\b0\v\fs20\cf9\lang1024\langfe1024\loch\af1\hich\af1\dbch\af31501\noproof\insrsid13188753\charrsid15009709 \hich\af1\dbch\af31501\loch\f1 &lt;DocAmend&gt;}{\rtlch\fcs1 \af0 \ltrch\fcs0 \insrsid13188753\charrsid15009709 _x000d__x000a_Draft legislative resolution}{\rtlch\fcs1 \af0 \ltrch\fcs0 \cs17\b0\v\fs20\cf9\lang1024\langfe1024\loch\af1\hich\af1\dbch\af31501\noproof\insrsid13188753\charrsid15009709 \hich\af1\dbch\af31501\loch\f1 &lt;/DocAmend&gt;}{\rtlch\fcs1 \af0 \ltrch\fcs0 _x000d__x000a_\insrsid13188753\charrsid15009709 _x000d__x000a_\par }{\rtlch\fcs1 \af0 \ltrch\fcs0 \cs17\b0\v\fs20\cf9\lang1024\langfe1024\loch\af1\hich\af1\dbch\af31501\noproof\insrsid13188753\charrsid15009709 \hich\af1\dbch\af31501\loch\f1 &lt;Article&gt;}{\rtlch\fcs1 \af0 \ltrch\fcs0 \cf10\insrsid13188753\charrsid15009709 _x000d__x000a_\u9668\'3f}{\rtlch\fcs1 \af0 \ltrch\fcs0 \insrsid13188753\charrsid15009709 #}{\rtlch\fcs1 \af1 \ltrch\fcs0 \cs18\v\f1\fs20\cf15\insrsid13188753\charrsid15009709 TVTRESPART@RESPART@}{\rtlch\fcs1 \af0 \ltrch\fcs0 \insrsid13188753\charrsid15009709 #}{_x000d__x000a_\rtlch\fcs1 \af0 \ltrch\fcs0 \cf10\insrsid13188753\charrsid15009709 \u9658\'3f}{\rtlch\fcs1 \af0 \ltrch\fcs0 \cs17\b0\v\fs20\cf9\lang1024\langfe1024\loch\af1\hich\af1\dbch\af31501\noproof\insrsid13188753\charrsid15009709 \hich\af1\dbch\af31501\loch\f1 _x000d__x000a_&lt;/Article&gt;}{\rtlch\fcs1 \af0 \ltrch\fcs0 \insrsid13188753\charrsid15009709 _x000d__x000a_\par \ltrrow}\trowd \irow0\irowband0\ltrrow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3188753\charrsid15009709 \cell }\pard\plain \ltrpar\ql \li0\ri0\widctlpar\intbl\wrapdefault\aspalpha\aspnum\faauto\adjustright\rin0\lin0 \rtlch\fcs1 _x000d__x000a_\af0\afs20\alang1025 \ltrch\fcs0 \fs24\lang2057\langfe2057\cgrid\langnp2057\langfenp2057 {\rtlch\fcs1 \af0 \ltrch\fcs0 \insrsid13188753\charrsid15009709 \trowd \irow0\irowband0\ltrrow_x000d__x000a_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1\trftsWidthB3\trpaddl340\trpaddr340\trpaddfl3\trpaddft3\trpaddfb3\trpaddfr3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pard\plain \ltrpar\s22\qc \li0\ri0\sa240\keepn\nowidctlpar\intbl\wrapdefault\aspalpha\aspnum\faauto\adjustright\rin0\lin0\pararsid10630121 \rtlch\fcs1 \af0\afs20\alang1025 \ltrch\fcs0 \i\fs24\lang2057\langfe2057\cgrid\langnp2057\langfenp2057 {_x000d__x000a_\rtlch\fcs1 \af0 \ltrch\fcs0 \insrsid13188753\charrsid15009709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13188753\charrsid15009709 \trowd \irow1\irowband1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3188753\charrsid15009709 ##\cell ##}{\rtlch\fcs1 \af0\afs24 \ltrch\fcs0 \insrsid13188753\charrsid15009709 \cell }\pard\plain \ltrpar\ql \li0\ri0\widctlpar\intbl\wrapdefault\aspalpha\aspnum\faauto\adjustright\rin0\lin0 \rtlch\fcs1 _x000d__x000a_\af0\afs20\alang1025 \ltrch\fcs0 \fs24\lang2057\langfe2057\cgrid\langnp2057\langfenp2057 {\rtlch\fcs1 \af0 \ltrch\fcs0 \insrsid13188753\charrsid15009709 \trowd \irow2\irowband2\lastrow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13188753 \rtlch\fcs1 \af0\afs20\alang1025 \ltrch\fcs0 \fs24\lang2057\langfe2057\cgrid\langnp2057\langfenp2057 {\rtlch\fcs1 \af0 \ltrch\fcs0 _x000d__x000a_\insrsid13188753\charrsid15009709 Or. }{\rtlch\fcs1 \af0 \ltrch\fcs0 \cs17\v\fs20\cf9\lang1024\langfe1024\loch\af1\hich\af1\dbch\af31501\noproof\insrsid13188753\charrsid15009709 \hich\af1\dbch\af31501\loch\f1 &lt;Original&gt;}{\rtlch\fcs1 \af0 \ltrch\fcs0 _x000d__x000a_\insrsid13188753\charrsid15009709 #}{\rtlch\fcs1 \af1 \ltrch\fcs0 \cs18\v\f1\fs20\cf15\insrsid13188753\charrsid15009709 KEY(MAIN/LANGMIN)sh@ORLANGMSG@}{\rtlch\fcs1 \af0 \ltrch\fcs0 \insrsid13188753\charrsid15009709 #}{\rtlch\fcs1 \af0 \ltrch\fcs0 _x000d__x000a_\cs17\v\fs20\cf9\lang1024\langfe1024\loch\af1\hich\af1\dbch\af31501\noproof\insrsid13188753\charrsid15009709 \hich\af1\dbch\af31501\loch\f1 &lt;/Original&gt;}{\rtlch\fcs1 \af0 \ltrch\fcs0 \insrsid13188753\charrsid15009709 _x000d__x000a_\par }\pard\plain \ltrpar\ql \li0\ri0\widctlpar\wrapdefault\aspalpha\aspnum\faauto\adjustright\rin0\lin0\itap0\pararsid13188753 \rtlch\fcs1 \af0\afs20\alang1025 \ltrch\fcs0 \fs24\lang2057\langfe2057\cgrid\langnp2057\langfenp2057 {\rtlch\fcs1 \af0 \ltrch\fcs0 _x000d__x000a_\cs17\v\fs20\cf9\lang1024\langfe1024\loch\af1\hich\af1\dbch\af31501\noproof\insrsid13188753\charrsid15009709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7a_x000d__x000a_aff06a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1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44\fbidi \froman\fcharset238\fprq2 Times New Roman CE;}{\f45\fbidi \froman\fcharset204\fprq2 Times New Roman Cyr;}_x000d__x000a_{\f47\fbidi \froman\fcharset161\fprq2 Times New Roman Greek;}{\f48\fbidi \froman\fcharset162\fprq2 Times New Roman Tur;}{\f49\fbidi \froman\fcharset177\fprq2 Times New Roman (Hebrew);}{\f50\fbidi \froman\fcharset178\fprq2 Times New Roman (Arabic);}_x000d__x000a_{\f51\fbidi \froman\fcharset186\fprq2 Times New Roman Baltic;}{\f52\fbidi \froman\fcharset163\fprq2 Times New Roman (Vietnamese);}{\f54\fbidi \fswiss\fcharset238\fprq2 Arial CE;}{\f55\fbidi \fswiss\fcharset204\fprq2 Arial Cyr;}_x000d__x000a_{\f57\fbidi \fswiss\fcharset161\fprq2 Arial Greek;}{\f58\fbidi \fswiss\fcharset162\fprq2 Arial Tur;}{\f59\fbidi \fswiss\fcharset177\fprq2 Arial (Hebrew);}{\f60\fbidi \fswiss\fcharset178\fprq2 Arial (Arabic);}_x000d__x000a_{\f61\fbidi \fswiss\fcharset186\fprq2 Arial Baltic;}{\f62\fbidi \fswiss\fcharset163\fprq2 Arial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3\fbidi \fswiss\fcharset177\fprq2 Calibri Light (Hebrew);}{\fhimajor\f31534\fbidi \fswiss\fcharset178\fprq2 Calibri Light (Arabic);}{\fhimajor\f31535\fbidi \fswiss\fcharset186\fprq2 Calibri Light Baltic;}_x000d__x000a_{\fhimajor\f31536\fbidi \fswiss\fcharset163\fprq2 Calibri Light (Vietnamese);}{\fbimajor\f31547\fbidi \fswiss\fcharset222\fprq2 DokChampa (Thai){\*\falt Leelawadee UI}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990073 HideTWBExt;}{\*\cs18 \additive \v\f1\fs20\cf15 _x000d__x000a_\spriority0 \styrsid990073 HideTWBInt;}{\s19\ql \li0\ri0\sa120\nowidctlpar\wrapdefault\aspalpha\aspnum\faauto\adjustright\rin0\lin0\itap0 \rtlch\fcs1 \af0\afs20\alang1025 \ltrch\fcs0 \fs24\lang2057\langfe2057\cgrid\langnp2057\langfenp2057 _x000d__x000a_\sbasedon0 \snext19 \spriority0 \styrsid990073 Normal6a;}{\s20\ql \li0\ri0\nowidctlpar\wrapdefault\aspalpha\aspnum\faauto\adjustright\rin0\lin0\itap0 \rtlch\fcs1 \af0\afs20\alang1025 \ltrch\fcs0 \b\fs24\lang2057\langfe2057\cgrid\langnp2057\langfenp2057 _x000d__x000a_\sbasedon0 \snext20 \spriority0 \styrsid990073 NormalBold;}{\s21\ql \li0\ri0\sa240\nowidctlpar\wrapdefault\aspalpha\aspnum\faauto\adjustright\rin0\lin0\itap0 \rtlch\fcs1 \af0\afs20\alang1025 \ltrch\fcs0 _x000d__x000a_\i\fs24\lang2057\langfe2057\cgrid\langnp2057\langfenp2057 \sbasedon0 \snext21 \spriority0 \styrsid990073 AmJustText;}{\s22\qc \li0\ri0\sb240\sa240\nowidctlpar\wrapdefault\aspalpha\aspnum\faauto\adjustright\rin0\lin0\itap0 \rtlch\fcs1 \af0\afs20\alang1025 _x000d__x000a_\ltrch\fcs0 \i\fs24\lang2057\langfe2057\cgrid\langnp2057\langfenp2057 \sbasedon0 \snext22 \spriority0 \styrsid990073 AmCrossRef;}{\s23\qc \li0\ri0\sb240\sa240\keepn\nowidctlpar\wrapdefault\aspalpha\aspnum\faauto\adjustright\rin0\lin0\itap0 \rtlch\fcs1 _x000d__x000a_\af0\afs20\alang1025 \ltrch\fcs0 \i\fs24\lang2057\langfe2057\cgrid\langnp2057\langfenp2057 \sbasedon0 \snext21 \spriority0 \styrsid990073 AmJustTitle;}{_x000d__x000a_\s24\qr \li0\ri0\sb240\sa240\nowidctlpar\wrapdefault\aspalpha\aspnum\faauto\adjustright\rin0\lin0\itap0 \rtlch\fcs1 \af0\afs20\alang1025 \ltrch\fcs0 \fs24\lang2057\langfe2057\cgrid\langnp2057\langfenp2057 \sbasedon0 \snext24 \spriority0 \styrsid990073 _x000d__x000a_AmOrLang;}{\s25\qc \li0\ri0\sa240\nowidctlpar\wrapdefault\aspalpha\aspnum\faauto\adjustright\rin0\lin0\itap0 \rtlch\fcs1 \af0\afs20\alang1025 \ltrch\fcs0 \i\fs24\lang2057\langfe2057\cgrid\langnp2057\langfenp2057 _x000d__x000a_\sbasedon0 \snext25 \spriority0 \styrsid990073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990073 AmNumberTabs;}}{\*\rsidtbl \rsid24658\rsid223860\rsid735077\rsid990073\rsid1718133\rsid2892074\rsid3565327\rsid4666813\rsid6641733_x000d__x000a_\rsid7823322\rsid9182298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NOTARIDOU Aikaterini}{\operator Aikaterini NOTARIDOU}{\creatim\yr2025\mo5\dy20\hr11\min38}{\revtim\yr2025\mo5\dy20\hr11\min38}{\version1}{\edmins0}{\nofpages1}{\nofwords131}_x000d__x000a_{\nofchars748}{\nofcharsws878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990073\newtblstyruls\nogrowautofit\usenormstyforlist\noindnmbrts\felnbrelev\nocxsptable\indrlsweleven\noafcnsttbl\afelev\utinl\hwelev\spltpgpar\notcvasp\notbrkcnstfrctbl\notvatxbx\krnprsnet\cachedcolbal \nouicompat \fet0_x000d__x000a_{\*\wgrffmtfilter 013f}\nofeaturethrottle1\ilfomacatclnup0{\*\template C:\\Users\\ANOTAR~1.EP\\AppData\\Local\\Temp\\Blank1.dotx}{\*\ftnsep \ltrpar \pard\plain \ltrpar\ql \li0\ri0\widctlpar\wrapdefault\aspalpha\aspnum\faauto\adjustright\rin0\lin0\itap0 _x000d__x000a_\rtlch\fcs1 \af0\afs20\alang1025 \ltrch\fcs0 \fs24\lang2057\langfe2057\cgrid\langnp2057\langfenp2057 {\rtlch\fcs1 \af0 \ltrch\fcs0 \insrsid918229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18229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18229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18229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990073 \rtlch\fcs1 _x000d__x000a_\af0\afs20\alang1025 \ltrch\fcs0 \b\fs24\lang2057\langfe2057\cgrid\langnp2057\langfenp2057 {\rtlch\fcs1 \af0 \ltrch\fcs0 \cs17\b0\v\fs20\cf9\lang1024\langfe1024\loch\af1\hich\af1\dbch\af31501\noproof\insrsid990073\charrsid15009709 {\*\bkmkstart restartB}_x000d__x000a_\hich\af1\dbch\af31501\loch\f1 &lt;AmendB&gt;}{\rtlch\fcs1 \af0 \ltrch\fcs0 \insrsid990073\charrsid15009709 Amendment\tab \tab }{\rtlch\fcs1 \af0 \ltrch\fcs0 _x000d__x000a_\cs17\b0\v\fs20\cf9\lang1024\langfe1024\loch\af1\hich\af1\dbch\af31501\noproof\insrsid990073\charrsid15009709 \hich\af1\dbch\af31501\loch\f1 &lt;NumAmB&gt;}{\rtlch\fcs1 \af0 \ltrch\fcs0 \insrsid990073\charrsid15009709 #}{\rtlch\fcs1 \af1 \ltrch\fcs0 _x000d__x000a_\cs18\v\f1\fs20\cf15\insrsid990073\charrsid15009709 ENMIENDA@NRAM@}{\rtlch\fcs1 \af0 \ltrch\fcs0 \insrsid990073\charrsid15009709 #}{\rtlch\fcs1 \af0 \ltrch\fcs0 _x000d__x000a_\cs17\b0\v\fs20\cf9\lang1024\langfe1024\loch\af1\hich\af1\dbch\af31501\noproof\insrsid990073\charrsid15009709 \hich\af1\dbch\af31501\loch\f1 &lt;/NumAmB&gt;}{\rtlch\fcs1 \af0 \ltrch\fcs0 \insrsid990073\charrsid15009709 _x000d__x000a_\par }\pard\plain \ltrpar\s20\ql \li0\ri0\nowidctlpar\wrapdefault\aspalpha\aspnum\faauto\adjustright\rin0\lin0\itap0\pararsid990073 \rtlch\fcs1 \af0\afs20\alang1025 \ltrch\fcs0 \b\fs24\lang2057\langfe2057\cgrid\langnp2057\langfenp2057 {\rtlch\fcs1 \af0 _x000d__x000a_\ltrch\fcs0 \cs17\b0\v\fs20\cf9\lang1024\langfe1024\loch\af1\hich\af1\dbch\af31501\noproof\insrsid990073\charrsid15009709 \hich\af1\dbch\af31501\loch\f1 &lt;RepeatBlock-By&gt;}{\rtlch\fcs1 \af0 \ltrch\fcs0 \insrsid990073\charrsid15009709 #}{\rtlch\fcs1 \af1 _x000d__x000a_\ltrch\fcs0 \cs18\v\f1\fs20\cf15\insrsid990073\charrsid15009709 (MOD@InsideLoop()}{\rtlch\fcs1 \af0 \ltrch\fcs0 \insrsid990073\charrsid15009709 ##}{\rtlch\fcs1 \af1 \ltrch\fcs0 \cs18\v\f1\fs20\cf15\insrsid990073\charrsid15009709 &gt;&gt;&gt;@[ZMEMBERSMSG]@}{_x000d__x000a_\rtlch\fcs1 \af0 \ltrch\fcs0 \insrsid990073\charrsid15009709 #}{\rtlch\fcs1 \af0 \ltrch\fcs0 \cs17\b0\v\fs20\cf9\lang1024\langfe1024\loch\af1\hich\af1\dbch\af31501\noproof\insrsid990073\charrsid15009709 \hich\af1\dbch\af31501\loch\f1 &lt;Members&gt;}{_x000d__x000a_\rtlch\fcs1 \af0 \ltrch\fcs0 \insrsid990073\charrsid15009709 #}{\rtlch\fcs1 \af1 \ltrch\fcs0 \cs18\v\f1\fs20\cf15\insrsid990073\charrsid15009709 (MOD@InsideLoop(\'a7)}{\rtlch\fcs1 \af0 \ltrch\fcs0 \insrsid990073\charrsid15009709 #}{\rtlch\fcs1 \af0 _x000d__x000a_\ltrch\fcs0 \cf10\insrsid990073\charrsid15009709 \u9668\'3f}{\rtlch\fcs1 \af0 \ltrch\fcs0 \insrsid990073\charrsid15009709 #}{\rtlch\fcs1 \af1 \ltrch\fcs0 \cs18\v\f1\fs20\cf15\insrsid990073\charrsid15009709 TVTMEMBERS\'a7@MEMBERS@}{\rtlch\fcs1 \af0 _x000d__x000a_\ltrch\fcs0 \insrsid990073\charrsid15009709 #}{\rtlch\fcs1 \af0 \ltrch\fcs0 \cf10\insrsid990073\charrsid15009709 \u9658\'3f}{\rtlch\fcs1 \af0 \ltrch\fcs0 _x000d__x000a_\cs17\b0\v\fs20\cf9\lang1024\langfe1024\loch\af1\hich\af1\dbch\af31501\noproof\insrsid990073\charrsid15009709 \hich\af1\dbch\af31501\loch\f1 &lt;/Members&gt;}{\rtlch\fcs1 \af0 \ltrch\fcs0 \insrsid990073\charrsid15009709 _x000d__x000a_\par }\pard\plain \ltrpar\ql \li0\ri0\widctlpar\wrapdefault\aspalpha\aspnum\faauto\adjustright\rin0\lin0\itap0\pararsid990073 \rtlch\fcs1 \af0\afs20\alang1025 \ltrch\fcs0 \fs24\lang2057\langfe2057\cgrid\langnp2057\langfenp2057 {\rtlch\fcs1 \af0 \ltrch\fcs0 _x000d__x000a_\cs17\v\fs20\cf9\lang1024\langfe1024\loch\af1\hich\af1\dbch\af31501\noproof\insrsid990073\charrsid15009709 \hich\af1\dbch\af31501\loch\f1 &lt;AuNomDe&gt;&lt;OptDel&gt;}{\rtlch\fcs1 \af0 \ltrch\fcs0 \insrsid990073\charrsid15009709 #}{\rtlch\fcs1 \af1 \ltrch\fcs0 _x000d__x000a_\cs18\v\f1\fs20\cf15\insrsid990073\charrsid15009709 MNU[ONBEHALFYES][NOTAPP]@CHOICE@}{\rtlch\fcs1 \af0 \ltrch\fcs0 \insrsid990073\charrsid15009709 #}{\rtlch\fcs1 \af0 \ltrch\fcs0 _x000d__x000a_\cs17\v\fs20\cf9\lang1024\langfe1024\loch\af1\hich\af1\dbch\af31501\noproof\insrsid990073\charrsid15009709 \hich\af1\dbch\af31501\loch\f1 &lt;/OptDel&gt;&lt;/AuNomDe&gt;}{\rtlch\fcs1 \af0 \ltrch\fcs0 \insrsid990073\charrsid15009709 _x000d__x000a_\par &lt;&lt;&lt;}{\rtlch\fcs1 \af0 \ltrch\fcs0 \cs17\v\fs20\cf9\lang1024\langfe1024\loch\af1\hich\af1\dbch\af31501\noproof\insrsid990073\charrsid15009709 \hich\af1\dbch\af31501\loch\f1 &lt;/RepeatBlock-By&gt;}{\rtlch\fcs1 \af0 \ltrch\fcs0 \insrsid990073\charrsid15009709 _x000d__x000a__x000d__x000a_\par }\pard\plain \ltrpar\s20\ql \li0\ri0\nowidctlpar\wrapdefault\aspalpha\aspnum\faauto\adjustright\rin0\lin0\itap0\pararsid990073 \rtlch\fcs1 \af0\afs20\alang1025 \ltrch\fcs0 \b\fs24\lang2057\langfe2057\cgrid\langnp2057\langfenp2057 {\rtlch\fcs1 \af0 _x000d__x000a_\ltrch\fcs0 \cs17\b0\v\fs20\cf9\lang1024\langfe1024\loch\af1\hich\af1\dbch\af31501\noproof\insrsid990073\charrsid15009709 \hich\af1\dbch\af31501\loch\f1 &lt;DocAmend&gt;}{\rtlch\fcs1 \af0 \ltrch\fcs0 \insrsid990073\charrsid15009709 #}{\rtlch\fcs1 \af1 _x000d__x000a_\ltrch\fcs0 \cs18\v\f1\fs20\cf15\insrsid990073\charrsid15009709 MNU[OPTPROPOSALCOD][OPTPROPOSALCNS][OPTPROPOSALNLE]@CHOICE@CODEMNU}{\rtlch\fcs1 \af0 \ltrch\fcs0 \insrsid990073\charrsid15009709 #}{\rtlch\fcs1 \af0 \ltrch\fcs0 _x000d__x000a_\cs17\b0\v\fs20\cf9\lang1024\langfe1024\loch\af1\hich\af1\dbch\af31501\noproof\insrsid990073\charrsid15009709 \hich\af1\dbch\af31501\loch\f1 &lt;/DocAmend&gt;}{\rtlch\fcs1 \af0 \ltrch\fcs0 \insrsid990073\charrsid15009709 _x000d__x000a_\par }\pard \ltrpar\s20\ql \li0\ri0\keepn\nowidctlpar\wrapdefault\aspalpha\aspnum\faauto\adjustright\rin0\lin0\itap0\pararsid990073 {\rtlch\fcs1 \af0 \ltrch\fcs0 _x000d__x000a_\cs17\b0\v\fs20\cf9\lang1024\langfe1024\loch\af1\hich\af1\dbch\af31501\noproof\insrsid990073\charrsid15009709 \hich\af1\dbch\af31501\loch\f1 &lt;Article&gt;}{\rtlch\fcs1 \af0 \ltrch\fcs0 \insrsid990073\charrsid15009709 #}{\rtlch\fcs1 \af1 \ltrch\fcs0 _x000d__x000a_\cs18\v\f1\fs20\cf15\insrsid990073\charrsid15009709 MNU[AMACTPARTYES][AMACTPARTNO]@CHOICE@AMACTMNU}{\rtlch\fcs1 \af0 \ltrch\fcs0 \insrsid990073\charrsid15009709 #}{\rtlch\fcs1 \af0 \ltrch\fcs0 _x000d__x000a_\cs17\b0\v\fs20\cf9\lang1024\langfe1024\loch\af1\hich\af1\dbch\af31501\noproof\insrsid990073\charrsid15009709 \hich\af1\dbch\af31501\loch\f1 &lt;/Article&gt;}{\rtlch\fcs1 \af0 \ltrch\fcs0 \insrsid990073\charrsid15009709 _x000d__x000a_\par }\pard\plain \ltrpar\ql \li0\ri0\keepn\widctlpar\wrapdefault\aspalpha\aspnum\faauto\adjustright\rin0\lin0\itap0\pararsid990073 \rtlch\fcs1 \af0\afs20\alang1025 \ltrch\fcs0 \fs24\lang2057\langfe2057\cgrid\langnp2057\langfenp2057 {\rtlch\fcs1 \af0 _x000d__x000a_\ltrch\fcs0 \cs17\v\fs20\cf9\lang1024\langfe1024\loch\af1\hich\af1\dbch\af31501\noproof\insrsid990073\charrsid15009709 \hich\af1\dbch\af31501\loch\f1 &lt;DocAmend2&gt;&lt;OptDel&gt;}{\rtlch\fcs1 \af0 \ltrch\fcs0 \insrsid990073\charrsid15009709 #}{\rtlch\fcs1 \af1 _x000d__x000a_\ltrch\fcs0 \cs18\v\f1\fs20\cf15\insrsid990073\charrsid15009709 MNU[OPTNRACTYES][NOTAPP]@CHOICE@AMACTMNU}{\rtlch\fcs1 \af0 \ltrch\fcs0 \insrsid990073\charrsid15009709 #}{\rtlch\fcs1 \af0 \ltrch\fcs0 _x000d__x000a_\cs17\v\fs20\cf9\lang1024\langfe1024\loch\af1\hich\af1\dbch\af31501\noproof\insrsid990073\charrsid15009709 \hich\af1\dbch\af31501\loch\f1 &lt;/OptDel&gt;&lt;/DocAmend2&gt;}{\rtlch\fcs1 \af0 \ltrch\fcs0 \insrsid990073\charrsid15009709 _x000d__x000a_\par }\pard \ltrpar\ql \li0\ri0\widctlpar\wrapdefault\aspalpha\aspnum\faauto\adjustright\rin0\lin0\itap0\pararsid990073 {\rtlch\fcs1 \af0 \ltrch\fcs0 \cs17\v\fs20\cf9\lang1024\langfe1024\loch\af1\hich\af1\dbch\af31501\noproof\insrsid990073\charrsid15009709 _x000d__x000a_\hich\af1\dbch\af31501\loch\f1 &lt;Article2&gt;&lt;OptDel&gt;}{\rtlch\fcs1 \af0 \ltrch\fcs0 \insrsid990073\charrsid15009709 #}{\rtlch\fcs1 \af1 \ltrch\fcs0 \cs18\v\f1\fs20\cf15\insrsid990073\charrsid15009709 MNU[OPTACTPARTYES][NOTAPP]@CHOICE@AMACTMNU}{\rtlch\fcs1 _x000d__x000a_\af0 \ltrch\fcs0 \insrsid990073\charrsid15009709 #}{\rtlch\fcs1 \af0 \ltrch\fcs0 \cs17\v\fs20\cf9\lang1024\langfe1024\loch\af1\hich\af1\dbch\af31501\noproof\insrsid990073\charrsid15009709 \hich\af1\dbch\af31501\loch\f1 &lt;/OptDel&gt;&lt;/Article2&gt;}{\rtlch\fcs1 _x000d__x000a_\af0 \ltrch\fcs0 \insrsid990073\charrsid15009709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990073\charrsid15009709 \cell }\pard\plain \ltrpar\ql \li0\ri0\widctlpar\intbl\wrapdefault\aspalpha\aspnum\faauto\adjustright\rin0\lin0 \rtlch\fcs1 _x000d__x000a_\af0\afs20\alang1025 \ltrch\fcs0 \fs24\lang2057\langfe2057\cgrid\langnp2057\langfenp2057 {\rtlch\fcs1 \af0 \ltrch\fcs0 \insrsid990073\charrsid15009709 \trowd \irow0\irowband0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990073\charrsid15009709 #}{\rtlch\fcs1 \af1 \ltrch\fcs0 \cs18\v\f1\fs20\cf15\insrsid990073\charrsid15009709 MNU[OPTLEFTAMACT][LEFTPROP]@CHOICE@AMACTMNU}{_x000d__x000a_\rtlch\fcs1 \af0 \ltrch\fcs0 \insrsid990073\charrsid15009709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990073\charrsid15009709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990073\charrsid15009709 ##\cell ##}{\rtlch\fcs1 \af0\afs24 \ltrch\fcs0 \insrsid990073\charrsid15009709 \cell }\pard\plain \ltrpar\ql \li0\ri0\widctlpar\intbl\wrapdefault\aspalpha\aspnum\faauto\adjustright\rin0\lin0 \rtlch\fcs1 _x000d__x000a_\af0\afs20\alang1025 \ltrch\fcs0 \fs24\lang2057\langfe2057\cgrid\langnp2057\langfenp2057 {\rtlch\fcs1 \af0 \ltrch\fcs0 \insrsid990073\charrsid15009709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990073 \rtlch\fcs1 \af0\afs20\alang1025 \ltrch\fcs0 \fs24\lang2057\langfe2057\cgrid\langnp2057\langfenp2057 {\rtlch\fcs1 \af0 \ltrch\fcs0 _x000d__x000a_\insrsid990073\charrsid15009709 Or. }{\rtlch\fcs1 \af0 \ltrch\fcs0 \cs17\v\fs20\cf9\lang1024\langfe1024\loch\af1\hich\af1\dbch\af31501\noproof\insrsid990073\charrsid15009709 \hich\af1\dbch\af31501\loch\f1 &lt;Original&gt;}{\rtlch\fcs1 \af0 \ltrch\fcs0 _x000d__x000a_\insrsid990073\charrsid15009709 #}{\rtlch\fcs1 \af1 \ltrch\fcs0 \cs18\v\f1\fs20\cf15\insrsid990073\charrsid15009709 KEY(MAIN/LANGMIN)sh@ORLANGMSG@}{\rtlch\fcs1 \af0 \ltrch\fcs0 \insrsid990073\charrsid15009709 #}{\rtlch\fcs1 \af0 \ltrch\fcs0 _x000d__x000a_\cs17\v\fs20\cf9\lang1024\langfe1024\loch\af1\hich\af1\dbch\af31501\noproof\insrsid990073\charrsid15009709 \hich\af1\dbch\af31501\loch\f1 &lt;/Original&gt;}{\rtlch\fcs1 \af0 \ltrch\fcs0 \insrsid990073\charrsid15009709 _x000d__x000a_\par }\pard\plain \ltrpar\s22\qc \li0\ri0\sb240\sa240\nowidctlpar\wrapdefault\aspalpha\aspnum\faauto\adjustright\rin0\lin0\itap0\pararsid990073 \rtlch\fcs1 \af0\afs20\alang1025 \ltrch\fcs0 \i\fs24\lang2057\langfe2057\cgrid\langnp2057\langfenp2057 {\rtlch\fcs1 _x000d__x000a_\af0 \ltrch\fcs0 \cs17\i0\v\fs20\cf9\lang1024\langfe1024\loch\af1\hich\af1\dbch\af31501\noproof\insrsid990073\charrsid15009709 \hich\af1\dbch\af31501\loch\f1 &lt;OptDel&gt;}{\rtlch\fcs1 \af0 \ltrch\fcs0 \insrsid990073\charrsid15009709 #}{\rtlch\fcs1 \af1 _x000d__x000a_\ltrch\fcs0 \cs18\v\f1\fs20\cf15\insrsid990073\charrsid15009709 MNU[CROSSREFNO][CROSSREFYES]@CHOICE@}{\rtlch\fcs1 \af0 \ltrch\fcs0 \insrsid990073\charrsid15009709 #}{\rtlch\fcs1 \af0 \ltrch\fcs0 _x000d__x000a_\cs17\i0\v\fs20\cf9\lang1024\langfe1024\loch\af1\hich\af1\dbch\af31501\noproof\insrsid990073\charrsid15009709 \hich\af1\dbch\af31501\loch\f1 &lt;/OptDel&gt;}{\rtlch\fcs1 \af0 \ltrch\fcs0 \insrsid990073\charrsid15009709 _x000d__x000a_\par }\pard\plain \ltrpar\s23\qc \li0\ri0\sb240\sa240\keepn\nowidctlpar\wrapdefault\aspalpha\aspnum\faauto\adjustright\rin0\lin0\itap0\pararsid990073 \rtlch\fcs1 \af0\afs20\alang1025 \ltrch\fcs0 \i\fs24\lang2057\langfe2057\cgrid\langnp2057\langfenp2057 {_x000d__x000a_\rtlch\fcs1 \af0 \ltrch\fcs0 \cs17\i0\v\fs20\cf9\lang1024\langfe1024\loch\af1\hich\af1\dbch\af31501\noproof\insrsid990073\charrsid15009709 \hich\af1\dbch\af31501\loch\f1 &lt;TitreJust&gt;}{\rtlch\fcs1 \af0 \ltrch\fcs0 \insrsid990073\charrsid15009709 _x000d__x000a_Justification}{\rtlch\fcs1 \af0 \ltrch\fcs0 \cs17\i0\v\fs20\cf9\lang1024\langfe1024\loch\af1\hich\af1\dbch\af31501\noproof\insrsid990073\charrsid15009709 \hich\af1\dbch\af31501\loch\f1 &lt;/TitreJust&gt;}{\rtlch\fcs1 \af0 \ltrch\fcs0 _x000d__x000a_\insrsid990073\charrsid15009709 _x000d__x000a_\par }\pard\plain \ltrpar\s21\ql \li0\ri0\sa240\nowidctlpar\wrapdefault\aspalpha\aspnum\faauto\adjustright\rin0\lin0\itap0\pararsid990073 \rtlch\fcs1 \af0\afs20\alang1025 \ltrch\fcs0 \i\fs24\lang2057\langfe2057\cgrid\langnp2057\langfenp2057 {\rtlch\fcs1 \af0 _x000d__x000a_\ltrch\fcs0 \cs17\i0\v\fs20\cf9\lang1024\langfe1024\loch\af1\hich\af1\dbch\af31501\noproof\insrsid990073\charrsid15009709 \hich\af1\dbch\af31501\loch\f1 &lt;OptDelPrev&gt;}{\rtlch\fcs1 \af0 \ltrch\fcs0 \insrsid990073\charrsid15009709 #}{\rtlch\fcs1 \af1 _x000d__x000a_\ltrch\fcs0 \cs18\v\f1\fs20\cf15\insrsid990073\charrsid15009709 MNU[TEXTJUSTYES][TEXTJUSTNO]@CHOICE@}{\rtlch\fcs1 \af0 \ltrch\fcs0 \insrsid990073\charrsid15009709 #}{\rtlch\fcs1 \af0 \ltrch\fcs0 _x000d__x000a_\cs17\i0\v\fs20\cf9\lang1024\langfe1024\loch\af1\hich\af1\dbch\af31501\noproof\insrsid990073\charrsid15009709 \hich\af1\dbch\af31501\loch\f1 &lt;/OptDelPrev&gt;}{\rtlch\fcs1 \af0 \ltrch\fcs0 \insrsid990073\charrsid15009709 _x000d__x000a_\par }\pard\plain \ltrpar\ql \li0\ri0\widctlpar\wrapdefault\aspalpha\aspnum\faauto\adjustright\rin0\lin0\itap0\pararsid990073 \rtlch\fcs1 \af0\afs20\alang1025 \ltrch\fcs0 \fs24\lang2057\langfe2057\cgrid\langnp2057\langfenp2057 {\rtlch\fcs1 \af0 \ltrch\fcs0 _x000d__x000a_\cs17\v\fs20\cf9\lang1024\langfe1024\loch\af1\hich\af1\dbch\af31501\noproof\insrsid990073\charrsid15009709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7f_x000d__x000a_06f26a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1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44\fbidi \froman\fcharset238\fprq2 Times New Roman CE;}{\f45\fbidi \froman\fcharset204\fprq2 Times New Roman Cyr;}_x000d__x000a_{\f47\fbidi \froman\fcharset161\fprq2 Times New Roman Greek;}{\f48\fbidi \froman\fcharset162\fprq2 Times New Roman Tur;}{\f49\fbidi \froman\fcharset177\fprq2 Times New Roman (Hebrew);}{\f50\fbidi \froman\fcharset178\fprq2 Times New Roman (Arabic);}_x000d__x000a_{\f51\fbidi \froman\fcharset186\fprq2 Times New Roman Baltic;}{\f52\fbidi \froman\fcharset163\fprq2 Times New Roman (Vietnamese);}{\f54\fbidi \fswiss\fcharset238\fprq2 Arial CE;}{\f55\fbidi \fswiss\fcharset204\fprq2 Arial Cyr;}_x000d__x000a_{\f57\fbidi \fswiss\fcharset161\fprq2 Arial Greek;}{\f58\fbidi \fswiss\fcharset162\fprq2 Arial Tur;}{\f59\fbidi \fswiss\fcharset177\fprq2 Arial (Hebrew);}{\f60\fbidi \fswiss\fcharset178\fprq2 Arial (Arabic);}_x000d__x000a_{\f61\fbidi \fswiss\fcharset186\fprq2 Arial Baltic;}{\f62\fbidi \fswiss\fcharset163\fprq2 Arial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3\fbidi \fswiss\fcharset177\fprq2 Calibri Light (Hebrew);}{\fhimajor\f31534\fbidi \fswiss\fcharset178\fprq2 Calibri Light (Arabic);}{\fhimajor\f31535\fbidi \fswiss\fcharset186\fprq2 Calibri Light Baltic;}_x000d__x000a_{\fhimajor\f31536\fbidi \fswiss\fcharset163\fprq2 Calibri Light (Vietnamese);}{\fbimajor\f31547\fbidi \fswiss\fcharset222\fprq2 DokChampa (Thai){\*\falt Leelawadee UI}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5533502 HideTWBExt;}{\*\cs18 \additive \v\f1\fs20\cf15 _x000d__x000a_\spriority0 \styrsid5533502 HideTWBInt;}{\s19\ql \li0\ri0\sa120\nowidctlpar\wrapdefault\aspalpha\aspnum\faauto\adjustright\rin0\lin0\itap0 \rtlch\fcs1 \af0\afs20\alang1025 \ltrch\fcs0 \fs24\lang2057\langfe2057\cgrid\langnp2057\langfenp2057 _x000d__x000a_\sbasedon0 \snext19 \spriority0 \styrsid5533502 Normal6a;}{\s20\ql \li0\ri0\nowidctlpar\wrapdefault\aspalpha\aspnum\faauto\adjustright\rin0\lin0\itap0 \rtlch\fcs1 \af0\afs20\alang1025 \ltrch\fcs0 \b\fs24\lang2057\langfe2057\cgrid\langnp2057\langfenp2057 _x000d__x000a_\sbasedon0 \snext20 \spriority0 \styrsid5533502 NormalBold;}{\s21\ql \li0\ri0\sa240\nowidctlpar\wrapdefault\aspalpha\aspnum\faauto\adjustright\rin0\lin0\itap0 \rtlch\fcs1 \af0\afs20\alang1025 \ltrch\fcs0 _x000d__x000a_\i\fs24\lang2057\langfe2057\cgrid\langnp2057\langfenp2057 \sbasedon0 \snext21 \spriority0 \styrsid5533502 AmJustText;}{\s22\qc \li0\ri0\sb240\sa240\nowidctlpar\wrapdefault\aspalpha\aspnum\faauto\adjustright\rin0\lin0\itap0 \rtlch\fcs1 _x000d__x000a_\af0\afs20\alang1025 \ltrch\fcs0 \i\fs24\lang2057\langfe2057\cgrid\langnp2057\langfenp2057 \sbasedon0 \snext22 \spriority0 \styrsid5533502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5533502 AmJustTitle;}{\s24\qr \li0\ri0\sb240\sa240\nowidctlpar\wrapdefault\aspalpha\aspnum\faauto\adjustright\rin0\lin0\itap0 \rtlch\fcs1 \af0\afs20\alang1025 \ltrch\fcs0 _x000d__x000a_\fs24\lang2057\langfe2057\cgrid\langnp2057\langfenp2057 \sbasedon0 \snext24 \spriority0 \styrsid5533502 AmOrLang;}{\s25\qc \li0\ri0\sa240\nowidctlpar\wrapdefault\aspalpha\aspnum\faauto\adjustright\rin0\lin0\itap0 \rtlch\fcs1 \af0\afs20\alang1025 _x000d__x000a_\ltrch\fcs0 \i\fs24\lang2057\langfe2057\cgrid\langnp2057\langfenp2057 \sbasedon0 \snext25 \spriority0 \styrsid5533502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5533502 AmNumberTabs;}}{\*\rsidtbl \rsid24658\rsid223860\rsid735077\rsid1718133\rsid2892074\rsid3565327\rsid4666813\rsid5533502\rsid6641733_x000d__x000a_\rsid7823322\rsid9636012\rsid10377208\rsid11215221\rsid11549030\rsid12154954\rsid14382809\rsid14424199\rsid15204470\rsid15285974\rsid15735936\rsid15950462\rsid16324206\rsid16662270}{\mmathPr\mmathFont34\mbrkBin0\mbrkBinSub0\msmallFrac0\mdispDef1\mlMargin0_x000d__x000a_\mrMargin0\mdefJc1\mwrapIndent1440\mintLim0\mnaryLim1}{\info{\author NOTARIDOU Aikaterini}{\operator Aikaterini NOTARIDOU}{\creatim\yr2025\mo5\dy20\hr11\min44}{\revtim\yr2025\mo5\dy20\hr11\min44}{\version1}{\edmins0}{\nofpages1}{\nofwords130}_x000d__x000a_{\nofchars745}{\nofcharsws874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5533502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NOTAR~1.EP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573593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73593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73593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73593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5533502 \rtlch\fcs1 _x000d__x000a_\af0\afs20\alang1025 \ltrch\fcs0 \b\fs24\lang2057\langfe2057\cgrid\langnp2057\langfenp2057 {\rtlch\fcs1 \af0 \ltrch\fcs0 \cs17\b0\v\fs20\cf9\lang1024\langfe1024\loch\af1\hich\af1\dbch\af31501\noproof\insrsid5533502\charrsid15009709 {\*\bkmkstart restart}_x000d__x000a_\hich\af1\dbch\af31501\loch\f1 &lt;}{\rtlch\fcs1 \af0 \ltrch\fcs0 \cs17\b0\v\fs20\cf9\lang1024\langfe1024\loch\af1\hich\af1\dbch\af31501\noproof\insrsid5533502 \hich\af1\dbch\af31501\loch\f1 Amend}{\rtlch\fcs1 \af0 \ltrch\fcs0 _x000d__x000a_\cs17\b0\v\fs20\cf9\lang1024\langfe1024\loch\af1\hich\af1\dbch\af31501\noproof\insrsid5533502\charrsid15009709 \hich\af1\dbch\af31501\loch\f1 &gt;}{\rtlch\fcs1 \af0 \ltrch\fcs0 \insrsid5533502\charrsid15009709 Amendment\tab \tab }{\rtlch\fcs1 \af0 _x000d__x000a_\ltrch\fcs0 \cs17\b0\v\fs20\cf9\lang1024\langfe1024\loch\af1\hich\af1\dbch\af31501\noproof\insrsid5533502\charrsid15009709 \hich\af1\dbch\af31501\loch\f1 &lt;}{\rtlch\fcs1 \af0 \ltrch\fcs0 _x000d__x000a_\cs17\b0\v\fs20\cf9\lang1024\langfe1024\loch\af1\hich\af1\dbch\af31501\noproof\insrsid5533502 \hich\af1\dbch\af31501\loch\f1 NumAm&gt;}{\rtlch\fcs1 \af0 \ltrch\fcs0 \insrsid5533502\charrsid15009709 #}{\rtlch\fcs1 \af1 \ltrch\fcs0 _x000d__x000a_\cs18\v\f1\fs20\cf15\insrsid5533502\charrsid15009709 ENMIENDA@NRAM@}{\rtlch\fcs1 \af0 \ltrch\fcs0 \insrsid5533502\charrsid15009709 #}{\rtlch\fcs1 \af0 \ltrch\fcs0 _x000d__x000a_\cs17\b0\v\fs20\cf9\lang1024\langfe1024\loch\af1\hich\af1\dbch\af31501\noproof\insrsid5533502\charrsid15009709 \hich\af1\dbch\af31501\loch\f1 &lt;/}{\rtlch\fcs1 \af0 \ltrch\fcs0 _x000d__x000a_\cs17\b0\v\fs20\cf9\lang1024\langfe1024\loch\af1\hich\af1\dbch\af31501\noproof\insrsid5533502 \hich\af1\dbch\af31501\loch\f1 NumAm&gt;}{\rtlch\fcs1 \af0 \ltrch\fcs0 \insrsid5533502\charrsid15009709 _x000d__x000a_\par }\pard\plain \ltrpar\s20\ql \li0\ri0\nowidctlpar\wrapdefault\aspalpha\aspnum\faauto\adjustright\rin0\lin0\itap0\pararsid5533502 \rtlch\fcs1 \af0\afs20\alang1025 \ltrch\fcs0 \b\fs24\lang2057\langfe2057\cgrid\langnp2057\langfenp2057 {\rtlch\fcs1 \af0 _x000d__x000a_\ltrch\fcs0 \cs17\b0\v\fs20\cf9\lang1024\langfe1024\loch\af1\hich\af1\dbch\af31501\noproof\insrsid5533502\charrsid15009709 \hich\af1\dbch\af31501\loch\f1 &lt;\hich\af1\dbch\af31501\loch\f1 RepeatBlock-By&gt;}{\rtlch\fcs1 \af0 \ltrch\fcs0 _x000d__x000a_\insrsid5533502\charrsid15009709 #}{\rtlch\fcs1 \af1 \ltrch\fcs0 \cs18\v\f1\fs20\cf15\insrsid5533502\charrsid15009709 (MOD@InsideLoop()}{\rtlch\fcs1 \af0 \ltrch\fcs0 \insrsid5533502\charrsid15009709 ##}{\rtlch\fcs1 \af1 \ltrch\fcs0 _x000d__x000a_\cs18\v\f1\fs20\cf15\insrsid5533502\charrsid15009709 &gt;&gt;&gt;@[ZMEMBERSMSG]@}{\rtlch\fcs1 \af0 \ltrch\fcs0 \insrsid5533502\charrsid15009709 #}{\rtlch\fcs1 \af0 \ltrch\fcs0 _x000d__x000a_\cs17\b0\v\fs20\cf9\lang1024\langfe1024\loch\af1\hich\af1\dbch\af31501\noproof\insrsid5533502\charrsid15009709 \hich\af1\dbch\af31501\loch\f1 &lt;Members&gt;}{\rtlch\fcs1 \af0 \ltrch\fcs0 \insrsid5533502\charrsid15009709 #}{\rtlch\fcs1 \af1 \ltrch\fcs0 _x000d__x000a_\cs18\v\f1\fs20\cf15\insrsid5533502\charrsid15009709 (MOD@InsideLoop(\'a7)}{\rtlch\fcs1 \af0 \ltrch\fcs0 \insrsid5533502\charrsid15009709 #}{\rtlch\fcs1 \af0 \ltrch\fcs0 \cf10\insrsid5533502\charrsid3047116 \u9668\'3f}{\rtlch\fcs1 \af0 \ltrch\fcs0 _x000d__x000a_\insrsid5533502\charrsid15009709 #}{\rtlch\fcs1 \af1 \ltrch\fcs0 \cs18\v\f1\fs20\cf15\insrsid5533502\charrsid15009709 TVTMEMBERS\'a7@MEMBERS@}{\rtlch\fcs1 \af0 \ltrch\fcs0 \insrsid5533502\charrsid15009709 #}{\rtlch\fcs1 \af0 \ltrch\fcs0 _x000d__x000a_\cf10\insrsid5533502\charrsid3047116 \u9658\'3f}{\rtlch\fcs1 \af0 \ltrch\fcs0 \cs17\b0\v\fs20\cf9\lang1024\langfe1024\loch\af1\hich\af1\dbch\af31501\noproof\insrsid5533502\charrsid15009709 \hich\af1\dbch\af31501\loch\f1 &lt;/Members&gt;}{\rtlch\fcs1 \af0 _x000d__x000a_\ltrch\fcs0 \insrsid5533502\charrsid15009709 _x000d__x000a_\par }\pard\plain \ltrpar\ql \li0\ri0\widctlpar\wrapdefault\aspalpha\aspnum\faauto\adjustright\rin0\lin0\itap0\pararsid5533502 \rtlch\fcs1 \af0\afs20\alang1025 \ltrch\fcs0 \fs24\lang2057\langfe2057\cgrid\langnp2057\langfenp2057 {\rtlch\fcs1 \af0 \ltrch\fcs0 _x000d__x000a_\cs17\v\fs20\cf9\lang1024\langfe1024\loch\af1\hich\af1\dbch\af31501\noproof\insrsid5533502\charrsid15009709 \hich\af1\dbch\af31501\loch\f1 &lt;AuNomDe&gt;&lt;OptDel&gt;}{\rtlch\fcs1 \af0 \ltrch\fcs0 \insrsid5533502\charrsid15009709 #}{\rtlch\fcs1 \af1 \ltrch\fcs0 _x000d__x000a_\cs18\v\f1\fs20\cf15\insrsid5533502\charrsid15009709 MNU[ONBEHALFYES][NOTAPP]@CHOICE@}{\rtlch\fcs1 \af0 \ltrch\fcs0 \insrsid5533502\charrsid15009709 #}{\rtlch\fcs1 \af0 \ltrch\fcs0 _x000d__x000a_\cs17\v\fs20\cf9\lang1024\langfe1024\loch\af1\hich\af1\dbch\af31501\noproof\insrsid5533502\charrsid15009709 \hich\af1\dbch\af31501\loch\f1 &lt;/OptDel&gt;&lt;/AuNomDe&gt;}{\rtlch\fcs1 \af0 \ltrch\fcs0 \insrsid5533502\charrsid15009709 _x000d__x000a_\par &lt;&lt;&lt;}{\rtlch\fcs1 \af0 \ltrch\fcs0 \cs17\v\fs20\cf9\lang1024\langfe1024\loch\af1\hich\af1\dbch\af31501\noproof\insrsid5533502\charrsid15009709 \hich\af1\dbch\af31501\loch\f1 &lt;/RepeatBlock-By&gt;}{\rtlch\fcs1 \af0 \ltrch\fcs0 \insrsid5533502\charrsid15009709 _x000d__x000a__x000d__x000a_\par }\pard\plain \ltrpar\s20\ql \li0\ri0\nowidctlpar\wrapdefault\aspalpha\aspnum\faauto\adjustright\rin0\lin0\itap0\pararsid5533502 \rtlch\fcs1 \af0\afs20\alang1025 \ltrch\fcs0 \b\fs24\lang2057\langfe2057\cgrid\langnp2057\langfenp2057 {\rtlch\fcs1 \af0 _x000d__x000a_\ltrch\fcs0 \cs17\b0\v\fs20\cf9\lang1024\langfe1024\loch\af1\hich\af1\dbch\af31501\noproof\insrsid5533502\charrsid15009709 \hich\af1\dbch\af31501\loch\f1 &lt;DocAmend&gt;}{\rtlch\fcs1 \af0 \ltrch\fcs0 \insrsid5533502\charrsid15009709 #}{\rtlch\fcs1 \af1 _x000d__x000a_\ltrch\fcs0 \cs18\v\f1\fs20\cf15\insrsid5533502\charrsid15009709 MNU[OPTPROPOSALCOD][OPTPROPOSALCNS][OPTPROPOSALNLE]@CHOICE@CODEMNU}{\rtlch\fcs1 \af0 \ltrch\fcs0 \insrsid5533502\charrsid15009709 #}{\rtlch\fcs1 \af0 \ltrch\fcs0 _x000d__x000a_\cs17\b0\v\fs20\cf9\lang1024\langfe1024\loch\af1\hich\af1\dbch\af31501\noproof\insrsid5533502\charrsid15009709 \hich\af1\dbch\af31501\loch\f1 &lt;/DocAmend&gt;}{\rtlch\fcs1 \af0 \ltrch\fcs0 \insrsid5533502\charrsid15009709 _x000d__x000a_\par }\pard \ltrpar\s20\ql \li0\ri0\keepn\nowidctlpar\wrapdefault\aspalpha\aspnum\faauto\adjustright\rin0\lin0\itap0\pararsid5533502 {\rtlch\fcs1 \af0 \ltrch\fcs0 _x000d__x000a_\cs17\b0\v\fs20\cf9\lang1024\langfe1024\loch\af1\hich\af1\dbch\af31501\noproof\insrsid5533502\charrsid15009709 \hich\af1\dbch\af31501\loch\f1 &lt;Article&gt;}{\rtlch\fcs1 \af0 \ltrch\fcs0 \insrsid5533502\charrsid15009709 #}{\rtlch\fcs1 \af1 \ltrch\fcs0 _x000d__x000a_\cs18\v\f1\fs20\cf15\insrsid5533502\charrsid15009709 MNU[AMACTPARTYES][AMACTPARTNO]@CHOICE@AMACTMNU}{\rtlch\fcs1 \af0 \ltrch\fcs0 \insrsid5533502\charrsid15009709 #}{\rtlch\fcs1 \af0 \ltrch\fcs0 _x000d__x000a_\cs17\b0\v\fs20\cf9\lang1024\langfe1024\loch\af1\hich\af1\dbch\af31501\noproof\insrsid5533502\charrsid15009709 \hich\af1\dbch\af31501\loch\f1 &lt;/Article&gt;}{\rtlch\fcs1 \af0 \ltrch\fcs0 \insrsid5533502\charrsid15009709 _x000d__x000a_\par }\pard\plain \ltrpar\ql \li0\ri0\keepn\widctlpar\wrapdefault\aspalpha\aspnum\faauto\adjustright\rin0\lin0\itap0\pararsid5533502 \rtlch\fcs1 \af0\afs20\alang1025 \ltrch\fcs0 \fs24\lang2057\langfe2057\cgrid\langnp2057\langfenp2057 {\rtlch\fcs1 \af0 _x000d__x000a_\ltrch\fcs0 \cs17\v\fs20\cf9\lang1024\langfe1024\loch\af1\hich\af1\dbch\af31501\noproof\insrsid5533502\charrsid15009709 \hich\af1\dbch\af31501\loch\f1 &lt;DocAmend2&gt;&lt;OptDel&gt;}{\rtlch\fcs1 \af0 \ltrch\fcs0 \insrsid5533502\charrsid15009709 #}{\rtlch\fcs1 \af1 _x000d__x000a_\ltrch\fcs0 \cs18\v\f1\fs20\cf15\insrsid5533502\charrsid15009709 MNU[OPTNRACTYES][NOTAPP]@CHOICE@AMACTMNU}{\rtlch\fcs1 \af0 \ltrch\fcs0 \insrsid5533502\charrsid15009709 #}{\rtlch\fcs1 \af0 \ltrch\fcs0 _x000d__x000a_\cs17\v\fs20\cf9\lang1024\langfe1024\loch\af1\hich\af1\dbch\af31501\noproof\insrsid5533502\charrsid15009709 \hich\af1\dbch\af31501\loch\f1 &lt;/OptDel&gt;&lt;/DocAmend2&gt;}{\rtlch\fcs1 \af0 \ltrch\fcs0 \insrsid5533502\charrsid15009709 _x000d__x000a_\par }\pard \ltrpar\ql \li0\ri0\widctlpar\wrapdefault\aspalpha\aspnum\faauto\adjustright\rin0\lin0\itap0\pararsid5533502 {\rtlch\fcs1 \af0 \ltrch\fcs0 \cs17\v\fs20\cf9\lang1024\langfe1024\loch\af1\hich\af1\dbch\af31501\noproof\insrsid5533502\charrsid15009709 _x000d__x000a_\hich\af1\dbch\af31501\loch\f1 &lt;Article2&gt;&lt;OptDel&gt;}{\rtlch\fcs1 \af0 \ltrch\fcs0 \insrsid5533502\charrsid15009709 #}{\rtlch\fcs1 \af1 \ltrch\fcs0 \cs18\v\f1\fs20\cf15\insrsid5533502\charrsid15009709 MNU[OPTACTPARTYES][NOTAPP]@CHOICE@AMACTMNU}{\rtlch\fcs1 _x000d__x000a_\af0 \ltrch\fcs0 \insrsid5533502\charrsid15009709 #}{\rtlch\fcs1 \af0 \ltrch\fcs0 \cs17\v\fs20\cf9\lang1024\langfe1024\loch\af1\hich\af1\dbch\af31501\noproof\insrsid5533502\charrsid15009709 \hich\af1\dbch\af31501\loch\f1 &lt;/OptDel&gt;&lt;/Article2&gt;}{\rtlch\fcs1 _x000d__x000a_\af0 \ltrch\fcs0 \insrsid5533502\charrsid15009709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533502\charrsid15009709 \cell }\pard\plain \ltrpar\ql \li0\ri0\widctlpar\intbl\wrapdefault\aspalpha\aspnum\faauto\adjustright\rin0\lin0 \rtlch\fcs1 _x000d__x000a_\af0\afs20\alang1025 \ltrch\fcs0 \fs24\lang2057\langfe2057\cgrid\langnp2057\langfenp2057 {\rtlch\fcs1 \af0 \ltrch\fcs0 \insrsid5533502\charrsid15009709 \trowd \irow0\irowband0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5533502\charrsid15009709 #}{\rtlch\fcs1 \af1 \ltrch\fcs0 \cs18\v\f1\fs20\cf15\insrsid5533502\charrsid15009709 MNU[OPTLEFTAMACT][LEFTPROP]@CHOICE@AMACTMNU}{_x000d__x000a_\rtlch\fcs1 \af0 \ltrch\fcs0 \insrsid5533502\charrsid15009709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5533502\charrsid15009709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5533502\charrsid15009709 ##\cell ##}{\rtlch\fcs1 \af0\afs24 \ltrch\fcs0 \insrsid5533502\charrsid15009709 \cell }\pard\plain \ltrpar\ql \li0\ri0\widctlpar\intbl\wrapdefault\aspalpha\aspnum\faauto\adjustright\rin0\lin0 \rtlch\fcs1 _x000d__x000a_\af0\afs20\alang1025 \ltrch\fcs0 \fs24\lang2057\langfe2057\cgrid\langnp2057\langfenp2057 {\rtlch\fcs1 \af0 \ltrch\fcs0 \insrsid5533502\charrsid15009709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5533502 \rtlch\fcs1 \af0\afs20\alang1025 \ltrch\fcs0 \fs24\lang2057\langfe2057\cgrid\langnp2057\langfenp2057 {\rtlch\fcs1 \af0 \ltrch\fcs0 _x000d__x000a_\insrsid5533502\charrsid15009709 Or. }{\rtlch\fcs1 \af0 \ltrch\fcs0 \cs17\v\fs20\cf9\lang1024\langfe1024\loch\af1\hich\af1\dbch\af31501\noproof\insrsid5533502\charrsid15009709 \hich\af1\dbch\af31501\loch\f1 &lt;Original&gt;}{\rtlch\fcs1 \af0 \ltrch\fcs0 _x000d__x000a_\insrsid5533502\charrsid15009709 #}{\rtlch\fcs1 \af1 \ltrch\fcs0 \cs18\v\f1\fs20\cf15\insrsid5533502\charrsid15009709 KEY(MAIN/LANGMIN)sh@ORLANGMSG@}{\rtlch\fcs1 \af0 \ltrch\fcs0 \insrsid5533502\charrsid15009709 #}{\rtlch\fcs1 \af0 \ltrch\fcs0 _x000d__x000a_\cs17\v\fs20\cf9\lang1024\langfe1024\loch\af1\hich\af1\dbch\af31501\noproof\insrsid5533502\charrsid15009709 \hich\af1\dbch\af31501\loch\f1 &lt;/Original&gt;}{\rtlch\fcs1 \af0 \ltrch\fcs0 \insrsid5533502\charrsid15009709 _x000d__x000a_\par }\pard\plain \ltrpar\s22\qc \li0\ri0\sb240\sa240\nowidctlpar\wrapdefault\aspalpha\aspnum\faauto\adjustright\rin0\lin0\itap0\pararsid5533502 \rtlch\fcs1 \af0\afs20\alang1025 \ltrch\fcs0 \i\fs24\lang2057\langfe2057\cgrid\langnp2057\langfenp2057 {_x000d__x000a_\rtlch\fcs1 \af0 \ltrch\fcs0 \cs17\i0\v\fs20\cf9\lang1024\langfe1024\loch\af1\hich\af1\dbch\af31501\noproof\insrsid5533502\charrsid15009709 \hich\af1\dbch\af31501\loch\f1 &lt;OptDel&gt;}{\rtlch\fcs1 \af0 \ltrch\fcs0 \insrsid5533502\charrsid15009709 #}{_x000d__x000a_\rtlch\fcs1 \af1 \ltrch\fcs0 \cs18\v\f1\fs20\cf15\insrsid5533502\charrsid15009709 MNU[CROSSREFNO][CROSSREFYES]@CHOICE@}{\rtlch\fcs1 \af0 \ltrch\fcs0 \insrsid5533502\charrsid15009709 #}{\rtlch\fcs1 \af0 \ltrch\fcs0 _x000d__x000a_\cs17\i0\v\fs20\cf9\lang1024\langfe1024\loch\af1\hich\af1\dbch\af31501\noproof\insrsid5533502\charrsid15009709 \hich\af1\dbch\af31501\loch\f1 &lt;/OptDel&gt;}{\rtlch\fcs1 \af0 \ltrch\fcs0 \insrsid5533502\charrsid15009709 _x000d__x000a_\par }\pard\plain \ltrpar\s23\qc \li0\ri0\sb240\sa240\keepn\nowidctlpar\wrapdefault\aspalpha\aspnum\faauto\adjustright\rin0\lin0\itap0\pararsid5533502 \rtlch\fcs1 \af0\afs20\alang1025 \ltrch\fcs0 \i\fs24\lang2057\langfe2057\cgrid\langnp2057\langfenp2057 {_x000d__x000a_\rtlch\fcs1 \af0 \ltrch\fcs0 \cs17\i0\v\fs20\cf9\lang1024\langfe1024\loch\af1\hich\af1\dbch\af31501\noproof\insrsid5533502\charrsid15009709 \hich\af1\dbch\af31501\loch\f1 &lt;TitreJust&gt;}{\rtlch\fcs1 \af0 \ltrch\fcs0 \insrsid5533502\charrsid15009709 _x000d__x000a_Justification}{\rtlch\fcs1 \af0 \ltrch\fcs0 \cs17\i0\v\fs20\cf9\lang1024\langfe1024\loch\af1\hich\af1\dbch\af31501\noproof\insrsid5533502\charrsid15009709 \hich\af1\dbch\af31501\loch\f1 &lt;/TitreJust&gt;}{\rtlch\fcs1 \af0 \ltrch\fcs0 _x000d__x000a_\insrsid5533502\charrsid15009709 _x000d__x000a_\par }\pard\plain \ltrpar\s21\ql \li0\ri0\sa240\nowidctlpar\wrapdefault\aspalpha\aspnum\faauto\adjustright\rin0\lin0\itap0\pararsid5533502 \rtlch\fcs1 \af0\afs20\alang1025 \ltrch\fcs0 \i\fs24\lang2057\langfe2057\cgrid\langnp2057\langfenp2057 {\rtlch\fcs1 \af0 _x000d__x000a_\ltrch\fcs0 \cs17\i0\v\fs20\cf9\lang1024\langfe1024\loch\af1\hich\af1\dbch\af31501\noproof\insrsid5533502\charrsid15009709 \hich\af1\dbch\af31501\loch\f1 &lt;OptDelPrev&gt;}{\rtlch\fcs1 \af0 \ltrch\fcs0 \insrsid5533502\charrsid15009709 #}{\rtlch\fcs1 \af1 _x000d__x000a_\ltrch\fcs0 \cs18\v\f1\fs20\cf15\insrsid5533502\charrsid15009709 MNU[TEXTJUSTYES][TEXTJUSTNO]@CHOICE@}{\rtlch\fcs1 \af0 \ltrch\fcs0 \insrsid5533502\charrsid15009709 #}{\rtlch\fcs1 \af0 \ltrch\fcs0 _x000d__x000a_\cs17\i0\v\fs20\cf9\lang1024\langfe1024\loch\af1\hich\af1\dbch\af31501\noproof\insrsid5533502\charrsid15009709 \hich\af1\dbch\af31501\loch\f1 &lt;/OptDelPrev&gt;}{\rtlch\fcs1 \af0 \ltrch\fcs0 \insrsid5533502\charrsid15009709 _x000d__x000a_\par }\pard\plain \ltrpar\ql \li0\ri0\widctlpar\wrapdefault\aspalpha\aspnum\faauto\adjustright\rin0\lin0\itap0\pararsid5533502 \rtlch\fcs1 \af0\afs20\alang1025 \ltrch\fcs0 \fs24\lang2057\langfe2057\cgrid\langnp2057\langfenp2057 {\rtlch\fcs1 \af0 \ltrch\fcs0 _x000d__x000a_\cs17\v\fs20\cf9\lang1024\langfe1024\loch\af1\hich\af1\dbch\af31501\noproof\insrsid5533502\charrsid15009709 \hich\af1\dbch\af31501\loch\f1 &lt;/}{\rtlch\fcs1 \af0 \ltrch\fcs0 _x000d__x000a_\cs17\v\fs20\cf9\lang1024\langfe1024\loch\af1\hich\af1\dbch\af31501\noproof\insrsid5533502 \hich\af1\dbch\af31501\loch\f1 Amend}{\rtlch\fcs1 \af0 \ltrch\fcs0 _x000d__x000a_\cs17\v\fs20\cf9\lang1024\langfe1024\loch\af1\hich\af1\dbch\af31501\noproof\insrsid5533502\charrsid15009709 \hich\af1\dbch\af31501\loch\f1 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5_x000d__x000a_efc56b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321"/>
    <w:docVar w:name="TVTACTPART" w:val="xx"/>
    <w:docVar w:name="TVTAMACTPART" w:val="xx"/>
    <w:docVar w:name="TVTMEMBERS1" w:val="xx"/>
    <w:docVar w:name="TXTAUTHOR" w:val="Marit Maij"/>
    <w:docVar w:name="TXTLANGUE" w:val="EN"/>
    <w:docVar w:name="TXTLANGUEMIN" w:val="en"/>
    <w:docVar w:name="TXTNRC" w:val="0064/2025"/>
    <w:docVar w:name="TXTNRCOM" w:val="(2025)0164"/>
    <w:docVar w:name="TXTNRFIRSTAM" w:val="1"/>
    <w:docVar w:name="TXTNRLASTAM" w:val="113"/>
    <w:docVar w:name="TXTNRPE" w:val="773.390"/>
    <w:docVar w:name="TXTNRPROC" w:val="2025/0085"/>
    <w:docVar w:name="TXTNRREG" w:val="xx"/>
    <w:docVar w:name="TXTPEorAP" w:val="PE"/>
    <w:docVar w:name="TXTROUTE" w:val="AM\1321470XM.docx"/>
    <w:docVar w:name="TXTTITLE" w:val="Amending Regulation (EU) 2021/1057 establishing the European Social Fund + (ESF+) as regards specific measures to address strategic challenges"/>
    <w:docVar w:name="TXTVERSION" w:val="01-00"/>
  </w:docVars>
  <w:rsids>
    <w:rsidRoot w:val="00E507AD"/>
    <w:rsid w:val="000111BD"/>
    <w:rsid w:val="00073830"/>
    <w:rsid w:val="00075DBE"/>
    <w:rsid w:val="000B0781"/>
    <w:rsid w:val="000D446F"/>
    <w:rsid w:val="000E7234"/>
    <w:rsid w:val="000F2A80"/>
    <w:rsid w:val="000F7815"/>
    <w:rsid w:val="00126BC4"/>
    <w:rsid w:val="00150057"/>
    <w:rsid w:val="00166CCB"/>
    <w:rsid w:val="001809DD"/>
    <w:rsid w:val="001A4802"/>
    <w:rsid w:val="001B761C"/>
    <w:rsid w:val="001C2054"/>
    <w:rsid w:val="001C502E"/>
    <w:rsid w:val="001D13C9"/>
    <w:rsid w:val="001D5CC4"/>
    <w:rsid w:val="001D7A49"/>
    <w:rsid w:val="001F0FDD"/>
    <w:rsid w:val="0020367C"/>
    <w:rsid w:val="00222325"/>
    <w:rsid w:val="00231EA7"/>
    <w:rsid w:val="00236619"/>
    <w:rsid w:val="002574CB"/>
    <w:rsid w:val="00280EA6"/>
    <w:rsid w:val="002A1C82"/>
    <w:rsid w:val="002B6A7B"/>
    <w:rsid w:val="002C5761"/>
    <w:rsid w:val="002E3F68"/>
    <w:rsid w:val="002E4311"/>
    <w:rsid w:val="002E7ECC"/>
    <w:rsid w:val="003003A7"/>
    <w:rsid w:val="00315664"/>
    <w:rsid w:val="00322475"/>
    <w:rsid w:val="00363AD3"/>
    <w:rsid w:val="003743DE"/>
    <w:rsid w:val="0037660F"/>
    <w:rsid w:val="00384E84"/>
    <w:rsid w:val="0038706C"/>
    <w:rsid w:val="003923F7"/>
    <w:rsid w:val="003A5102"/>
    <w:rsid w:val="003B1497"/>
    <w:rsid w:val="003C6E39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61E32"/>
    <w:rsid w:val="00464338"/>
    <w:rsid w:val="00495E20"/>
    <w:rsid w:val="004E0AAC"/>
    <w:rsid w:val="004E1C4C"/>
    <w:rsid w:val="004F03F0"/>
    <w:rsid w:val="004F2903"/>
    <w:rsid w:val="005246D8"/>
    <w:rsid w:val="00547F73"/>
    <w:rsid w:val="00557617"/>
    <w:rsid w:val="00571479"/>
    <w:rsid w:val="005A7205"/>
    <w:rsid w:val="005A7EB4"/>
    <w:rsid w:val="005B32E3"/>
    <w:rsid w:val="005E50C2"/>
    <w:rsid w:val="00607ABE"/>
    <w:rsid w:val="00631FE6"/>
    <w:rsid w:val="006337D4"/>
    <w:rsid w:val="00637384"/>
    <w:rsid w:val="0066168A"/>
    <w:rsid w:val="00665DDA"/>
    <w:rsid w:val="00672807"/>
    <w:rsid w:val="006746CD"/>
    <w:rsid w:val="00687070"/>
    <w:rsid w:val="00695CC1"/>
    <w:rsid w:val="006965BE"/>
    <w:rsid w:val="00697A90"/>
    <w:rsid w:val="006A2838"/>
    <w:rsid w:val="006B4B58"/>
    <w:rsid w:val="006B6438"/>
    <w:rsid w:val="006D6B15"/>
    <w:rsid w:val="006F3F81"/>
    <w:rsid w:val="006F4B73"/>
    <w:rsid w:val="00702F62"/>
    <w:rsid w:val="0070486D"/>
    <w:rsid w:val="007059E9"/>
    <w:rsid w:val="00706049"/>
    <w:rsid w:val="007152AF"/>
    <w:rsid w:val="00736FBA"/>
    <w:rsid w:val="0074160E"/>
    <w:rsid w:val="007659AC"/>
    <w:rsid w:val="0079060C"/>
    <w:rsid w:val="007A42AB"/>
    <w:rsid w:val="007C71DE"/>
    <w:rsid w:val="00822C94"/>
    <w:rsid w:val="008363E4"/>
    <w:rsid w:val="00851460"/>
    <w:rsid w:val="0087052C"/>
    <w:rsid w:val="00870CF2"/>
    <w:rsid w:val="00874862"/>
    <w:rsid w:val="00875A9C"/>
    <w:rsid w:val="00887FDC"/>
    <w:rsid w:val="008B251A"/>
    <w:rsid w:val="008D16AE"/>
    <w:rsid w:val="008D6D06"/>
    <w:rsid w:val="008F0DDD"/>
    <w:rsid w:val="00900CAE"/>
    <w:rsid w:val="00904AD5"/>
    <w:rsid w:val="00907CCA"/>
    <w:rsid w:val="009154FF"/>
    <w:rsid w:val="00917A85"/>
    <w:rsid w:val="00966038"/>
    <w:rsid w:val="009A65D8"/>
    <w:rsid w:val="009B0305"/>
    <w:rsid w:val="009C4E04"/>
    <w:rsid w:val="009F230F"/>
    <w:rsid w:val="00A15973"/>
    <w:rsid w:val="00A233E9"/>
    <w:rsid w:val="00A46736"/>
    <w:rsid w:val="00A507FC"/>
    <w:rsid w:val="00A5426B"/>
    <w:rsid w:val="00A845EF"/>
    <w:rsid w:val="00A84E16"/>
    <w:rsid w:val="00A93389"/>
    <w:rsid w:val="00A93F8C"/>
    <w:rsid w:val="00AA0426"/>
    <w:rsid w:val="00AB74D6"/>
    <w:rsid w:val="00AC7149"/>
    <w:rsid w:val="00AD730A"/>
    <w:rsid w:val="00AE4459"/>
    <w:rsid w:val="00AF25FC"/>
    <w:rsid w:val="00AF2819"/>
    <w:rsid w:val="00B0638A"/>
    <w:rsid w:val="00B10564"/>
    <w:rsid w:val="00B41B4D"/>
    <w:rsid w:val="00B74B2F"/>
    <w:rsid w:val="00B77A45"/>
    <w:rsid w:val="00B8066A"/>
    <w:rsid w:val="00B81A9B"/>
    <w:rsid w:val="00B85286"/>
    <w:rsid w:val="00B90B7F"/>
    <w:rsid w:val="00B9188F"/>
    <w:rsid w:val="00BA48D2"/>
    <w:rsid w:val="00BC1B1F"/>
    <w:rsid w:val="00BE0C84"/>
    <w:rsid w:val="00BE2EAC"/>
    <w:rsid w:val="00BE5062"/>
    <w:rsid w:val="00C10F61"/>
    <w:rsid w:val="00C22CC4"/>
    <w:rsid w:val="00C2336C"/>
    <w:rsid w:val="00C35E35"/>
    <w:rsid w:val="00C41E32"/>
    <w:rsid w:val="00C70A07"/>
    <w:rsid w:val="00C85D0F"/>
    <w:rsid w:val="00C92798"/>
    <w:rsid w:val="00CB34F1"/>
    <w:rsid w:val="00CB7B07"/>
    <w:rsid w:val="00CC3983"/>
    <w:rsid w:val="00D00CC7"/>
    <w:rsid w:val="00D100D1"/>
    <w:rsid w:val="00D14FCE"/>
    <w:rsid w:val="00D15308"/>
    <w:rsid w:val="00D1583C"/>
    <w:rsid w:val="00D15D1E"/>
    <w:rsid w:val="00D42398"/>
    <w:rsid w:val="00D44842"/>
    <w:rsid w:val="00D677D5"/>
    <w:rsid w:val="00D71A71"/>
    <w:rsid w:val="00D755F1"/>
    <w:rsid w:val="00D767AC"/>
    <w:rsid w:val="00D82FCC"/>
    <w:rsid w:val="00D87B31"/>
    <w:rsid w:val="00DB429F"/>
    <w:rsid w:val="00DB65C2"/>
    <w:rsid w:val="00DC4160"/>
    <w:rsid w:val="00DC6A1B"/>
    <w:rsid w:val="00DE672F"/>
    <w:rsid w:val="00E15A86"/>
    <w:rsid w:val="00E25DC5"/>
    <w:rsid w:val="00E44BB0"/>
    <w:rsid w:val="00E471BE"/>
    <w:rsid w:val="00E507AD"/>
    <w:rsid w:val="00E57F50"/>
    <w:rsid w:val="00E660E2"/>
    <w:rsid w:val="00EA25AE"/>
    <w:rsid w:val="00EB3A71"/>
    <w:rsid w:val="00EE011D"/>
    <w:rsid w:val="00EE3E0D"/>
    <w:rsid w:val="00EF03A3"/>
    <w:rsid w:val="00EF11AD"/>
    <w:rsid w:val="00F27170"/>
    <w:rsid w:val="00F459F7"/>
    <w:rsid w:val="00F655B5"/>
    <w:rsid w:val="00F72AC6"/>
    <w:rsid w:val="00F92B49"/>
    <w:rsid w:val="00FA192C"/>
    <w:rsid w:val="00FC1B08"/>
    <w:rsid w:val="00FD05BD"/>
    <w:rsid w:val="00FD39E9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CDE831"/>
  <w15:chartTrackingRefBased/>
  <w15:docId w15:val="{6E5EAC94-954B-4B49-98E9-1DFF5F7F6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basedOn w:val="DefaultParagraphFont"/>
    <w:rPr>
      <w:rFonts w:ascii="Arial" w:hAnsi="Arial" w:cs="Arial"/>
      <w:noProof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customStyle="1" w:styleId="msonormal0">
    <w:name w:val="msonormal"/>
    <w:basedOn w:val="Normal"/>
    <w:rsid w:val="00B81A9B"/>
    <w:pPr>
      <w:widowControl/>
      <w:spacing w:before="100" w:beforeAutospacing="1" w:after="100" w:afterAutospacing="1"/>
    </w:pPr>
    <w:rPr>
      <w:szCs w:val="24"/>
    </w:rPr>
  </w:style>
  <w:style w:type="paragraph" w:styleId="Footer">
    <w:name w:val="footer"/>
    <w:link w:val="FooterChar"/>
    <w:semiHidden/>
    <w:unhideWhenUsed/>
    <w:rsid w:val="00B81A9B"/>
    <w:pPr>
      <w:tabs>
        <w:tab w:val="center" w:pos="4536"/>
        <w:tab w:val="right" w:pos="9072"/>
      </w:tabs>
      <w:spacing w:before="240" w:after="240" w:line="220" w:lineRule="auto"/>
    </w:pPr>
    <w:rPr>
      <w:sz w:val="22"/>
    </w:rPr>
  </w:style>
  <w:style w:type="character" w:customStyle="1" w:styleId="FooterChar">
    <w:name w:val="Footer Char"/>
    <w:basedOn w:val="DefaultParagraphFont"/>
    <w:link w:val="Footer"/>
    <w:semiHidden/>
    <w:rsid w:val="00B81A9B"/>
    <w:rPr>
      <w:sz w:val="22"/>
    </w:rPr>
  </w:style>
  <w:style w:type="character" w:customStyle="1" w:styleId="Normal12Char">
    <w:name w:val="Normal12 Char"/>
    <w:basedOn w:val="DefaultParagraphFont"/>
    <w:link w:val="Normal12"/>
    <w:locked/>
    <w:rsid w:val="00B81A9B"/>
    <w:rPr>
      <w:noProof/>
      <w:sz w:val="24"/>
    </w:rPr>
  </w:style>
  <w:style w:type="paragraph" w:customStyle="1" w:styleId="Normal12">
    <w:name w:val="Normal12"/>
    <w:basedOn w:val="Normal"/>
    <w:link w:val="Normal12Char"/>
    <w:rsid w:val="00B81A9B"/>
    <w:pPr>
      <w:spacing w:after="240"/>
    </w:pPr>
    <w:rPr>
      <w:noProof/>
    </w:rPr>
  </w:style>
  <w:style w:type="paragraph" w:customStyle="1" w:styleId="CommitteeAM">
    <w:name w:val="CommitteeAM"/>
    <w:basedOn w:val="Normal"/>
    <w:rsid w:val="00B81A9B"/>
    <w:pPr>
      <w:spacing w:before="240" w:after="600"/>
      <w:jc w:val="center"/>
    </w:pPr>
    <w:rPr>
      <w:i/>
    </w:rPr>
  </w:style>
  <w:style w:type="paragraph" w:customStyle="1" w:styleId="ZDateAM">
    <w:name w:val="ZDateAM"/>
    <w:basedOn w:val="Normal"/>
    <w:rsid w:val="00B81A9B"/>
    <w:pPr>
      <w:tabs>
        <w:tab w:val="right" w:pos="9356"/>
      </w:tabs>
      <w:spacing w:after="480"/>
    </w:pPr>
    <w:rPr>
      <w:noProof/>
    </w:rPr>
  </w:style>
  <w:style w:type="paragraph" w:customStyle="1" w:styleId="ProjRap">
    <w:name w:val="ProjRap"/>
    <w:basedOn w:val="Normal"/>
    <w:rsid w:val="00B81A9B"/>
    <w:pPr>
      <w:tabs>
        <w:tab w:val="right" w:pos="9356"/>
      </w:tabs>
    </w:pPr>
    <w:rPr>
      <w:b/>
      <w:noProof/>
    </w:rPr>
  </w:style>
  <w:style w:type="paragraph" w:customStyle="1" w:styleId="PELeft">
    <w:name w:val="PELeft"/>
    <w:basedOn w:val="Normal"/>
    <w:rsid w:val="00B81A9B"/>
    <w:pPr>
      <w:spacing w:before="40" w:after="40"/>
    </w:pPr>
    <w:rPr>
      <w:rFonts w:ascii="Arial" w:hAnsi="Arial" w:cs="Arial"/>
      <w:sz w:val="22"/>
      <w:szCs w:val="22"/>
    </w:rPr>
  </w:style>
  <w:style w:type="paragraph" w:customStyle="1" w:styleId="PERight">
    <w:name w:val="PERight"/>
    <w:basedOn w:val="Normal"/>
    <w:next w:val="Normal"/>
    <w:rsid w:val="00B81A9B"/>
    <w:pPr>
      <w:jc w:val="right"/>
    </w:pPr>
    <w:rPr>
      <w:rFonts w:ascii="Arial" w:hAnsi="Arial" w:cs="Arial"/>
      <w:sz w:val="22"/>
      <w:szCs w:val="22"/>
    </w:rPr>
  </w:style>
  <w:style w:type="character" w:customStyle="1" w:styleId="Normal6Char">
    <w:name w:val="Normal6 Char"/>
    <w:basedOn w:val="DefaultParagraphFont"/>
    <w:link w:val="Normal6"/>
    <w:locked/>
    <w:rsid w:val="00B81A9B"/>
    <w:rPr>
      <w:sz w:val="24"/>
      <w:lang w:val="hr-HR"/>
    </w:rPr>
  </w:style>
  <w:style w:type="paragraph" w:customStyle="1" w:styleId="Normal6">
    <w:name w:val="Normal6"/>
    <w:basedOn w:val="Normal"/>
    <w:link w:val="Normal6Char"/>
    <w:rsid w:val="00B81A9B"/>
    <w:pPr>
      <w:spacing w:after="120"/>
    </w:pPr>
  </w:style>
  <w:style w:type="character" w:customStyle="1" w:styleId="NormalBoldChar">
    <w:name w:val="NormalBold Char"/>
    <w:basedOn w:val="DefaultParagraphFont"/>
    <w:link w:val="NormalBold"/>
    <w:locked/>
    <w:rsid w:val="00B81A9B"/>
    <w:rPr>
      <w:b/>
      <w:sz w:val="24"/>
    </w:rPr>
  </w:style>
  <w:style w:type="paragraph" w:customStyle="1" w:styleId="Normal12Italic">
    <w:name w:val="Normal12Italic"/>
    <w:basedOn w:val="Normal12"/>
    <w:rsid w:val="00B81A9B"/>
    <w:rPr>
      <w:i/>
    </w:rPr>
  </w:style>
  <w:style w:type="paragraph" w:customStyle="1" w:styleId="JustificationTitle">
    <w:name w:val="JustificationTitle"/>
    <w:basedOn w:val="Normal"/>
    <w:next w:val="Normal12"/>
    <w:rsid w:val="00B81A9B"/>
    <w:pPr>
      <w:keepNext/>
      <w:spacing w:before="240" w:after="240"/>
      <w:jc w:val="center"/>
    </w:pPr>
    <w:rPr>
      <w:i/>
      <w:noProof/>
    </w:rPr>
  </w:style>
  <w:style w:type="paragraph" w:customStyle="1" w:styleId="Olang">
    <w:name w:val="Olang"/>
    <w:basedOn w:val="Normal"/>
    <w:rsid w:val="00B81A9B"/>
    <w:pPr>
      <w:spacing w:before="240" w:after="240"/>
      <w:jc w:val="right"/>
    </w:pPr>
    <w:rPr>
      <w:noProof/>
      <w:szCs w:val="24"/>
    </w:rPr>
  </w:style>
  <w:style w:type="paragraph" w:customStyle="1" w:styleId="ColumnHeading">
    <w:name w:val="ColumnHeading"/>
    <w:basedOn w:val="Normal"/>
    <w:rsid w:val="00B81A9B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B81A9B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B81A9B"/>
    <w:pPr>
      <w:spacing w:before="240"/>
    </w:pPr>
    <w:rPr>
      <w:b/>
    </w:rPr>
  </w:style>
  <w:style w:type="paragraph" w:customStyle="1" w:styleId="CrossRef">
    <w:name w:val="CrossRef"/>
    <w:basedOn w:val="Normal"/>
    <w:rsid w:val="00B81A9B"/>
    <w:pPr>
      <w:spacing w:before="240"/>
      <w:jc w:val="center"/>
    </w:pPr>
    <w:rPr>
      <w:i/>
    </w:rPr>
  </w:style>
  <w:style w:type="paragraph" w:customStyle="1" w:styleId="Footer2">
    <w:name w:val="Footer2"/>
    <w:basedOn w:val="Normal12"/>
    <w:rsid w:val="00B81A9B"/>
    <w:pPr>
      <w:tabs>
        <w:tab w:val="center" w:pos="4535"/>
        <w:tab w:val="right" w:pos="9923"/>
      </w:tabs>
      <w:spacing w:line="480" w:lineRule="auto"/>
      <w:ind w:left="-851"/>
    </w:pPr>
    <w:rPr>
      <w:rFonts w:ascii="Arial" w:cs="Arial"/>
      <w:b/>
      <w:sz w:val="48"/>
    </w:rPr>
  </w:style>
  <w:style w:type="character" w:customStyle="1" w:styleId="Footer2Middle">
    <w:name w:val="Footer2Middle"/>
    <w:rsid w:val="00B81A9B"/>
    <w:rPr>
      <w:rFonts w:ascii="Arial" w:hAnsi="Arial" w:cs="Arial" w:hint="default"/>
      <w:b w:val="0"/>
      <w:bCs w:val="0"/>
      <w:i/>
      <w:iCs w:val="0"/>
      <w:color w:val="C0C0C0"/>
      <w:sz w:val="22"/>
    </w:rPr>
  </w:style>
  <w:style w:type="paragraph" w:customStyle="1" w:styleId="EntPE">
    <w:name w:val="EntPE"/>
    <w:basedOn w:val="Normal12"/>
    <w:rsid w:val="00B81A9B"/>
    <w:pPr>
      <w:jc w:val="center"/>
    </w:pPr>
    <w:rPr>
      <w:noProof w:val="0"/>
      <w:sz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71</Pages>
  <Words>16732</Words>
  <Characters>99368</Characters>
  <Application>Microsoft Office Word</Application>
  <DocSecurity>0</DocSecurity>
  <Lines>3914</Lines>
  <Paragraphs>1249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115176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cp:lastPrinted>2007-06-22T14:02:00Z</cp:lastPrinted>
  <dcterms:created xsi:type="dcterms:W3CDTF">2025-06-02T08:27:00Z</dcterms:created>
  <dcterms:modified xsi:type="dcterms:W3CDTF">2025-06-02T08:27:00Z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&lt;FdR&gt;">
    <vt:lpwstr>1321470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19:26:13)</vt:lpwstr>
  </property>
  <property fmtid="{D5CDD505-2E9C-101B-9397-08002B2CF9AE}" pid="6" name="&lt;ModelTra&gt;">
    <vt:lpwstr>\\eiciBRUpr1\pdocep$\DocEP\TRANSFIL\EN\AM_Com_LegReport.EN(16/08/2024 16:58:03)</vt:lpwstr>
  </property>
  <property fmtid="{D5CDD505-2E9C-101B-9397-08002B2CF9AE}" pid="7" name="&lt;Type&gt;">
    <vt:lpwstr>AM</vt:lpwstr>
  </property>
  <property fmtid="{D5CDD505-2E9C-101B-9397-08002B2CF9AE}" pid="8" name="Created with">
    <vt:lpwstr>10.1.0 Build [20250401]</vt:lpwstr>
  </property>
  <property fmtid="{D5CDD505-2E9C-101B-9397-08002B2CF9AE}" pid="9" name="FooterPath">
    <vt:lpwstr>AM\1321470HR.docx</vt:lpwstr>
  </property>
  <property fmtid="{D5CDD505-2E9C-101B-9397-08002B2CF9AE}" pid="10" name="LastEdited with">
    <vt:lpwstr>10.1.0 Build [20250401]</vt:lpwstr>
  </property>
  <property fmtid="{D5CDD505-2E9C-101B-9397-08002B2CF9AE}" pid="11" name="PE number">
    <vt:lpwstr>773.390</vt:lpwstr>
  </property>
  <property fmtid="{D5CDD505-2E9C-101B-9397-08002B2CF9AE}" pid="12" name="SendToEpades">
    <vt:lpwstr>OK(AMNUM) - 2025/05/20 17:49</vt:lpwstr>
  </property>
  <property fmtid="{D5CDD505-2E9C-101B-9397-08002B2CF9AE}" pid="13" name="SDLStudio">
    <vt:lpwstr/>
  </property>
  <property fmtid="{D5CDD505-2E9C-101B-9397-08002B2CF9AE}" pid="14" name="Bookout">
    <vt:lpwstr>OK - 2025/06/02 10:27</vt:lpwstr>
  </property>
</Properties>
</file>