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D2F85" w:rsidRPr="009B2971" w:rsidTr="00C85D0F">
        <w:trPr>
          <w:trHeight w:hRule="exact" w:val="1418"/>
        </w:trPr>
        <w:tc>
          <w:tcPr>
            <w:tcW w:w="6804" w:type="dxa"/>
            <w:shd w:val="clear" w:color="auto" w:fill="auto"/>
            <w:vAlign w:val="center"/>
          </w:tcPr>
          <w:p w:rsidR="00BE5062" w:rsidRPr="009B2971" w:rsidRDefault="00A4513A" w:rsidP="00C85D0F">
            <w:pPr>
              <w:pStyle w:val="EPName"/>
            </w:pPr>
            <w:r w:rsidRPr="009B2971">
              <w:t>Parlamentul European</w:t>
            </w:r>
          </w:p>
          <w:p w:rsidR="00BE5062" w:rsidRPr="009B2971" w:rsidRDefault="00A4513A" w:rsidP="002E7ECC">
            <w:pPr>
              <w:pStyle w:val="EPTerm"/>
            </w:pPr>
            <w:r w:rsidRPr="009B2971">
              <w:t>2024-2029</w:t>
            </w:r>
          </w:p>
        </w:tc>
        <w:tc>
          <w:tcPr>
            <w:tcW w:w="2268" w:type="dxa"/>
            <w:shd w:val="clear" w:color="auto" w:fill="auto"/>
          </w:tcPr>
          <w:p w:rsidR="00BE5062" w:rsidRPr="009B2971" w:rsidRDefault="00A4513A" w:rsidP="00C85D0F">
            <w:pPr>
              <w:pStyle w:val="EPLogo"/>
            </w:pPr>
            <w:r w:rsidRPr="009B297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B2971" w:rsidRDefault="000E7234" w:rsidP="000E7234">
      <w:pPr>
        <w:pStyle w:val="LineTop"/>
      </w:pPr>
    </w:p>
    <w:p w:rsidR="000E7234" w:rsidRPr="009B2971" w:rsidRDefault="00A4513A" w:rsidP="000E7234">
      <w:pPr>
        <w:pStyle w:val="EPBody"/>
      </w:pPr>
      <w:r w:rsidRPr="00A4513A">
        <w:rPr>
          <w:rStyle w:val="HideTWBExt"/>
          <w:i w:val="0"/>
          <w:szCs w:val="20"/>
        </w:rPr>
        <w:t>&lt;</w:t>
      </w:r>
      <w:r w:rsidRPr="00A4513A">
        <w:rPr>
          <w:rStyle w:val="HideTWBExt"/>
          <w:i w:val="0"/>
          <w:szCs w:val="20"/>
        </w:rPr>
        <w:t>Commission</w:t>
      </w:r>
      <w:r w:rsidRPr="00A4513A">
        <w:rPr>
          <w:rStyle w:val="HideTWBExt"/>
          <w:i w:val="0"/>
          <w:szCs w:val="20"/>
        </w:rPr>
        <w:t>&gt;</w:t>
      </w:r>
      <w:r w:rsidRPr="00A4513A">
        <w:rPr>
          <w:rStyle w:val="HideTWBInt"/>
          <w:i w:val="0"/>
          <w:szCs w:val="20"/>
        </w:rPr>
        <w:t>{EMPL}</w:t>
      </w:r>
      <w:r w:rsidRPr="009B2971">
        <w:t>Comisia pentru ocuparea forței de muncă și afaceri sociale</w:t>
      </w:r>
      <w:r w:rsidRPr="00A4513A">
        <w:rPr>
          <w:rStyle w:val="HideTWBExt"/>
          <w:i w:val="0"/>
          <w:szCs w:val="20"/>
        </w:rPr>
        <w:t>&lt;/</w:t>
      </w:r>
      <w:r w:rsidRPr="00A4513A">
        <w:rPr>
          <w:rStyle w:val="HideTWBExt"/>
          <w:i w:val="0"/>
          <w:szCs w:val="20"/>
        </w:rPr>
        <w:t>Commission</w:t>
      </w:r>
      <w:r w:rsidRPr="00A4513A">
        <w:rPr>
          <w:rStyle w:val="HideTWBExt"/>
          <w:i w:val="0"/>
          <w:szCs w:val="20"/>
        </w:rPr>
        <w:t>&gt;</w:t>
      </w:r>
    </w:p>
    <w:p w:rsidR="000E7234" w:rsidRPr="009B2971" w:rsidRDefault="000E7234" w:rsidP="000E7234">
      <w:pPr>
        <w:pStyle w:val="LineBottom"/>
      </w:pPr>
    </w:p>
    <w:p w:rsidR="00B85286" w:rsidRPr="009B2971" w:rsidRDefault="00A4513A">
      <w:pPr>
        <w:pStyle w:val="CoverReference"/>
      </w:pPr>
      <w:r w:rsidRPr="00A4513A">
        <w:rPr>
          <w:rStyle w:val="HideTWBExt"/>
          <w:b w:val="0"/>
        </w:rPr>
        <w:t>&lt;RefProc&gt;</w:t>
      </w:r>
      <w:r w:rsidRPr="009B2971">
        <w:t>2025/0085</w:t>
      </w:r>
      <w:r w:rsidRPr="00A4513A">
        <w:rPr>
          <w:rStyle w:val="HideTWBExt"/>
          <w:b w:val="0"/>
        </w:rPr>
        <w:t>&lt;/RefProc&gt;&lt;RefTypeProc&gt;</w:t>
      </w:r>
      <w:r w:rsidRPr="009B2971">
        <w:t>(COD)</w:t>
      </w:r>
      <w:r w:rsidRPr="00A4513A">
        <w:rPr>
          <w:rStyle w:val="HideTWBExt"/>
          <w:b w:val="0"/>
        </w:rPr>
        <w:t>&lt;/RefTypeProc&gt;</w:t>
      </w:r>
    </w:p>
    <w:p w:rsidR="00B85286" w:rsidRPr="009B2971" w:rsidRDefault="00A4513A">
      <w:pPr>
        <w:pStyle w:val="CoverDate"/>
      </w:pPr>
      <w:r w:rsidRPr="00A4513A">
        <w:rPr>
          <w:rStyle w:val="HideTWBExt"/>
        </w:rPr>
        <w:t>&lt;Date&gt;</w:t>
      </w:r>
      <w:r w:rsidRPr="00A4513A">
        <w:rPr>
          <w:rStyle w:val="HideTWBInt"/>
        </w:rPr>
        <w:t>{20/05/2025}</w:t>
      </w:r>
      <w:r w:rsidRPr="009B2971">
        <w:t>20.5.2025</w:t>
      </w:r>
      <w:r w:rsidRPr="00A4513A">
        <w:rPr>
          <w:rStyle w:val="HideTWBExt"/>
        </w:rPr>
        <w:t>&lt;/Date&gt;</w:t>
      </w:r>
    </w:p>
    <w:p w:rsidR="009B0305" w:rsidRPr="009B2971" w:rsidRDefault="00A4513A" w:rsidP="009B0305">
      <w:pPr>
        <w:pStyle w:val="CoverDocType"/>
      </w:pPr>
      <w:r w:rsidRPr="00A4513A">
        <w:rPr>
          <w:rStyle w:val="HideTWBExt"/>
          <w:b w:val="0"/>
        </w:rPr>
        <w:t>&lt;TypeAM&gt;</w:t>
      </w:r>
      <w:r w:rsidRPr="009B2971">
        <w:t>AMENDAMENTE</w:t>
      </w:r>
      <w:r w:rsidRPr="00A4513A">
        <w:rPr>
          <w:rStyle w:val="HideTWBExt"/>
          <w:b w:val="0"/>
        </w:rPr>
        <w:t>&lt;/TypeAM&gt;</w:t>
      </w:r>
    </w:p>
    <w:p w:rsidR="00B85286" w:rsidRPr="009B2971" w:rsidRDefault="00A4513A" w:rsidP="001C2054">
      <w:pPr>
        <w:pStyle w:val="CoverDocType24a"/>
      </w:pPr>
      <w:r w:rsidRPr="00A4513A">
        <w:rPr>
          <w:rStyle w:val="HideTWBExt"/>
          <w:b w:val="0"/>
        </w:rPr>
        <w:t>&lt;RangeAM&gt;</w:t>
      </w:r>
      <w:r w:rsidRPr="009B2971">
        <w:t>1 - 113</w:t>
      </w:r>
      <w:bookmarkStart w:id="0" w:name="_GoBack"/>
      <w:bookmarkEnd w:id="0"/>
      <w:r w:rsidRPr="00A4513A">
        <w:rPr>
          <w:rStyle w:val="HideTWBExt"/>
          <w:b w:val="0"/>
        </w:rPr>
        <w:t>&lt;/RangeAM&gt;</w:t>
      </w:r>
    </w:p>
    <w:p w:rsidR="001C2054" w:rsidRPr="009B2971" w:rsidRDefault="00A4513A" w:rsidP="00A93F8C">
      <w:pPr>
        <w:pStyle w:val="CoverBold"/>
      </w:pPr>
      <w:r w:rsidRPr="00A4513A">
        <w:rPr>
          <w:rStyle w:val="HideTWBExt"/>
          <w:b w:val="0"/>
        </w:rPr>
        <w:t>&lt;TitreType&gt;</w:t>
      </w:r>
      <w:r w:rsidRPr="009B2971">
        <w:t>Proiect de raport</w:t>
      </w:r>
      <w:r w:rsidRPr="00A4513A">
        <w:rPr>
          <w:rStyle w:val="HideTWBExt"/>
          <w:b w:val="0"/>
        </w:rPr>
        <w:t>&lt;/TitreType&gt;</w:t>
      </w:r>
    </w:p>
    <w:p w:rsidR="00B85286" w:rsidRPr="009B2971" w:rsidRDefault="00A4513A" w:rsidP="00A93F8C">
      <w:pPr>
        <w:pStyle w:val="CoverBold"/>
      </w:pPr>
      <w:r w:rsidRPr="00A4513A">
        <w:rPr>
          <w:rStyle w:val="HideTWBExt"/>
          <w:b w:val="0"/>
        </w:rPr>
        <w:t>&lt;Rapporteur&gt;</w:t>
      </w:r>
      <w:r w:rsidRPr="009B2971">
        <w:t>Marit Maij</w:t>
      </w:r>
      <w:r w:rsidRPr="00A4513A">
        <w:rPr>
          <w:rStyle w:val="HideTWBExt"/>
          <w:b w:val="0"/>
        </w:rPr>
        <w:t>&lt;/Rapporteur&gt;</w:t>
      </w:r>
    </w:p>
    <w:p w:rsidR="00B85286" w:rsidRPr="009B2971" w:rsidRDefault="00B85286">
      <w:pPr>
        <w:pStyle w:val="CoverNormal24a"/>
      </w:pPr>
    </w:p>
    <w:p w:rsidR="00B85286" w:rsidRPr="009B2971" w:rsidRDefault="00A4513A">
      <w:pPr>
        <w:pStyle w:val="CoverNormal24a"/>
      </w:pPr>
      <w:r w:rsidRPr="00A4513A">
        <w:rPr>
          <w:rStyle w:val="HideTWBExt"/>
        </w:rPr>
        <w:t>&lt;Titre&gt;</w:t>
      </w:r>
      <w:r w:rsidRPr="009B2971">
        <w:t xml:space="preserve">Modificarea Regulamentului (UE) 2021/1057 de instituire a Fondului social european Plus (FSE+) în ceea ce privește măsuri specifice de abordare </w:t>
      </w:r>
      <w:r w:rsidRPr="009B2971">
        <w:t>a provocărilor strategice</w:t>
      </w:r>
      <w:r w:rsidRPr="00A4513A">
        <w:rPr>
          <w:rStyle w:val="HideTWBExt"/>
        </w:rPr>
        <w:t>&lt;/Titre&gt;</w:t>
      </w:r>
    </w:p>
    <w:p w:rsidR="006337D4" w:rsidRPr="009B2971" w:rsidRDefault="00A4513A" w:rsidP="006337D4">
      <w:pPr>
        <w:pStyle w:val="CoverNormal"/>
      </w:pPr>
      <w:r w:rsidRPr="00A4513A">
        <w:rPr>
          <w:rStyle w:val="HideTWBExt"/>
        </w:rPr>
        <w:t>&lt;DocAmend&gt;</w:t>
      </w:r>
      <w:r w:rsidRPr="009B2971">
        <w:t>Propunere de regulament</w:t>
      </w:r>
      <w:r w:rsidRPr="00A4513A">
        <w:rPr>
          <w:rStyle w:val="HideTWBExt"/>
        </w:rPr>
        <w:t>&lt;/DocAmend&gt;</w:t>
      </w:r>
    </w:p>
    <w:p w:rsidR="00B85286" w:rsidRPr="009B2971" w:rsidRDefault="00A4513A">
      <w:pPr>
        <w:pStyle w:val="CoverNormal24a"/>
      </w:pPr>
      <w:r w:rsidRPr="00A4513A">
        <w:rPr>
          <w:rStyle w:val="HideTWBExt"/>
        </w:rPr>
        <w:t>&lt;DocRef&gt;</w:t>
      </w:r>
      <w:r w:rsidRPr="009B2971">
        <w:t>(COM(2025)0164 – C10</w:t>
      </w:r>
      <w:r w:rsidRPr="009B2971">
        <w:noBreakHyphen/>
        <w:t>0064/2025 – 2025/0085(COD))</w:t>
      </w:r>
      <w:r w:rsidRPr="00A4513A">
        <w:rPr>
          <w:rStyle w:val="HideTWBExt"/>
        </w:rPr>
        <w:t>&lt;/DocRef&gt;</w:t>
      </w:r>
    </w:p>
    <w:p w:rsidR="00B85286" w:rsidRPr="009B2971" w:rsidRDefault="00A4513A" w:rsidP="00E660E2">
      <w:pPr>
        <w:widowControl/>
        <w:tabs>
          <w:tab w:val="center" w:pos="4677"/>
        </w:tabs>
      </w:pPr>
      <w:r w:rsidRPr="009B2971">
        <w:br w:type="page"/>
      </w:r>
      <w:r w:rsidRPr="009B2971">
        <w:lastRenderedPageBreak/>
        <w:t>AM_Com_LegReport</w:t>
      </w:r>
    </w:p>
    <w:p w:rsidR="009B2971" w:rsidRPr="009B2971" w:rsidRDefault="00A4513A" w:rsidP="009B2971">
      <w:pPr>
        <w:pStyle w:val="AMNumberTabs0"/>
        <w:keepNext/>
      </w:pPr>
      <w:r w:rsidRPr="009B2971">
        <w:br w:type="page"/>
      </w:r>
      <w:r w:rsidR="009B2971" w:rsidRPr="00A4513A">
        <w:rPr>
          <w:rStyle w:val="HideTWBExt"/>
          <w:b w:val="0"/>
        </w:rPr>
        <w:lastRenderedPageBreak/>
        <w:t>&lt;RepeatBlock-Amend&gt;&lt;Amend&gt;</w:t>
      </w:r>
      <w:r w:rsidR="009B2971" w:rsidRPr="009B2971">
        <w:t>Amendamentul</w:t>
      </w:r>
      <w:r w:rsidR="009B2971" w:rsidRPr="009B2971">
        <w:tab/>
      </w:r>
      <w:r w:rsidR="009B2971" w:rsidRPr="009B2971">
        <w:tab/>
      </w:r>
      <w:r w:rsidR="009B2971" w:rsidRPr="00A4513A">
        <w:rPr>
          <w:rStyle w:val="HideTWBExt"/>
          <w:b w:val="0"/>
        </w:rPr>
        <w:t>&lt;NumAm&gt;</w:t>
      </w:r>
      <w:r w:rsidR="009B2971" w:rsidRPr="009B2971">
        <w:t>1</w:t>
      </w:r>
      <w:r w:rsidR="009B2971"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Estrella Galán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tcPr>
          <w:p w:rsidR="009B2971" w:rsidRPr="009B2971" w:rsidRDefault="009B2971" w:rsidP="003A1038">
            <w:pPr>
              <w:pStyle w:val="ColumnHeading"/>
              <w:keepNext/>
            </w:pPr>
          </w:p>
        </w:tc>
        <w:tc>
          <w:tcPr>
            <w:tcW w:w="4876" w:type="dxa"/>
            <w:hideMark/>
          </w:tcPr>
          <w:p w:rsidR="009B2971" w:rsidRPr="009B2971" w:rsidRDefault="009B2971" w:rsidP="003A1038">
            <w:pPr>
              <w:pStyle w:val="ColumnHeading"/>
              <w:keepNext/>
            </w:pPr>
            <w:r w:rsidRPr="009B2971">
              <w:t>Propunerea de respingere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Parlamentul European respinge propunerea Comisiei.</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(FSE+ nu trebuie să finanțeze competențe sau măsuri de ocupare a forței de muncă legate de sectorul apărării. Fondul trebuie să își mențină angajamentul față de obiectivele sale civile și sociale și să nu fie reorientat pentru a legitima reformele din domeniul apărării prin intermediul procedurilor de urgență. Deși sprijinim decarbonizarea, deja permisă în mod explicit și finanțată de FSE+, respingem instrumentalizarea acestuia pentru a justifica cheltuielile pentru apărare și subliniem că politica în domeniul climei necesită dezbateri democratice periodice.)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Referirea 5 a (nouă)</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având în vedere avizul 02/2025 al Curții de Conturi Europene,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lastRenderedPageBreak/>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w:t>
            </w:r>
            <w:r w:rsidRPr="009B2971">
              <w:rPr>
                <w:b/>
                <w:i/>
              </w:rPr>
              <w:tab/>
              <w:t>Principalul obiectiv al FSE+ este să sprijine incluziunea socială și coeziunea socială și să îndeplinească îndeplini principiile și obiectivele principale ale Pilonului european al drepturilor sociale, prin sprijinirea investițiilor în oameni și sisteme în domeniul de politică al ocupării forței de muncă, educației și incluziunii sociale.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Branislav Ondruš</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(1)</w:t>
            </w:r>
            <w:r w:rsidRPr="009B2971">
              <w:rPr>
                <w:b/>
                <w:i/>
              </w:rPr>
              <w:tab/>
              <w:t>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Marie Dauchy, Nikola Bartůšek</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{EMPL}</w:t>
      </w:r>
      <w:r w:rsidRPr="009B2971">
        <w:t>în numele Comisiei pentru ocuparea forței de muncă și afaceri sociale</w:t>
      </w:r>
      <w:r w:rsidRPr="00A4513A">
        <w:rPr>
          <w:rStyle w:val="HideTWBExt"/>
        </w:rPr>
        <w:t>&lt;/AuNomDe&gt;</w:t>
      </w:r>
    </w:p>
    <w:p w:rsidR="009B2971" w:rsidRPr="009B2971" w:rsidRDefault="009B2971" w:rsidP="009B2971">
      <w:pPr>
        <w:pStyle w:val="NormalBold"/>
      </w:pPr>
      <w:r w:rsidRPr="00A4513A">
        <w:rPr>
          <w:rStyle w:val="HideTWBExt"/>
          <w:b w:val="0"/>
        </w:rPr>
        <w:t>&lt;Members&gt;</w:t>
      </w:r>
      <w:r w:rsidRPr="009B2971">
        <w:t>Séverine Werbrouck</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w:t>
            </w:r>
          </w:p>
        </w:tc>
        <w:tc>
          <w:tcPr>
            <w:tcW w:w="4876" w:type="dxa"/>
            <w:hideMark/>
          </w:tcPr>
          <w:p w:rsidR="009B2971" w:rsidRPr="009B2971" w:rsidRDefault="009B2971" w:rsidP="003A1038">
            <w:pPr>
              <w:pStyle w:val="Normal6"/>
              <w:rPr>
                <w:szCs w:val="24"/>
              </w:rPr>
            </w:pPr>
            <w:r w:rsidRPr="009B2971">
              <w:t>(1)</w:t>
            </w:r>
            <w:r w:rsidRPr="009B2971">
              <w:tab/>
              <w:t>Având în vedere evenimentele geopolitice și economice majore care au dus la redefinirea unora dintre prioritățile politice strategice ale Uniunii,</w:t>
            </w:r>
            <w:r w:rsidRPr="009B2971">
              <w:rPr>
                <w:b/>
                <w:bCs/>
                <w:i/>
                <w:iCs/>
              </w:rPr>
              <w:t xml:space="preserve"> precum și o discrepanță semnificativă între obiectivele fondului FSE+ și preocupările reale ale statelor membre în timpul programării sale pentru perioada 2021-2027</w:t>
            </w:r>
            <w:r w:rsidRPr="009B2971">
              <w:t xml:space="preserve"> este necesar să se prevadă posibilitatea statelor membre de a aborda aceste provocări strategice și de a-și reorienta resursele către prioritățile nou apărute.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{FR}</w:t>
      </w:r>
      <w:r w:rsidRPr="009B2971">
        <w:rPr>
          <w:noProof w:val="0"/>
        </w:rPr>
        <w:t>fr</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w:t>
            </w:r>
          </w:p>
        </w:tc>
        <w:tc>
          <w:tcPr>
            <w:tcW w:w="4876" w:type="dxa"/>
            <w:hideMark/>
          </w:tcPr>
          <w:p w:rsidR="009B2971" w:rsidRPr="009B2971" w:rsidRDefault="009B2971" w:rsidP="003A1038">
            <w:pPr>
              <w:pStyle w:val="Normal6"/>
              <w:rPr>
                <w:szCs w:val="24"/>
              </w:rPr>
            </w:pPr>
            <w:r w:rsidRPr="009B2971">
              <w:t>(1)</w:t>
            </w:r>
            <w:r w:rsidRPr="009B2971">
              <w:tab/>
              <w:t xml:space="preserve">Având în vedere evenimentele geopolitice și economice majore care au dus la redefinirea unora dintre prioritățile politice strategice ale Uniunii, este necesar să se prevadă </w:t>
            </w:r>
            <w:r w:rsidRPr="009B2971">
              <w:rPr>
                <w:b/>
                <w:bCs/>
                <w:i/>
                <w:iCs/>
              </w:rPr>
              <w:t xml:space="preserve">mai multe posibilități structurale </w:t>
            </w:r>
            <w:r w:rsidRPr="009B2971">
              <w:t xml:space="preserve">pentru statele membre de a aborda aceste provocări strategice și nevoile de investiții ale industriilor, precum și de a-și reorienta resursele către prioritățile nou apărute, </w:t>
            </w:r>
            <w:r w:rsidRPr="009B2971">
              <w:rPr>
                <w:b/>
                <w:bCs/>
                <w:i/>
                <w:iCs/>
              </w:rPr>
              <w:t>protejând în același timp coeziunea, creând locuri de muncă de calitate și menținând condițiile de concurență echitabile pe piața internă;</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lastRenderedPageBreak/>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w:t>
            </w:r>
          </w:p>
        </w:tc>
        <w:tc>
          <w:tcPr>
            <w:tcW w:w="4876" w:type="dxa"/>
            <w:hideMark/>
          </w:tcPr>
          <w:p w:rsidR="009B2971" w:rsidRPr="009B2971" w:rsidRDefault="009B2971" w:rsidP="003A1038">
            <w:pPr>
              <w:pStyle w:val="Normal6"/>
              <w:rPr>
                <w:szCs w:val="24"/>
              </w:rPr>
            </w:pPr>
            <w:r w:rsidRPr="009B2971">
              <w:t>(1)</w:t>
            </w:r>
            <w:r w:rsidRPr="009B2971">
              <w:tab/>
              <w:t xml:space="preserve">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 </w:t>
            </w:r>
            <w:r w:rsidRPr="009B2971">
              <w:rPr>
                <w:b/>
                <w:bCs/>
                <w:i/>
                <w:iCs/>
              </w:rPr>
              <w:t>dacă nu este posibil să se abordeze aceste chestiuni în cadrul programelor actuale</w:t>
            </w:r>
            <w:r w:rsidRPr="009B2971">
              <w: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w:t>
            </w:r>
          </w:p>
        </w:tc>
        <w:tc>
          <w:tcPr>
            <w:tcW w:w="4876" w:type="dxa"/>
            <w:hideMark/>
          </w:tcPr>
          <w:p w:rsidR="009B2971" w:rsidRPr="009B2971" w:rsidRDefault="009B2971" w:rsidP="003A1038">
            <w:pPr>
              <w:pStyle w:val="Normal6"/>
              <w:rPr>
                <w:szCs w:val="24"/>
              </w:rPr>
            </w:pPr>
            <w:r w:rsidRPr="009B2971">
              <w:t>(1)</w:t>
            </w:r>
            <w:r w:rsidRPr="009B2971">
              <w:tab/>
              <w:t xml:space="preserve">Având în vedere evenimentele geopolitice și economice majore care au dus la redefinirea unora dintre prioritățile politice strategice ale Uniunii, este necesar să se prevadă posibilitatea statelor membre de a aborda aceste provocări strategice și de a-și reorienta resursele către prioritățile nou apărute </w:t>
            </w:r>
            <w:r w:rsidRPr="009B2971">
              <w:rPr>
                <w:b/>
                <w:bCs/>
                <w:i/>
                <w:iCs/>
              </w:rPr>
              <w:t>într-o manieră incluzivă</w:t>
            </w:r>
            <w:r w:rsidRPr="009B2971">
              <w: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(1a)</w:t>
            </w:r>
            <w:r w:rsidRPr="009B2971">
              <w:rPr>
                <w:b/>
                <w:i/>
              </w:rPr>
              <w:tab/>
              <w:t>Potrivit Avizului 02/2025 al CCE, folosirea repetată a fondurilor politicii de coeziune pentru a răspunde situațiilor de urgență (de exemplu, măsuri de gestionare a crizelor legate de migrație sau a altor situații de urgență) riscă să submineze obiectivul principal al politicii de coeziune, și anume reducerea disparităților teritoriale și promovarea coeziunii economice și sociale în Uniunea Europeană.</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(1a)</w:t>
            </w:r>
            <w:r w:rsidRPr="009B2971">
              <w:rPr>
                <w:b/>
                <w:i/>
              </w:rPr>
              <w:tab/>
              <w:t>Principalul obiectiv al FSE+ este de a sprijini statele membre și regiunile să realizeze incluziunea socială și să activeze piața forței de muncă prin îndeplinirea principiilor și a obiectivelor principale ale Pilonului european al drepturilor sociale, care sunt departe de a fi îndeplinite.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 b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(1b)</w:t>
            </w:r>
            <w:r w:rsidRPr="009B2971">
              <w:rPr>
                <w:b/>
                <w:i/>
              </w:rPr>
              <w:tab/>
              <w:t>Uniunea Europeană și statele sale membre continuă să demonstreze că pot reacționa rapid la evenimente geopolitice și că sunt dispuse să folosească suficiente resurse financiare pentru a ne consolida industria de apărare prin diferite programe europene și naționale, fapt pozitiv și necesar pentru securitatea Uniunii. Este important să ne consolidăm sectorul apărării prin intermediul programelor de competitivitate. În același timp, este extrem de important să se continue investițiile în obiectivele sociale ale Uniunii noastre prin intermediul FSE+, deoarece coeziunea socială este o piatră de temelie a rezilienței noastre democratice și societale, fapt esențial în fața amenințărilor de agresiune.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Marc Angel, Idoia Mendia, Vilija Blinkevičiūtė, Aodhán Ó Ríordáin, Evelyn Regner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 c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(1c)</w:t>
            </w:r>
            <w:r w:rsidRPr="009B2971">
              <w:rPr>
                <w:b/>
                <w:i/>
              </w:rPr>
              <w:tab/>
              <w:t>Politica de coeziune trebuie să rămână o politică pe termen lung, bazată pe obiectivele stabilite la articolele 174 și 175 din TFUE. Politica de coeziune este adesea folosită ca instrument de răspuns în situații de urgență, ceea ce nu ar trebui să pună în pericol obiectivele de politică și de investiții pe termen mai lung ale politicii de coeziune.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lastRenderedPageBreak/>
        <w:t>&lt;Amend&gt;</w:t>
      </w:r>
      <w:r w:rsidRPr="009B2971">
        <w:t>Amendamentul</w:t>
      </w:r>
      <w:r w:rsidRPr="009B2971">
        <w:tab/>
      </w:r>
      <w:r w:rsidRPr="009B2971">
        <w:tab/>
      </w:r>
      <w:r w:rsidRPr="00A4513A">
        <w:rPr>
          <w:rStyle w:val="HideTWBExt"/>
          <w:b w:val="0"/>
        </w:rPr>
        <w:t>&lt;NumAm&gt;</w:t>
      </w:r>
      <w:r w:rsidRPr="009B2971">
        <w:t>13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Branislav Ondruš</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(2)</w:t>
            </w:r>
            <w:r w:rsidRPr="009B2971">
              <w:rPr>
                <w:b/>
                <w:i/>
              </w:rPr>
              <w:tab/>
              <w:t>Cartea albă privind viitorul apărării europene 2030</w:t>
            </w:r>
            <w:r w:rsidRPr="009B2971">
              <w:rPr>
                <w:b/>
                <w:i/>
                <w:vertAlign w:val="superscript"/>
              </w:rPr>
              <w:t>3</w:t>
            </w:r>
            <w:r w:rsidRPr="009B2971">
              <w:t xml:space="preserve"> </w:t>
            </w:r>
            <w:r w:rsidRPr="009B2971">
              <w:rPr>
                <w:b/>
                <w:i/>
              </w:rPr>
              <w:t>pregătește terenul pentru o veritabilă uniune europeană a apărării, inclusiv sugerând statelor membre să investească masiv în apărare și în industria de apărare. În această privință, Comunicarea Comisiei din 5 martie 2025 privind o uniune a competențelor</w:t>
            </w:r>
            <w:r w:rsidRPr="009B2971">
              <w:rPr>
                <w:b/>
                <w:i/>
                <w:vertAlign w:val="superscript"/>
              </w:rPr>
              <w:t>4</w:t>
            </w:r>
            <w:r w:rsidRPr="009B2971">
              <w:t xml:space="preserve"> </w:t>
            </w:r>
            <w:r w:rsidRPr="009B2971">
              <w:rPr>
                <w:b/>
                <w:i/>
              </w:rPr>
              <w:t>(„Comunicarea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Prin urmare, este oportun să se includă stimulente pentru FSE+ instituit prin Regulamentul (UE) 2021/1057 al Parlamentului European și al Consiliului</w:t>
            </w:r>
            <w:r w:rsidRPr="009B2971">
              <w:rPr>
                <w:b/>
                <w:i/>
                <w:vertAlign w:val="superscript"/>
              </w:rPr>
              <w:t>5</w:t>
            </w:r>
            <w:r w:rsidRPr="009B2971">
              <w:t xml:space="preserve"> </w:t>
            </w:r>
            <w:r w:rsidRPr="009B2971">
              <w:rPr>
                <w:b/>
                <w:i/>
              </w:rPr>
              <w:t>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rPr>
                <w:b/>
                <w:i/>
              </w:rPr>
              <w:t>eliminat</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__________________</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3</w:t>
            </w:r>
            <w:r w:rsidRPr="009B2971">
              <w:t xml:space="preserve"> </w:t>
            </w:r>
            <w:r w:rsidRPr="009B2971">
              <w:rPr>
                <w:b/>
                <w:i/>
              </w:rPr>
              <w:t>Cartea albă comună privind viitorul apărării europene 2030, JOIN(2025) 120 final, 19.3.2025.</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4</w:t>
            </w:r>
            <w:r w:rsidRPr="009B2971">
              <w:t xml:space="preserve"> </w:t>
            </w:r>
            <w:r w:rsidRPr="009B2971">
              <w:rPr>
                <w:b/>
                <w:i/>
              </w:rPr>
              <w:t xml:space="preserve">COM (2025) </w:t>
            </w:r>
            <w:r w:rsidR="00A4513A">
              <w:rPr>
                <w:b/>
                <w:i/>
              </w:rPr>
              <w:t>00</w:t>
            </w:r>
            <w:r w:rsidRPr="009B2971">
              <w:rPr>
                <w:b/>
                <w:i/>
              </w:rPr>
              <w:t>90 final</w:t>
            </w:r>
            <w:r w:rsidRPr="009B2971">
              <w:t>.</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5</w:t>
            </w:r>
            <w:r w:rsidRPr="009B2971">
              <w:t xml:space="preserve"> </w:t>
            </w:r>
            <w:r w:rsidRPr="009B2971">
              <w:rPr>
                <w:b/>
                <w:i/>
              </w:rPr>
              <w:t>Regulamentul (UE) 2021/1057 al Parlamentului European și al Consiliului din 24 iunie 2021 de instituire a Fondului social european Plus (FSE+) și de abrogare a Regulamentului (UE) nr. 1296/2013 (JO L 231, 30.6.2021, p. 21, ELI: http://data.europa.eu/eli/reg/2021/1057/oj).</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lastRenderedPageBreak/>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Grégory Allione, Brigitte van den Berg, Marie-Pierre Vedrenne</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w:t>
            </w:r>
            <w:r w:rsidRPr="009B2971">
              <w:rPr>
                <w:b/>
                <w:i/>
              </w:rPr>
              <w:t>și</w:t>
            </w:r>
            <w:r w:rsidRPr="009B2971">
              <w:t xml:space="preserve"> în industria de apărare. În această privință, Comunicarea Comisiei din 5 martie 2025 privind o uniune a competențelor</w:t>
            </w:r>
            <w:r w:rsidRPr="009B2971">
              <w:rPr>
                <w:vertAlign w:val="superscript"/>
              </w:rPr>
              <w:t>4</w:t>
            </w:r>
            <w:r w:rsidRPr="009B2971">
              <w:t>(„Comunicarea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t>(2)</w:t>
            </w:r>
            <w:r w:rsidRPr="009B2971">
              <w:tab/>
            </w:r>
            <w:r w:rsidRPr="009B2971">
              <w:rPr>
                <w:b/>
                <w:i/>
              </w:rPr>
              <w:t xml:space="preserve">În completarea raportului Niinisto intitulat „Împreună mai în siguranță”: </w:t>
            </w:r>
            <w:r w:rsidRPr="009B2971">
              <w:rPr>
                <w:b/>
                <w:bCs/>
                <w:i/>
                <w:iCs/>
              </w:rPr>
              <w:t>Consolidarea pregătirii și a pregătirii civile și militare a Europei”</w:t>
            </w:r>
            <w:r w:rsidRPr="009B2971">
              <w:rPr>
                <w:b/>
                <w:bCs/>
                <w:i/>
                <w:iCs/>
                <w:vertAlign w:val="superscript"/>
              </w:rPr>
              <w:t>2a</w:t>
            </w:r>
            <w:r w:rsidRPr="009B2971">
              <w:rPr>
                <w:b/>
                <w:bCs/>
                <w:i/>
                <w:iCs/>
              </w:rPr>
              <w:t xml:space="preserve"> și a Strategiei UE pentru o uniune a pregătirii </w:t>
            </w:r>
            <w:r w:rsidRPr="009B2971">
              <w:rPr>
                <w:b/>
                <w:bCs/>
                <w:i/>
                <w:iCs/>
                <w:vertAlign w:val="superscript"/>
              </w:rPr>
              <w:t>2b</w:t>
            </w:r>
            <w:r w:rsidRPr="009B2971">
              <w:t>, 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w:t>
            </w:r>
            <w:r w:rsidRPr="009B2971">
              <w:rPr>
                <w:b/>
                <w:bCs/>
                <w:i/>
                <w:iCs/>
              </w:rPr>
              <w:t xml:space="preserve"> în apărarea civilă</w:t>
            </w:r>
            <w:r w:rsidRPr="009B2971">
              <w:t xml:space="preserve">, în industria de apărare </w:t>
            </w:r>
            <w:r w:rsidRPr="009B2971">
              <w:rPr>
                <w:b/>
                <w:bCs/>
                <w:i/>
                <w:iCs/>
              </w:rPr>
              <w:t>și în tehnologiile cu dublă utilizare, care ar trebui să meargă în paralel cu cheltuielile sociale, creând locuri de muncă și oportunități de perfecționare și recalificare</w:t>
            </w:r>
            <w:r w:rsidRPr="009B2971">
              <w:t>. În această privință, Comunicarea Comisiei din 5 martie 2025 privind o uniune a competențelor</w:t>
            </w:r>
            <w:r w:rsidRPr="009B2971">
              <w:rPr>
                <w:vertAlign w:val="superscript"/>
              </w:rPr>
              <w:t>4</w:t>
            </w:r>
            <w:r w:rsidRPr="009B2971">
              <w:t xml:space="preserve"> („Comunicarea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w:t>
            </w:r>
            <w:r w:rsidRPr="009B2971">
              <w:rPr>
                <w:b/>
                <w:bCs/>
                <w:i/>
                <w:iCs/>
              </w:rPr>
              <w:t>recunoașterea reciprocă a calificărilor și diplomelor, mobilitatea forței de muncă și inițiativele în domeniul educației și formării profesionale</w:t>
            </w:r>
            <w:r w:rsidRPr="009B2971">
              <w:t>.</w:t>
            </w:r>
            <w:r w:rsidRPr="009B2971">
              <w:rPr>
                <w:b/>
                <w:i/>
              </w:rPr>
              <w:t xml:space="preserve"> Pentru a permite statelor membre să atingă obiectivele prezentului regulament, ar trebui încurajată cooperarea dintre actorii publici și privați, precum și implicarea activă a partenerilor sociali, inclusiv a sindicatelor și a organizațiilor patronale, pentru a asigura </w:t>
            </w:r>
            <w:r w:rsidRPr="009B2971">
              <w:rPr>
                <w:b/>
                <w:i/>
              </w:rPr>
              <w:lastRenderedPageBreak/>
              <w:t xml:space="preserve">o creștere durabilă și favorabilă incluziunii. </w:t>
            </w:r>
            <w:r w:rsidRPr="009B2971">
              <w:rPr>
                <w:b/>
                <w:bCs/>
                <w:i/>
                <w:iCs/>
              </w:rPr>
              <w:t>Pentru a permite statelor membre să facă o reprogramare semnificativă și justă și să își concentreze resursele asupra actorilor strategici, este oportun să se sprijine întreprinderile mici și mijlocii și întreprinderile nou-înființate în rolul lor esențial în inovare, dinamism economic și în crearea de locuri de muncă, cu un accent deosebit pe reducerea barierelor din calea participării lor și pe facilitarea accesului lor la resurse și oportunități.</w:t>
            </w:r>
            <w:r w:rsidRPr="009B2971">
              <w:t xml:space="preserv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w:t>
            </w:r>
            <w:r w:rsidRPr="009B2971">
              <w:rPr>
                <w:b/>
                <w:bCs/>
                <w:i/>
                <w:iCs/>
              </w:rPr>
              <w:t>și a cursurilor de pregătire</w:t>
            </w:r>
            <w:r w:rsidRPr="009B2971">
              <w:t xml:space="preserve"> în </w:t>
            </w:r>
            <w:r w:rsidRPr="009B2971">
              <w:rPr>
                <w:b/>
                <w:bCs/>
                <w:i/>
                <w:iCs/>
              </w:rPr>
              <w:t xml:space="preserve">apărarea civilă și </w:t>
            </w:r>
            <w:r w:rsidRPr="009B2971">
              <w:t>industria de apărare, păstrând totodată standardele sociale.</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bCs/>
                <w:i/>
                <w:iCs/>
                <w:vertAlign w:val="superscript"/>
              </w:rPr>
              <w:t>2a</w:t>
            </w:r>
            <w:r w:rsidRPr="009B2971">
              <w:rPr>
                <w:b/>
                <w:bCs/>
                <w:i/>
                <w:iCs/>
              </w:rPr>
              <w:t xml:space="preserve"> Sauli Niinistö, Raport, Safer together – Strengthening Europe (Împreună mai în siguranță - Consolidarea disponibilității și pregătirii în domeniul apărării civile și militare a Europei), 30,10.2024</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vertAlign w:val="superscript"/>
              </w:rPr>
              <w:t xml:space="preserve">2B </w:t>
            </w:r>
            <w:r w:rsidRPr="009B2971">
              <w:rPr>
                <w:b/>
                <w:bCs/>
                <w:i/>
                <w:iCs/>
              </w:rPr>
              <w:t>COMUNICARE COMUNĂ CĂTRE PARLAMENTUL EUROPEAN, CONSILIUL EUROPEAN, CONSILIU, COMITETUL ECONOMIC ȘI SOCIAL EUROPEAN ȘI COMITETUL REGIUNILOR referitoare la Strategia europeană privind o Uniune a pregătirii JOIN (2025) 130 final, 23.3.2025</w:t>
            </w:r>
            <w:r w:rsidRPr="009B2971">
              <w:rPr>
                <w:i/>
                <w:iCs/>
              </w:rPr>
              <w:t>.</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3</w:t>
            </w:r>
            <w:r w:rsidRPr="009B2971">
              <w:t xml:space="preserve"> Cartea albă comună privind viitorul apărării europene 2030, JOIN(2025) 120 final, 19.3.2025.</w:t>
            </w:r>
          </w:p>
        </w:tc>
        <w:tc>
          <w:tcPr>
            <w:tcW w:w="4876" w:type="dxa"/>
            <w:hideMark/>
          </w:tcPr>
          <w:p w:rsidR="009B2971" w:rsidRPr="009B2971" w:rsidRDefault="009B2971" w:rsidP="003A1038">
            <w:pPr>
              <w:pStyle w:val="Normal6"/>
              <w:rPr>
                <w:szCs w:val="24"/>
              </w:rPr>
            </w:pPr>
            <w:r w:rsidRPr="009B2971">
              <w:rPr>
                <w:vertAlign w:val="superscript"/>
              </w:rPr>
              <w:t>3</w:t>
            </w:r>
            <w:r w:rsidRPr="009B2971">
              <w:t xml:space="preserve"> Cartea albă comună privind viitorul apărării europene 2030, JOIN(2025) 120 final, 19.3.2025.</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4</w:t>
            </w:r>
            <w:r w:rsidRPr="009B2971">
              <w:t xml:space="preserve"> COM (2025) </w:t>
            </w:r>
            <w:r w:rsidR="00A4513A">
              <w:t>00</w:t>
            </w:r>
            <w:r w:rsidRPr="009B2971">
              <w:t>90 final.</w:t>
            </w:r>
          </w:p>
        </w:tc>
        <w:tc>
          <w:tcPr>
            <w:tcW w:w="4876" w:type="dxa"/>
            <w:hideMark/>
          </w:tcPr>
          <w:p w:rsidR="009B2971" w:rsidRPr="009B2971" w:rsidRDefault="009B2971" w:rsidP="003A1038">
            <w:pPr>
              <w:pStyle w:val="Normal6"/>
              <w:rPr>
                <w:szCs w:val="24"/>
              </w:rPr>
            </w:pPr>
            <w:r w:rsidRPr="009B2971">
              <w:rPr>
                <w:vertAlign w:val="superscript"/>
              </w:rPr>
              <w:t>4</w:t>
            </w:r>
            <w:r w:rsidRPr="009B2971">
              <w:t xml:space="preserve"> COM (2025) 90 final.</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c>
          <w:tcPr>
            <w:tcW w:w="4876" w:type="dxa"/>
            <w:hideMark/>
          </w:tcPr>
          <w:p w:rsidR="009B2971" w:rsidRPr="009B2971" w:rsidRDefault="009B2971" w:rsidP="003A1038">
            <w:pPr>
              <w:pStyle w:val="Normal6"/>
              <w:rPr>
                <w:szCs w:val="24"/>
              </w:rPr>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r>
    </w:tbl>
    <w:p w:rsidR="009B2971" w:rsidRPr="009B2971" w:rsidRDefault="009B2971" w:rsidP="009B2971">
      <w:pPr>
        <w:pStyle w:val="Olang"/>
      </w:pPr>
      <w:r w:rsidRPr="009B2971">
        <w:rPr>
          <w:noProof w:val="0"/>
        </w:rPr>
        <w:lastRenderedPageBreak/>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w:t>
            </w:r>
            <w:r w:rsidRPr="009B2971">
              <w:rPr>
                <w:b/>
                <w:i/>
              </w:rPr>
              <w:t>și</w:t>
            </w:r>
            <w:r w:rsidRPr="009B2971">
              <w:t xml:space="preserve"> în industria de apărare. În această privință, Comunicarea Comisiei din 5 martie 2025 privind o uniune a competențelor</w:t>
            </w:r>
            <w:r w:rsidRPr="009B2971">
              <w:rPr>
                <w:vertAlign w:val="superscript"/>
              </w:rPr>
              <w:t>4</w:t>
            </w:r>
            <w:r w:rsidRPr="009B2971">
              <w:t xml:space="preserve">(„Comunicarea privind uniunea competențelor”) prezintă acțiuni menite să elimine lacunele în materie de competențe și lipsa de personal calificat din Uniune, </w:t>
            </w:r>
            <w:r w:rsidRPr="009B2971">
              <w:rPr>
                <w:b/>
                <w:i/>
              </w:rPr>
              <w:t>inclusiv</w:t>
            </w:r>
            <w:r w:rsidRPr="009B2971">
              <w:t xml:space="preserve"> prin intermediul inițiativei „Pactul pentru competențe” </w:t>
            </w:r>
            <w:r w:rsidRPr="009B2971">
              <w:rPr>
                <w:b/>
                <w:i/>
              </w:rPr>
              <w:t>menționate în comunicarea respectivă</w:t>
            </w:r>
            <w:r w:rsidRPr="009B2971">
              <w:t xml:space="preserve"> și al parteneriatelor sale la scară largă, cum ar fi cel privind ecosistemul de apărare.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w:t>
            </w:r>
            <w:r w:rsidRPr="009B2971">
              <w:rPr>
                <w:b/>
                <w:bCs/>
                <w:i/>
                <w:iCs/>
              </w:rPr>
              <w:t xml:space="preserve"> </w:t>
            </w:r>
            <w:r w:rsidRPr="009B2971">
              <w:t xml:space="preserve">în industria de apărare </w:t>
            </w:r>
            <w:r w:rsidRPr="009B2971">
              <w:rPr>
                <w:b/>
                <w:bCs/>
                <w:i/>
                <w:iCs/>
              </w:rPr>
              <w:t>și în tehnologiile cu dublă utilizare, care ar trebui să meargă în paralel cu cheltuielile sociale, creând locuri de muncă și oportunități de perfecționare și recalificare</w:t>
            </w:r>
            <w:r w:rsidRPr="009B2971">
              <w:t>. În această privință, Comunicarea Comisiei din 5 martie 2025 privind o uniune a competențelor</w:t>
            </w:r>
            <w:r w:rsidRPr="009B2971">
              <w:rPr>
                <w:vertAlign w:val="superscript"/>
              </w:rPr>
              <w:t>4</w:t>
            </w:r>
            <w:r w:rsidRPr="009B2971">
              <w:t xml:space="preserve"> („Comunicarea privind uniunea competențelor”) prezintă acțiuni menite să elimine diferențele de competențe și lipsa de personal calificat din Uniune, prin inițiativa „Pactul pentru competențe”, prin parteneriatele sale la scară largă, cum ar fi cel privind ecosistemul de apărare, </w:t>
            </w:r>
            <w:r w:rsidRPr="009B2971">
              <w:rPr>
                <w:b/>
                <w:bCs/>
                <w:i/>
                <w:iCs/>
              </w:rPr>
              <w:t>recunoașterea reciprocă a calificărilor și diplomelor, mobilitatea forței de muncă și inițiativele în domeniul educației și formării profesionale</w:t>
            </w:r>
            <w:r w:rsidRPr="009B2971">
              <w:t>.</w:t>
            </w:r>
            <w:r w:rsidRPr="009B2971">
              <w:rPr>
                <w:b/>
                <w:i/>
              </w:rPr>
              <w:t xml:space="preserve"> Pentru a permite statelor membre să atingă obiectivele prezentului regulament, ar trebui încurajată cooperarea dintre actorii publici și privați, precum și implicarea activă a partenerilor sociali, inclusiv a sindicatelor și a organizațiilor patronale, pentru a asigura o creștere durabilă și incluzivă. </w:t>
            </w:r>
            <w:r w:rsidRPr="009B2971">
              <w:rPr>
                <w:b/>
                <w:bCs/>
                <w:i/>
                <w:iCs/>
              </w:rPr>
              <w:t xml:space="preserve">Pentru a permite statelor membre să facă o reprogramare semnificativă și justă și să își concentreze resursele asupra actorilor strategici, este oportun să se sprijine întreprinderile mici și mijlocii și întreprinderile nou-înființate în rolul lor </w:t>
            </w:r>
            <w:r w:rsidRPr="009B2971">
              <w:rPr>
                <w:b/>
                <w:bCs/>
                <w:i/>
                <w:iCs/>
              </w:rPr>
              <w:lastRenderedPageBreak/>
              <w:t>esențial în inovare, dinamism economic și în crearea de locuri de muncă, cu un accent deosebit pe reducerea barierelor din calea participării lor și pe facilitarea accesului lor la resurse și oportunități.</w:t>
            </w:r>
            <w:r w:rsidRPr="009B2971">
              <w:t xml:space="preserv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w:t>
            </w:r>
            <w:r w:rsidRPr="009B2971">
              <w:rPr>
                <w:b/>
                <w:bCs/>
                <w:i/>
                <w:iCs/>
              </w:rPr>
              <w:t>și a cursurilor de pregătire</w:t>
            </w:r>
            <w:r w:rsidRPr="009B2971">
              <w:t xml:space="preserve"> în industria de apărare, </w:t>
            </w:r>
            <w:r w:rsidRPr="009B2971">
              <w:rPr>
                <w:b/>
                <w:bCs/>
                <w:i/>
                <w:iCs/>
              </w:rPr>
              <w:t>păstrând totodată standardele sociale</w:t>
            </w:r>
            <w:r w:rsidRPr="009B2971">
              <w:t>.</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3</w:t>
            </w:r>
            <w:r w:rsidRPr="009B2971">
              <w:t xml:space="preserve"> Cartea albă comună privind viitorul apărării europene 2030, JOIN(2025) 120 final, 19.3.2025.</w:t>
            </w:r>
          </w:p>
        </w:tc>
        <w:tc>
          <w:tcPr>
            <w:tcW w:w="4876" w:type="dxa"/>
            <w:hideMark/>
          </w:tcPr>
          <w:p w:rsidR="009B2971" w:rsidRPr="009B2971" w:rsidRDefault="009B2971" w:rsidP="003A1038">
            <w:pPr>
              <w:pStyle w:val="Normal6"/>
              <w:rPr>
                <w:szCs w:val="24"/>
              </w:rPr>
            </w:pPr>
            <w:r w:rsidRPr="009B2971">
              <w:rPr>
                <w:vertAlign w:val="superscript"/>
              </w:rPr>
              <w:t>3</w:t>
            </w:r>
            <w:r w:rsidRPr="009B2971">
              <w:t xml:space="preserve"> Cartea albă comună privind viitorul apărării europene 2030, JOIN(2025) 120 final, 19.3.2025.</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4</w:t>
            </w:r>
            <w:r w:rsidRPr="009B2971">
              <w:t xml:space="preserve"> COM (2025) </w:t>
            </w:r>
            <w:r w:rsidR="00A4513A">
              <w:t>00</w:t>
            </w:r>
            <w:r w:rsidRPr="009B2971">
              <w:t>90 final.</w:t>
            </w:r>
          </w:p>
        </w:tc>
        <w:tc>
          <w:tcPr>
            <w:tcW w:w="4876" w:type="dxa"/>
            <w:hideMark/>
          </w:tcPr>
          <w:p w:rsidR="009B2971" w:rsidRPr="009B2971" w:rsidRDefault="009B2971" w:rsidP="003A1038">
            <w:pPr>
              <w:pStyle w:val="Normal6"/>
              <w:rPr>
                <w:szCs w:val="24"/>
              </w:rPr>
            </w:pPr>
            <w:r w:rsidRPr="009B2971">
              <w:rPr>
                <w:vertAlign w:val="superscript"/>
              </w:rPr>
              <w:t>4</w:t>
            </w:r>
            <w:r w:rsidRPr="009B2971">
              <w:t xml:space="preserve"> COM (2025) 90 final.</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c>
          <w:tcPr>
            <w:tcW w:w="4876" w:type="dxa"/>
            <w:hideMark/>
          </w:tcPr>
          <w:p w:rsidR="009B2971" w:rsidRPr="009B2971" w:rsidRDefault="009B2971" w:rsidP="003A1038">
            <w:pPr>
              <w:pStyle w:val="Normal6"/>
              <w:rPr>
                <w:szCs w:val="24"/>
              </w:rPr>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și în industria de apărare. În această privință, Comunicarea Comisiei din 5 martie 2025 privind o uniune a </w:t>
            </w:r>
            <w:r w:rsidRPr="009B2971">
              <w:lastRenderedPageBreak/>
              <w:t>competențelor</w:t>
            </w:r>
            <w:r w:rsidRPr="009B2971">
              <w:rPr>
                <w:vertAlign w:val="superscript"/>
              </w:rPr>
              <w:t>4</w:t>
            </w:r>
            <w:r w:rsidRPr="009B2971">
              <w:t xml:space="preserve">(„Comunicarea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w:t>
            </w:r>
            <w:r w:rsidRPr="009B2971">
              <w:rPr>
                <w:b/>
                <w:i/>
              </w:rPr>
              <w:t>Prin urmare,</w:t>
            </w:r>
            <w:r w:rsidRPr="009B2971">
              <w:t xml:space="preserve"> este </w:t>
            </w:r>
            <w:r w:rsidRPr="009B2971">
              <w:rPr>
                <w:b/>
                <w:i/>
              </w:rPr>
              <w:t>oportun să se includă stimulente pentru</w:t>
            </w:r>
            <w:r w:rsidRPr="009B2971">
              <w:t xml:space="preserve">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lastRenderedPageBreak/>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și în industria de apărare. În această privință, Comunicarea Comisiei din 5 martie 2025 privind o uniune a </w:t>
            </w:r>
            <w:r w:rsidRPr="009B2971">
              <w:lastRenderedPageBreak/>
              <w:t>competențelor</w:t>
            </w:r>
            <w:r w:rsidRPr="009B2971">
              <w:rPr>
                <w:vertAlign w:val="superscript"/>
              </w:rPr>
              <w:t>4</w:t>
            </w:r>
            <w:r w:rsidRPr="009B2971">
              <w:t xml:space="preserve">(„Comunicarea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w:t>
            </w:r>
            <w:r w:rsidRPr="009B2971">
              <w:rPr>
                <w:b/>
                <w:i/>
              </w:rPr>
              <w:t>Uniunea Europeană și statele sale membre reacționează la evenimentele geopolitice și sunt dispuse să folosească resursele financiare necesare pentru a ne consolida industria de apărare prin diferite programe europene și naționale.</w:t>
            </w:r>
            <w:r w:rsidRPr="009B2971">
              <w:t xml:space="preserve"> </w:t>
            </w:r>
            <w:r w:rsidRPr="009B2971">
              <w:rPr>
                <w:b/>
                <w:bCs/>
                <w:i/>
                <w:iCs/>
              </w:rPr>
              <w:t>Este important să ne consolidăm sectorul apărării și, în același timp, să continuăm să investim în incluziunea și coeziunea socială a Uniunii noastre prin intermediul FSE +, iar statele membre pot folosi deja</w:t>
            </w:r>
            <w:r w:rsidRPr="009B2971">
              <w:t xml:space="preserve"> FSE + instituit prin Regulamentul (UE) 2021/1057 al Parlamentului European și al Consiliului</w:t>
            </w:r>
            <w:r w:rsidRPr="009B2971">
              <w:rPr>
                <w:vertAlign w:val="superscript"/>
              </w:rPr>
              <w:t>5</w:t>
            </w:r>
            <w:r w:rsidRPr="009B2971">
              <w:t xml:space="preserve"> pentru a facilita dezvoltarea competențelor în industria apărării.</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3</w:t>
            </w:r>
            <w:r w:rsidRPr="009B2971">
              <w:t xml:space="preserve"> Cartea albă comună privind viitorul apărării europene 2030, JOIN(2025) 120 final, 19.3.2025.</w:t>
            </w:r>
          </w:p>
        </w:tc>
        <w:tc>
          <w:tcPr>
            <w:tcW w:w="4876" w:type="dxa"/>
            <w:hideMark/>
          </w:tcPr>
          <w:p w:rsidR="009B2971" w:rsidRPr="009B2971" w:rsidRDefault="009B2971" w:rsidP="003A1038">
            <w:pPr>
              <w:pStyle w:val="Normal6"/>
              <w:rPr>
                <w:szCs w:val="24"/>
              </w:rPr>
            </w:pPr>
            <w:r w:rsidRPr="009B2971">
              <w:rPr>
                <w:vertAlign w:val="superscript"/>
              </w:rPr>
              <w:t>3</w:t>
            </w:r>
            <w:r w:rsidRPr="009B2971">
              <w:t xml:space="preserve"> Cartea albă comună privind viitorul apărării europene 2030, JOIN(2025) 120 final, 19.3.2025.</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4</w:t>
            </w:r>
            <w:r w:rsidRPr="009B2971">
              <w:t xml:space="preserve"> COM (2025) </w:t>
            </w:r>
            <w:r w:rsidR="00A4513A">
              <w:t>00</w:t>
            </w:r>
            <w:r w:rsidRPr="009B2971">
              <w:t>90 final.</w:t>
            </w:r>
          </w:p>
        </w:tc>
        <w:tc>
          <w:tcPr>
            <w:tcW w:w="4876" w:type="dxa"/>
            <w:hideMark/>
          </w:tcPr>
          <w:p w:rsidR="009B2971" w:rsidRPr="009B2971" w:rsidRDefault="009B2971" w:rsidP="003A1038">
            <w:pPr>
              <w:pStyle w:val="Normal6"/>
              <w:rPr>
                <w:szCs w:val="24"/>
              </w:rPr>
            </w:pPr>
            <w:r w:rsidRPr="009B2971">
              <w:rPr>
                <w:vertAlign w:val="superscript"/>
              </w:rPr>
              <w:t>4</w:t>
            </w:r>
            <w:r w:rsidRPr="009B2971">
              <w:t xml:space="preserve"> COM (2025) 90 final.</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c>
          <w:tcPr>
            <w:tcW w:w="4876" w:type="dxa"/>
            <w:hideMark/>
          </w:tcPr>
          <w:p w:rsidR="009B2971" w:rsidRPr="009B2971" w:rsidRDefault="009B2971" w:rsidP="003A1038">
            <w:pPr>
              <w:pStyle w:val="Normal6"/>
              <w:rPr>
                <w:szCs w:val="24"/>
              </w:rPr>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Marie Dauchy, Nikola Bartůšek</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{EMPL}</w:t>
      </w:r>
      <w:r w:rsidRPr="009B2971">
        <w:t>în numele Comisiei pentru ocuparea forței de muncă și afaceri sociale</w:t>
      </w:r>
      <w:r w:rsidRPr="00A4513A">
        <w:rPr>
          <w:rStyle w:val="HideTWBExt"/>
        </w:rPr>
        <w:t>&lt;/AuNomDe&gt;</w:t>
      </w:r>
    </w:p>
    <w:p w:rsidR="009B2971" w:rsidRPr="009B2971" w:rsidRDefault="009B2971" w:rsidP="009B2971">
      <w:pPr>
        <w:pStyle w:val="NormalBold"/>
      </w:pPr>
      <w:r w:rsidRPr="00A4513A">
        <w:rPr>
          <w:rStyle w:val="HideTWBExt"/>
          <w:b w:val="0"/>
        </w:rPr>
        <w:t>&lt;Members&gt;</w:t>
      </w:r>
      <w:r w:rsidRPr="009B2971">
        <w:t>Séverine Werbrouck, Rachel Blom</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lastRenderedPageBreak/>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r>
            <w:r w:rsidRPr="009B2971">
              <w:rPr>
                <w:b/>
                <w:bCs/>
                <w:i/>
                <w:iCs/>
              </w:rPr>
              <w:t>Cartea albă privind viitorul apărării europene 2030</w:t>
            </w:r>
            <w:r w:rsidRPr="009B2971">
              <w:rPr>
                <w:b/>
                <w:bCs/>
                <w:i/>
                <w:iCs/>
                <w:vertAlign w:val="superscript"/>
              </w:rPr>
              <w:t>3</w:t>
            </w:r>
            <w:r w:rsidRPr="009B2971">
              <w:rPr>
                <w:b/>
                <w:bCs/>
                <w:i/>
                <w:iCs/>
              </w:rPr>
              <w:t xml:space="preserve"> pregătește terenul pentru o veritabilă uniune europeană a apărării, inclusiv sugerând</w:t>
            </w:r>
            <w:r w:rsidRPr="009B2971">
              <w:t xml:space="preserve"> statelor membre să investească masiv în apărare și în industria de apărare. </w:t>
            </w:r>
            <w:r w:rsidRPr="009B2971">
              <w:rPr>
                <w:b/>
                <w:bCs/>
                <w:i/>
                <w:iCs/>
              </w:rPr>
              <w:t>În această privință, Comunicarea Comisiei din 5 martie 2025</w:t>
            </w:r>
            <w:r w:rsidRPr="009B2971">
              <w:rPr>
                <w:b/>
                <w:bCs/>
                <w:i/>
                <w:iCs/>
                <w:vertAlign w:val="superscript"/>
              </w:rPr>
              <w:t>4</w:t>
            </w:r>
            <w:r w:rsidRPr="009B2971">
              <w:rPr>
                <w:b/>
                <w:bCs/>
                <w:i/>
                <w:iCs/>
              </w:rPr>
              <w:t xml:space="preserve"> privind o uniune a competențelor („Comunicarea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w:t>
            </w:r>
            <w:r w:rsidRPr="009B2971">
              <w:t>.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t>(2)</w:t>
            </w:r>
            <w:r w:rsidRPr="009B2971">
              <w:tab/>
            </w:r>
            <w:r w:rsidRPr="009B2971">
              <w:rPr>
                <w:b/>
                <w:bCs/>
                <w:i/>
                <w:iCs/>
              </w:rPr>
              <w:t xml:space="preserve">Recentele tulburări geopolitice atrag atenția </w:t>
            </w:r>
            <w:r w:rsidRPr="009B2971">
              <w:t xml:space="preserve">statelor membre </w:t>
            </w:r>
            <w:r w:rsidRPr="009B2971">
              <w:rPr>
                <w:b/>
                <w:bCs/>
                <w:i/>
                <w:iCs/>
              </w:rPr>
              <w:t>asupra necesității de a</w:t>
            </w:r>
            <w:r w:rsidRPr="009B2971">
              <w:t xml:space="preserve"> investi masiv și rapid în apărare și în industria de apărare. </w:t>
            </w:r>
            <w:r w:rsidRPr="009B2971">
              <w:rPr>
                <w:b/>
                <w:bCs/>
                <w:i/>
                <w:iCs/>
              </w:rPr>
              <w:t>Acest sector, profitabil din punct de vedere economic pentru europeni și care oferă numeroase locuri de muncă calificate, necesită pregătirea unei forțe de muncă numeroase, în special în domeniul tehnologiilor de vârf</w:t>
            </w:r>
            <w:r w:rsidRPr="009B2971">
              <w:t>.</w:t>
            </w:r>
            <w:r w:rsidRPr="009B2971">
              <w:rPr>
                <w:b/>
                <w:i/>
              </w:rPr>
              <w:t xml:space="preserve"> </w:t>
            </w:r>
            <w:r w:rsidRPr="009B2971">
              <w:rPr>
                <w:b/>
                <w:bCs/>
                <w:i/>
                <w:iCs/>
              </w:rPr>
              <w:t>Programele, acțiunile și parteneriatele trebuie să vizeze cu prioritate dezvoltarea acestor competențe în rândul populației statelor membre, astfel încât să beneficieze de locuri de muncă stabile și de calificări profesionale.</w:t>
            </w:r>
            <w:r w:rsidRPr="009B2971">
              <w:t xml:space="preserv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r>
      <w:tr w:rsidR="009B2971" w:rsidRPr="009B2971" w:rsidTr="003A1038">
        <w:trPr>
          <w:jc w:val="center"/>
        </w:trPr>
        <w:tc>
          <w:tcPr>
            <w:tcW w:w="4876" w:type="dxa"/>
            <w:hideMark/>
          </w:tcPr>
          <w:p w:rsidR="009B2971" w:rsidRPr="009B2971" w:rsidRDefault="009B2971" w:rsidP="003A1038">
            <w:pPr>
              <w:pStyle w:val="Normal6"/>
            </w:pPr>
            <w:r w:rsidRPr="009B2971">
              <w:t>__________________</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3</w:t>
            </w:r>
            <w:r w:rsidRPr="009B2971">
              <w:t xml:space="preserve"> </w:t>
            </w:r>
            <w:r w:rsidRPr="009B2971">
              <w:rPr>
                <w:b/>
                <w:i/>
              </w:rPr>
              <w:t>Cartea albă comună privind viitorul apărării europene 2030, JOIN(2025) 120 final, 19.3.2025.</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4</w:t>
            </w:r>
            <w:r w:rsidRPr="009B2971">
              <w:t xml:space="preserve"> </w:t>
            </w:r>
            <w:r w:rsidRPr="009B2971">
              <w:rPr>
                <w:b/>
                <w:i/>
              </w:rPr>
              <w:t xml:space="preserve">COM(2025) </w:t>
            </w:r>
            <w:r w:rsidR="00A4513A">
              <w:rPr>
                <w:b/>
                <w:i/>
              </w:rPr>
              <w:t>00</w:t>
            </w:r>
            <w:r w:rsidRPr="009B2971">
              <w:rPr>
                <w:b/>
                <w:i/>
              </w:rPr>
              <w:t>90 final.</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5</w:t>
            </w:r>
            <w:r w:rsidRPr="009B2971">
              <w:t xml:space="preserve"> </w:t>
            </w:r>
            <w:r w:rsidRPr="009B2971">
              <w:rPr>
                <w:b/>
                <w:i/>
              </w:rPr>
              <w:t>Regulamentul (UE) 2021/1057 al Parlamentului European și al Consiliului din 24 iunie 2021 de instituire a Fondului social european Plus (FSE+) și de abrogare a Regulamentului (UE) nr. 1296/2013 (JO L 231, 30.6.2021, p. 21, ELI: https://data.europa.eu/eli/reg/2021/1057/oj).</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{FR}</w:t>
      </w:r>
      <w:r w:rsidRPr="009B2971">
        <w:rPr>
          <w:noProof w:val="0"/>
        </w:rPr>
        <w:t>fr</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lastRenderedPageBreak/>
        <w:t>&lt;Amend&gt;</w:t>
      </w:r>
      <w:r w:rsidRPr="009B2971">
        <w:t>Amendamentul</w:t>
      </w:r>
      <w:r w:rsidRPr="009B2971">
        <w:tab/>
      </w:r>
      <w:r w:rsidRPr="009B2971">
        <w:tab/>
      </w:r>
      <w:r w:rsidRPr="00A4513A">
        <w:rPr>
          <w:rStyle w:val="HideTWBExt"/>
          <w:b w:val="0"/>
        </w:rPr>
        <w:t>&lt;NumAm&gt;</w:t>
      </w:r>
      <w:r w:rsidRPr="009B2971">
        <w:t>18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și în industria de apărare. În această privință, Comunicarea Comisiei din 5 martie 2025 privind o uniune a competențelor</w:t>
            </w:r>
            <w:r w:rsidRPr="009B2971">
              <w:rPr>
                <w:vertAlign w:val="superscript"/>
              </w:rPr>
              <w:t>4</w:t>
            </w:r>
            <w:r w:rsidRPr="009B2971">
              <w:t>(„Comunicarea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Prin urmare, este oportun să se includă stimulente pentru FSE+ instituit prin Regulamentul (UE) 2021/1057 al Parlamentului European și al Consiliului</w:t>
            </w:r>
            <w:r w:rsidRPr="009B2971">
              <w:rPr>
                <w:vertAlign w:val="superscript"/>
              </w:rPr>
              <w:t>5</w:t>
            </w:r>
            <w:r w:rsidRPr="009B2971">
              <w:t xml:space="preserve"> cu scopul de a se facilita dezvoltarea competențelor în industria de apărare.</w:t>
            </w:r>
          </w:p>
        </w:tc>
        <w:tc>
          <w:tcPr>
            <w:tcW w:w="4876" w:type="dxa"/>
            <w:hideMark/>
          </w:tcPr>
          <w:p w:rsidR="009B2971" w:rsidRPr="009B2971" w:rsidRDefault="009B2971" w:rsidP="003A1038">
            <w:pPr>
              <w:pStyle w:val="Normal6"/>
              <w:rPr>
                <w:szCs w:val="24"/>
              </w:rPr>
            </w:pPr>
            <w:r w:rsidRPr="009B2971">
              <w:t>(2)</w:t>
            </w:r>
            <w:r w:rsidRPr="009B2971">
              <w:tab/>
            </w:r>
            <w:r w:rsidRPr="009B2971">
              <w:rPr>
                <w:b/>
                <w:i/>
              </w:rPr>
              <w:t>Este deja posibil să se sprijine dezvoltarea competențelor în industria de apărare în cadrul FSE+ instituit prin Regulamentul (UE) 2021/1057 al Parlamentului European și al Consiliului.</w:t>
            </w:r>
            <w:r w:rsidRPr="009B2971">
              <w:t xml:space="preserve"> Cartea albă privind viitorul apărării europene 2030</w:t>
            </w:r>
            <w:r w:rsidRPr="009B2971">
              <w:rPr>
                <w:vertAlign w:val="superscript"/>
              </w:rPr>
              <w:t>3</w:t>
            </w:r>
            <w:r w:rsidRPr="009B2971">
              <w:t xml:space="preserve"> pregătește terenul pentru o veritabilă uniune europeană a apărării, inclusiv sugerând statelor membre să investească masiv în apărare și în industria de apărare. În această privință, Comunicarea Comisiei din 5 martie 2025 privind o uniune a competențelor</w:t>
            </w:r>
            <w:r w:rsidRPr="009B2971">
              <w:rPr>
                <w:vertAlign w:val="superscript"/>
              </w:rPr>
              <w:t>4</w:t>
            </w:r>
            <w:r w:rsidRPr="009B2971">
              <w:t>(„Comunicarea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w:t>
            </w:r>
          </w:p>
        </w:tc>
      </w:tr>
      <w:tr w:rsidR="009B2971" w:rsidRPr="009B2971" w:rsidTr="003A1038">
        <w:trPr>
          <w:jc w:val="center"/>
        </w:trPr>
        <w:tc>
          <w:tcPr>
            <w:tcW w:w="4876" w:type="dxa"/>
            <w:hideMark/>
          </w:tcPr>
          <w:p w:rsidR="009B2971" w:rsidRPr="009B2971" w:rsidRDefault="009B2971" w:rsidP="003A1038">
            <w:pPr>
              <w:pStyle w:val="Normal6"/>
            </w:pPr>
            <w:r w:rsidRPr="009B2971">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3</w:t>
            </w:r>
            <w:r w:rsidRPr="009B2971">
              <w:t xml:space="preserve"> Cartea albă comună privind viitorul apărării europene 2030, JOIN(2025) 120 final, 19.3.2025.</w:t>
            </w:r>
          </w:p>
        </w:tc>
        <w:tc>
          <w:tcPr>
            <w:tcW w:w="4876" w:type="dxa"/>
            <w:hideMark/>
          </w:tcPr>
          <w:p w:rsidR="009B2971" w:rsidRPr="009B2971" w:rsidRDefault="009B2971" w:rsidP="003A1038">
            <w:pPr>
              <w:pStyle w:val="Normal6"/>
              <w:rPr>
                <w:szCs w:val="24"/>
              </w:rPr>
            </w:pPr>
            <w:r w:rsidRPr="009B2971">
              <w:rPr>
                <w:vertAlign w:val="superscript"/>
              </w:rPr>
              <w:t>3</w:t>
            </w:r>
            <w:r w:rsidRPr="009B2971">
              <w:t xml:space="preserve"> Cartea albă comună privind viitorul apărării europene 2030, JOIN(2025) 120 final, 19.3.2025.</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4</w:t>
            </w:r>
            <w:r w:rsidRPr="009B2971">
              <w:t xml:space="preserve"> COM (2025) </w:t>
            </w:r>
            <w:r w:rsidR="00A4513A">
              <w:t>00</w:t>
            </w:r>
            <w:r w:rsidRPr="009B2971">
              <w:t>90 final.</w:t>
            </w:r>
          </w:p>
        </w:tc>
        <w:tc>
          <w:tcPr>
            <w:tcW w:w="4876" w:type="dxa"/>
            <w:hideMark/>
          </w:tcPr>
          <w:p w:rsidR="009B2971" w:rsidRPr="009B2971" w:rsidRDefault="009B2971" w:rsidP="003A1038">
            <w:pPr>
              <w:pStyle w:val="Normal6"/>
              <w:rPr>
                <w:szCs w:val="24"/>
              </w:rPr>
            </w:pPr>
            <w:r w:rsidRPr="009B2971">
              <w:rPr>
                <w:vertAlign w:val="superscript"/>
              </w:rPr>
              <w:t>4</w:t>
            </w:r>
            <w:r w:rsidRPr="009B2971">
              <w:t xml:space="preserve"> COM (2025) 90 final.</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c>
          <w:tcPr>
            <w:tcW w:w="4876" w:type="dxa"/>
            <w:hideMark/>
          </w:tcPr>
          <w:p w:rsidR="009B2971" w:rsidRPr="009B2971" w:rsidRDefault="009B2971" w:rsidP="003A1038">
            <w:pPr>
              <w:pStyle w:val="Normal6"/>
              <w:rPr>
                <w:szCs w:val="24"/>
              </w:rPr>
            </w:pPr>
            <w:r w:rsidRPr="009B2971">
              <w:rPr>
                <w:vertAlign w:val="superscript"/>
              </w:rPr>
              <w:t>5</w:t>
            </w:r>
            <w:r w:rsidRPr="009B2971">
              <w:t xml:space="preserve"> Regulamentul (UE) 2021/1057 al Parlamentului European și al Consiliului din 24 iunie 2021 de instituire a Fondului social european Plus (FSE+) și de abrogare a Regulamentului (UE) nr. 1296/2013 (JO L 231, 30.6.2021, p. 21, ELI: http://data.europa.eu/eli/reg/2021/1057/oj).</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lastRenderedPageBreak/>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r>
            <w:r w:rsidRPr="009B2971">
              <w:rPr>
                <w:b/>
                <w:i/>
              </w:rPr>
              <w:t>Cartea albă privind viitorul apărării europene 2030</w:t>
            </w:r>
            <w:r w:rsidRPr="009B2971">
              <w:rPr>
                <w:b/>
                <w:i/>
                <w:vertAlign w:val="superscript"/>
              </w:rPr>
              <w:t>3</w:t>
            </w:r>
            <w:r w:rsidRPr="009B2971">
              <w:t xml:space="preserve"> </w:t>
            </w:r>
            <w:r w:rsidRPr="009B2971">
              <w:rPr>
                <w:b/>
                <w:i/>
              </w:rPr>
              <w:t>pregătește terenul pentru o veritabilă</w:t>
            </w:r>
            <w:r w:rsidRPr="009B2971">
              <w:t xml:space="preserve"> uniune europeană a </w:t>
            </w:r>
            <w:r w:rsidRPr="009B2971">
              <w:rPr>
                <w:b/>
                <w:i/>
              </w:rPr>
              <w:t>apărării, inclusiv sugerând statelor membre să investească masiv în apărare și</w:t>
            </w:r>
            <w:r w:rsidRPr="009B2971">
              <w:t xml:space="preserve"> în industria de apărare</w:t>
            </w:r>
            <w:r w:rsidRPr="009B2971">
              <w:rPr>
                <w:b/>
                <w:i/>
              </w:rPr>
              <w:t>. În această privință, Comunicarea Comisiei din 5 martie 2025 privind o uniune a competențelor</w:t>
            </w:r>
            <w:r w:rsidRPr="009B2971">
              <w:rPr>
                <w:b/>
                <w:i/>
                <w:vertAlign w:val="superscript"/>
              </w:rPr>
              <w:t>4</w:t>
            </w:r>
            <w:r w:rsidRPr="009B2971">
              <w:t xml:space="preserve"> </w:t>
            </w:r>
            <w:r w:rsidRPr="009B2971">
              <w:rPr>
                <w:b/>
                <w:i/>
              </w:rPr>
              <w:t>(„Comunicarea privind uniunea competențelor”) prezintă acțiuni menite să elimine lacunele în materie de competențe și lipsa de personal calificat din Uniune, inclusiv prin intermediul inițiativei „Pactul pentru competențe” menționate în comunicarea respectivă și al parteneriatelor sale la scară largă, cum ar fi cel privind ecosistemul de apărare. Prin urmare, este oportun să se includă stimulente pentru FSE+ instituit prin Regulamentul (UE) 2021/1057 al Parlamentului European și al Consiliului</w:t>
            </w:r>
            <w:r w:rsidRPr="009B2971">
              <w:rPr>
                <w:b/>
                <w:i/>
                <w:vertAlign w:val="superscript"/>
              </w:rPr>
              <w:t>5</w:t>
            </w:r>
            <w:r w:rsidRPr="009B2971">
              <w:t xml:space="preserve"> </w:t>
            </w:r>
            <w:r w:rsidRPr="009B2971">
              <w:rPr>
                <w:b/>
                <w:i/>
              </w:rPr>
              <w:t>cu scopul de a se facilita</w:t>
            </w:r>
            <w:r w:rsidRPr="009B2971">
              <w:t xml:space="preserve"> dezvoltarea </w:t>
            </w:r>
            <w:r w:rsidRPr="009B2971">
              <w:rPr>
                <w:b/>
                <w:i/>
              </w:rPr>
              <w:t>competențelor în industria</w:t>
            </w:r>
            <w:r w:rsidRPr="009B2971">
              <w:t xml:space="preserve"> de apărare.</w:t>
            </w:r>
          </w:p>
        </w:tc>
        <w:tc>
          <w:tcPr>
            <w:tcW w:w="4876" w:type="dxa"/>
            <w:hideMark/>
          </w:tcPr>
          <w:p w:rsidR="009B2971" w:rsidRPr="009B2971" w:rsidRDefault="009B2971" w:rsidP="003A1038">
            <w:pPr>
              <w:pStyle w:val="Normal6"/>
              <w:rPr>
                <w:szCs w:val="24"/>
              </w:rPr>
            </w:pPr>
            <w:r w:rsidRPr="009B2971">
              <w:t>(2)</w:t>
            </w:r>
            <w:r w:rsidRPr="009B2971">
              <w:tab/>
              <w:t xml:space="preserve">În conformitate cu angajamentul Uniunii pentru pace, incluziune socială și dezvoltare durabilă și în conformitate cu obiectivele Fondului social european Plus, finanțarea din partea Uniunii în temeiul prezentului regulament nu sprijină industria de apărare, nicio activitate legată de dezvoltarea, producția, achiziționarea sau utilizarea capabilităților militare, inclusiv arme, muniții și sisteme de apărare. </w:t>
            </w:r>
            <w:r w:rsidRPr="009B2971">
              <w:rPr>
                <w:b/>
                <w:bCs/>
                <w:i/>
                <w:iCs/>
              </w:rPr>
              <w:t>Finanțarea FSE+ se limitează strict la promovarea coeziunii sociale, a ocupării forței de muncă, a educației, a dezvoltării competențelor, a inovării sociale și a combaterii sărăciei și a excluziunii sociale</w:t>
            </w:r>
            <w:r w:rsidRPr="009B2971">
              <w:t>.</w:t>
            </w:r>
          </w:p>
        </w:tc>
      </w:tr>
      <w:tr w:rsidR="009B2971" w:rsidRPr="009B2971" w:rsidTr="003A1038">
        <w:trPr>
          <w:jc w:val="center"/>
        </w:trPr>
        <w:tc>
          <w:tcPr>
            <w:tcW w:w="4876" w:type="dxa"/>
            <w:hideMark/>
          </w:tcPr>
          <w:p w:rsidR="009B2971" w:rsidRPr="009B2971" w:rsidRDefault="009B2971" w:rsidP="003A1038">
            <w:pPr>
              <w:pStyle w:val="Normal6"/>
            </w:pPr>
            <w:r w:rsidRPr="009B2971">
              <w:t>__________________</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3</w:t>
            </w:r>
            <w:r w:rsidRPr="009B2971">
              <w:t xml:space="preserve"> </w:t>
            </w:r>
            <w:r w:rsidRPr="009B2971">
              <w:rPr>
                <w:b/>
                <w:i/>
              </w:rPr>
              <w:t>Cartea albă comună privind viitorul apărării europene 2030, JOIN(2025) 120 final, 19.3.2025.</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4</w:t>
            </w:r>
            <w:r w:rsidRPr="009B2971">
              <w:t xml:space="preserve"> </w:t>
            </w:r>
            <w:r w:rsidRPr="009B2971">
              <w:rPr>
                <w:b/>
                <w:i/>
              </w:rPr>
              <w:t xml:space="preserve">COM (2025) </w:t>
            </w:r>
            <w:r w:rsidR="00A4513A">
              <w:rPr>
                <w:b/>
                <w:i/>
              </w:rPr>
              <w:t>00</w:t>
            </w:r>
            <w:r w:rsidRPr="009B2971">
              <w:rPr>
                <w:b/>
                <w:i/>
              </w:rPr>
              <w:t>90 final</w:t>
            </w:r>
            <w:r w:rsidRPr="009B2971">
              <w:t>.</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5</w:t>
            </w:r>
            <w:r w:rsidRPr="009B2971">
              <w:t xml:space="preserve"> </w:t>
            </w:r>
            <w:r w:rsidRPr="009B2971">
              <w:rPr>
                <w:b/>
                <w:i/>
              </w:rPr>
              <w:t>Regulamentul (UE) 2021/1057 al Parlamentului European și al Consiliului din 24 iunie 2021 de instituire a Fondului social european Plus (FSE+) și de abrogare a Regulamentului (UE) nr. 1296/2013 (JO L 231, 30.6.2021, p. 21, ELI: http://data.europa.eu/eli/reg/2021/1057/oj</w:t>
            </w:r>
            <w:r w:rsidRPr="009B2971">
              <w:rPr>
                <w:b/>
                <w:i/>
              </w:rPr>
              <w:lastRenderedPageBreak/>
              <w:t>).</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(2a)</w:t>
            </w:r>
            <w:r w:rsidRPr="009B2971">
              <w:rPr>
                <w:b/>
                <w:i/>
              </w:rPr>
              <w:tab/>
              <w:t>este esențial să se asigure că toate măsurile luate în contextul situațiilor de urgență sunt diferențiate în mod corespunzător și nu interferează cu realizarea obiectivelor structurale și strategice ale politicii de coeziune. Se solicită ca în cadrul de reglementare să se includă garanții care să împiedice desființarea misiunii principale a politicii de coeziune.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(2a)</w:t>
            </w:r>
            <w:r w:rsidRPr="009B2971">
              <w:rPr>
                <w:b/>
                <w:i/>
              </w:rPr>
              <w:tab/>
              <w:t>Regiunile NUTS2 care se învecinează cu Rusia, Belarus sau Ucraina sunt afectate în mod disproporționat războiul de agresiune al Rusiei și se confruntă cu pierderi de locuri de muncă, cu mai puțină activitate economică și cu excluziunea socială din cauza reducerii contactelor interpersonale.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lastRenderedPageBreak/>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2 b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(2b)</w:t>
            </w:r>
            <w:r w:rsidRPr="009B2971">
              <w:rPr>
                <w:b/>
                <w:i/>
              </w:rPr>
              <w:tab/>
              <w:t>Folosirea recurentă a resurselor structurale pentru a răspunde situațiilor de urgență ar putea submina sustenabilitatea și eficacitatea pe termen lung a politicii de coeziune prin excluderea investițiilor care, în condiții normale, ar viza promovarea unei dezvoltări echilibrate între regiuni.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(3)</w:t>
            </w:r>
            <w:r w:rsidRPr="009B2971">
              <w:rPr>
                <w:b/>
                <w:i/>
              </w:rPr>
              <w:tab/>
              <w:t xml:space="preserve">Posibilitatea de a sprijini prin FSE+ adaptarea la schimbare a lucrătorilor, a antreprenorilor și a întreprinderilor există deja. În conformitate cu măsurile de decarbonizare propuse în Comunicarea Comisiei intitulată „Pactul pentru o industrie curată: </w:t>
            </w:r>
            <w:r w:rsidRPr="009B2971">
              <w:rPr>
                <w:b/>
                <w:bCs/>
                <w:i/>
                <w:iCs/>
              </w:rPr>
              <w:t>o foaie de parcurs comună pentru competitivitate și decarbonizare” din 26 februarie 2025</w:t>
            </w:r>
            <w:r w:rsidRPr="009B2971">
              <w:rPr>
                <w:b/>
                <w:bCs/>
                <w:i/>
                <w:iCs/>
                <w:vertAlign w:val="superscript"/>
              </w:rPr>
              <w:t>6</w:t>
            </w:r>
            <w:r w:rsidRPr="009B2971">
              <w:rPr>
                <w:b/>
                <w:bCs/>
                <w:i/>
                <w:iCs/>
              </w:rPr>
              <w:t xml:space="preserve"> și pentru a facilita și mai mult ajustarea industrială asociată decarbonizării proceselor de producție și a produselor, în contextul obiectivului de a oferi oportunități de perfecționare și recalificare periodică a persoanelor pe tot parcursul vieții, astfel cum se prevede în Comunicarea privind uniunea </w:t>
            </w:r>
            <w:r w:rsidRPr="009B2971">
              <w:rPr>
                <w:b/>
                <w:bCs/>
                <w:i/>
                <w:iCs/>
              </w:rPr>
              <w:lastRenderedPageBreak/>
              <w:t>competențelor, inclusiv prin intermediul Garanției de competențe nou propuse, FSE+ trebuie să faciliteze calificarea, păstrarea locurilor de muncă și crearea de locuri de muncă pe toată durata procesului de decarbonizare, oferind flexibilități pentru punerea în aplicare.</w:t>
            </w:r>
          </w:p>
        </w:tc>
        <w:tc>
          <w:tcPr>
            <w:tcW w:w="4876" w:type="dxa"/>
            <w:hideMark/>
          </w:tcPr>
          <w:p w:rsidR="009B2971" w:rsidRPr="009B2971" w:rsidRDefault="009B2971" w:rsidP="003A1038">
            <w:pPr>
              <w:pStyle w:val="Normal6"/>
              <w:rPr>
                <w:szCs w:val="24"/>
              </w:rPr>
            </w:pPr>
            <w:r w:rsidRPr="009B2971">
              <w:rPr>
                <w:b/>
                <w:i/>
              </w:rPr>
              <w:lastRenderedPageBreak/>
              <w:t>eliminat</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__________________</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6</w:t>
            </w:r>
            <w:r w:rsidRPr="009B2971">
              <w:t xml:space="preserve"> </w:t>
            </w:r>
            <w:r w:rsidRPr="009B2971">
              <w:rPr>
                <w:b/>
                <w:i/>
              </w:rPr>
              <w:t xml:space="preserve">COM (2025) </w:t>
            </w:r>
            <w:r w:rsidR="00A4513A">
              <w:rPr>
                <w:b/>
                <w:i/>
              </w:rPr>
              <w:t>00</w:t>
            </w:r>
            <w:r w:rsidRPr="009B2971">
              <w:rPr>
                <w:b/>
                <w:i/>
              </w:rPr>
              <w:t>85 final</w:t>
            </w:r>
            <w:r w:rsidRPr="009B2971">
              <w:t>.</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Posibilitatea de a sprijini prin FSE+ adaptarea la schimbare a lucrătorilor, a antreprenorilor și a întreprinderilor există deja. În conformitate cu măsurile de decarbonizare propuse în Comunicarea Comisiei intitulată „Pactul pentru o industrie curată: o foaie de parcurs comună pentru competitivitate și decarbonizare” din 26 februarie 2025</w:t>
            </w:r>
            <w:r w:rsidRPr="009B2971">
              <w:rPr>
                <w:vertAlign w:val="superscript"/>
              </w:rPr>
              <w:t>6</w:t>
            </w:r>
            <w:r w:rsidRPr="009B2971">
              <w:t xml:space="preserve"> și pentru a facilita și mai mult ajustarea industrială asociată decarbonizării proceselor de producție și a produselor,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păstrarea locurilor de muncă și crearea de locuri de muncă pe toată durata procesului de decarbonizare, oferind flexibilități pentru punerea în aplicare.</w:t>
            </w:r>
          </w:p>
        </w:tc>
        <w:tc>
          <w:tcPr>
            <w:tcW w:w="4876" w:type="dxa"/>
            <w:hideMark/>
          </w:tcPr>
          <w:p w:rsidR="009B2971" w:rsidRPr="009B2971" w:rsidRDefault="009B2971" w:rsidP="003A1038">
            <w:pPr>
              <w:pStyle w:val="Normal6"/>
              <w:rPr>
                <w:szCs w:val="24"/>
              </w:rPr>
            </w:pPr>
            <w:r w:rsidRPr="009B2971">
              <w:t>(3)</w:t>
            </w:r>
            <w:r w:rsidRPr="009B2971">
              <w:tab/>
              <w:t>Posibilitatea de a sprijini prin FSE+ adaptarea la schimbare a lucrătorilor, a antreprenorilor și a întreprinderilor există deja. În conformitate cu măsurile de decarbonizare propuse în Comunicarea Comisiei intitulată „Pactul pentru o industrie curată: o foaie de parcurs comună pentru competitivitate și decarbonizare” din 26 februarie 2025</w:t>
            </w:r>
            <w:r w:rsidRPr="009B2971">
              <w:rPr>
                <w:vertAlign w:val="superscript"/>
              </w:rPr>
              <w:t>6</w:t>
            </w:r>
            <w:r w:rsidRPr="009B2971">
              <w:t xml:space="preserve"> și pentru a facilita și mai mult ajustarea industrială asociată decarbonizării proceselor de producție și a produselor,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păstrarea locurilor de muncă și crearea de locuri de muncă pe toată durata procesului de decarbonizare, oferind flexibilități pentru punerea în aplicare. </w:t>
            </w:r>
            <w:r w:rsidRPr="009B2971">
              <w:rPr>
                <w:b/>
                <w:i/>
              </w:rPr>
              <w:t xml:space="preserve">Pentru a asigura o tranziție nu numai necesară având în vedere obiectivele digitale și verzi ale Uniunii, ci și echitabilă social, </w:t>
            </w:r>
            <w:r w:rsidRPr="009B2971">
              <w:rPr>
                <w:b/>
                <w:i/>
              </w:rPr>
              <w:lastRenderedPageBreak/>
              <w:t>este esențial ca procesul să fie just și incluziv. Ar trebui să se acorde o atenție deosebită nevoilor și circumstanțelor specifice ale regiunilor mai puțin dezvoltate. Aceste regiuni și populațiile lor ar trebui să fie implicate activ în tranziție și să beneficieze de pe urma acesteia, asigurând astfel integrarea lor deplină în transformarea economică, socială și de mediu mai amplă a Uniunii.</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6</w:t>
            </w:r>
            <w:r w:rsidRPr="009B2971">
              <w:t xml:space="preserve"> COM (2025) </w:t>
            </w:r>
            <w:r w:rsidR="00A4513A">
              <w:t>00</w:t>
            </w:r>
            <w:r w:rsidRPr="009B2971">
              <w:t>85 final.</w:t>
            </w:r>
          </w:p>
        </w:tc>
        <w:tc>
          <w:tcPr>
            <w:tcW w:w="4876" w:type="dxa"/>
            <w:hideMark/>
          </w:tcPr>
          <w:p w:rsidR="009B2971" w:rsidRPr="009B2971" w:rsidRDefault="009B2971" w:rsidP="003A1038">
            <w:pPr>
              <w:pStyle w:val="Normal6"/>
              <w:rPr>
                <w:szCs w:val="24"/>
              </w:rPr>
            </w:pPr>
            <w:r w:rsidRPr="009B2971">
              <w:rPr>
                <w:vertAlign w:val="superscript"/>
              </w:rPr>
              <w:t>6</w:t>
            </w:r>
            <w:r w:rsidRPr="009B2971">
              <w:t xml:space="preserve"> COM (2025) 85 final.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Marie Dauchy, Nikola Bartůšek</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{EMPL}</w:t>
      </w:r>
      <w:r w:rsidRPr="009B2971">
        <w:t>în numele Comisiei pentru ocuparea forței de muncă și afaceri sociale</w:t>
      </w:r>
      <w:r w:rsidRPr="00A4513A">
        <w:rPr>
          <w:rStyle w:val="HideTWBExt"/>
        </w:rPr>
        <w:t>&lt;/AuNomDe&gt;</w:t>
      </w:r>
    </w:p>
    <w:p w:rsidR="009B2971" w:rsidRPr="009B2971" w:rsidRDefault="009B2971" w:rsidP="009B2971">
      <w:pPr>
        <w:pStyle w:val="NormalBold"/>
      </w:pPr>
      <w:r w:rsidRPr="00A4513A">
        <w:rPr>
          <w:rStyle w:val="HideTWBExt"/>
          <w:b w:val="0"/>
        </w:rPr>
        <w:t>&lt;Members&gt;</w:t>
      </w:r>
      <w:r w:rsidRPr="009B2971">
        <w:t>Séverine Werbrouck, Rachel Blom</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 xml:space="preserve">Posibilitatea de a sprijini prin FSE+ adaptarea la schimbare a lucrătorilor, a antreprenorilor și a întreprinderilor există deja. </w:t>
            </w:r>
            <w:r w:rsidRPr="009B2971">
              <w:rPr>
                <w:b/>
                <w:bCs/>
                <w:i/>
                <w:iCs/>
              </w:rPr>
              <w:t>În conformitate cu măsurile de decarbonizare propuse în Comunicarea Comisiei intitulată „Pactul pentru o industrie curată: o foaie de parcurs comună pentru competitivitate și decarbonizare” din 26 februarie 2025</w:t>
            </w:r>
            <w:r w:rsidRPr="009B2971">
              <w:rPr>
                <w:b/>
                <w:bCs/>
                <w:i/>
                <w:iCs/>
                <w:vertAlign w:val="superscript"/>
              </w:rPr>
              <w:t>6</w:t>
            </w:r>
            <w:r w:rsidRPr="009B2971">
              <w:rPr>
                <w:b/>
                <w:bCs/>
                <w:i/>
                <w:iCs/>
              </w:rPr>
              <w:t>și pentru a facilita și mai mult ajustarea industrială asociată decarbonizării proceselor de producție și a produselor,</w:t>
            </w:r>
            <w:r w:rsidRPr="009B2971">
              <w:t xml:space="preserve">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păstrarea locurilor de muncă și crearea de </w:t>
            </w:r>
            <w:r w:rsidRPr="009B2971">
              <w:lastRenderedPageBreak/>
              <w:t xml:space="preserve">locuri de muncă </w:t>
            </w:r>
            <w:r w:rsidRPr="009B2971">
              <w:rPr>
                <w:b/>
                <w:bCs/>
                <w:i/>
                <w:iCs/>
              </w:rPr>
              <w:t>pe toată durata procesului de decarbonizare</w:t>
            </w:r>
            <w:r w:rsidRPr="009B2971">
              <w:t>, oferind flexibilități pentru punerea în aplicare.</w:t>
            </w:r>
          </w:p>
        </w:tc>
        <w:tc>
          <w:tcPr>
            <w:tcW w:w="4876" w:type="dxa"/>
            <w:hideMark/>
          </w:tcPr>
          <w:p w:rsidR="009B2971" w:rsidRPr="009B2971" w:rsidRDefault="009B2971" w:rsidP="003A1038">
            <w:pPr>
              <w:pStyle w:val="Normal6"/>
              <w:rPr>
                <w:szCs w:val="24"/>
              </w:rPr>
            </w:pPr>
            <w:r w:rsidRPr="009B2971">
              <w:lastRenderedPageBreak/>
              <w:t>(3)</w:t>
            </w:r>
            <w:r w:rsidRPr="009B2971">
              <w:tab/>
              <w:t xml:space="preserve">Posibilitatea de a sprijini prin FSE+ adaptarea la schimbare a lucrătorilor, a antreprenorilor și a întreprinderilor există deja. </w:t>
            </w:r>
            <w:r w:rsidRPr="009B2971">
              <w:rPr>
                <w:b/>
                <w:bCs/>
                <w:i/>
                <w:iCs/>
              </w:rPr>
              <w:t>Având în vedere că dificultățile cu care se confruntă industriile europene sunt în mare măsură datorate alegerilor politice ale Comisiei Europene și, în special, Pactului verde european, care impune un cadru de reglementare punitiv industriei noastre, amenințând uneori însăși existența acestor companii din sector, precum și locurile de muncă și competențele legate de acestea.</w:t>
            </w:r>
            <w:r w:rsidRPr="009B2971">
              <w:t xml:space="preserve">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w:t>
            </w:r>
            <w:r w:rsidRPr="009B2971">
              <w:lastRenderedPageBreak/>
              <w:t xml:space="preserve">păstrarea locurilor de muncă și crearea de locuri de muncă </w:t>
            </w:r>
            <w:r w:rsidRPr="009B2971">
              <w:rPr>
                <w:b/>
                <w:bCs/>
                <w:i/>
                <w:iCs/>
              </w:rPr>
              <w:t xml:space="preserve">în industrii, în special în ceea ce privește producția de energie în Europa, </w:t>
            </w:r>
            <w:r w:rsidRPr="009B2971">
              <w:t>oferind flexibilități pentru punerea în aplicare</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vertAlign w:val="superscript"/>
              </w:rPr>
              <w:t>6</w:t>
            </w:r>
            <w:r w:rsidRPr="009B2971">
              <w:t xml:space="preserve"> </w:t>
            </w:r>
            <w:r w:rsidRPr="009B2971">
              <w:rPr>
                <w:b/>
                <w:i/>
              </w:rPr>
              <w:t>COM(2025) 0085 final.</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{FR}</w:t>
      </w:r>
      <w:r w:rsidRPr="009B2971">
        <w:rPr>
          <w:noProof w:val="0"/>
        </w:rPr>
        <w:t>fr</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Posibilitatea de a sprijini prin FSE+ adaptarea la schimbare a lucrătorilor, a antreprenorilor și a întreprinderilor există deja. În conformitate cu măsurile de decarbonizare propuse în Comunicarea Comisiei intitulată „Pactul pentru o industrie curată: o foaie de parcurs comună pentru competitivitate și decarbonizare” din 26 februarie 2025</w:t>
            </w:r>
            <w:r w:rsidRPr="009B2971">
              <w:rPr>
                <w:vertAlign w:val="superscript"/>
              </w:rPr>
              <w:t>6</w:t>
            </w:r>
            <w:r w:rsidRPr="009B2971">
              <w:t xml:space="preserve"> și pentru a facilita și mai mult ajustarea industrială asociată decarbonizării proceselor de producție și a produselor,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păstrarea locurilor de muncă și crearea de locuri de muncă pe toată durata procesului de decarbonizare, oferind flexibilități pentru punerea în aplicare.</w:t>
            </w:r>
          </w:p>
        </w:tc>
        <w:tc>
          <w:tcPr>
            <w:tcW w:w="4876" w:type="dxa"/>
            <w:hideMark/>
          </w:tcPr>
          <w:p w:rsidR="009B2971" w:rsidRPr="009B2971" w:rsidRDefault="009B2971" w:rsidP="003A1038">
            <w:pPr>
              <w:pStyle w:val="Normal6"/>
              <w:rPr>
                <w:szCs w:val="24"/>
              </w:rPr>
            </w:pPr>
            <w:r w:rsidRPr="009B2971">
              <w:t>(3)</w:t>
            </w:r>
            <w:r w:rsidRPr="009B2971">
              <w:tab/>
              <w:t>Posibilitatea de a sprijini prin FSE+ adaptarea la schimbare a lucrătorilor, a antreprenorilor și a întreprinderilor există deja. În conformitate cu măsurile de decarbonizare propuse în Comunicarea Comisiei intitulată „Pactul pentru o industrie curată: o foaie de parcurs comună pentru competitivitate și decarbonizare” din 26 februarie 2025</w:t>
            </w:r>
            <w:r w:rsidRPr="009B2971">
              <w:rPr>
                <w:vertAlign w:val="superscript"/>
              </w:rPr>
              <w:t>6</w:t>
            </w:r>
            <w:r w:rsidRPr="009B2971">
              <w:t xml:space="preserve"> și pentru a facilita și mai mult ajustarea industrială asociată decarbonizării proceselor de producție și a produselor, în contextul obiectivului de a oferi oportunități de perfecționare și recalificare periodică a persoanelor pe tot parcursul vieții, astfel cum se prevede în Comunicarea privind uniunea competențelor, inclusiv prin intermediul Garanției de competențe nou propuse, FSE+ trebuie să faciliteze calificarea, păstrarea locurilor de muncă și crearea de locuri de muncă </w:t>
            </w:r>
            <w:r w:rsidRPr="009B2971">
              <w:rPr>
                <w:b/>
                <w:bCs/>
                <w:i/>
                <w:iCs/>
              </w:rPr>
              <w:t xml:space="preserve">de calitatea </w:t>
            </w:r>
            <w:r w:rsidRPr="009B2971">
              <w:t>pe toată durata procesului de decarbonizare, oferind flexibilități pentru punerea în aplicare.</w:t>
            </w:r>
          </w:p>
        </w:tc>
      </w:tr>
      <w:tr w:rsidR="009B2971" w:rsidRPr="009B2971" w:rsidTr="003A1038">
        <w:trPr>
          <w:jc w:val="center"/>
        </w:trPr>
        <w:tc>
          <w:tcPr>
            <w:tcW w:w="4876" w:type="dxa"/>
            <w:hideMark/>
          </w:tcPr>
          <w:p w:rsidR="009B2971" w:rsidRPr="009B2971" w:rsidRDefault="009B2971" w:rsidP="003A1038">
            <w:pPr>
              <w:pStyle w:val="Normal6"/>
            </w:pPr>
            <w:r w:rsidRPr="009B2971">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6</w:t>
            </w:r>
            <w:r w:rsidRPr="009B2971">
              <w:t xml:space="preserve"> COM (2025) </w:t>
            </w:r>
            <w:r w:rsidR="00A4513A">
              <w:t>00</w:t>
            </w:r>
            <w:r w:rsidRPr="009B2971">
              <w:t>85 final.</w:t>
            </w:r>
          </w:p>
        </w:tc>
        <w:tc>
          <w:tcPr>
            <w:tcW w:w="4876" w:type="dxa"/>
            <w:hideMark/>
          </w:tcPr>
          <w:p w:rsidR="009B2971" w:rsidRPr="009B2971" w:rsidRDefault="009B2971" w:rsidP="003A1038">
            <w:pPr>
              <w:pStyle w:val="Normal6"/>
              <w:rPr>
                <w:szCs w:val="24"/>
              </w:rPr>
            </w:pPr>
            <w:r w:rsidRPr="009B2971">
              <w:rPr>
                <w:vertAlign w:val="superscript"/>
              </w:rPr>
              <w:t>6</w:t>
            </w:r>
            <w:r w:rsidRPr="009B2971">
              <w:t xml:space="preserve"> COM (2025) 85 final.</w:t>
            </w:r>
          </w:p>
        </w:tc>
      </w:tr>
    </w:tbl>
    <w:p w:rsidR="009B2971" w:rsidRPr="009B2971" w:rsidRDefault="009B2971" w:rsidP="009B2971">
      <w:pPr>
        <w:pStyle w:val="Olang"/>
      </w:pPr>
      <w:r w:rsidRPr="009B2971">
        <w:rPr>
          <w:noProof w:val="0"/>
        </w:rPr>
        <w:lastRenderedPageBreak/>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(3a)</w:t>
            </w:r>
            <w:r w:rsidRPr="009B2971">
              <w:rPr>
                <w:b/>
                <w:i/>
              </w:rPr>
              <w:tab/>
              <w:t>Fondul social european Plus (FSE +) este un pilon esențial al politicii de coeziune, având ca obiectiv principal promovarea incluziunii sociale, echitatea în ocuparea forței de muncă și reducerea disparităților teritoriale.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 b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(3b)</w:t>
            </w:r>
            <w:r w:rsidRPr="009B2971">
              <w:rPr>
                <w:b/>
                <w:i/>
              </w:rPr>
              <w:tab/>
              <w:t>În pofida încorporării unor noi priorități strategice la nivelul UE, este esențial ca FSE + să nu se abată de la misiunea sa socială, care ar trebui să rămână orientarea de bază pentru a răspunde nevoilor specifice ale teritoriilor și ale comunităților acestora.</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29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 c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(3c)</w:t>
            </w:r>
            <w:r w:rsidRPr="009B2971">
              <w:rPr>
                <w:b/>
                <w:i/>
              </w:rPr>
              <w:tab/>
              <w:t>Reprogramarea resurselor în cadrul FSE + ar trebui să asigure că măsurile de ajustare ca răspuns la provocările strategice nu subminează abordarea sa teritorială și socială, ci, mai degrabă, îi consolidează capacitatea de a combate inegalitatea și de a promova o dezvoltare echilibrată.</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3 d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(3d)</w:t>
            </w:r>
            <w:r w:rsidRPr="009B2971">
              <w:rPr>
                <w:b/>
                <w:i/>
              </w:rPr>
              <w:tab/>
              <w:t>Integrarea adecvată a măsurilor suplimentare sau a flexibilităților financiare este esențială pentru a proteja esența socială a FSE +, asigurându-se că investițiile în prioritățile noi nu conduc la desființarea rolului de coeziune al politicii și nu conduc la o reorientare a resurselor către interese pur strategice.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4</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(4)</w:t>
            </w:r>
            <w:r w:rsidRPr="009B2971">
              <w:tab/>
              <w:t xml:space="preserve">Este deja posibilă sprijinirea prin FSE+ a investițiilor care contribuie la obiectivele „platformei Tehnologii strategice pentru Europa” (STEP), instituită </w:t>
            </w:r>
            <w:r w:rsidRPr="009B2971">
              <w:lastRenderedPageBreak/>
              <w:t>prin Regulamentul (UE) 2024/795 al Parlamentului European și al Consiliului</w:t>
            </w:r>
            <w:r w:rsidRPr="009B2971">
              <w:rPr>
                <w:vertAlign w:val="superscript"/>
              </w:rPr>
              <w:t>7</w:t>
            </w:r>
            <w:r w:rsidRPr="009B2971">
              <w:t xml:space="preserve"> cu scopul de a consolida poziția de lider tehnologic a Uniunii. Pentru a stimula în continuare investițiile din FSE+ în aceste domenii critice, este necesar să se extindă posibilitatea ca statele membre să primească o prefinanțare mai mare pentru modificările conexe ale programelor.</w:t>
            </w:r>
          </w:p>
        </w:tc>
        <w:tc>
          <w:tcPr>
            <w:tcW w:w="4876" w:type="dxa"/>
            <w:hideMark/>
          </w:tcPr>
          <w:p w:rsidR="009B2971" w:rsidRPr="009B2971" w:rsidRDefault="009B2971" w:rsidP="003A1038">
            <w:pPr>
              <w:pStyle w:val="Normal6"/>
              <w:rPr>
                <w:szCs w:val="24"/>
              </w:rPr>
            </w:pPr>
            <w:r w:rsidRPr="009B2971">
              <w:lastRenderedPageBreak/>
              <w:t>(4)</w:t>
            </w:r>
            <w:r w:rsidRPr="009B2971">
              <w:tab/>
              <w:t xml:space="preserve">Este deja posibilă sprijinirea prin FSE+ a investițiilor care contribuie la obiectivele „platformei Tehnologii strategice pentru Europa” (STEP), instituită </w:t>
            </w:r>
            <w:r w:rsidRPr="009B2971">
              <w:lastRenderedPageBreak/>
              <w:t>prin Regulamentul (UE) 2024/795 al Parlamentului European și al Consiliului</w:t>
            </w:r>
            <w:r w:rsidRPr="009B2971">
              <w:rPr>
                <w:vertAlign w:val="superscript"/>
              </w:rPr>
              <w:t>7</w:t>
            </w:r>
            <w:r w:rsidRPr="009B2971">
              <w:t xml:space="preserve"> cu scopul de a consolida poziția de lider tehnologic a Uniunii </w:t>
            </w:r>
            <w:r w:rsidRPr="009B2971">
              <w:rPr>
                <w:b/>
                <w:bCs/>
                <w:i/>
                <w:iCs/>
              </w:rPr>
              <w:t>și de a dezvolta competențele</w:t>
            </w:r>
            <w:r w:rsidRPr="009B2971">
              <w:t>. Pentru a stimula în continuare investițiile din FSE+ în aceste domenii critice, este necesar să se extindă posibilitatea ca statele membre să primească o prefinanțare mai mare pentru modificările conexe ale programelor.</w:t>
            </w:r>
          </w:p>
        </w:tc>
      </w:tr>
      <w:tr w:rsidR="009B2971" w:rsidRPr="009B2971" w:rsidTr="003A1038">
        <w:trPr>
          <w:jc w:val="center"/>
        </w:trPr>
        <w:tc>
          <w:tcPr>
            <w:tcW w:w="4876" w:type="dxa"/>
            <w:hideMark/>
          </w:tcPr>
          <w:p w:rsidR="009B2971" w:rsidRPr="009B2971" w:rsidRDefault="009B2971" w:rsidP="003A1038">
            <w:pPr>
              <w:pStyle w:val="Normal6"/>
            </w:pPr>
            <w:r w:rsidRPr="009B2971">
              <w:lastRenderedPageBreak/>
              <w:t>__________________</w:t>
            </w:r>
          </w:p>
        </w:tc>
        <w:tc>
          <w:tcPr>
            <w:tcW w:w="4876" w:type="dxa"/>
            <w:hideMark/>
          </w:tcPr>
          <w:p w:rsidR="009B2971" w:rsidRPr="009B2971" w:rsidRDefault="009B2971" w:rsidP="003A1038">
            <w:pPr>
              <w:pStyle w:val="Normal6"/>
              <w:rPr>
                <w:szCs w:val="24"/>
              </w:rPr>
            </w:pPr>
            <w:r w:rsidRPr="009B2971">
              <w:t>__________________</w:t>
            </w:r>
          </w:p>
        </w:tc>
      </w:tr>
      <w:tr w:rsidR="009B2971" w:rsidRPr="009B2971" w:rsidTr="003A1038">
        <w:trPr>
          <w:jc w:val="center"/>
        </w:trPr>
        <w:tc>
          <w:tcPr>
            <w:tcW w:w="4876" w:type="dxa"/>
            <w:hideMark/>
          </w:tcPr>
          <w:p w:rsidR="009B2971" w:rsidRPr="009B2971" w:rsidRDefault="009B2971" w:rsidP="003A1038">
            <w:pPr>
              <w:pStyle w:val="Normal6"/>
            </w:pPr>
            <w:r w:rsidRPr="009B2971">
              <w:rPr>
                <w:vertAlign w:val="superscript"/>
              </w:rPr>
              <w:t>7</w:t>
            </w:r>
            <w:r w:rsidRPr="009B2971">
              <w:t xml:space="preserve"> 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 (JO L, 2024/795, 29.2.2024, ELI: http://data.europa.eu/eli/reg/2024/795/oj)</w:t>
            </w:r>
          </w:p>
        </w:tc>
        <w:tc>
          <w:tcPr>
            <w:tcW w:w="4876" w:type="dxa"/>
            <w:hideMark/>
          </w:tcPr>
          <w:p w:rsidR="009B2971" w:rsidRPr="009B2971" w:rsidRDefault="009B2971" w:rsidP="003A1038">
            <w:pPr>
              <w:pStyle w:val="Normal6"/>
              <w:rPr>
                <w:szCs w:val="24"/>
              </w:rPr>
            </w:pPr>
            <w:r w:rsidRPr="009B2971">
              <w:rPr>
                <w:vertAlign w:val="superscript"/>
              </w:rPr>
              <w:t>7</w:t>
            </w:r>
            <w:r w:rsidRPr="009B2971">
              <w:t xml:space="preserve"> 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 (JO L, 2024/795, 29.2.2024, ELI: http://data.europa.eu/eli/reg/2024/795/oj)</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4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(4a)</w:t>
            </w:r>
            <w:r w:rsidRPr="009B2971">
              <w:rPr>
                <w:b/>
                <w:i/>
              </w:rPr>
              <w:tab/>
              <w:t xml:space="preserve">Pentru a aborda provocările critice legate de stimularea inovării și de protejarea cunoștințelor pentru a mări competitivitatea și reziliența Uniunii Europene, statele membre ar trebui să promoveze colaborarea dintre organizațiile care lucrează la crearea și asimilarea competențelor, cum ar fi instituțiile profesionale, academice și de cercetare, precum și industriile. O astfel de colaborare este esențială pentru </w:t>
            </w:r>
            <w:r w:rsidRPr="009B2971">
              <w:rPr>
                <w:b/>
                <w:i/>
              </w:rPr>
              <w:lastRenderedPageBreak/>
              <w:t>dezvoltarea de noi tehnologii și protecția proprietății intelectuale, asigurând ca UE să rămână în avangarda inovării la nivel mondial.</w:t>
            </w:r>
          </w:p>
        </w:tc>
      </w:tr>
    </w:tbl>
    <w:p w:rsidR="009B2971" w:rsidRPr="009B2971" w:rsidRDefault="009B2971" w:rsidP="009B2971">
      <w:pPr>
        <w:pStyle w:val="Olang"/>
      </w:pPr>
      <w:r w:rsidRPr="009B2971">
        <w:rPr>
          <w:noProof w:val="0"/>
        </w:rPr>
        <w:lastRenderedPageBreak/>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4 a (nou)</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(4a)</w:t>
            </w:r>
            <w:r w:rsidRPr="009B2971">
              <w:rPr>
                <w:b/>
                <w:i/>
              </w:rPr>
              <w:tab/>
              <w:t>În conformitate cu articolul 5 alineatul (1) al doilea paragraf din Regulamentul (UE) 2021/1060, FSE + contribuie la obiectivul specific de a permite regiunilor și cetățenilor să facă față efectelor sociale, efectelor care afectează ocuparea forței de muncă, efectelor economice și de mediu ale tranziției către țintele Uniunii privind energia și clima pentru 2030 și către o economie a Uniunii neutră din punct de vedere climatic până în 2050, în temeiul Acordului de la Paris.</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5</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 xml:space="preserve">Pentru a le oferi statelor membre posibilitatea de a efectua o reprogramare semnificativă și de a-și orienta resursele înspre prioritățile strategice ale Uniunii prevăzute în considerentele 2, 3 și 4, fără a </w:t>
            </w:r>
            <w:r w:rsidRPr="009B2971">
              <w:lastRenderedPageBreak/>
              <w:t>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c>
          <w:tcPr>
            <w:tcW w:w="4876" w:type="dxa"/>
            <w:hideMark/>
          </w:tcPr>
          <w:p w:rsidR="009B2971" w:rsidRPr="009B2971" w:rsidRDefault="009B2971" w:rsidP="003A1038">
            <w:pPr>
              <w:pStyle w:val="Normal6"/>
              <w:rPr>
                <w:szCs w:val="24"/>
              </w:rPr>
            </w:pPr>
            <w:r w:rsidRPr="009B2971">
              <w:lastRenderedPageBreak/>
              <w:t>(5)</w:t>
            </w:r>
            <w:r w:rsidRPr="009B2971">
              <w:tab/>
              <w:t>Pentru a le</w:t>
            </w:r>
            <w:r w:rsidRPr="009B2971">
              <w:rPr>
                <w:b/>
                <w:bCs/>
              </w:rPr>
              <w:t xml:space="preserve"> </w:t>
            </w:r>
            <w:r w:rsidRPr="009B2971">
              <w:rPr>
                <w:b/>
                <w:bCs/>
                <w:i/>
                <w:iCs/>
              </w:rPr>
              <w:t>permite</w:t>
            </w:r>
            <w:r w:rsidRPr="009B2971">
              <w:t xml:space="preserve"> statelor membre posibilitatea de a efectua o reprogramare semnificativă și de a-și orienta resursele înspre prioritățile strategice ale Uniunii prevăzute în considerentele 2, 3 și 4, fără a </w:t>
            </w:r>
            <w:r w:rsidRPr="009B2971">
              <w:lastRenderedPageBreak/>
              <w:t xml:space="preserve">cauza întârzieri suplimentare în </w:t>
            </w:r>
            <w:r w:rsidRPr="009B2971">
              <w:rPr>
                <w:b/>
                <w:bCs/>
                <w:i/>
                <w:iCs/>
              </w:rPr>
              <w:t>implementare, este oportun să se prevadă flexibilități suplimentare</w:t>
            </w:r>
            <w:r w:rsidRPr="009B2971">
              <w:t xml:space="preserve">. Evaluarea intermediară </w:t>
            </w:r>
            <w:r w:rsidRPr="009B2971">
              <w:rPr>
                <w:b/>
                <w:bCs/>
                <w:i/>
                <w:iCs/>
              </w:rPr>
              <w:t>este prezentată</w:t>
            </w:r>
            <w:r w:rsidRPr="009B2971">
              <w:t xml:space="preserve"> drept oportunitate de abordare a provocărilor strategice emergente și a noilor priorități, </w:t>
            </w:r>
            <w:r w:rsidRPr="009B2971">
              <w:rPr>
                <w:b/>
                <w:bCs/>
                <w:i/>
                <w:iCs/>
              </w:rPr>
              <w:t>permițând statelor</w:t>
            </w:r>
            <w:r w:rsidRPr="009B2971">
              <w:t xml:space="preserve"> membre să beneficieze de mai mult timp pentru a finaliza evaluarea</w:t>
            </w:r>
            <w:r w:rsidRPr="009B2971">
              <w:rPr>
                <w:b/>
                <w:bCs/>
                <w:i/>
                <w:iCs/>
              </w:rPr>
              <w:t xml:space="preserve"> performanței lor și să prezinte modificările programatice corespunzătoare</w:t>
            </w:r>
            <w:r w:rsidRPr="009B2971">
              <w:t>.</w:t>
            </w:r>
            <w:r w:rsidRPr="009B2971">
              <w:rPr>
                <w:b/>
                <w:i/>
              </w:rPr>
              <w:t xml:space="preserve"> Cu toate acestea, este imperativ să se pună în discuție faptul că concentrarea eforturilor pe redefinirea priorităților la nivelul UE riscă să elimine însăși esența politicii de coeziune, care se bazează pe abordarea priorităților și a nevoilor specifice ale teritoriilor. Redirecționarea atenției către provocările strategice globale poate delega pe fond misiunea principală – reducerea disparităților regionale și promovarea unei dezvoltări teritoriale echilibrate –, ceea ce duce la o pierdere a abordării teritoriale care a caracterizat politica de coeziune.</w:t>
            </w:r>
          </w:p>
        </w:tc>
      </w:tr>
    </w:tbl>
    <w:p w:rsidR="009B2971" w:rsidRPr="009B2971" w:rsidRDefault="009B2971" w:rsidP="009B2971">
      <w:pPr>
        <w:pStyle w:val="Olang"/>
      </w:pPr>
      <w:r w:rsidRPr="009B2971">
        <w:rPr>
          <w:noProof w:val="0"/>
        </w:rPr>
        <w:lastRenderedPageBreak/>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5</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Pentru a le oferi statelor membre posibilitatea de a efectua o reprogramare semnificativă și de a-și orienta resursele înspre prioritățile strategice ale Uniunii prevăzute în considerentele 2, 3 și 4, fără a 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c>
          <w:tcPr>
            <w:tcW w:w="4876" w:type="dxa"/>
            <w:hideMark/>
          </w:tcPr>
          <w:p w:rsidR="009B2971" w:rsidRPr="009B2971" w:rsidRDefault="009B2971" w:rsidP="003A1038">
            <w:pPr>
              <w:pStyle w:val="Normal6"/>
              <w:rPr>
                <w:szCs w:val="24"/>
              </w:rPr>
            </w:pPr>
            <w:r w:rsidRPr="009B2971">
              <w:t>(5)</w:t>
            </w:r>
            <w:r w:rsidRPr="009B2971">
              <w:tab/>
              <w:t xml:space="preserve">Pentru a le oferi statelor membre posibilitatea de a efectua o reprogramare semnificativă, </w:t>
            </w:r>
            <w:r w:rsidRPr="009B2971">
              <w:rPr>
                <w:b/>
                <w:bCs/>
                <w:i/>
                <w:iCs/>
              </w:rPr>
              <w:t>fără a pierde din vedere obiectivele principale ale fondului</w:t>
            </w:r>
            <w:r w:rsidRPr="009B2971">
              <w:t xml:space="preserve"> și de a-și orienta resursele înspre prioritățile strategice ale Uniunii prevăzute în considerentele 2, 3 și 4, fără a 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5</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 xml:space="preserve">Pentru a le oferi statelor membre posibilitatea de a efectua o reprogramare semnificativă și de a-și orienta resursele înspre prioritățile strategice ale Uniunii prevăzute în considerentele </w:t>
            </w:r>
            <w:r w:rsidRPr="009B2971">
              <w:rPr>
                <w:b/>
                <w:i/>
              </w:rPr>
              <w:t>2,</w:t>
            </w:r>
            <w:r w:rsidRPr="009B2971">
              <w:t xml:space="preserve"> 3 și 4, fără a 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c>
          <w:tcPr>
            <w:tcW w:w="4876" w:type="dxa"/>
            <w:hideMark/>
          </w:tcPr>
          <w:p w:rsidR="009B2971" w:rsidRPr="009B2971" w:rsidRDefault="009B2971" w:rsidP="003A1038">
            <w:pPr>
              <w:pStyle w:val="Normal6"/>
              <w:rPr>
                <w:szCs w:val="24"/>
              </w:rPr>
            </w:pPr>
            <w:r w:rsidRPr="009B2971">
              <w:t>(5)</w:t>
            </w:r>
            <w:r w:rsidRPr="009B2971">
              <w:tab/>
              <w:t xml:space="preserve">Pentru a le oferi statelor membre posibilitatea de a efectua o reprogramare semnificativă și de a-și orienta resursele înspre prioritățile strategice ale Uniunii prevăzute în considerentele 3 și 4, fără a cauza întârzieri suplimentare în ceea ce privește punerea în aplicare, este oportun să se prevadă flexibilități suplimentare. Evaluarea intermediară trebuie să servească drept oportunitate de abordare a provocărilor strategice </w:t>
            </w:r>
            <w:r w:rsidRPr="009B2971">
              <w:rPr>
                <w:b/>
                <w:bCs/>
                <w:i/>
                <w:iCs/>
              </w:rPr>
              <w:t xml:space="preserve">și sociale </w:t>
            </w:r>
            <w:r w:rsidRPr="009B2971">
              <w:t>emergente și a noilor priorități; prin urmare, este necesar ca statele membre să beneficieze de mai mult timp pentru a finaliza evaluarea rezultatului evaluării intermediare și pentru a prezenta modificările aferente ale programelor</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5</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Pentru a le oferi statelor membre posibilitatea de a efectua o reprogramare semnificativă și de a-și orienta resursele înspre prioritățile strategice ale Uniunii prevăzute în considerentele 2, 3 și 4, fără a 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c>
          <w:tcPr>
            <w:tcW w:w="4876" w:type="dxa"/>
            <w:hideMark/>
          </w:tcPr>
          <w:p w:rsidR="009B2971" w:rsidRPr="009B2971" w:rsidRDefault="009B2971" w:rsidP="003A1038">
            <w:pPr>
              <w:pStyle w:val="Normal6"/>
              <w:rPr>
                <w:szCs w:val="24"/>
              </w:rPr>
            </w:pPr>
            <w:r w:rsidRPr="009B2971">
              <w:t>(5)</w:t>
            </w:r>
            <w:r w:rsidRPr="009B2971">
              <w:tab/>
              <w:t xml:space="preserve">Pentru a le oferi statelor membre posibilitatea de a efectua o reprogramare semnificativă </w:t>
            </w:r>
            <w:r w:rsidRPr="009B2971">
              <w:rPr>
                <w:b/>
                <w:bCs/>
                <w:i/>
                <w:iCs/>
              </w:rPr>
              <w:t xml:space="preserve">și corectă </w:t>
            </w:r>
            <w:r w:rsidRPr="009B2971">
              <w:t>și de a-și orienta resursele înspre prioritățile strategice ale Uniunii prevăzute în considerentele 2, 3 și 4, fără a cauza întârzieri suplimentare în ceea ce privește punerea în aplicare, este oportun să se prevadă flexibilități suplimentare. Evaluarea intermediară trebuie să servească drept oportunitate de abordare a provocărilor strategice emergente și a noilor priorități; prin urmare, este necesar ca statele membre să beneficieze de mai mult timp pentru a finaliza evaluarea rezultatului evaluării intermediare și pentru a prezenta modificările aferente ale programelor.</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Marie Dauchy, Nikola Bartůšek</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{EMPL}</w:t>
      </w:r>
      <w:r w:rsidRPr="009B2971">
        <w:t>în numele Comisiei pentru ocuparea forței de muncă și afaceri sociale</w:t>
      </w:r>
      <w:r w:rsidRPr="00A4513A">
        <w:rPr>
          <w:rStyle w:val="HideTWBExt"/>
        </w:rPr>
        <w:t>&lt;/AuNomDe&gt;</w:t>
      </w:r>
    </w:p>
    <w:p w:rsidR="009B2971" w:rsidRPr="009B2971" w:rsidRDefault="009B2971" w:rsidP="009B2971">
      <w:pPr>
        <w:pStyle w:val="NormalBold"/>
      </w:pPr>
      <w:r w:rsidRPr="00A4513A">
        <w:rPr>
          <w:rStyle w:val="HideTWBExt"/>
          <w:b w:val="0"/>
        </w:rPr>
        <w:t>&lt;Members&gt;</w:t>
      </w:r>
      <w:r w:rsidRPr="009B2971">
        <w:t>Séverine Werbrouck</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6</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(6)</w:t>
            </w:r>
            <w:r w:rsidRPr="009B2971">
              <w:tab/>
              <w:t>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Din cauza impactului negativ al agresiunii Rusiei în Ucraina, procentul prefinanțării trebuie majorat și mai mult pentru anumite programe care vizează una sau mai multe regiuni NUTS 2 învecinate cu Rusia, cu Belarus sau cu Ucraina.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w:t>
            </w:r>
          </w:p>
        </w:tc>
        <w:tc>
          <w:tcPr>
            <w:tcW w:w="4876" w:type="dxa"/>
            <w:hideMark/>
          </w:tcPr>
          <w:p w:rsidR="009B2971" w:rsidRPr="009B2971" w:rsidRDefault="009B2971" w:rsidP="003A1038">
            <w:pPr>
              <w:pStyle w:val="Normal6"/>
              <w:rPr>
                <w:szCs w:val="24"/>
              </w:rPr>
            </w:pPr>
            <w:r w:rsidRPr="009B2971">
              <w:t>(6)</w:t>
            </w:r>
            <w:r w:rsidRPr="009B2971">
              <w:tab/>
              <w:t xml:space="preserve">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Din cauza impactului negativ al agresiunii Rusiei în Ucraina, </w:t>
            </w:r>
            <w:r w:rsidRPr="009B2971">
              <w:rPr>
                <w:b/>
                <w:bCs/>
                <w:i/>
                <w:iCs/>
              </w:rPr>
              <w:t xml:space="preserve">mai ales o presiune acută a migrației, </w:t>
            </w:r>
            <w:r w:rsidRPr="009B2971">
              <w:t>procentul prefinanțării trebuie majorat și mai mult pentru anumite programe care vizează una sau mai multe regiuni NUTS 2 învecinate cu Rusia, cu Belarus sau cu Ucraina.</w:t>
            </w:r>
            <w:r w:rsidRPr="009B2971">
              <w:rPr>
                <w:b/>
                <w:i/>
              </w:rPr>
              <w:t xml:space="preserve"> </w:t>
            </w:r>
            <w:r w:rsidRPr="009B2971">
              <w:rPr>
                <w:b/>
                <w:bCs/>
                <w:i/>
                <w:iCs/>
              </w:rPr>
              <w:t>Aceleași regiuni au fost mult timp, datorită poziției lor la granițele Uniunii Europene, poarta de acces către imigrația ilegală masivă, iar această situație produce și efecte negative, care acum sunt din ce în ce mai grave.</w:t>
            </w:r>
            <w:r w:rsidRPr="009B2971">
              <w:t xml:space="preserve">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{FR}</w:t>
      </w:r>
      <w:r w:rsidRPr="009B2971">
        <w:rPr>
          <w:noProof w:val="0"/>
        </w:rPr>
        <w:t>fr</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39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6</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(6)</w:t>
            </w:r>
            <w:r w:rsidRPr="009B2971">
              <w:tab/>
              <w:t>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Din cauza impactului negativ al agresiunii Rusiei în Ucraina, procentul prefinanțării trebuie majorat și mai mult pentru anumite programe care vizează una sau mai multe regiuni NUTS 2 învecinate cu Rusia, cu Belarus sau cu Ucraina.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w:t>
            </w:r>
          </w:p>
        </w:tc>
        <w:tc>
          <w:tcPr>
            <w:tcW w:w="4876" w:type="dxa"/>
            <w:hideMark/>
          </w:tcPr>
          <w:p w:rsidR="009B2971" w:rsidRPr="009B2971" w:rsidRDefault="009B2971" w:rsidP="003A1038">
            <w:pPr>
              <w:pStyle w:val="Normal6"/>
              <w:rPr>
                <w:szCs w:val="24"/>
              </w:rPr>
            </w:pPr>
            <w:r w:rsidRPr="009B2971">
              <w:t>(6)</w:t>
            </w:r>
            <w:r w:rsidRPr="009B2971">
              <w:tab/>
              <w:t xml:space="preserve">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Din cauza impactului negativ al agresiunii Rusiei în Ucraina, procentul prefinanțării trebuie majorat și mai mult pentru anumite programe care vizează una sau mai multe regiuni NUTS 2 învecinate cu Rusia, cu Belarus sau cu Ucraina </w:t>
            </w:r>
            <w:r w:rsidRPr="009B2971">
              <w:rPr>
                <w:b/>
                <w:bCs/>
                <w:i/>
                <w:iCs/>
              </w:rPr>
              <w:t>și regiuni afectate semnificativ de riscuri neconvenționale sau hibride</w:t>
            </w:r>
            <w:r w:rsidRPr="009B2971">
              <w:t>.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6</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(6)</w:t>
            </w:r>
            <w:r w:rsidRPr="009B2971">
              <w:tab/>
              <w:t xml:space="preserve">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w:t>
            </w:r>
            <w:r w:rsidRPr="009B2971">
              <w:rPr>
                <w:b/>
                <w:i/>
              </w:rPr>
              <w:t>Din cauza impactului negativ al agresiunii Rusiei în Ucraina, procentul prefinanțării trebuie majorat și mai mult pentru anumite programe care vizează una sau mai multe regiuni NUTS 2 învecinate cu Rusia, cu Belarus sau cu Ucraina.</w:t>
            </w:r>
            <w:r w:rsidRPr="009B2971">
              <w:t xml:space="preserve">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w:t>
            </w:r>
          </w:p>
        </w:tc>
        <w:tc>
          <w:tcPr>
            <w:tcW w:w="4876" w:type="dxa"/>
            <w:hideMark/>
          </w:tcPr>
          <w:p w:rsidR="009B2971" w:rsidRPr="009B2971" w:rsidRDefault="009B2971" w:rsidP="003A1038">
            <w:pPr>
              <w:pStyle w:val="Normal6"/>
              <w:rPr>
                <w:szCs w:val="24"/>
              </w:rPr>
            </w:pPr>
            <w:r w:rsidRPr="009B2971">
              <w:t>(6)</w:t>
            </w:r>
            <w:r w:rsidRPr="009B2971">
              <w:tab/>
              <w:t xml:space="preserve">Pentru a accelera punerea în aplicare a programelor politicii de coeziune, a atenua presiunea asupra bugetelor naționale și a injecta lichiditățile necesare realizării investițiilor esențiale, trebuie plătită o prefinanțare unică suplimentară din FSE+ pentru aceste programe. Pentru a stimula reorientarea programelor către prioritățile esențiale în contextul evaluării intermediare, prefinanțarea suplimentară trebuie să fie disponibilă numai în cazul în care se atinge un anumit prag pentru realocarea resurselor financiare către anumite priorități vitale. </w:t>
            </w:r>
            <w:r w:rsidRPr="009B2971">
              <w:rPr>
                <w:b/>
                <w:i/>
              </w:rPr>
              <w:t>Din cauza impactului negativ al agresiunii Rusiei în Ucraina, procentul prefinanțării trebuie majorat și mai mult pentru anumite programe care vizează una sau mai multe regiuni NUTS 2 învecinate cu Rusia, cu Belarus sau cu Ucraina fără condiții specifice pentru realocarea resurselor financiare ale programului către priorități specifice.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7</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(7)</w:t>
            </w:r>
            <w:r w:rsidRPr="009B2971">
              <w:tab/>
              <w:t>În plus, pentru a se ține seama de timpul necesar pentru reorientarea investițiilor și pentru a se permite o utilizare optimă a resurselor disponibile, termenele stabilite pentru eligibilitatea cheltuielilor și normele privind dezangajarea trebuie ajustate în cazul programelor care efectuează o realocare a resurselor către prioritățile strategice.</w:t>
            </w:r>
          </w:p>
        </w:tc>
        <w:tc>
          <w:tcPr>
            <w:tcW w:w="4876" w:type="dxa"/>
            <w:hideMark/>
          </w:tcPr>
          <w:p w:rsidR="009B2971" w:rsidRPr="009B2971" w:rsidRDefault="009B2971" w:rsidP="003A1038">
            <w:pPr>
              <w:pStyle w:val="Normal6"/>
              <w:rPr>
                <w:szCs w:val="24"/>
              </w:rPr>
            </w:pPr>
            <w:r w:rsidRPr="009B2971">
              <w:t>(7)</w:t>
            </w:r>
            <w:r w:rsidRPr="009B2971">
              <w:tab/>
              <w:t>Pentru ca evaluarea la jumătatea perioadei să aibă un impact real și să servească drept stimulent eficient pentru ca statele membre să își redirecționeze programele către noile priorități strategice, ar trebui să se acorde prioritate investițiilor în aceste domenii în termenele existente de eligibilitate și dezangajare, fără a prelungi termenele actuale.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8</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(8)</w:t>
            </w:r>
            <w:r w:rsidRPr="009B2971">
              <w:tab/>
              <w:t>De asemenea, trebuie să se poată aplica o rată maximă de cofinanțare de până la 100 % pentru prioritățile programelor destinate uneia sau mai multor regiuni NUTS2 care se învecinează cu Rusia, cu Belarus sau cu Ucraina, având în vedere impactul negativ pe care agresiunea rusă îl are asupra acestor regiuni.</w:t>
            </w:r>
          </w:p>
        </w:tc>
        <w:tc>
          <w:tcPr>
            <w:tcW w:w="4876" w:type="dxa"/>
            <w:hideMark/>
          </w:tcPr>
          <w:p w:rsidR="009B2971" w:rsidRPr="009B2971" w:rsidRDefault="009B2971" w:rsidP="003A1038">
            <w:pPr>
              <w:pStyle w:val="Normal6"/>
              <w:rPr>
                <w:szCs w:val="24"/>
              </w:rPr>
            </w:pPr>
            <w:r w:rsidRPr="009B2971">
              <w:t>(8)</w:t>
            </w:r>
            <w:r w:rsidRPr="009B2971">
              <w:tab/>
              <w:t xml:space="preserve">De asemenea, trebuie să se poată aplica o rată maximă de cofinanțare de până la </w:t>
            </w:r>
            <w:r w:rsidRPr="009B2971">
              <w:rPr>
                <w:b/>
                <w:bCs/>
                <w:i/>
                <w:iCs/>
              </w:rPr>
              <w:t>95 %</w:t>
            </w:r>
            <w:r w:rsidRPr="009B2971">
              <w:t xml:space="preserve"> pentru prioritățile programelor destinate uneia sau mai multor regiuni NUTS2 care se învecinează cu Rusia, cu Belarus sau cu Ucraina </w:t>
            </w:r>
            <w:r w:rsidRPr="009B2971">
              <w:rPr>
                <w:b/>
                <w:bCs/>
                <w:i/>
                <w:iCs/>
              </w:rPr>
              <w:t>și regiunile afectate substanțial de riscuri neconvenționale sau hibride</w:t>
            </w:r>
            <w:r w:rsidRPr="009B2971">
              <w:t>, având în vedere impactul negativ pe care agresiunea rusă îl are asupra acestor regiuni.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8</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(8)</w:t>
            </w:r>
            <w:r w:rsidRPr="009B2971">
              <w:tab/>
              <w:t>De asemenea, trebuie să se poată aplica o rată maximă de cofinanțare de până la 100 % pentru prioritățile programelor destinate uneia sau mai multor regiuni NUTS2 care se învecinează cu Rusia, cu Belarus sau cu Ucraina, având în vedere impactul negativ pe care agresiunea rusă îl are asupra acestor regiuni.</w:t>
            </w:r>
          </w:p>
        </w:tc>
        <w:tc>
          <w:tcPr>
            <w:tcW w:w="4876" w:type="dxa"/>
            <w:hideMark/>
          </w:tcPr>
          <w:p w:rsidR="009B2971" w:rsidRPr="009B2971" w:rsidRDefault="009B2971" w:rsidP="003A1038">
            <w:pPr>
              <w:pStyle w:val="Normal6"/>
              <w:rPr>
                <w:szCs w:val="24"/>
              </w:rPr>
            </w:pPr>
            <w:r w:rsidRPr="009B2971">
              <w:t>(8)</w:t>
            </w:r>
            <w:r w:rsidRPr="009B2971">
              <w:tab/>
              <w:t xml:space="preserve">De asemenea, </w:t>
            </w:r>
            <w:r w:rsidRPr="009B2971">
              <w:rPr>
                <w:b/>
                <w:bCs/>
                <w:i/>
                <w:iCs/>
              </w:rPr>
              <w:t xml:space="preserve">menținând în același timp diferențierea actuală între categoriile de regiuni, </w:t>
            </w:r>
            <w:r w:rsidRPr="009B2971">
              <w:t>trebuie să se poată aplica o rată maximă de cofinanțare de până la 100 % pentru prioritățile programelor destinate uneia sau mai multor regiuni NUTS2 care se învecinează cu Rusia, cu Belarus sau cu Ucraina, având în vedere impactul negativ pe care agresiunea rusă îl are asupra acestor regiuni.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8</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(8)</w:t>
            </w:r>
            <w:r w:rsidRPr="009B2971">
              <w:tab/>
              <w:t>De asemenea, trebuie să se poată aplica o rată maximă de cofinanțare de până la 100 % pentru prioritățile programelor destinate uneia sau mai multor regiuni NUTS2 care se învecinează cu Rusia, cu Belarus sau cu Ucraina, având în vedere impactul negativ pe care agresiunea rusă îl are asupra acestor regiuni.</w:t>
            </w:r>
          </w:p>
        </w:tc>
        <w:tc>
          <w:tcPr>
            <w:tcW w:w="4876" w:type="dxa"/>
            <w:hideMark/>
          </w:tcPr>
          <w:p w:rsidR="009B2971" w:rsidRPr="009B2971" w:rsidRDefault="009B2971" w:rsidP="003A1038">
            <w:pPr>
              <w:pStyle w:val="Normal6"/>
              <w:rPr>
                <w:szCs w:val="24"/>
              </w:rPr>
            </w:pPr>
            <w:r w:rsidRPr="009B2971">
              <w:t>(8)</w:t>
            </w:r>
            <w:r w:rsidRPr="009B2971">
              <w:tab/>
              <w:t xml:space="preserve">De asemenea, trebuie să se poată aplica o rată maximă de cofinanțare de până la 100 % pentru </w:t>
            </w:r>
            <w:r w:rsidRPr="009B2971">
              <w:rPr>
                <w:b/>
                <w:bCs/>
                <w:i/>
                <w:iCs/>
              </w:rPr>
              <w:t>programele</w:t>
            </w:r>
            <w:r w:rsidRPr="009B2971">
              <w:t xml:space="preserve"> destinate uneia sau mai multor regiuni NUTS2 care se învecinează cu Rusia, cu Belarus sau cu Ucraina, având în vedere impactul negativ pe care agresiunea rusă îl are asupra acestor regiuni.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9</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(9)</w:t>
            </w:r>
            <w:r w:rsidRPr="009B2971">
              <w:tab/>
              <w:t>Întrucât obiectivele prezentului regulament, și anume abordarea provocărilor strategice, reorientarea investițiilor către noile priorități critice și simplificarea și accelerarea punerii în aplicare a politicilor, nu pot fi realizate în mod satisfăcător de către statele membre, însă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tc>
        <w:tc>
          <w:tcPr>
            <w:tcW w:w="4876" w:type="dxa"/>
            <w:hideMark/>
          </w:tcPr>
          <w:p w:rsidR="009B2971" w:rsidRPr="009B2971" w:rsidRDefault="009B2971" w:rsidP="003A1038">
            <w:pPr>
              <w:pStyle w:val="Normal6"/>
              <w:rPr>
                <w:szCs w:val="24"/>
              </w:rPr>
            </w:pPr>
            <w:r w:rsidRPr="009B2971">
              <w:t>(9)</w:t>
            </w:r>
            <w:r w:rsidRPr="009B2971">
              <w:tab/>
              <w:t xml:space="preserve">Întrucât obiectivele prezentului regulament, și anume abordarea provocărilor strategice </w:t>
            </w:r>
            <w:r w:rsidRPr="009B2971">
              <w:rPr>
                <w:b/>
                <w:bCs/>
                <w:i/>
                <w:iCs/>
              </w:rPr>
              <w:t>și sociale</w:t>
            </w:r>
            <w:r w:rsidRPr="009B2971">
              <w:t>, reorientarea investițiilor către noile priorități critice și simplificarea și accelerarea punerii în aplicare a politicilor, nu pot fi realizate în mod satisfăcător de către statele membre, însă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9</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(9)</w:t>
            </w:r>
            <w:r w:rsidRPr="009B2971">
              <w:tab/>
              <w:t>Întrucât obiectivele prezentului regulament, și anume abordarea provocărilor strategice, reorientarea investițiilor către noile priorități critice și simplificarea și accelerarea punerii în aplicare a politicilor, nu pot fi realizate în mod satisfăcător de către statele membre, însă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tc>
        <w:tc>
          <w:tcPr>
            <w:tcW w:w="4876" w:type="dxa"/>
            <w:hideMark/>
          </w:tcPr>
          <w:p w:rsidR="009B2971" w:rsidRPr="009B2971" w:rsidRDefault="009B2971" w:rsidP="003A1038">
            <w:pPr>
              <w:pStyle w:val="Normal6"/>
              <w:rPr>
                <w:szCs w:val="24"/>
              </w:rPr>
            </w:pPr>
            <w:r w:rsidRPr="009B2971">
              <w:t>(9)</w:t>
            </w:r>
            <w:r w:rsidRPr="009B2971">
              <w:tab/>
              <w:t xml:space="preserve">Întrucât obiectivele prezentului regulament, și anume abordarea provocărilor strategice </w:t>
            </w:r>
            <w:r w:rsidRPr="009B2971">
              <w:rPr>
                <w:b/>
                <w:bCs/>
                <w:i/>
                <w:iCs/>
              </w:rPr>
              <w:t>și sociale</w:t>
            </w:r>
            <w:r w:rsidRPr="009B2971">
              <w:t>, reorientarea investițiilor către noile priorități critice și simplificarea și accelerarea punerii în aplicare a politicilor, nu pot fi realizate în mod satisfăcător de către statele membre, însă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(11)</w:t>
            </w:r>
            <w:r w:rsidRPr="009B2971">
              <w:tab/>
              <w:t>[Având în vedere necesitatea urgentă de a permite investiții esențiale în competențele din industria de apărare, precum și în adaptarea la schimbare legată de decarbonizare în contextul provocărilor geopolitice strategice presante, prezentul regulament trebuie să intre în vigoare în ziua următoare datei publicării în Jurnalul Oficial al Uniunii Europene,]</w:t>
            </w:r>
          </w:p>
        </w:tc>
        <w:tc>
          <w:tcPr>
            <w:tcW w:w="4876" w:type="dxa"/>
            <w:hideMark/>
          </w:tcPr>
          <w:p w:rsidR="009B2971" w:rsidRPr="009B2971" w:rsidRDefault="009B2971" w:rsidP="003A1038">
            <w:pPr>
              <w:pStyle w:val="Normal6"/>
              <w:rPr>
                <w:szCs w:val="24"/>
              </w:rPr>
            </w:pPr>
            <w:r w:rsidRPr="009B2971">
              <w:t>(11)</w:t>
            </w:r>
            <w:r w:rsidRPr="009B2971">
              <w:tab/>
              <w:t xml:space="preserve">[Având în vedere necesitatea </w:t>
            </w:r>
            <w:r w:rsidRPr="009B2971">
              <w:rPr>
                <w:b/>
                <w:bCs/>
                <w:i/>
                <w:iCs/>
              </w:rPr>
              <w:t>din ce în ce mai mare</w:t>
            </w:r>
            <w:r w:rsidRPr="009B2971">
              <w:t xml:space="preserve"> de a permite investiții esențiale în competențele </w:t>
            </w:r>
            <w:r w:rsidRPr="009B2971">
              <w:rPr>
                <w:b/>
                <w:bCs/>
                <w:i/>
                <w:iCs/>
              </w:rPr>
              <w:t xml:space="preserve">specifice </w:t>
            </w:r>
            <w:r w:rsidRPr="009B2971">
              <w:t>din industria de apărare, precum și în adaptarea la schimbare legată de decarbonizare în contextul provocărilor geopolitice strategice presante, prezentul regulament trebuie să intre în vigoare în ziua următoare datei publicării în Jurnalul Oficial al Uniunii Europene,]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Considerentul 11</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(11)</w:t>
            </w:r>
            <w:r w:rsidRPr="009B2971">
              <w:tab/>
              <w:t>[Având în vedere necesitatea urgentă de a permite investiții esențiale în competențele din industria de apărare, precum și în adaptarea la schimbare legată de decarbonizare în contextul provocărilor geopolitice strategice presante, prezentul regulament trebuie să intre în vigoare în ziua următoare datei publicării în Jurnalul Oficial al Uniunii Europene,]</w:t>
            </w:r>
          </w:p>
        </w:tc>
        <w:tc>
          <w:tcPr>
            <w:tcW w:w="4876" w:type="dxa"/>
            <w:hideMark/>
          </w:tcPr>
          <w:p w:rsidR="009B2971" w:rsidRPr="009B2971" w:rsidRDefault="009B2971" w:rsidP="003A1038">
            <w:pPr>
              <w:pStyle w:val="Normal6"/>
              <w:rPr>
                <w:szCs w:val="24"/>
              </w:rPr>
            </w:pPr>
            <w:r w:rsidRPr="009B2971">
              <w:t>(11)</w:t>
            </w:r>
            <w:r w:rsidRPr="009B2971">
              <w:tab/>
              <w:t xml:space="preserve">[Având în vedere necesitatea urgentă de a permite investiții esențiale în competențele din industria </w:t>
            </w:r>
            <w:r w:rsidRPr="009B2971">
              <w:rPr>
                <w:b/>
                <w:bCs/>
                <w:i/>
                <w:iCs/>
              </w:rPr>
              <w:t xml:space="preserve">tehnică </w:t>
            </w:r>
            <w:r w:rsidRPr="009B2971">
              <w:t>de apărare, precum și în adaptarea la schimbare legată de decarbonizare în contextul provocărilor geopolitice strategice presante, prezentul regulament trebuie să intre în vigoare în ziua următoare datei publicării în Jurnalul Oficial al Uniunii Europene,]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49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În 2026, Comisia va plăti 4,5 % din valoarea totală a sprijinului acordat prin FSE+ prevăzută în decizia de aprobare a modificării programului, ca prefinanțare unică suplimentară. Procentul prefinanțării unice în 2026 se va majora la 9,5 % în cazul programelor care vizează una sau mai multe regiuni NUTS 2 învecinate cu Rusia, cu Belarus sau cu Ucraina, cu condiția ca programul să nu acopere întregul teritoriu al statului membru. În cazul în care, într-un stat membru, regiunile NUTS 2 învecinate cu Rusia, cu Belarus sau cu Ucraina sunt incluse doar în programe care acoperă întregul teritoriu al statului membru respectiv, prefinanțarea majorată prevăzută la prezentul alineat se aplică programelor respective.</w:t>
            </w:r>
          </w:p>
        </w:tc>
        <w:tc>
          <w:tcPr>
            <w:tcW w:w="4876" w:type="dxa"/>
            <w:hideMark/>
          </w:tcPr>
          <w:p w:rsidR="009B2971" w:rsidRPr="009B2971" w:rsidRDefault="009B2971" w:rsidP="003A1038">
            <w:pPr>
              <w:pStyle w:val="Normal6"/>
              <w:rPr>
                <w:szCs w:val="24"/>
              </w:rPr>
            </w:pPr>
            <w:r w:rsidRPr="009B2971">
              <w:t xml:space="preserve">În 2026, Comisia va plăti 4,5 % din valoarea totală a sprijinului acordat prin FSE+ prevăzută în decizia de aprobare a modificării programului, ca prefinanțare unică suplimentară. Procentul prefinanțării unice în 2026 se va majora la 9,5 % în cazul programelor care vizează una sau mai multe regiuni NUTS 2 învecinate cu Rusia, cu Belarus sau cu Ucraina </w:t>
            </w:r>
            <w:r w:rsidRPr="009B2971">
              <w:rPr>
                <w:b/>
                <w:bCs/>
                <w:i/>
                <w:iCs/>
              </w:rPr>
              <w:t>și regiuni afectate substanțial de riscuri neconvenționale sau hibride</w:t>
            </w:r>
            <w:r w:rsidRPr="009B2971">
              <w:t xml:space="preserve">, cu condiția ca programul să nu acopere întregul teritoriu al statului membru. În cazul în care, într-un stat membru, regiunile NUTS 2 învecinate cu Rusia, cu Belarus sau cu Ucraina </w:t>
            </w:r>
            <w:r w:rsidRPr="009B2971">
              <w:rPr>
                <w:b/>
                <w:bCs/>
                <w:i/>
                <w:iCs/>
              </w:rPr>
              <w:t>și regiuni afectate substanțial de riscuri neconvenționale sau hibride</w:t>
            </w:r>
            <w:r w:rsidRPr="009B2971">
              <w:t xml:space="preserve"> sunt incluse doar în programe care acoperă întregul teritoriu al statului membru respectiv, prefinanțarea majorată prevăzută la prezentul alineat se aplică programelor respective. </w:t>
            </w:r>
            <w:r w:rsidRPr="009B2971">
              <w:rPr>
                <w:b/>
                <w:i/>
              </w:rPr>
              <w:t>Cu toate acestea, aplicarea unei prefinanțări excepționale, în special a celei alocate într-o singură tranșă de 30 % din alocare, va fi supusă unei evaluări prealabile a impactului financiar asupra alocărilor anuale din bugetul UE. Dacă se identifică presiuni semnificative, se activează un mecanism de compensare pentru a permite o ajustare temporară a ratei prefinanțate.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CrossRef"/>
      </w:pPr>
      <w:r w:rsidRPr="009B2971">
        <w:t>(A se vedea punctele 30-31 din Avizul 02/2025 al CCE)</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Din cauza presiunii pe care această prefinanțare excepțională – în special până la 30 % în anumite cazuri – ar putea să o exercite asupra bugetului anual al UE. Se recomandă să se justifice pe deplin o astfel de măsură și să se introducă mecanisme de ajustare.</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În 2026, Comisia va plăti 4,5 % din valoarea totală a sprijinului acordat prin FSE+ prevăzută în decizia de aprobare a modificării programului, ca prefinanțare unică suplimentară. Procentul prefinanțării unice în 2026 se va majora la 9,5 % în cazul programelor care vizează una sau mai multe regiuni NUTS 2 învecinate cu Rusia, cu Belarus sau cu Ucraina, cu condiția ca programul să nu acopere întregul teritoriu al statului membru. În cazul în care, într-un stat membru, regiunile NUTS 2 învecinate cu Rusia, cu Belarus sau cu Ucraina sunt incluse doar în programe care acoperă întregul teritoriu al statului membru respectiv, prefinanțarea majorată prevăzută la prezentul alineat se aplică programelor respective.</w:t>
            </w:r>
          </w:p>
        </w:tc>
        <w:tc>
          <w:tcPr>
            <w:tcW w:w="4876" w:type="dxa"/>
            <w:hideMark/>
          </w:tcPr>
          <w:p w:rsidR="009B2971" w:rsidRPr="009B2971" w:rsidRDefault="009B2971" w:rsidP="003A1038">
            <w:pPr>
              <w:pStyle w:val="Normal6"/>
              <w:rPr>
                <w:szCs w:val="24"/>
              </w:rPr>
            </w:pPr>
            <w:r w:rsidRPr="009B2971">
              <w:t xml:space="preserve">În 2026, Comisia va plăti 4,5 % din valoarea totală a sprijinului acordat prin FSE+ prevăzută în decizia de aprobare a modificării programului, ca prefinanțare unică suplimentară. </w:t>
            </w:r>
            <w:r w:rsidRPr="009B2971">
              <w:rPr>
                <w:b/>
                <w:bCs/>
                <w:i/>
                <w:iCs/>
              </w:rPr>
              <w:t>Prefinanțarea suplimentară se aplică numai dacă au fost aprobate realocări a cel puțin 5 % din resursele financiare ale programului către una sau mai multe priorități specifice stabilite în conformitate cu articolele 12a și 12d și cu condiția ca intervențiile să vizeze beneficiari mai mici, ca cererea de modificare a programului să fie depusă până la 31 decembrie 2025</w:t>
            </w:r>
            <w:r w:rsidRPr="009B2971">
              <w:t>.</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t xml:space="preserve">Procentul prefinanțării unice în 2026 se va majora la 9,5 % </w:t>
            </w:r>
            <w:r w:rsidRPr="009B2971">
              <w:rPr>
                <w:b/>
                <w:bCs/>
                <w:i/>
                <w:iCs/>
              </w:rPr>
              <w:t xml:space="preserve">pentru toate programele </w:t>
            </w:r>
            <w:r w:rsidRPr="009B2971">
              <w:t>care vizează una sau mai multe regiuni NUTS 2 învecinate cu Rusia, cu Belarus sau cu Ucraina, cu condiția ca programul să nu acopere întregul teritoriu al statului membru. În cazul în care, într-un stat membru, regiunile NUTS 2 învecinate cu Rusia, cu Belarus sau cu Ucraina sunt incluse doar în programe care acoperă întregul teritoriu al statului membru respectiv, prefinanțarea majorată prevăzută la prezentul alineat se aplică programelor respective.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Prefinanțarea suplimentară menționată la primul paragraf de la prezentul alineat se aplică numai în cazul în care au fost aprobate realocări de cel puțin 15 % din resursele financiare ale programului către una sau mai multe priorități specifice stabilite în conformitate cu articolele 12a, 12c și 12d, cu condiția ca cererea de modificare a programului să fie transmisă până la 31 decembrie 2025.</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Prefinanțarea suplimentară menționată la primul paragraf de la prezentul alineat se aplică numai în cazul în care au fost aprobate realocări de cel puțin 15 % din resursele financiare ale programului către una sau mai multe priorități specifice stabilite în conformitate cu articolele 12a, 12c și 12d, cu condiția ca cererea de modificare a programului să fie transmisă până la 31 decembrie 2025.</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 xml:space="preserve">Prefinanțarea </w:t>
            </w:r>
            <w:r w:rsidRPr="009B2971">
              <w:rPr>
                <w:b/>
                <w:i/>
              </w:rPr>
              <w:t>suplimentară</w:t>
            </w:r>
            <w:r w:rsidRPr="009B2971">
              <w:t xml:space="preserve"> </w:t>
            </w:r>
            <w:r w:rsidRPr="009B2971">
              <w:rPr>
                <w:b/>
                <w:i/>
              </w:rPr>
              <w:t>menționată la primul paragraf de la prezentul alineat</w:t>
            </w:r>
            <w:r w:rsidRPr="009B2971">
              <w:t xml:space="preserve"> </w:t>
            </w:r>
            <w:r w:rsidRPr="009B2971">
              <w:rPr>
                <w:b/>
                <w:i/>
              </w:rPr>
              <w:t>se aplică numai în cazul în care au fost aprobate realocări de cel puțin 15 % din</w:t>
            </w:r>
            <w:r w:rsidRPr="009B2971">
              <w:t xml:space="preserve"> resursele financiare </w:t>
            </w:r>
            <w:r w:rsidRPr="009B2971">
              <w:rPr>
                <w:b/>
                <w:i/>
              </w:rPr>
              <w:t>ale programului către una sau mai multe</w:t>
            </w:r>
            <w:r w:rsidRPr="009B2971">
              <w:t xml:space="preserve"> priorități specifice </w:t>
            </w:r>
            <w:r w:rsidRPr="009B2971">
              <w:rPr>
                <w:b/>
                <w:i/>
              </w:rPr>
              <w:t>stabilite în conformitate cu articolele 12a, 12c și 12d,</w:t>
            </w:r>
            <w:r w:rsidRPr="009B2971">
              <w:t xml:space="preserve"> cu condiția ca </w:t>
            </w:r>
            <w:r w:rsidRPr="009B2971">
              <w:rPr>
                <w:b/>
                <w:i/>
              </w:rPr>
              <w:t>cererea de modificare a programului să fie transmisă până la 31 decembrie 2025</w:t>
            </w:r>
            <w:r w:rsidRPr="009B2971">
              <w:t>.</w:t>
            </w:r>
          </w:p>
        </w:tc>
        <w:tc>
          <w:tcPr>
            <w:tcW w:w="4876" w:type="dxa"/>
            <w:hideMark/>
          </w:tcPr>
          <w:p w:rsidR="009B2971" w:rsidRPr="009B2971" w:rsidRDefault="009B2971" w:rsidP="003A1038">
            <w:pPr>
              <w:pStyle w:val="Normal6"/>
              <w:rPr>
                <w:szCs w:val="24"/>
              </w:rPr>
            </w:pPr>
            <w:r w:rsidRPr="009B2971">
              <w:t xml:space="preserve">Prefinanțarea </w:t>
            </w:r>
            <w:r w:rsidRPr="009B2971">
              <w:rPr>
                <w:b/>
                <w:i/>
              </w:rPr>
              <w:t>excepțională</w:t>
            </w:r>
            <w:r w:rsidRPr="009B2971">
              <w:t xml:space="preserve"> </w:t>
            </w:r>
            <w:r w:rsidRPr="009B2971">
              <w:rPr>
                <w:b/>
                <w:i/>
              </w:rPr>
              <w:t>(de 4,5 % sau 9,5 % pentru programele din regiunile NUTS 2 învecinate)</w:t>
            </w:r>
            <w:r w:rsidRPr="009B2971">
              <w:t xml:space="preserve"> </w:t>
            </w:r>
            <w:r w:rsidRPr="009B2971">
              <w:rPr>
                <w:b/>
                <w:i/>
              </w:rPr>
              <w:t>nu se aplică automat dincolo de pragul de 12,5 % pentru realocarea</w:t>
            </w:r>
            <w:r w:rsidRPr="009B2971">
              <w:t xml:space="preserve"> resurselor financiare.</w:t>
            </w:r>
            <w:r w:rsidRPr="009B2971">
              <w:rPr>
                <w:b/>
                <w:i/>
              </w:rPr>
              <w:t xml:space="preserve"> </w:t>
            </w:r>
            <w:r w:rsidRPr="009B2971">
              <w:rPr>
                <w:b/>
                <w:bCs/>
                <w:i/>
                <w:iCs/>
              </w:rPr>
              <w:t>Comisia, în coordonare cu statele membre, evaluează în comun și prin intermediul unei analize comparative, inclusiv aspectele calitative și cantitative, dacă realocarea efectuată răspunde efectiv priorităților strategice identificate.</w:t>
            </w:r>
            <w:r w:rsidRPr="009B2971">
              <w:rPr>
                <w:b/>
                <w:i/>
              </w:rPr>
              <w:t xml:space="preserve"> Această analiză poate conduce la punerea în aplicare a măsurilor financiare suplimentare chiar și în cazurile în care rata de realocare nu atinge 12,5 %,</w:t>
            </w:r>
            <w:r w:rsidRPr="009B2971">
              <w:t xml:space="preserve"> cu condiția ca </w:t>
            </w:r>
            <w:r w:rsidRPr="009B2971">
              <w:rPr>
                <w:b/>
                <w:i/>
              </w:rPr>
              <w:t>nevoia strategică de ajustare să fie justificată foarte bine.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CrossRef"/>
      </w:pPr>
      <w:r w:rsidRPr="009B2971">
        <w:t>(Se Avizul CCE 02/2025, punctele 30-31)</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Se propune ca alineatul corespunzător de la articolul 5a să fie modificat astfel încât, în locul aplicării automate a măsurilor atunci când este depășit pragul de 15 %, să se adopte o abordare mixtă, care să țină seama și de justificarea calitativă a realocării.</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 xml:space="preserve">Prefinanțarea suplimentară menționată la primul paragraf de la prezentul alineat se aplică numai în cazul în care au fost aprobate realocări de cel puțin </w:t>
            </w:r>
            <w:r w:rsidRPr="009B2971">
              <w:rPr>
                <w:b/>
                <w:i/>
              </w:rPr>
              <w:t>15 %</w:t>
            </w:r>
            <w:r w:rsidRPr="009B2971">
              <w:t xml:space="preserve"> din resursele financiare ale </w:t>
            </w:r>
            <w:r w:rsidRPr="009B2971">
              <w:rPr>
                <w:b/>
                <w:i/>
              </w:rPr>
              <w:t>programului</w:t>
            </w:r>
            <w:r w:rsidRPr="009B2971">
              <w:t xml:space="preserve"> către una sau mai multe priorități specifice stabilite în conformitate cu articolele 12a, 12c și 12d, cu condiția ca cererea de modificare a programului să fie transmisă până la 31 decembrie 2025.</w:t>
            </w:r>
          </w:p>
        </w:tc>
        <w:tc>
          <w:tcPr>
            <w:tcW w:w="4876" w:type="dxa"/>
            <w:hideMark/>
          </w:tcPr>
          <w:p w:rsidR="009B2971" w:rsidRPr="009B2971" w:rsidRDefault="009B2971" w:rsidP="003A1038">
            <w:pPr>
              <w:pStyle w:val="Normal6"/>
              <w:rPr>
                <w:szCs w:val="24"/>
              </w:rPr>
            </w:pPr>
            <w:r w:rsidRPr="009B2971">
              <w:t>Prefinanțarea suplimentară menționată la primul paragraf de la prezentul alineat se aplică numai dacă au fost aprobate</w:t>
            </w:r>
            <w:r w:rsidRPr="009B2971">
              <w:rPr>
                <w:b/>
                <w:bCs/>
                <w:i/>
                <w:iCs/>
              </w:rPr>
              <w:t xml:space="preserve"> realocările necesare și justificate</w:t>
            </w:r>
            <w:r w:rsidRPr="009B2971">
              <w:t xml:space="preserve"> de cel puțin </w:t>
            </w:r>
            <w:r w:rsidRPr="009B2971">
              <w:rPr>
                <w:b/>
                <w:bCs/>
                <w:i/>
                <w:iCs/>
              </w:rPr>
              <w:t>10 %</w:t>
            </w:r>
            <w:r w:rsidRPr="009B2971">
              <w:t xml:space="preserve"> din resursele financiare ale </w:t>
            </w:r>
            <w:r w:rsidRPr="009B2971">
              <w:rPr>
                <w:b/>
                <w:bCs/>
                <w:i/>
                <w:iCs/>
              </w:rPr>
              <w:t>fondului</w:t>
            </w:r>
            <w:r w:rsidRPr="009B2971">
              <w:t xml:space="preserve"> către una sau mai multe priorități specifice stabilite în conformitate cu articolele 12a, 12c și 12d; cu condiția ca cererea de modificare a programului să fie transmisă până la 31 decembrie 2025.</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1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 xml:space="preserve">Prefinanțarea suplimentară menționată la primul paragraf de la prezentul alineat se aplică numai în cazul în care au fost aprobate realocări de cel puțin 15 % din resursele financiare ale programului către una sau mai multe priorități specifice stabilite în conformitate cu articolele 12a, </w:t>
            </w:r>
            <w:r w:rsidRPr="009B2971">
              <w:rPr>
                <w:b/>
                <w:i/>
              </w:rPr>
              <w:t>12c și 12d</w:t>
            </w:r>
            <w:r w:rsidRPr="009B2971">
              <w:t>, cu condiția ca cererea de modificare a programului să fie transmisă până la 31 decembrie 2025.</w:t>
            </w:r>
          </w:p>
        </w:tc>
        <w:tc>
          <w:tcPr>
            <w:tcW w:w="4876" w:type="dxa"/>
            <w:hideMark/>
          </w:tcPr>
          <w:p w:rsidR="009B2971" w:rsidRPr="009B2971" w:rsidRDefault="009B2971" w:rsidP="003A1038">
            <w:pPr>
              <w:pStyle w:val="Normal6"/>
              <w:rPr>
                <w:szCs w:val="24"/>
              </w:rPr>
            </w:pPr>
            <w:r w:rsidRPr="009B2971">
              <w:t xml:space="preserve">Prefinanțarea suplimentară menționată la primul paragraf de la prezentul alineat se aplică numai în cazul în care au fost aprobate realocări de cel puțin 15 % din resursele financiare ale programului către una sau mai multe priorități specifice stabilite în conformitate cu articolele 12a </w:t>
            </w:r>
            <w:r w:rsidRPr="009B2971">
              <w:rPr>
                <w:b/>
                <w:bCs/>
                <w:i/>
                <w:iCs/>
              </w:rPr>
              <w:t>și</w:t>
            </w:r>
            <w:r w:rsidRPr="009B2971">
              <w:t xml:space="preserve"> 12c; cu condiția ca cererea de modificare a programului să fie transmisă până la 31 decembrie 2025.</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 a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i/>
              </w:rPr>
              <w:t>15 %</w:t>
            </w:r>
            <w:r w:rsidRPr="009B2971">
              <w:t xml:space="preserve"> din resursele financiare ale programului către una sau mai multe priorități specifice stabilite în conformitate cu articolele 12a, 12c și 12d din prezentul regulament în contextul evaluării intermediare.</w:t>
            </w:r>
          </w:p>
        </w:tc>
        <w:tc>
          <w:tcPr>
            <w:tcW w:w="4876" w:type="dxa"/>
            <w:hideMark/>
          </w:tcPr>
          <w:p w:rsidR="009B2971" w:rsidRPr="009B2971" w:rsidRDefault="009B2971" w:rsidP="003A1038">
            <w:pPr>
              <w:pStyle w:val="Normal6"/>
              <w:rPr>
                <w:szCs w:val="24"/>
              </w:rPr>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bCs/>
                <w:i/>
                <w:iCs/>
              </w:rPr>
              <w:t>12,5 %</w:t>
            </w:r>
            <w:r w:rsidRPr="009B2971">
              <w:t xml:space="preserve"> din resursele financiare ale programului către una sau mai multe priorități specifice stabilite în conformitate cu articolele 12a, 12c și 12d din prezentul regulament în contextul evaluării intermediare.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i/>
              </w:rPr>
              <w:t>15 %</w:t>
            </w:r>
            <w:r w:rsidRPr="009B2971">
              <w:t xml:space="preserve"> din resursele financiare ale programului către una sau mai multe priorități specifice stabilite în conformitate cu articolele 12a, 12c și 12d din prezentul regulament în contextul evaluării intermediare.</w:t>
            </w:r>
          </w:p>
        </w:tc>
        <w:tc>
          <w:tcPr>
            <w:tcW w:w="4876" w:type="dxa"/>
            <w:hideMark/>
          </w:tcPr>
          <w:p w:rsidR="009B2971" w:rsidRPr="009B2971" w:rsidRDefault="009B2971" w:rsidP="003A1038">
            <w:pPr>
              <w:pStyle w:val="Normal6"/>
              <w:rPr>
                <w:szCs w:val="24"/>
              </w:rPr>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bCs/>
                <w:i/>
                <w:iCs/>
              </w:rPr>
              <w:t>5 %</w:t>
            </w:r>
            <w:r w:rsidRPr="009B2971">
              <w:t xml:space="preserve"> din resursele financiare ale programului către una sau mai multe priorități specifice stabilite în conformitate cu articolele 12a, 12c și 12d din prezentul regulament în contextul evaluării intermediare.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i/>
              </w:rPr>
              <w:t>15 %</w:t>
            </w:r>
            <w:r w:rsidRPr="009B2971">
              <w:t xml:space="preserve"> din resursele financiare ale </w:t>
            </w:r>
            <w:r w:rsidRPr="009B2971">
              <w:rPr>
                <w:b/>
                <w:i/>
              </w:rPr>
              <w:t>programului</w:t>
            </w:r>
            <w:r w:rsidRPr="009B2971">
              <w:t xml:space="preserve"> către una sau mai multe priorități specifice stabilite în conformitate cu articolele 12a, 12c și 12d din prezentul regulament în contextul evaluării intermediare.</w:t>
            </w:r>
          </w:p>
        </w:tc>
        <w:tc>
          <w:tcPr>
            <w:tcW w:w="4876" w:type="dxa"/>
            <w:hideMark/>
          </w:tcPr>
          <w:p w:rsidR="009B2971" w:rsidRPr="009B2971" w:rsidRDefault="009B2971" w:rsidP="003A1038">
            <w:pPr>
              <w:pStyle w:val="Normal6"/>
              <w:rPr>
                <w:szCs w:val="24"/>
              </w:rPr>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bCs/>
                <w:i/>
                <w:iCs/>
              </w:rPr>
              <w:t>10 %</w:t>
            </w:r>
            <w:r w:rsidRPr="009B2971">
              <w:t xml:space="preserve"> din resursele financiare ale </w:t>
            </w:r>
            <w:r w:rsidRPr="009B2971">
              <w:rPr>
                <w:b/>
                <w:bCs/>
                <w:i/>
                <w:iCs/>
              </w:rPr>
              <w:t xml:space="preserve">fondului </w:t>
            </w:r>
            <w:r w:rsidRPr="009B2971">
              <w:t>către una sau mai multe priorități specifice stabilite în conformitate cu articolele 12a, 12c și 12d din prezentul regulament în contextul evaluării intermediare.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59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15 % din resursele financiare ale programului către una sau mai multe priorități specifice stabilite în conformitate cu articolele 12a</w:t>
            </w:r>
            <w:r w:rsidRPr="009B2971">
              <w:rPr>
                <w:b/>
                <w:i/>
              </w:rPr>
              <w:t>, 12c și 12d</w:t>
            </w:r>
            <w:r w:rsidRPr="009B2971">
              <w:t xml:space="preserve"> din prezentul regulament în contextul evaluării intermediare.</w:t>
            </w:r>
          </w:p>
        </w:tc>
        <w:tc>
          <w:tcPr>
            <w:tcW w:w="4876" w:type="dxa"/>
            <w:hideMark/>
          </w:tcPr>
          <w:p w:rsidR="009B2971" w:rsidRPr="009B2971" w:rsidRDefault="009B2971" w:rsidP="003A1038">
            <w:pPr>
              <w:pStyle w:val="Normal6"/>
              <w:rPr>
                <w:szCs w:val="24"/>
              </w:rPr>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15 % din resursele financiare ale programului către una sau mai multe priorități specifice stabilite în conformitate cu articolele 12a </w:t>
            </w:r>
            <w:r w:rsidRPr="009B2971">
              <w:rPr>
                <w:b/>
                <w:bCs/>
                <w:i/>
                <w:iCs/>
              </w:rPr>
              <w:t>și</w:t>
            </w:r>
            <w:r w:rsidRPr="009B2971">
              <w:t xml:space="preserve"> 12c din prezentul regulament în contextul evaluării intermediare.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15 % din resursele financiare ale programului către una sau mai multe priorități specifice stabilite în conformitate cu articolele 12a</w:t>
            </w:r>
            <w:r w:rsidRPr="009B2971">
              <w:rPr>
                <w:b/>
                <w:bCs/>
                <w:i/>
                <w:iCs/>
              </w:rPr>
              <w:t>, 12c</w:t>
            </w:r>
            <w:r w:rsidRPr="009B2971">
              <w:t xml:space="preserve"> și 12d din prezentul regulament în contextul evaluării intermediare.</w:t>
            </w:r>
          </w:p>
        </w:tc>
        <w:tc>
          <w:tcPr>
            <w:tcW w:w="4876" w:type="dxa"/>
            <w:hideMark/>
          </w:tcPr>
          <w:p w:rsidR="009B2971" w:rsidRPr="009B2971" w:rsidRDefault="009B2971" w:rsidP="003A1038">
            <w:pPr>
              <w:pStyle w:val="Normal6"/>
              <w:rPr>
                <w:szCs w:val="24"/>
              </w:rPr>
            </w:pPr>
            <w:r w:rsidRPr="009B2971">
              <w:t>(2)</w:t>
            </w:r>
            <w:r w:rsidRPr="009B2971">
              <w:tab/>
              <w:t xml:space="preserve">Prin derogare de la articolul 63 alineatul (2) și de la articolul 105 alineatul (2) din Regulamentul (UE) 2021/1060, termenul pentru eligibilitatea cheltuielilor, pentru rambursarea costurilor și pentru dezangajare este 31 decembrie 2030. Derogarea respectivă se aplică numai în cazul în care au fost aprobate modificările programului prin care se realocă cel puțin </w:t>
            </w:r>
            <w:r w:rsidRPr="009B2971">
              <w:rPr>
                <w:b/>
                <w:bCs/>
                <w:i/>
                <w:iCs/>
              </w:rPr>
              <w:t>5 %</w:t>
            </w:r>
            <w:r w:rsidRPr="009B2971">
              <w:t xml:space="preserve"> din resursele financiare ale programului către una sau mai multe priorități specifice stabilite în conformitate cu articolele 12a și 12d din prezentul regulament în contextul evaluării intermediare.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(2a)</w:t>
            </w:r>
            <w:r w:rsidRPr="009B2971">
              <w:rPr>
                <w:b/>
                <w:i/>
              </w:rPr>
              <w:tab/>
              <w:t>Atunci când modifică programele, statele membre includ, cu participarea activă și semnificativă a partenerilor sociali, pentru prioritățile specifice, obligații pentru beneficiari de a respecta condițiile de muncă și de angajare în temeiul dreptului Uniunii și al legislației naționale aplicabile, al convențiilor OIM și al contractelor colective de muncă.</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2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(2a)</w:t>
            </w:r>
            <w:r w:rsidRPr="009B2971">
              <w:rPr>
                <w:b/>
                <w:i/>
              </w:rPr>
              <w:tab/>
              <w:t>Statele membre colaborează îndeaproape cu partenerii sociali atunci când reprogramează și respectă condițiile de muncă și de angajare în temeiul convențiilor OIM aplicabile, al dreptului Uniunii și al legislației naționale și al contractelor colective de muncă.</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w:t>
            </w:r>
            <w:r w:rsidRPr="009B2971">
              <w:rPr>
                <w:b/>
                <w:i/>
              </w:rPr>
              <w:t>Derogarea se aplică numai în cazul în care au fost aprobate realocările a cel puțin 15 %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w:t>
            </w:r>
            <w:r w:rsidRPr="009B2971">
              <w:rPr>
                <w:b/>
                <w:i/>
              </w:rPr>
              <w:t>Derogarea se aplică numai în cazul în care au fost aprobate realocările a cel puțin 15 %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este de </w:t>
            </w:r>
            <w:r w:rsidRPr="009B2971">
              <w:rPr>
                <w:b/>
                <w:i/>
              </w:rPr>
              <w:t>100</w:t>
            </w:r>
            <w:r w:rsidRPr="009B2971">
              <w:t xml:space="preserve">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w:t>
            </w:r>
            <w:r w:rsidRPr="009B2971">
              <w:rPr>
                <w:b/>
                <w:i/>
              </w:rPr>
              <w:t>15 %</w:t>
            </w:r>
            <w:r w:rsidRPr="009B2971">
              <w:t xml:space="preserve">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w:t>
            </w:r>
            <w:r w:rsidRPr="009B2971">
              <w:rPr>
                <w:b/>
                <w:bCs/>
                <w:i/>
                <w:iCs/>
              </w:rPr>
              <w:t>și regiuni afectate substanțial de riscuri neconvenționale sau hibride</w:t>
            </w:r>
            <w:r w:rsidRPr="009B2971">
              <w:t xml:space="preserve"> este de </w:t>
            </w:r>
            <w:r w:rsidRPr="009B2971">
              <w:rPr>
                <w:b/>
                <w:bCs/>
                <w:i/>
                <w:iCs/>
              </w:rPr>
              <w:t>95 %</w:t>
            </w:r>
            <w:r w:rsidRPr="009B2971">
              <w:t xml:space="preserve">.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w:t>
            </w:r>
            <w:r w:rsidRPr="009B2971">
              <w:rPr>
                <w:b/>
                <w:bCs/>
                <w:i/>
                <w:iCs/>
              </w:rPr>
              <w:t>12,5 %</w:t>
            </w:r>
            <w:r w:rsidRPr="009B2971">
              <w:t xml:space="preserve">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15 %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15 % din resursele financiare ale programului către una sau mai multe priorități specifice stabilite în conformitate cu articolele 12a și 12d din prezentul regulament în contextul evaluării intermediare, cu condiția ca modificarea programului să fie prezentată până la 31 decembrie 2025.</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15 % din resursele financiare ale programului către una sau mai multe priorități specifice stabilite în conformitate cu articolele 12a, 12c și 12d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w:t>
            </w:r>
            <w:r w:rsidRPr="009B2971">
              <w:rPr>
                <w:b/>
                <w:bCs/>
                <w:i/>
                <w:iCs/>
              </w:rPr>
              <w:t>10 %</w:t>
            </w:r>
            <w:r w:rsidRPr="009B2971">
              <w:t xml:space="preserve"> din resursele financiare ale </w:t>
            </w:r>
            <w:r w:rsidRPr="009B2971">
              <w:rPr>
                <w:b/>
                <w:bCs/>
                <w:i/>
                <w:iCs/>
              </w:rPr>
              <w:t>fondului</w:t>
            </w:r>
            <w:r w:rsidRPr="009B2971">
              <w:t xml:space="preserve"> către una sau mai multe priorități specifice stabilite în conformitate cu articolele 12a, 12c și 12d din prezentul regulament în contextul evaluării intermediare, cu condiția ca modificarea programului să fie prezentată până la 31 decembrie 2025.</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15 % din resursele financiare ale programului către una sau mai multe priorități specifice stabilite în conformitate cu articolele 12a</w:t>
            </w:r>
            <w:r w:rsidRPr="009B2971">
              <w:rPr>
                <w:b/>
                <w:i/>
              </w:rPr>
              <w:t>, 12c și 12d</w:t>
            </w:r>
            <w:r w:rsidRPr="009B2971">
              <w:t xml:space="preserve"> din prezentul regulament în contextul evaluării intermediare, cu condiția ca modificarea programului să fie prezentată până la 31 decembrie 2025.</w:t>
            </w:r>
          </w:p>
        </w:tc>
        <w:tc>
          <w:tcPr>
            <w:tcW w:w="4876" w:type="dxa"/>
            <w:hideMark/>
          </w:tcPr>
          <w:p w:rsidR="009B2971" w:rsidRPr="009B2971" w:rsidRDefault="009B2971" w:rsidP="003A1038">
            <w:pPr>
              <w:pStyle w:val="Normal6"/>
              <w:rPr>
                <w:szCs w:val="24"/>
              </w:rPr>
            </w:pPr>
            <w:r w:rsidRPr="009B2971">
              <w:t>(3)</w:t>
            </w:r>
            <w:r w:rsidRPr="009B2971">
              <w:tab/>
              <w:t xml:space="preserve">Prin derogare de la articolul 112 din Regulamentul (UE) 2021/1060, rata maximă de cofinanțare pentru prioritățile din cadrul programelor care vizează una sau mai multe regiuni NUTS2 învecinate cu Rusia, cu Belarus sau cu Ucraina este de 100 %. Rata de cofinanțare mai ridicată nu se aplică programelor care acoperă întregul teritoriu al statului membru în cauză, cu excepția cazului în care regiunile respective sunt incluse numai în programe care acoperă întregul teritoriu al statului membru respectiv. Derogarea se aplică numai în cazul în care au fost aprobate realocările a cel puțin 15 % din resursele financiare ale programului către una sau mai multe priorități specifice stabilite în conformitate cu articolele 12a </w:t>
            </w:r>
            <w:r w:rsidRPr="009B2971">
              <w:rPr>
                <w:b/>
                <w:bCs/>
                <w:i/>
                <w:iCs/>
              </w:rPr>
              <w:t xml:space="preserve">și </w:t>
            </w:r>
            <w:r w:rsidRPr="009B2971">
              <w:t>12c din prezentul regulament în contextul evaluării intermediare, cu condiția ca modificarea programului să fie prezentată până la 31 decembrie 2025.</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69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(4)</w:t>
            </w:r>
            <w:r w:rsidRPr="009B2971">
              <w:tab/>
              <w:t xml:space="preserve">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 12c și 12d </w:t>
            </w:r>
            <w:r w:rsidRPr="009B2971">
              <w:rPr>
                <w:b/>
                <w:i/>
              </w:rPr>
              <w:t>în termen de 2 luni de la intrarea în vigoare a Regulamentului (UE) XXXX/XXXX [prezentul regulament]</w:t>
            </w:r>
            <w:r w:rsidRPr="009B2971">
              <w:t>. Se aplică termenele prevăzute la articolul 18 alineatul (3) din Regulamentul (UE) 2021/1060.”.</w:t>
            </w:r>
          </w:p>
        </w:tc>
        <w:tc>
          <w:tcPr>
            <w:tcW w:w="4876" w:type="dxa"/>
            <w:hideMark/>
          </w:tcPr>
          <w:p w:rsidR="009B2971" w:rsidRPr="009B2971" w:rsidRDefault="009B2971" w:rsidP="003A1038">
            <w:pPr>
              <w:pStyle w:val="Normal6"/>
              <w:rPr>
                <w:szCs w:val="24"/>
              </w:rPr>
            </w:pPr>
            <w:r w:rsidRPr="009B2971">
              <w:t>(4)</w:t>
            </w:r>
            <w:r w:rsidRPr="009B2971">
              <w:tab/>
              <w:t xml:space="preserve">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 12c și 12d </w:t>
            </w:r>
            <w:r w:rsidRPr="009B2971">
              <w:rPr>
                <w:b/>
                <w:bCs/>
                <w:i/>
                <w:iCs/>
              </w:rPr>
              <w:t>până la 31 decembrie 2025.</w:t>
            </w:r>
            <w:r w:rsidRPr="009B2971">
              <w:t xml:space="preserve"> Se aplică termenele prevăzute la articolul 18 alineatul (3) din Regulamentul (UE) 2021/1060.”.</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(4)</w:t>
            </w:r>
            <w:r w:rsidRPr="009B2971">
              <w:tab/>
              <w:t>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w:t>
            </w:r>
            <w:r w:rsidRPr="009B2971">
              <w:rPr>
                <w:b/>
                <w:i/>
              </w:rPr>
              <w:t>, 12c și 12d</w:t>
            </w:r>
            <w:r w:rsidRPr="009B2971">
              <w:t xml:space="preserve"> în termen de 2 luni de la intrarea în vigoare a Regulamentului (UE) XXXX/XXXX [prezentul regulament]. Se aplică termenele prevăzute la articolul 18 alineatul (3) din Regulamentul (UE) 2021/1060.”.</w:t>
            </w:r>
          </w:p>
        </w:tc>
        <w:tc>
          <w:tcPr>
            <w:tcW w:w="4876" w:type="dxa"/>
            <w:hideMark/>
          </w:tcPr>
          <w:p w:rsidR="009B2971" w:rsidRPr="009B2971" w:rsidRDefault="009B2971" w:rsidP="003A1038">
            <w:pPr>
              <w:pStyle w:val="Normal6"/>
              <w:rPr>
                <w:szCs w:val="24"/>
              </w:rPr>
            </w:pPr>
            <w:r w:rsidRPr="009B2971">
              <w:t>(4)</w:t>
            </w:r>
            <w:r w:rsidRPr="009B2971">
              <w:tab/>
              <w:t xml:space="preserve">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 </w:t>
            </w:r>
            <w:r w:rsidRPr="009B2971">
              <w:rPr>
                <w:b/>
                <w:bCs/>
                <w:i/>
                <w:iCs/>
              </w:rPr>
              <w:t>și</w:t>
            </w:r>
            <w:r w:rsidRPr="009B2971">
              <w:t xml:space="preserve"> 12c în termen de 2 luni de la intrarea în vigoare a Regulamentului (UE) XXXX/XXXX [prezentul regulament]. Se aplică termenele prevăzute la articolul 18 alineatul (3) din Regulamentul (UE) 2021/1060.”.</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(4)</w:t>
            </w:r>
            <w:r w:rsidRPr="009B2971">
              <w:tab/>
              <w:t>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w:t>
            </w:r>
            <w:r w:rsidRPr="009B2971">
              <w:rPr>
                <w:b/>
                <w:i/>
              </w:rPr>
              <w:t>, 12c</w:t>
            </w:r>
            <w:r w:rsidRPr="009B2971">
              <w:t xml:space="preserve"> și 12d în termen de 2 luni de la intrarea în vigoare a Regulamentului (UE) XXXX/XXXX [prezentul regulament]. Se aplică termenele prevăzute la articolul 18 alineatul (3) din Regulamentul (UE) 2021/1060.”.</w:t>
            </w:r>
          </w:p>
        </w:tc>
        <w:tc>
          <w:tcPr>
            <w:tcW w:w="4876" w:type="dxa"/>
            <w:hideMark/>
          </w:tcPr>
          <w:p w:rsidR="009B2971" w:rsidRPr="009B2971" w:rsidRDefault="009B2971" w:rsidP="003A1038">
            <w:pPr>
              <w:pStyle w:val="Normal6"/>
              <w:rPr>
                <w:szCs w:val="24"/>
              </w:rPr>
            </w:pPr>
            <w:r w:rsidRPr="009B2971">
              <w:t>(4)</w:t>
            </w:r>
            <w:r w:rsidRPr="009B2971">
              <w:tab/>
              <w:t>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 și 12d în termen de 2 luni de la intrarea în vigoare a Regulamentului (UE) XXXX/XXXX [prezentul regulament]. Se aplică termenele prevăzute la articolul 18 alineatul (3) din Regulamentul (UE) 2021/1060.”.</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1</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5a – alineatul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(4)</w:t>
            </w:r>
            <w:r w:rsidRPr="009B2971">
              <w:tab/>
              <w:t>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w:t>
            </w:r>
            <w:r w:rsidRPr="009B2971">
              <w:rPr>
                <w:b/>
                <w:bCs/>
                <w:i/>
                <w:iCs/>
              </w:rPr>
              <w:t>, 12c</w:t>
            </w:r>
            <w:r w:rsidRPr="009B2971">
              <w:t xml:space="preserve"> și 12d în termen de 2 luni de la intrarea în vigoare a Regulamentului (UE) XXXX/XXXX [prezentul regulament]. Se aplică termenele prevăzute la articolul 18 alineatul (3) din Regulamentul (UE) 2021/1060.”.</w:t>
            </w:r>
          </w:p>
        </w:tc>
        <w:tc>
          <w:tcPr>
            <w:tcW w:w="4876" w:type="dxa"/>
            <w:hideMark/>
          </w:tcPr>
          <w:p w:rsidR="009B2971" w:rsidRPr="009B2971" w:rsidRDefault="009B2971" w:rsidP="003A1038">
            <w:pPr>
              <w:pStyle w:val="Normal6"/>
              <w:rPr>
                <w:szCs w:val="24"/>
              </w:rPr>
            </w:pPr>
            <w:r w:rsidRPr="009B2971">
              <w:t>(4)</w:t>
            </w:r>
            <w:r w:rsidRPr="009B2971">
              <w:tab/>
              <w:t>Pe lângă evaluarea pentru fiecare program cu privire la rezultatul evaluării intermediare care trebuie prezentată în conformitate cu articolul 18 alineatul (2) din Regulamentul (UE) 2021/1060, statele membre pot prezenta din nou o evaluare complementară, precum și cereri conexe de modificare a programului, ținând seama de posibilitatea de a realoca resurse unor priorități specifice în conformitate cu articolele 12a și 12d în termen de 2 luni de la intrarea în vigoare a Regulamentului (UE) XXXX/XXXX [prezentul regulament]. Se aplică termenele prevăzute la articolul 18 alineatul (3) din Regulamentul (UE) 2021/1060.”.</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2</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12a – alineatul 2 – paragraful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„În plus față de prefinanțarea pentru program prevăzută la articolul 90 alineatul (1) și alineatul (2) din Regulamentul (UE) 2021/1060, în cazul în care Comisia aprobă o modificare a unui program care include una sau mai multe priorități dedicate operațiunilor sprijinite de FSE+ care contribuie la obiectivele platformei STEP menționate la articolul 2 din Regulamentul (UE) 2024/795, acesta acordă o prefinanțare excepțională de 30 % pe baza alocării pentru prioritățile respective, cu condiția ca modificarea programului să fie prezentată Comisiei până la 31 decembrie 2025. Prefinanțarea excepțională respectivă se plătește în termen de 60 de zile de la adoptarea deciziei Comisiei de aprobare a modificării programului.”.</w:t>
            </w:r>
          </w:p>
        </w:tc>
        <w:tc>
          <w:tcPr>
            <w:tcW w:w="4876" w:type="dxa"/>
            <w:hideMark/>
          </w:tcPr>
          <w:p w:rsidR="009B2971" w:rsidRPr="009B2971" w:rsidRDefault="009B2971" w:rsidP="003A1038">
            <w:pPr>
              <w:pStyle w:val="Normal6"/>
              <w:rPr>
                <w:szCs w:val="24"/>
              </w:rPr>
            </w:pPr>
            <w:r w:rsidRPr="009B2971">
              <w:t xml:space="preserve">„În plus față de prefinanțarea pentru program prevăzută la articolul 90 alineatul (1) și alineatul (2) din Regulamentul (UE) 2021/1060, în cazul în care Comisia aprobă o modificare a unui program care include una sau mai multe priorități dedicate operațiunilor sprijinite de FSE+ care contribuie la obiectivele platformei STEP menționate la articolul 2 din Regulamentul (UE) 2024/795, acesta acordă o prefinanțare excepțională de 30 % pe baza alocării pentru prioritățile respective, cu condiția ca </w:t>
            </w:r>
            <w:r w:rsidRPr="009B2971">
              <w:rPr>
                <w:b/>
                <w:bCs/>
                <w:i/>
                <w:iCs/>
              </w:rPr>
              <w:t xml:space="preserve">beneficiarii mai mici să aibă acces prioritar la finanțare și </w:t>
            </w:r>
            <w:r w:rsidRPr="009B2971">
              <w:t>ca modificarea programului să fie prezentată Comisiei până la 31 decembrie 2025. Prefinanțarea excepțională respectivă se plătește în termen de 60 de zile de la adoptarea deciziei Comisiei de aprobare a modificării programului.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 – partea introductivă</w:t>
      </w:r>
      <w:r w:rsidRPr="00A45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(3)</w:t>
            </w:r>
            <w:r w:rsidRPr="009B2971">
              <w:tab/>
              <w:t xml:space="preserve">Se </w:t>
            </w:r>
            <w:r w:rsidRPr="009B2971">
              <w:rPr>
                <w:b/>
                <w:bCs/>
                <w:i/>
                <w:iCs/>
              </w:rPr>
              <w:t>introduc următoarele articole</w:t>
            </w:r>
            <w:r w:rsidRPr="009B2971">
              <w:t xml:space="preserve"> 12c și 12d:</w:t>
            </w:r>
          </w:p>
        </w:tc>
        <w:tc>
          <w:tcPr>
            <w:tcW w:w="4876" w:type="dxa"/>
            <w:hideMark/>
          </w:tcPr>
          <w:p w:rsidR="009B2971" w:rsidRPr="009B2971" w:rsidRDefault="009B2971" w:rsidP="003A1038">
            <w:pPr>
              <w:pStyle w:val="Normal6"/>
              <w:rPr>
                <w:szCs w:val="24"/>
              </w:rPr>
            </w:pPr>
            <w:r w:rsidRPr="009B2971">
              <w:t>(3)</w:t>
            </w:r>
            <w:r w:rsidRPr="009B2971">
              <w:tab/>
              <w:t xml:space="preserve">Se </w:t>
            </w:r>
            <w:r w:rsidRPr="009B2971">
              <w:rPr>
                <w:b/>
                <w:bCs/>
                <w:i/>
                <w:iCs/>
              </w:rPr>
              <w:t>introduce următorul articol</w:t>
            </w:r>
            <w:r w:rsidRPr="009B2971">
              <w:t xml:space="preserve"> 12d:</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 a (nou)</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12e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(3a)</w:t>
            </w:r>
            <w:r w:rsidRPr="009B2971">
              <w:rPr>
                <w:b/>
                <w:i/>
              </w:rPr>
              <w:tab/>
              <w:t>Orientări și simplificare administrativă;</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Comisia publică, în termen de cel mult 60 de zile de la intrarea în vigoare a prezentului regulament, un set de orientări detaliate, însoțite de un sistem de întrebări și răspunsuri, menite să clarifice implicațiile tehnice, juridice și procedurale ale măsurilor adoptate la articolele 5a, 12c și 12d. Aceste orientări vor ghida autoritățile de management în ceea ce privește aplicarea uniformă a regulamentului, reducând sarcina administrativă și contribuind la soluționarea cât mai devreme a oricăror îndoieli.</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Villy Søvndal</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{Greens/EFA}</w:t>
      </w:r>
      <w:r w:rsidRPr="009B2971">
        <w:t>în numele Grupului Verts/ALE</w:t>
      </w:r>
      <w:r w:rsidRPr="00A4513A">
        <w:rPr>
          <w:rStyle w:val="HideTWBExt"/>
        </w:rPr>
        <w:t>&lt;/AuNomDe&gt;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Articolul 12c</w:t>
            </w:r>
          </w:p>
        </w:tc>
        <w:tc>
          <w:tcPr>
            <w:tcW w:w="4876" w:type="dxa"/>
            <w:hideMark/>
          </w:tcPr>
          <w:p w:rsidR="009B2971" w:rsidRPr="009B2971" w:rsidRDefault="009B2971" w:rsidP="003A1038">
            <w:pPr>
              <w:pStyle w:val="Normal6"/>
              <w:rPr>
                <w:szCs w:val="24"/>
              </w:rPr>
            </w:pPr>
            <w:r w:rsidRPr="009B2971">
              <w:rPr>
                <w:b/>
                <w:i/>
              </w:rPr>
              <w:t>eliminat</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(Eliminarea articolului 12c)</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Branislav Ondruš</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Articolul 12c</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Articolul 12c</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79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titlu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Sprijin pentru industria de apărare</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(1)</w:t>
            </w:r>
            <w:r w:rsidRPr="009B2971">
              <w:rPr>
                <w:b/>
                <w:i/>
              </w:rPr>
              <w:tab/>
              <w:t>Statele membre pot decide să programeze sprijin pentru dezvoltarea competențelor în industria de apărare în cadrul unor priorități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Branislav Ondruš</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(1)</w:t>
            </w:r>
            <w:r w:rsidRPr="009B2971">
              <w:rPr>
                <w:b/>
                <w:i/>
              </w:rPr>
              <w:tab/>
              <w:t>Statele membre pot decide să programeze sprijin pentru dezvoltarea competențelor în industria de apărare în cadrul unor priorități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(1)</w:t>
            </w:r>
            <w:r w:rsidRPr="009B2971">
              <w:rPr>
                <w:b/>
                <w:i/>
              </w:rPr>
              <w:tab/>
              <w:t>Statele membre pot decide să programeze sprijin pentru dezvoltarea competențelor în industria de apărare în cadrul unor priorități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Statele membre pot decide să programeze sprijin pentru dezvoltarea competențelor în industria de apărare în cadrul unor priorități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să programeze sprijin pentru dezvoltarea competențelor </w:t>
            </w:r>
            <w:r w:rsidRPr="009B2971">
              <w:rPr>
                <w:b/>
                <w:bCs/>
                <w:i/>
                <w:iCs/>
              </w:rPr>
              <w:t>și a cursurilor de pregătire, precum și a cercetării și dezvoltării, și a inovației</w:t>
            </w:r>
            <w:r w:rsidRPr="009B2971">
              <w:rPr>
                <w:i/>
                <w:iCs/>
              </w:rPr>
              <w:t xml:space="preserve"> </w:t>
            </w:r>
            <w:r w:rsidRPr="009B2971">
              <w:t xml:space="preserve">în industria de apărare în cadrul unor priorități specifice. Aceste priorități specifice </w:t>
            </w:r>
            <w:r w:rsidRPr="009B2971">
              <w:rPr>
                <w:b/>
                <w:bCs/>
                <w:i/>
                <w:iCs/>
              </w:rPr>
              <w:t>sprijină</w:t>
            </w:r>
            <w:r w:rsidRPr="009B2971">
              <w:t xml:space="preserve"> oricare dintre obiectivele specifice prevăzute la articolul 4 alineatul (1) literele (a)-(l).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Statele membre pot decide să programeze sprijin pentru dezvoltarea competențelor în industria de apărare în cadrul unor priorități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să programeze sprijin pentru dezvoltarea competențelor în industria de apărare în cadrul unor priorități specifice. Aceste priorități specifice </w:t>
            </w:r>
            <w:r w:rsidRPr="009B2971">
              <w:rPr>
                <w:b/>
                <w:bCs/>
                <w:i/>
                <w:iCs/>
              </w:rPr>
              <w:t>sprijină</w:t>
            </w:r>
            <w:r w:rsidRPr="009B2971">
              <w:rPr>
                <w:i/>
                <w:iCs/>
              </w:rPr>
              <w:t xml:space="preserve"> </w:t>
            </w:r>
            <w:r w:rsidRPr="009B2971">
              <w:rPr>
                <w:b/>
                <w:bCs/>
                <w:i/>
                <w:iCs/>
              </w:rPr>
              <w:t>unul sau mai multe</w:t>
            </w:r>
            <w:r w:rsidRPr="009B2971">
              <w:rPr>
                <w:i/>
                <w:iCs/>
              </w:rPr>
              <w:t xml:space="preserve"> </w:t>
            </w:r>
            <w:r w:rsidRPr="009B2971">
              <w:t>dintre obiectivele specifice prevăzute la articolul 4 alineatul (1) literele (a)-(l).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Grégory Allione, Brigitte van den Berg, Marie-Pierre Vedrenne</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(1a)</w:t>
            </w:r>
            <w:r w:rsidRPr="009B2971">
              <w:rPr>
                <w:b/>
                <w:i/>
              </w:rPr>
              <w:tab/>
              <w:t>Politicile eficiente în materie de competențe și formare incluse pentru funcțiile critice, așa cum se subliniază în Uniunea competențelor, sunt esențiale pentru a se asigura că lucrătorii au competențele adecvate și pot fi mobilizați în întreaga UE în perioade de criză. În acest sens, statele membre promovează formarea, competențele, angajamentul civic și dezvoltarea mobilității care acoperă apărarea și protecția civilă, pentru a dota lucrătorii profesioniști și voluntarii cu expertiza necesară și cu competențele adecvate, precum și în toate statele membre și sectoarele.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1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(1a)</w:t>
            </w:r>
            <w:r w:rsidRPr="009B2971">
              <w:rPr>
                <w:b/>
                <w:i/>
              </w:rPr>
              <w:tab/>
              <w:t>În sensul prezentului articol, investiții în industria de apărare înseamnă investiții care contribuie în mod demonstrabil la capacitatea strategică de apărare a Uniunii și sunt în conformitate cu Strategia privind industria europeană de apărare (EDIS). Astfel de investiții respectă, pe cât posibil, principiul de „a nu prejudicia în mod semnificativ” și vizează beneficiarii cu sediul în state membre sau țări asociate, în conformitate cu cadrul juridic al UE.</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CrossRef"/>
      </w:pPr>
      <w:r w:rsidRPr="009B2971">
        <w:t>(A se vedea formularea de la punctele 12-19 privind Avizul 02/2025 al CCE)</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Deși pot avea efecte economice pozitive, investițiile în domeniul apărării trebuie să fie aliniate la strategiile europene și să respecte principiul de „a nu prejudicia în mod semnificativ” și criteriile de coerență teritorială.</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2021/1060</w:t>
      </w:r>
      <w:r w:rsidRPr="00A4513A">
        <w:rPr>
          <w:rStyle w:val="HideTWBExt"/>
        </w:rPr>
        <w:t>&lt;/DocAmend2&gt;</w:t>
      </w:r>
    </w:p>
    <w:p w:rsidR="009B2971" w:rsidRPr="009B2971" w:rsidRDefault="009B2971" w:rsidP="009B2971">
      <w:r w:rsidRPr="00A4513A">
        <w:rPr>
          <w:rStyle w:val="HideTWBExt"/>
        </w:rPr>
        <w:t>&lt;Article2&gt;</w:t>
      </w:r>
      <w:r w:rsidRPr="009B2971">
        <w:t>Articolul 12c – alineatul 1 b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(1b)</w:t>
            </w:r>
            <w:r w:rsidRPr="009B2971">
              <w:rPr>
                <w:b/>
                <w:i/>
              </w:rPr>
              <w:tab/>
              <w:t>Să permită statelor membre să aloce resurse pentru a atrage tineri talentați și antreprenori în regiuni, în special în zonele rurale, prin stimulente și formare specifică. Aceasta ar putea include crearea unor centre de formare specializate axate pe sectoare strategice, cum ar fi apărarea, reziliența cibernetică sau tehnologiile cu dublă utilizare, sprijinind dezvoltarea competențelor aliniate la autonomia strategică a Uniunii, consolidând în același timp coeziunea regională.</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(2)</w:t>
            </w:r>
            <w:r w:rsidRPr="009B2971">
              <w:rPr>
                <w:b/>
                <w:i/>
              </w:rPr>
              <w:tab/>
              <w:t>Resursele alocate priorității specifice menționate la alineatul (1) nu se iau în considerare atunci când se asigură conformitatea cu cerințele privind concentrarea tematică prevăzute la articolul 7 din prezentul regulament.</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89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(2)</w:t>
            </w:r>
            <w:r w:rsidRPr="009B2971">
              <w:rPr>
                <w:b/>
                <w:i/>
              </w:rPr>
              <w:tab/>
              <w:t>Resursele alocate priorității specifice menționate la alineatul (1) nu se iau în considerare atunci când se asigură conformitatea cu cerințele privind concentrarea tematică prevăzute la articolul 7 din prezentul regulament.</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Branislav Ondruš</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(2)</w:t>
            </w:r>
            <w:r w:rsidRPr="009B2971">
              <w:rPr>
                <w:b/>
                <w:i/>
              </w:rPr>
              <w:tab/>
              <w:t>Resursele alocate priorității specifice menționate la alineatul (1) nu se iau în considerare atunci când se asigură conformitatea cu cerințele privind concentrarea tematică prevăzute la articolul 7 din prezentul regulament.</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(2)</w:t>
            </w:r>
            <w:r w:rsidRPr="009B2971">
              <w:tab/>
              <w:t xml:space="preserve">Resursele alocate priorității specifice menționate la alineatul (1) </w:t>
            </w:r>
            <w:r w:rsidRPr="009B2971">
              <w:rPr>
                <w:b/>
                <w:bCs/>
                <w:i/>
                <w:iCs/>
              </w:rPr>
              <w:t>nu</w:t>
            </w:r>
            <w:r w:rsidRPr="009B2971">
              <w:t xml:space="preserve"> se iau în considerare atunci când se asigură conformitatea cu cerințele privind concentrarea tematică prevăzute la articolul 7 din prezentul regulament.</w:t>
            </w:r>
          </w:p>
        </w:tc>
        <w:tc>
          <w:tcPr>
            <w:tcW w:w="4876" w:type="dxa"/>
            <w:hideMark/>
          </w:tcPr>
          <w:p w:rsidR="009B2971" w:rsidRPr="009B2971" w:rsidRDefault="009B2971" w:rsidP="003A1038">
            <w:pPr>
              <w:pStyle w:val="Normal6"/>
              <w:rPr>
                <w:szCs w:val="24"/>
              </w:rPr>
            </w:pPr>
            <w:r w:rsidRPr="009B2971">
              <w:t>(2)</w:t>
            </w:r>
            <w:r w:rsidRPr="009B2971">
              <w:tab/>
              <w:t>Resursele alocate priorității specifice menționate la alineatul (1) se iau în considerare atunci când se asigură conformitatea cu cerințele privind concentrarea tematică prevăzute la articolul 7 din prezentul regulament.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(3)</w:t>
            </w:r>
            <w:r w:rsidRPr="009B2971">
              <w:rPr>
                <w:b/>
                <w:i/>
              </w:rPr>
              <w:tab/>
              <w:t>În plus față de prefinanțarea anuală pentru program prevăzută la articolul 90 alineatele (1) și (2) din Regulamentul (UE) 2021/1060, Comisia plătește 30 % din alocare pentru prioritățile specifice menționate la alineatul (1) de la prezentul articol, astfel cum se prevede în decizia de aprobare a modificării programului, cu titlu de prefinanțare unică excepțională.</w:t>
            </w:r>
          </w:p>
        </w:tc>
        <w:tc>
          <w:tcPr>
            <w:tcW w:w="4876" w:type="dxa"/>
            <w:hideMark/>
          </w:tcPr>
          <w:p w:rsidR="009B2971" w:rsidRPr="009B2971" w:rsidRDefault="009B2971" w:rsidP="003A1038">
            <w:pPr>
              <w:pStyle w:val="Normal6"/>
              <w:rPr>
                <w:szCs w:val="24"/>
              </w:rPr>
            </w:pPr>
            <w:r w:rsidRPr="009B2971">
              <w:rPr>
                <w:b/>
                <w:i/>
              </w:rPr>
              <w:t>eliminat</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Prefinanțarea excepțională respectivă se plătește în termen de 60 de zile de la adoptarea deciziei Comisiei de aprobare a modificării programului în conformitate cu articolul 24 din Regulamentul (UE) 2021/1060.</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3 – paragraful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plus față de prefinanțarea anuală pentru program prevăzută la articolul 90 alineatele (1) și (2) din Regulamentul (UE) 2021/1060, Comisia plătește 30 % din alocare pentru prioritățile specifice menționate la alineatul (1) de la prezentul articol, astfel cum se prevede în decizia de aprobare a modificării programului, cu titlu de prefinanțare unică excepțională.</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3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Prefinanțarea excepțională respectivă se plătește în termen de 60 de zile de la adoptarea deciziei Comisiei de aprobare a modificării programului în conformitate cu articolul 24 din Regulamentul (UE) 2021/1060.</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(4)</w:t>
            </w:r>
            <w:r w:rsidRPr="009B2971">
              <w:rPr>
                <w:b/>
                <w:i/>
              </w:rPr>
              <w:tab/>
              <w:t>În conformitate cu articolul 90 alineatul (5) din Regulamentul (UE) 2021/1060, cuantumurile plătite cu titlu de prefinanțare excepțională sunt lichidate din conturile Comisiei cel târziu odată cu ultimul exercițiu contabil.</w:t>
            </w:r>
          </w:p>
        </w:tc>
        <w:tc>
          <w:tcPr>
            <w:tcW w:w="4876" w:type="dxa"/>
            <w:hideMark/>
          </w:tcPr>
          <w:p w:rsidR="009B2971" w:rsidRPr="009B2971" w:rsidRDefault="009B2971" w:rsidP="003A1038">
            <w:pPr>
              <w:pStyle w:val="Normal6"/>
              <w:rPr>
                <w:szCs w:val="24"/>
              </w:rPr>
            </w:pPr>
            <w:r w:rsidRPr="009B2971">
              <w:rPr>
                <w:b/>
                <w:i/>
              </w:rPr>
              <w:t>eliminat</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90 alineatul (6) din Regulamentul (UE) 2021/1060, orice dobândă generată de prefinanțarea excepțională se utilizează pentru programul în cauză în același mod ca FSE+ și se include în conturile pentru ultimul exercițiu contabil.</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97 alineatul (1) din Regulamentul (UE) 2021/1060, prefinanțarea excepțională nu se suspendă.</w:t>
            </w:r>
          </w:p>
        </w:tc>
        <w:tc>
          <w:tcPr>
            <w:tcW w:w="4876" w:type="dxa"/>
          </w:tcPr>
          <w:p w:rsidR="009B2971" w:rsidRPr="009B2971" w:rsidRDefault="009B2971" w:rsidP="003A1038">
            <w:pPr>
              <w:pStyle w:val="Normal6"/>
              <w:rPr>
                <w:szCs w:val="24"/>
              </w:rPr>
            </w:pP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105 alineatul (1) din Regulamentul (UE) 2021/1060, prefinanțarea care trebuie să fie luată în considerare în scopul calculării cuantumurilor care urmează a fi dezangajate include prefinanțarea excepțională plătită.</w:t>
            </w:r>
          </w:p>
        </w:tc>
        <w:tc>
          <w:tcPr>
            <w:tcW w:w="4876" w:type="dxa"/>
          </w:tcPr>
          <w:p w:rsidR="009B2971" w:rsidRPr="009B2971" w:rsidRDefault="009B2971" w:rsidP="003A1038">
            <w:pPr>
              <w:pStyle w:val="Normal6"/>
              <w:rPr>
                <w:szCs w:val="24"/>
              </w:rPr>
            </w:pP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4 – paragraful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90 alineatul (5) din Regulamentul (UE) 2021/1060, cuantumurile plătite cu titlu de prefinanțare excepțională sunt lichidate din conturile Comisiei cel târziu odată cu ultimul exercițiu contabil.</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4 – paragraful 2</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90 alineatul (6) din Regulamentul (UE) 2021/1060, orice dobândă generată de prefinanțarea excepțională se utilizează pentru programul în cauză în același mod ca FSE+ și se include în conturile pentru ultimul exercițiu contabil.</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4 – paragraful 3</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97 alineatul (1) din Regulamentul (UE) 2021/1060, prefinanțarea excepțională nu se suspendă.</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99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4 – paragraful 4</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În conformitate cu articolul 105 alineatul (1) din Regulamentul (UE) 2021/1060, prefinanțarea care trebuie să fie luată în considerare în scopul calculării cuantumurilor care urmează a fi dezangajate include prefinanțarea excepțională plătită.</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Maria Zacharia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5</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(5)</w:t>
            </w:r>
            <w:r w:rsidRPr="009B2971">
              <w:rPr>
                <w:b/>
                <w:i/>
              </w:rPr>
              <w:tab/>
              <w:t>Prin derogare de la articolul 112 din Regulamentul (UE) 2021/1060, rata maximă de cofinanțare pentru prioritățile specifice menționate la alineatul (1) de la prezentul articol este de 100 %.</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5</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(5)</w:t>
            </w:r>
            <w:r w:rsidRPr="009B2971">
              <w:rPr>
                <w:b/>
                <w:i/>
              </w:rPr>
              <w:tab/>
              <w:t>Prin derogare de la articolul 112 din Regulamentul (UE) 2021/1060, rata maximă de cofinanțare pentru prioritățile specifice menționate la alineatul (1) de la prezentul articol este de 100 %.</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5</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Prin derogare de la articolul 112 din Regulamentul (UE) 2021/1060, rata maximă de cofinanțare pentru prioritățile specifice menționate la alineatul (1) de la prezentul articol este de 100 %.</w:t>
            </w:r>
          </w:p>
        </w:tc>
        <w:tc>
          <w:tcPr>
            <w:tcW w:w="4876" w:type="dxa"/>
            <w:hideMark/>
          </w:tcPr>
          <w:p w:rsidR="009B2971" w:rsidRPr="009B2971" w:rsidRDefault="009B2971" w:rsidP="003A1038">
            <w:pPr>
              <w:pStyle w:val="Normal6"/>
              <w:rPr>
                <w:szCs w:val="24"/>
              </w:rPr>
            </w:pPr>
            <w:r w:rsidRPr="009B2971">
              <w:t>(5)</w:t>
            </w:r>
            <w:r w:rsidRPr="009B2971">
              <w:tab/>
              <w:t xml:space="preserve">Prin derogare de la articolul 112 din Regulamentul (UE) 2021/1060, rata maximă de cofinanțare pentru prioritățile specifice </w:t>
            </w:r>
            <w:r w:rsidRPr="009B2971">
              <w:rPr>
                <w:b/>
                <w:bCs/>
                <w:i/>
                <w:iCs/>
              </w:rPr>
              <w:t>din domeniul apărării poate fi stabilită la 95 % numai în cazul în care se demonstrează necesitatea unei finanțări totale, fără a împiedica contribuția proporțională a statelor membre</w:t>
            </w:r>
            <w:r w:rsidRPr="009B2971">
              <w:t>.</w:t>
            </w:r>
            <w:r w:rsidRPr="009B2971">
              <w:rPr>
                <w:b/>
                <w:i/>
              </w:rPr>
              <w:t xml:space="preserve"> </w:t>
            </w:r>
            <w:r w:rsidRPr="009B2971">
              <w:rPr>
                <w:b/>
                <w:bCs/>
                <w:i/>
                <w:iCs/>
              </w:rPr>
              <w:t>Această derogare este condiționată de aprobarea prealabilă, printr-o analiză comparativă, a echității și sustenabilității investiției, pentru a evita dezechilibrele care ar putea favoriza în mod disproporționat regiunile mai dezvoltate</w:t>
            </w:r>
            <w:r w:rsidRPr="009B2971">
              <w:t>.</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(Prezentul amendament se aplică întregului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CrossRef"/>
      </w:pPr>
      <w:r w:rsidRPr="009B2971">
        <w:t>(A se vedea punctele 32-35 privind Avizul 02/2025 al CCE)</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Aplicarea nediferențiată a finanțării integrale (cofinanțare de 100 %) poate favoriza regiunile mai dezvoltate și poate slăbi efectul de pârghie al cofinanțării și, prin urmare, se recomandă ca această măsură să fie strict condiționată.</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5</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Prin derogare de la articolul 112 din Regulamentul (UE) 2021/1060, rata maximă de cofinanțare pentru prioritățile specifice menționate la alineatul (1) de la prezentul articol este de 100 %.</w:t>
            </w:r>
          </w:p>
        </w:tc>
        <w:tc>
          <w:tcPr>
            <w:tcW w:w="4876" w:type="dxa"/>
            <w:hideMark/>
          </w:tcPr>
          <w:p w:rsidR="009B2971" w:rsidRPr="009B2971" w:rsidRDefault="009B2971" w:rsidP="003A1038">
            <w:pPr>
              <w:pStyle w:val="Normal6"/>
              <w:rPr>
                <w:szCs w:val="24"/>
              </w:rPr>
            </w:pPr>
            <w:r w:rsidRPr="009B2971">
              <w:t>(5)</w:t>
            </w:r>
            <w:r w:rsidRPr="009B2971">
              <w:tab/>
              <w:t xml:space="preserve">Prin derogare de la articolul 112 din Regulamentul (UE) 2021/1060, rata maximă de cofinanțare pentru prioritățile specifice menționate la alineatul (1) de la prezentul articol este de 100 %, </w:t>
            </w:r>
            <w:r w:rsidRPr="009B2971">
              <w:rPr>
                <w:b/>
                <w:bCs/>
                <w:i/>
                <w:iCs/>
              </w:rPr>
              <w:t>menținând în același timp diferențierea actuală între categoriile de regiuni</w:t>
            </w:r>
            <w:r w:rsidRPr="009B2971">
              <w: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104</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12c – alineatul 5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(5a)</w:t>
            </w:r>
            <w:r w:rsidRPr="009B2971">
              <w:rPr>
                <w:b/>
                <w:i/>
              </w:rPr>
              <w:tab/>
              <w:t>Statele membre promovează colaborarea dintre organizațiile care lucrează la crearea și dobândirea de competențe, cum ar fi instituțiile profesionale, academice și de cercetare, precum și industriile, pentru a stimula inovarea și pentru a sprijini programele de cercetare în cadrul Uniunii Europene. Aceasta include măsuri de sprijinire a dezvoltării de noi tehnologii și a protecției proprietății intelectuale.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105</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Elena Donazzan, Francesco Torselli, Mariateresa Vivaldini, Chiara Gemma</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rPr>
                <w:b/>
                <w:i/>
              </w:rPr>
              <w:t>Articolul 12d</w:t>
            </w:r>
          </w:p>
        </w:tc>
        <w:tc>
          <w:tcPr>
            <w:tcW w:w="4876" w:type="dxa"/>
            <w:hideMark/>
          </w:tcPr>
          <w:p w:rsidR="009B2971" w:rsidRPr="009B2971" w:rsidRDefault="009B2971" w:rsidP="003A1038">
            <w:pPr>
              <w:pStyle w:val="Normal6"/>
              <w:rPr>
                <w:szCs w:val="24"/>
              </w:rPr>
            </w:pPr>
            <w:r w:rsidRPr="009B2971">
              <w:rPr>
                <w:b/>
                <w:i/>
              </w:rPr>
              <w:t>eliminat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Competitivitatea și obiectivele ambițioase în materie de climă nu pot merge mână în mână. Fondul social european Plus ar trebui să se concentreze asupra obiectivelor sociale și nu ar trebui să servească drept alt instrument de punere în aplicare a politicilor verzi.</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106</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Maravillas Abadía Jover, 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 xml:space="preserve">Statele membre pot </w:t>
            </w:r>
            <w:r w:rsidRPr="009B2971">
              <w:rPr>
                <w:b/>
                <w:i/>
              </w:rPr>
              <w:t>decide să</w:t>
            </w:r>
            <w:r w:rsidRPr="009B2971">
              <w:t xml:space="preserve"> programeze sprijin </w:t>
            </w:r>
            <w:r w:rsidRPr="009B2971">
              <w:rPr>
                <w:b/>
                <w:i/>
              </w:rPr>
              <w:t>pentru</w:t>
            </w:r>
            <w:r w:rsidRPr="009B2971">
              <w:t xml:space="preserve"> calificare, </w:t>
            </w:r>
            <w:r w:rsidRPr="009B2971">
              <w:rPr>
                <w:b/>
                <w:i/>
              </w:rPr>
              <w:t>perfecționare și recalificare în vederea adaptării la</w:t>
            </w:r>
            <w:r w:rsidRPr="009B2971">
              <w:t xml:space="preserve"> schimbare a lucrătorilor, întreprinderilor </w:t>
            </w:r>
            <w:r w:rsidRPr="009B2971">
              <w:rPr>
                <w:b/>
                <w:i/>
              </w:rPr>
              <w:t>și antreprenorilor, contribuind la</w:t>
            </w:r>
            <w:r w:rsidRPr="009B2971">
              <w:t xml:space="preserve"> decarbonizarea capacităților de producție </w:t>
            </w:r>
            <w:r w:rsidRPr="009B2971">
              <w:rPr>
                <w:b/>
                <w:i/>
              </w:rPr>
              <w:t>în cadrul priorităților specifice. Aceste</w:t>
            </w:r>
            <w:r w:rsidRPr="009B2971">
              <w:t xml:space="preserve"> priorități specifice </w:t>
            </w:r>
            <w:r w:rsidRPr="009B2971">
              <w:rPr>
                <w:b/>
                <w:i/>
              </w:rPr>
              <w:t>pot sprijini</w:t>
            </w:r>
            <w:r w:rsidRPr="009B2971">
              <w:t xml:space="preserve"> oricare dintre obiectivele specifice </w:t>
            </w:r>
            <w:r w:rsidRPr="009B2971">
              <w:rPr>
                <w:b/>
                <w:i/>
              </w:rPr>
              <w:t>prevăzute</w:t>
            </w:r>
            <w:r w:rsidRPr="009B2971">
              <w:t xml:space="preserv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programa sprijin </w:t>
            </w:r>
            <w:r w:rsidRPr="009B2971">
              <w:rPr>
                <w:b/>
                <w:i/>
              </w:rPr>
              <w:t>specific</w:t>
            </w:r>
            <w:r w:rsidRPr="009B2971">
              <w:t xml:space="preserve"> pentru măsuri de calificare, </w:t>
            </w:r>
            <w:r w:rsidRPr="009B2971">
              <w:rPr>
                <w:b/>
                <w:i/>
              </w:rPr>
              <w:t>perfecționare și recalificare pentru a ajuta</w:t>
            </w:r>
            <w:r w:rsidRPr="009B2971">
              <w:t xml:space="preserve"> lucrătorii, </w:t>
            </w:r>
            <w:r w:rsidRPr="009B2971">
              <w:rPr>
                <w:b/>
                <w:i/>
              </w:rPr>
              <w:t>întreprinderile – în special întreprinderile mici și mijlocii</w:t>
            </w:r>
            <w:r w:rsidRPr="009B2971">
              <w:t xml:space="preserve"> </w:t>
            </w:r>
            <w:r w:rsidRPr="009B2971">
              <w:rPr>
                <w:b/>
                <w:i/>
              </w:rPr>
              <w:t>(IMM-uri) – să se adapteze la schimbările structurale legate de</w:t>
            </w:r>
            <w:r w:rsidRPr="009B2971">
              <w:t xml:space="preserve"> decarbonizarea capacităților de producție.</w:t>
            </w:r>
            <w:r w:rsidRPr="009B2971">
              <w:rPr>
                <w:b/>
                <w:i/>
              </w:rPr>
              <w:t xml:space="preserve"> Aceste</w:t>
            </w:r>
            <w:r w:rsidRPr="009B2971">
              <w:t xml:space="preserve"> priorități specifice </w:t>
            </w:r>
            <w:r w:rsidRPr="009B2971">
              <w:rPr>
                <w:b/>
                <w:i/>
              </w:rPr>
              <w:t>ar trebui să consolideze capacitatea IMM-urilor de a rămâne competitive, durabile și inovatoare în tranziția verde. Aceste priorități pot contribui la</w:t>
            </w:r>
            <w:r w:rsidRPr="009B2971">
              <w:t xml:space="preserve"> oricare dintre obiectivele specifice </w:t>
            </w:r>
            <w:r w:rsidRPr="009B2971">
              <w:rPr>
                <w:b/>
                <w:i/>
              </w:rPr>
              <w:t>prevăzute</w:t>
            </w:r>
            <w:r w:rsidRPr="009B2971">
              <w:t xml:space="preserve"> la articolul 4 alineatul (1) literele (a)-(l).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i/>
              </w:rPr>
              <w:t>(Această modificare se aplică întregului text legislativ supus examinării; adoptarea sa impune adaptări tehnice în întregul text.)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107</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Marie Dauchy, Nikola Bartůšek, Pál Szekeres</w:t>
      </w:r>
      <w:r w:rsidRPr="00A4513A">
        <w:rPr>
          <w:rStyle w:val="HideTWBExt"/>
          <w:b w:val="0"/>
        </w:rPr>
        <w:t>&lt;/Members&gt;</w:t>
      </w:r>
    </w:p>
    <w:p w:rsidR="009B2971" w:rsidRPr="009B2971" w:rsidRDefault="009B2971" w:rsidP="009B2971">
      <w:r w:rsidRPr="00A4513A">
        <w:rPr>
          <w:rStyle w:val="HideTWBExt"/>
        </w:rPr>
        <w:t>&lt;AuNomDe&gt;</w:t>
      </w:r>
      <w:r w:rsidRPr="00A4513A">
        <w:rPr>
          <w:rStyle w:val="HideTWBInt"/>
        </w:rPr>
        <w:t>{EMPL}</w:t>
      </w:r>
      <w:r w:rsidRPr="009B2971">
        <w:t>în numele Comisiei pentru ocuparea forței de muncă și afaceri sociale</w:t>
      </w:r>
      <w:r w:rsidRPr="00A4513A">
        <w:rPr>
          <w:rStyle w:val="HideTWBExt"/>
        </w:rPr>
        <w:t>&lt;/AuNomDe&gt;</w:t>
      </w:r>
    </w:p>
    <w:p w:rsidR="009B2971" w:rsidRPr="009B2971" w:rsidRDefault="009B2971" w:rsidP="009B2971">
      <w:pPr>
        <w:pStyle w:val="NormalBold"/>
      </w:pPr>
      <w:r w:rsidRPr="00A4513A">
        <w:rPr>
          <w:rStyle w:val="HideTWBExt"/>
          <w:b w:val="0"/>
        </w:rPr>
        <w:t>&lt;Members&gt;</w:t>
      </w:r>
      <w:r w:rsidRPr="009B2971">
        <w:t>Séverine Werbrouck, Rachel Blom</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 d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 xml:space="preserve">Statele membre pot decide să programeze sprijin pentru calificare, perfecționare și recalificare în vederea adaptării </w:t>
            </w:r>
            <w:r w:rsidRPr="009B2971">
              <w:rPr>
                <w:b/>
                <w:bCs/>
                <w:i/>
                <w:iCs/>
              </w:rPr>
              <w:t>la schimbare</w:t>
            </w:r>
            <w:r w:rsidRPr="009B2971">
              <w:t xml:space="preserve"> a lucrătorilor, întreprinderilor și antreprenorilor, contribuind la </w:t>
            </w:r>
            <w:r w:rsidRPr="009B2971">
              <w:rPr>
                <w:b/>
                <w:bCs/>
                <w:i/>
                <w:iCs/>
              </w:rPr>
              <w:t>decarbonizarea</w:t>
            </w:r>
            <w:r w:rsidRPr="009B2971">
              <w:t xml:space="preserve"> capacităților de producție în cadrul priorităților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să programeze sprijin pentru calificare, perfecționare și recalificare în vederea adaptării la schimbare a lucrătorilor, întreprinderilor și antreprenorilor, contribuind la </w:t>
            </w:r>
            <w:r w:rsidRPr="009B2971">
              <w:rPr>
                <w:b/>
                <w:bCs/>
                <w:i/>
                <w:iCs/>
              </w:rPr>
              <w:t xml:space="preserve">creșterea </w:t>
            </w:r>
            <w:r w:rsidRPr="009B2971">
              <w:t xml:space="preserve">capacităților </w:t>
            </w:r>
            <w:r w:rsidRPr="009B2971">
              <w:rPr>
                <w:b/>
                <w:bCs/>
                <w:i/>
                <w:iCs/>
              </w:rPr>
              <w:t xml:space="preserve">industriale </w:t>
            </w:r>
            <w:r w:rsidRPr="009B2971">
              <w:t xml:space="preserve">de producție </w:t>
            </w:r>
            <w:r w:rsidRPr="009B2971">
              <w:rPr>
                <w:b/>
                <w:bCs/>
                <w:i/>
                <w:iCs/>
              </w:rPr>
              <w:t xml:space="preserve">și a mijloacelor de producție, inclusiv producția de energie nucleară, </w:t>
            </w:r>
            <w:r w:rsidRPr="009B2971">
              <w:t>în cadrul priorităților specifice. Aceste priorități specifice pot sprijini oricare dintre obiectivele specifice prevăzute la articolul 4 alineatul (1) literele (a)-(l).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{FR}</w:t>
      </w:r>
      <w:r w:rsidRPr="009B2971">
        <w:rPr>
          <w:noProof w:val="0"/>
        </w:rPr>
        <w:t>fr</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108</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Marit Maij, Estelle Ceulemans, Gabriele Bischoff, Alicia Homs Ginel, Evelyn Regner, Marc Angel, Idoia Mendia, Vilija Blinkevičiūtė, Aodhán Ó Ríordáin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Statele membre pot decide să programeze sprijin pentru calificare, perfecționare și recalificare în vederea adaptării la schimbare a lucrătorilor, întreprinderilor și antreprenorilor, contribuind la decarbonizarea capacităților de producție în cadrul priorităților specifice. Aceste priorități specifice pot sprijini oricare dintre obiectivele specifice prevăzute la articolul 4 alineatul (1) literele (a)-</w:t>
            </w:r>
            <w:r w:rsidRPr="009B2971">
              <w:rPr>
                <w:b/>
                <w:i/>
              </w:rPr>
              <w:t>(l)</w:t>
            </w:r>
            <w:r w:rsidRPr="009B2971">
              <w:t>.</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w:t>
            </w:r>
            <w:r w:rsidRPr="009B2971">
              <w:rPr>
                <w:b/>
                <w:bCs/>
                <w:i/>
                <w:iCs/>
              </w:rPr>
              <w:t>după consultarea partenerilor sociali la nivel național</w:t>
            </w:r>
            <w:r w:rsidRPr="009B2971">
              <w:t>, să programeze sprijin pentru calificare, perfecționare și recalificare în vederea adaptării la schimbare a lucrătorilor, întreprinderilor și antreprenorilor, contribuind la decarbonizarea capacităților de producție în cadrul priorităților specifice. Aceste priorități specifice pot sprijini oricare dintre obiectivele specifice prevăzute la articolul 4 alineatul (1) literele (a)-</w:t>
            </w:r>
            <w:r w:rsidRPr="009B2971">
              <w:rPr>
                <w:b/>
                <w:bCs/>
                <w:i/>
                <w:iCs/>
              </w:rPr>
              <w:t>(g)</w:t>
            </w:r>
            <w:r w:rsidRPr="009B2971">
              <w: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109</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Jana Toom,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 xml:space="preserve">Statele membre pot decide să programeze sprijin pentru calificare, perfecționare </w:t>
            </w:r>
            <w:r w:rsidRPr="009B2971">
              <w:rPr>
                <w:b/>
                <w:i/>
              </w:rPr>
              <w:t>și</w:t>
            </w:r>
            <w:r w:rsidRPr="009B2971">
              <w:t xml:space="preserve"> recalificare în vederea adaptării la schimbare a lucrătorilor, întreprinderilor și antreprenorilor, contribuind la decarbonizarea capacităților de producție în cadrul priorităților specifice. Aceste priorități specifice </w:t>
            </w:r>
            <w:r w:rsidRPr="009B2971">
              <w:rPr>
                <w:b/>
                <w:bCs/>
                <w:i/>
                <w:iCs/>
              </w:rPr>
              <w:t>pot sprijini</w:t>
            </w:r>
            <w:r w:rsidRPr="009B2971">
              <w:t xml:space="preserve">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să programeze sprijin pentru calificare, perfecționare și recalificare </w:t>
            </w:r>
            <w:r w:rsidRPr="009B2971">
              <w:rPr>
                <w:b/>
                <w:bCs/>
                <w:i/>
                <w:iCs/>
              </w:rPr>
              <w:t xml:space="preserve">și pregătire, precum și cercetarea și dezvoltare, și inovare </w:t>
            </w:r>
            <w:r w:rsidRPr="009B2971">
              <w:t xml:space="preserve">în vederea adaptării la schimbare a lucrătorilor, întreprinderilor și antreprenorilor, contribuind la decarbonizarea capacităților de producție în cadrul priorităților specifice. Aceste priorități specifice </w:t>
            </w:r>
            <w:r w:rsidRPr="009B2971">
              <w:rPr>
                <w:b/>
                <w:bCs/>
                <w:i/>
                <w:iCs/>
              </w:rPr>
              <w:t>sprijină</w:t>
            </w:r>
            <w:r w:rsidRPr="009B2971">
              <w:t xml:space="preserve"> oricare dintre obiectivele specifice prevăzute la articolul 4 alineatul (1) literele (a)-(l).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110</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1</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(1)</w:t>
            </w:r>
            <w:r w:rsidRPr="009B2971">
              <w:tab/>
              <w:t>Statele membre pot decide să programeze sprijin pentru calificare, perfecționare și recalificare în vederea adaptării la schimbare a lucrătorilor, întreprinderilor și antreprenorilor, contribuind la decarbonizarea capacităților de producție în cadrul priorităților specifice. Aceste priorități specifice pot sprijini oricare dintre obiectivele specifice prevăzute la articolul 4 alineatul (1) literele (a)-(l).</w:t>
            </w:r>
          </w:p>
        </w:tc>
        <w:tc>
          <w:tcPr>
            <w:tcW w:w="4876" w:type="dxa"/>
            <w:hideMark/>
          </w:tcPr>
          <w:p w:rsidR="009B2971" w:rsidRPr="009B2971" w:rsidRDefault="009B2971" w:rsidP="003A1038">
            <w:pPr>
              <w:pStyle w:val="Normal6"/>
              <w:rPr>
                <w:szCs w:val="24"/>
              </w:rPr>
            </w:pPr>
            <w:r w:rsidRPr="009B2971">
              <w:t>(1)</w:t>
            </w:r>
            <w:r w:rsidRPr="009B2971">
              <w:tab/>
              <w:t xml:space="preserve">Statele membre pot decide să programeze sprijin pentru calificare, perfecționare și recalificare în vederea adaptării la schimbare a lucrătorilor, întreprinderilor și antreprenorilor, contribuind la decarbonizarea capacităților de producție în cadrul priorităților specifice. Aceste priorități specifice </w:t>
            </w:r>
            <w:r w:rsidRPr="009B2971">
              <w:rPr>
                <w:b/>
                <w:bCs/>
                <w:i/>
                <w:iCs/>
              </w:rPr>
              <w:t>sprijină</w:t>
            </w:r>
            <w:r w:rsidRPr="009B2971">
              <w:rPr>
                <w:i/>
                <w:iCs/>
              </w:rPr>
              <w:t xml:space="preserve"> </w:t>
            </w:r>
            <w:r w:rsidRPr="009B2971">
              <w:rPr>
                <w:b/>
                <w:bCs/>
                <w:i/>
                <w:iCs/>
              </w:rPr>
              <w:t>unul sau mai multe</w:t>
            </w:r>
            <w:r w:rsidRPr="009B2971">
              <w:rPr>
                <w:i/>
                <w:iCs/>
              </w:rPr>
              <w:t xml:space="preserve"> </w:t>
            </w:r>
            <w:r w:rsidRPr="009B2971">
              <w:t>dintre obiectivele specifice prevăzute la articolul 4 alineatul (1) literele (a)-(l).</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111</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1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(1a)</w:t>
            </w:r>
            <w:r w:rsidRPr="009B2971">
              <w:rPr>
                <w:b/>
                <w:i/>
              </w:rPr>
              <w:tab/>
              <w:t>Resursele alocate priorității specifice menționate la alineatul (1) se iau în considerare când se asigură conformitatea cu cerințele privind concentrarea tematică prevăzute la articolul 7 din prezentul regulament.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112</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Miriam Lexmann</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5</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hideMark/>
          </w:tcPr>
          <w:p w:rsidR="009B2971" w:rsidRPr="009B2971" w:rsidRDefault="009B2971" w:rsidP="003A1038">
            <w:pPr>
              <w:pStyle w:val="Normal6"/>
            </w:pPr>
            <w:r w:rsidRPr="009B2971">
              <w:t>(5)</w:t>
            </w:r>
            <w:r w:rsidRPr="009B2971">
              <w:tab/>
              <w:t>Prin derogare de la articolul 112 din Regulamentul (UE) 2021/1060, rata maximă de cofinanțare pentru prioritățile specifice menționate la alineatul (1) de la prezentul articol este de 100 %.</w:t>
            </w:r>
          </w:p>
        </w:tc>
        <w:tc>
          <w:tcPr>
            <w:tcW w:w="4876" w:type="dxa"/>
            <w:hideMark/>
          </w:tcPr>
          <w:p w:rsidR="009B2971" w:rsidRPr="009B2971" w:rsidRDefault="009B2971" w:rsidP="003A1038">
            <w:pPr>
              <w:pStyle w:val="Normal6"/>
              <w:rPr>
                <w:szCs w:val="24"/>
              </w:rPr>
            </w:pPr>
            <w:r w:rsidRPr="009B2971">
              <w:t>(5)</w:t>
            </w:r>
            <w:r w:rsidRPr="009B2971">
              <w:tab/>
              <w:t xml:space="preserve">Prin derogare de la articolul 112 din Regulamentul (UE) 2021/1060, rata maximă de cofinanțare pentru prioritățile specifice menționate la alineatul (1) de la prezentul articol este de 100 %, </w:t>
            </w:r>
            <w:r w:rsidRPr="009B2971">
              <w:rPr>
                <w:b/>
                <w:bCs/>
                <w:i/>
                <w:iCs/>
              </w:rPr>
              <w:t>menținând în același timp diferențierea actuală între categoriile de regiuni</w:t>
            </w:r>
            <w:r w:rsidRPr="009B2971">
              <w:t>.</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JustificationTitle"/>
        <w:rPr>
          <w:noProof w:val="0"/>
        </w:rPr>
      </w:pPr>
      <w:r w:rsidRPr="00A4513A">
        <w:rPr>
          <w:rStyle w:val="HideTWBExt"/>
          <w:i w:val="0"/>
        </w:rPr>
        <w:t>&lt;TitreJust&gt;</w:t>
      </w:r>
      <w:r w:rsidRPr="009B2971">
        <w:t>Justificare</w:t>
      </w:r>
      <w:r w:rsidRPr="00A4513A">
        <w:rPr>
          <w:rStyle w:val="HideTWBExt"/>
          <w:i w:val="0"/>
        </w:rPr>
        <w:t>&lt;/TitreJust&gt;</w:t>
      </w:r>
    </w:p>
    <w:p w:rsidR="009B2971" w:rsidRPr="009B2971" w:rsidRDefault="009B2971" w:rsidP="009B2971">
      <w:pPr>
        <w:pStyle w:val="Normal12Italic"/>
        <w:rPr>
          <w:noProof w:val="0"/>
        </w:rPr>
      </w:pPr>
      <w:r w:rsidRPr="009B2971">
        <w:t>Necesar pentru a menține actuala diferențiere a ratei de cofinanțare între categoriile de regiuni</w:t>
      </w:r>
    </w:p>
    <w:p w:rsidR="009B2971" w:rsidRPr="009B2971" w:rsidRDefault="009B2971" w:rsidP="009B2971">
      <w:r w:rsidRPr="00A4513A">
        <w:rPr>
          <w:rStyle w:val="HideTWBExt"/>
        </w:rPr>
        <w:t>&lt;/Amend&gt;</w:t>
      </w:r>
    </w:p>
    <w:p w:rsidR="009B2971" w:rsidRPr="009B2971" w:rsidRDefault="009B2971" w:rsidP="009B2971">
      <w:pPr>
        <w:pStyle w:val="AMNumberTabs0"/>
        <w:keepNext/>
      </w:pPr>
      <w:r w:rsidRPr="00A4513A">
        <w:rPr>
          <w:rStyle w:val="HideTWBExt"/>
          <w:b w:val="0"/>
        </w:rPr>
        <w:t>&lt;Amend&gt;</w:t>
      </w:r>
      <w:r w:rsidRPr="009B2971">
        <w:t>Amendamentul</w:t>
      </w:r>
      <w:r w:rsidRPr="009B2971">
        <w:tab/>
      </w:r>
      <w:r w:rsidRPr="009B2971">
        <w:tab/>
      </w:r>
      <w:r w:rsidRPr="00A4513A">
        <w:rPr>
          <w:rStyle w:val="HideTWBExt"/>
          <w:b w:val="0"/>
        </w:rPr>
        <w:t>&lt;NumAm&gt;</w:t>
      </w:r>
      <w:r w:rsidRPr="009B2971">
        <w:t>113</w:t>
      </w:r>
      <w:r w:rsidRPr="00A4513A">
        <w:rPr>
          <w:rStyle w:val="HideTWBExt"/>
          <w:b w:val="0"/>
        </w:rPr>
        <w:t>&lt;/NumAm&gt;</w:t>
      </w:r>
    </w:p>
    <w:p w:rsidR="009B2971" w:rsidRPr="009B2971" w:rsidRDefault="009B2971" w:rsidP="009B2971">
      <w:pPr>
        <w:pStyle w:val="NormalBold"/>
      </w:pPr>
      <w:r w:rsidRPr="00A4513A">
        <w:rPr>
          <w:rStyle w:val="HideTWBExt"/>
          <w:b w:val="0"/>
        </w:rPr>
        <w:t>&lt;RepeatBlock-By&gt;&lt;Members&gt;</w:t>
      </w:r>
      <w:r w:rsidRPr="009B2971">
        <w:t>Brigitte van den Berg, Hristo Petrov, Grégory Allione, Eugen Tomac</w:t>
      </w:r>
      <w:r w:rsidRPr="00A4513A">
        <w:rPr>
          <w:rStyle w:val="HideTWBExt"/>
          <w:b w:val="0"/>
        </w:rPr>
        <w:t>&lt;/Members&gt;</w:t>
      </w:r>
    </w:p>
    <w:p w:rsidR="009B2971" w:rsidRPr="009B2971" w:rsidRDefault="009B2971" w:rsidP="009B2971">
      <w:r w:rsidRPr="00A4513A">
        <w:rPr>
          <w:rStyle w:val="HideTWBExt"/>
        </w:rPr>
        <w:t>&lt;/RepeatBlock-By&gt;</w:t>
      </w:r>
    </w:p>
    <w:p w:rsidR="009B2971" w:rsidRPr="009B2971" w:rsidRDefault="009B2971" w:rsidP="009B2971">
      <w:pPr>
        <w:pStyle w:val="NormalBold"/>
        <w:keepNext/>
      </w:pPr>
      <w:r w:rsidRPr="00A4513A">
        <w:rPr>
          <w:rStyle w:val="HideTWBExt"/>
          <w:b w:val="0"/>
        </w:rPr>
        <w:t>&lt;DocAmend&gt;</w:t>
      </w:r>
      <w:r w:rsidRPr="009B2971">
        <w:t>Propunere de regulament</w:t>
      </w:r>
      <w:r w:rsidRPr="00A4513A">
        <w:rPr>
          <w:rStyle w:val="HideTWBExt"/>
          <w:b w:val="0"/>
        </w:rPr>
        <w:t>&lt;/DocAmend&gt;</w:t>
      </w:r>
    </w:p>
    <w:p w:rsidR="009B2971" w:rsidRPr="009B2971" w:rsidRDefault="009B2971" w:rsidP="009B2971">
      <w:pPr>
        <w:pStyle w:val="NormalBold"/>
      </w:pPr>
      <w:r w:rsidRPr="00A4513A">
        <w:rPr>
          <w:rStyle w:val="HideTWBExt"/>
          <w:b w:val="0"/>
        </w:rPr>
        <w:t>&lt;Article&gt;</w:t>
      </w:r>
      <w:r w:rsidRPr="009B2971">
        <w:t>Articolul 1 – paragraful 1 – punctul 3</w:t>
      </w:r>
      <w:r w:rsidRPr="00A4513A">
        <w:rPr>
          <w:rStyle w:val="HideTWBExt"/>
          <w:b w:val="0"/>
        </w:rPr>
        <w:t>&lt;/Article&gt;</w:t>
      </w:r>
    </w:p>
    <w:p w:rsidR="009B2971" w:rsidRPr="009B2971" w:rsidRDefault="009B2971" w:rsidP="009B2971">
      <w:pPr>
        <w:keepNext/>
      </w:pPr>
      <w:r w:rsidRPr="00A4513A">
        <w:rPr>
          <w:rStyle w:val="HideTWBExt"/>
        </w:rPr>
        <w:t>&lt;DocAmend2&gt;</w:t>
      </w:r>
      <w:r w:rsidRPr="009B2971">
        <w:t>Regulamentul (UE) 2021/1057</w:t>
      </w:r>
      <w:r w:rsidRPr="00A4513A">
        <w:rPr>
          <w:rStyle w:val="HideTWBExt"/>
        </w:rPr>
        <w:t>&lt;/DocAmend2&gt;</w:t>
      </w:r>
    </w:p>
    <w:p w:rsidR="009B2971" w:rsidRPr="009B2971" w:rsidRDefault="009B2971" w:rsidP="009B2971">
      <w:r w:rsidRPr="00A4513A">
        <w:rPr>
          <w:rStyle w:val="HideTWBExt"/>
        </w:rPr>
        <w:t>&lt;Article2&gt;</w:t>
      </w:r>
      <w:r w:rsidRPr="009B2971">
        <w:t>Articolul 12d – alineatul 5 a (nou)</w:t>
      </w:r>
      <w:r w:rsidRPr="00A45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2971" w:rsidRPr="009B2971" w:rsidTr="003A1038">
        <w:trPr>
          <w:jc w:val="center"/>
        </w:trPr>
        <w:tc>
          <w:tcPr>
            <w:tcW w:w="9752" w:type="dxa"/>
            <w:gridSpan w:val="2"/>
          </w:tcPr>
          <w:p w:rsidR="009B2971" w:rsidRPr="009B2971" w:rsidRDefault="009B2971" w:rsidP="003A1038">
            <w:pPr>
              <w:keepNext/>
            </w:pPr>
          </w:p>
        </w:tc>
      </w:tr>
      <w:tr w:rsidR="009B2971" w:rsidRPr="009B2971" w:rsidTr="003A1038">
        <w:trPr>
          <w:jc w:val="center"/>
        </w:trPr>
        <w:tc>
          <w:tcPr>
            <w:tcW w:w="4876" w:type="dxa"/>
            <w:hideMark/>
          </w:tcPr>
          <w:p w:rsidR="009B2971" w:rsidRPr="009B2971" w:rsidRDefault="009B2971" w:rsidP="003A1038">
            <w:pPr>
              <w:pStyle w:val="ColumnHeading"/>
              <w:keepNext/>
            </w:pPr>
            <w:r w:rsidRPr="009B2971">
              <w:t>Textul propus de Comisie</w:t>
            </w:r>
          </w:p>
        </w:tc>
        <w:tc>
          <w:tcPr>
            <w:tcW w:w="4876" w:type="dxa"/>
            <w:hideMark/>
          </w:tcPr>
          <w:p w:rsidR="009B2971" w:rsidRPr="009B2971" w:rsidRDefault="009B2971" w:rsidP="003A1038">
            <w:pPr>
              <w:pStyle w:val="ColumnHeading"/>
              <w:keepNext/>
            </w:pPr>
            <w:r w:rsidRPr="009B2971">
              <w:t>Amendamentul</w:t>
            </w:r>
          </w:p>
        </w:tc>
      </w:tr>
      <w:tr w:rsidR="009B2971" w:rsidRPr="009B2971" w:rsidTr="003A1038">
        <w:trPr>
          <w:jc w:val="center"/>
        </w:trPr>
        <w:tc>
          <w:tcPr>
            <w:tcW w:w="4876" w:type="dxa"/>
          </w:tcPr>
          <w:p w:rsidR="009B2971" w:rsidRPr="009B2971" w:rsidRDefault="009B2971" w:rsidP="003A1038">
            <w:pPr>
              <w:pStyle w:val="Normal6"/>
            </w:pPr>
          </w:p>
        </w:tc>
        <w:tc>
          <w:tcPr>
            <w:tcW w:w="4876" w:type="dxa"/>
            <w:hideMark/>
          </w:tcPr>
          <w:p w:rsidR="009B2971" w:rsidRPr="009B2971" w:rsidRDefault="009B2971" w:rsidP="003A1038">
            <w:pPr>
              <w:pStyle w:val="Normal6"/>
              <w:rPr>
                <w:szCs w:val="24"/>
              </w:rPr>
            </w:pPr>
            <w:r w:rsidRPr="009B2971">
              <w:rPr>
                <w:b/>
                <w:i/>
              </w:rPr>
              <w:t>(5a)</w:t>
            </w:r>
            <w:r w:rsidRPr="009B2971">
              <w:rPr>
                <w:b/>
                <w:i/>
              </w:rPr>
              <w:tab/>
              <w:t>Statele membre promovează colaborarea dintre organizațiile care lucrează la crearea și dobândirea de competențe, cum ar fi instituțiile profesionale, academice și de cercetare, precum și industriile, pentru a stimula inovarea și pentru a sprijini programele de cercetare în cadrul Uniunii Europene. Aceasta include măsuri de sprijinire a dezvoltării de noi tehnologii și a protecției proprietății intelectuale.</w:t>
            </w:r>
          </w:p>
        </w:tc>
      </w:tr>
    </w:tbl>
    <w:p w:rsidR="009B2971" w:rsidRPr="009B2971" w:rsidRDefault="009B2971" w:rsidP="009B2971">
      <w:pPr>
        <w:pStyle w:val="Olang"/>
      </w:pPr>
      <w:r w:rsidRPr="009B2971">
        <w:rPr>
          <w:noProof w:val="0"/>
        </w:rPr>
        <w:t xml:space="preserve">Or. </w:t>
      </w:r>
      <w:r w:rsidRPr="00A4513A">
        <w:rPr>
          <w:rStyle w:val="HideTWBExt"/>
        </w:rPr>
        <w:t>&lt;Original&gt;</w:t>
      </w:r>
      <w:r w:rsidRPr="00A4513A">
        <w:rPr>
          <w:rStyle w:val="HideTWBInt"/>
          <w:rFonts w:eastAsiaTheme="majorEastAsia"/>
        </w:rPr>
        <w:t>{EN}</w:t>
      </w:r>
      <w:r w:rsidRPr="009B2971">
        <w:rPr>
          <w:noProof w:val="0"/>
        </w:rPr>
        <w:t>en</w:t>
      </w:r>
      <w:r w:rsidRPr="00A4513A">
        <w:rPr>
          <w:rStyle w:val="HideTWBExt"/>
        </w:rPr>
        <w:t>&lt;/Original&gt;</w:t>
      </w:r>
    </w:p>
    <w:p w:rsidR="009B2971" w:rsidRPr="009B2971" w:rsidRDefault="009B2971" w:rsidP="009B2971">
      <w:pPr>
        <w:pStyle w:val="AmNumberTabs"/>
        <w:keepNext/>
      </w:pPr>
      <w:r w:rsidRPr="00A4513A">
        <w:rPr>
          <w:rStyle w:val="HideTWBExt"/>
          <w:b w:val="0"/>
        </w:rPr>
        <w:t>&lt;/Amend&gt;&lt;/RepeatBlock-Amend&gt;</w:t>
      </w:r>
    </w:p>
    <w:p w:rsidR="008363E4" w:rsidRPr="009B2971" w:rsidRDefault="008363E4" w:rsidP="009B2971"/>
    <w:sectPr w:rsidR="008363E4" w:rsidRPr="009B2971" w:rsidSect="009B29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B2971" w:rsidRDefault="00A4513A">
      <w:r w:rsidRPr="009B2971">
        <w:separator/>
      </w:r>
    </w:p>
  </w:endnote>
  <w:endnote w:type="continuationSeparator" w:id="0">
    <w:p w:rsidR="00000000" w:rsidRPr="009B2971" w:rsidRDefault="00A4513A">
      <w:r w:rsidRPr="009B29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71" w:rsidRPr="009B2971" w:rsidRDefault="009B2971" w:rsidP="009B2971">
    <w:pPr>
      <w:pStyle w:val="EPFooter"/>
    </w:pPr>
    <w:r w:rsidRPr="009B2971">
      <w:t>PE</w:t>
    </w:r>
    <w:r w:rsidRPr="00A4513A">
      <w:rPr>
        <w:rStyle w:val="HideTWBExt"/>
      </w:rPr>
      <w:t>&lt;NoPE&gt;</w:t>
    </w:r>
    <w:r w:rsidRPr="009B2971">
      <w:t>773.390</w:t>
    </w:r>
    <w:r w:rsidRPr="00A4513A">
      <w:rPr>
        <w:rStyle w:val="HideTWBExt"/>
      </w:rPr>
      <w:t>&lt;/NoPE&gt;&lt;Version&gt;</w:t>
    </w:r>
    <w:r w:rsidRPr="009B2971">
      <w:t>v01-00</w:t>
    </w:r>
    <w:r w:rsidRPr="00A4513A">
      <w:rPr>
        <w:rStyle w:val="HideTWBExt"/>
      </w:rPr>
      <w:t>&lt;/Version&gt;</w:t>
    </w:r>
    <w:r w:rsidRPr="009B2971">
      <w:tab/>
    </w:r>
    <w:r w:rsidRPr="009B2971">
      <w:fldChar w:fldCharType="begin"/>
    </w:r>
    <w:r w:rsidRPr="009B2971">
      <w:instrText xml:space="preserve"> PAGE  \* MERGEFORMAT </w:instrText>
    </w:r>
    <w:r w:rsidRPr="009B2971">
      <w:fldChar w:fldCharType="separate"/>
    </w:r>
    <w:r w:rsidR="00A4513A">
      <w:rPr>
        <w:noProof/>
      </w:rPr>
      <w:t>2</w:t>
    </w:r>
    <w:r w:rsidRPr="009B2971">
      <w:fldChar w:fldCharType="end"/>
    </w:r>
    <w:r w:rsidRPr="009B2971">
      <w:t>/</w:t>
    </w:r>
    <w:fldSimple w:instr=" NUMPAGES  \* MERGEFORMAT ">
      <w:r w:rsidR="00A4513A">
        <w:rPr>
          <w:noProof/>
        </w:rPr>
        <w:t>74</w:t>
      </w:r>
    </w:fldSimple>
    <w:r w:rsidRPr="009B2971">
      <w:tab/>
    </w:r>
    <w:r w:rsidRPr="00A4513A">
      <w:rPr>
        <w:rStyle w:val="HideTWBExt"/>
      </w:rPr>
      <w:t>&lt;PathFdR&gt;</w:t>
    </w:r>
    <w:r w:rsidRPr="009B2971">
      <w:t>AM\1321470RO.docx</w:t>
    </w:r>
    <w:r w:rsidRPr="00A4513A">
      <w:rPr>
        <w:rStyle w:val="HideTWBExt"/>
      </w:rPr>
      <w:t>&lt;/PathFdR&gt;</w:t>
    </w:r>
  </w:p>
  <w:p w:rsidR="00D82FCC" w:rsidRPr="009B2971" w:rsidRDefault="009B2971" w:rsidP="009B2971">
    <w:pPr>
      <w:pStyle w:val="EPFooter2"/>
    </w:pPr>
    <w:r w:rsidRPr="009B297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71" w:rsidRPr="009B2971" w:rsidRDefault="009B2971" w:rsidP="009B2971">
    <w:pPr>
      <w:pStyle w:val="EPFooter"/>
    </w:pPr>
    <w:r w:rsidRPr="00A4513A">
      <w:rPr>
        <w:rStyle w:val="HideTWBExt"/>
      </w:rPr>
      <w:t>&lt;PathFdR&gt;</w:t>
    </w:r>
    <w:r w:rsidRPr="009B2971">
      <w:t>AM\1321470RO.docx</w:t>
    </w:r>
    <w:r w:rsidRPr="00A4513A">
      <w:rPr>
        <w:rStyle w:val="HideTWBExt"/>
      </w:rPr>
      <w:t>&lt;/PathFdR&gt;</w:t>
    </w:r>
    <w:r w:rsidRPr="009B2971">
      <w:tab/>
    </w:r>
    <w:r w:rsidRPr="009B2971">
      <w:fldChar w:fldCharType="begin"/>
    </w:r>
    <w:r w:rsidRPr="009B2971">
      <w:instrText xml:space="preserve"> PAGE  \* MERGEFORMAT </w:instrText>
    </w:r>
    <w:r w:rsidRPr="009B2971">
      <w:fldChar w:fldCharType="separate"/>
    </w:r>
    <w:r w:rsidR="00A4513A">
      <w:rPr>
        <w:noProof/>
      </w:rPr>
      <w:t>21</w:t>
    </w:r>
    <w:r w:rsidRPr="009B2971">
      <w:fldChar w:fldCharType="end"/>
    </w:r>
    <w:r w:rsidRPr="009B2971">
      <w:t>/</w:t>
    </w:r>
    <w:fldSimple w:instr=" NUMPAGES  \* MERGEFORMAT ">
      <w:r w:rsidR="00A4513A">
        <w:rPr>
          <w:noProof/>
        </w:rPr>
        <w:t>74</w:t>
      </w:r>
    </w:fldSimple>
    <w:r w:rsidRPr="009B2971">
      <w:tab/>
      <w:t>PE</w:t>
    </w:r>
    <w:r w:rsidRPr="00A4513A">
      <w:rPr>
        <w:rStyle w:val="HideTWBExt"/>
      </w:rPr>
      <w:t>&lt;NoPE&gt;</w:t>
    </w:r>
    <w:r w:rsidRPr="009B2971">
      <w:t>773.390</w:t>
    </w:r>
    <w:r w:rsidRPr="00A4513A">
      <w:rPr>
        <w:rStyle w:val="HideTWBExt"/>
      </w:rPr>
      <w:t>&lt;/NoPE&gt;&lt;Version&gt;</w:t>
    </w:r>
    <w:r w:rsidRPr="009B2971">
      <w:t>v01-00</w:t>
    </w:r>
    <w:r w:rsidRPr="00A4513A">
      <w:rPr>
        <w:rStyle w:val="HideTWBExt"/>
      </w:rPr>
      <w:t>&lt;/Version&gt;</w:t>
    </w:r>
  </w:p>
  <w:p w:rsidR="00D82FCC" w:rsidRPr="009B2971" w:rsidRDefault="009B2971" w:rsidP="009B2971">
    <w:pPr>
      <w:pStyle w:val="EPFooter2"/>
    </w:pPr>
    <w:r w:rsidRPr="009B2971">
      <w:tab/>
    </w:r>
    <w:r w:rsidRPr="009B297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71" w:rsidRPr="009B2971" w:rsidRDefault="009B2971" w:rsidP="009B2971">
    <w:pPr>
      <w:pStyle w:val="EPFooter"/>
    </w:pPr>
    <w:r w:rsidRPr="00A4513A">
      <w:rPr>
        <w:rStyle w:val="HideTWBExt"/>
      </w:rPr>
      <w:t>&lt;PathFdR&gt;</w:t>
    </w:r>
    <w:r w:rsidRPr="009B2971">
      <w:t>AM\1321470RO.docx</w:t>
    </w:r>
    <w:r w:rsidRPr="00A4513A">
      <w:rPr>
        <w:rStyle w:val="HideTWBExt"/>
      </w:rPr>
      <w:t>&lt;/PathFdR&gt;</w:t>
    </w:r>
    <w:r w:rsidRPr="009B2971">
      <w:tab/>
    </w:r>
    <w:r w:rsidRPr="009B2971">
      <w:tab/>
      <w:t>PE</w:t>
    </w:r>
    <w:r w:rsidRPr="00A4513A">
      <w:rPr>
        <w:rStyle w:val="HideTWBExt"/>
      </w:rPr>
      <w:t>&lt;NoPE&gt;</w:t>
    </w:r>
    <w:r w:rsidRPr="009B2971">
      <w:t>773.390</w:t>
    </w:r>
    <w:r w:rsidRPr="00A4513A">
      <w:rPr>
        <w:rStyle w:val="HideTWBExt"/>
      </w:rPr>
      <w:t>&lt;/NoPE&gt;&lt;Version&gt;</w:t>
    </w:r>
    <w:r w:rsidRPr="009B2971">
      <w:t>v01-00</w:t>
    </w:r>
    <w:r w:rsidRPr="00A4513A">
      <w:rPr>
        <w:rStyle w:val="HideTWBExt"/>
      </w:rPr>
      <w:t>&lt;/Version&gt;</w:t>
    </w:r>
  </w:p>
  <w:p w:rsidR="00D82FCC" w:rsidRPr="009B2971" w:rsidRDefault="009B2971" w:rsidP="009B2971">
    <w:pPr>
      <w:pStyle w:val="EPFooter2"/>
    </w:pPr>
    <w:r w:rsidRPr="009B2971">
      <w:t>RO</w:t>
    </w:r>
    <w:r w:rsidRPr="009B2971">
      <w:tab/>
    </w:r>
    <w:r w:rsidRPr="009B2971">
      <w:rPr>
        <w:b w:val="0"/>
        <w:i/>
        <w:color w:val="C0C0C0"/>
        <w:sz w:val="22"/>
      </w:rPr>
      <w:t>Unită în diversitate</w:t>
    </w:r>
    <w:r w:rsidRPr="009B297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B2971" w:rsidRDefault="00A4513A">
      <w:r w:rsidRPr="009B2971">
        <w:separator/>
      </w:r>
    </w:p>
  </w:footnote>
  <w:footnote w:type="continuationSeparator" w:id="0">
    <w:p w:rsidR="00000000" w:rsidRPr="009B2971" w:rsidRDefault="00A4513A">
      <w:r w:rsidRPr="009B29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13A" w:rsidRDefault="00A45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13A" w:rsidRDefault="00A451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13A" w:rsidRDefault="00A45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RO"/>
    <w:docVar w:name="TXTLANGUEMIN" w:val="ro"/>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RO.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7E1E"/>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9060C"/>
    <w:rsid w:val="007A42AB"/>
    <w:rsid w:val="007C71DE"/>
    <w:rsid w:val="00822C94"/>
    <w:rsid w:val="008363E4"/>
    <w:rsid w:val="00851460"/>
    <w:rsid w:val="00856F14"/>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B2971"/>
    <w:rsid w:val="009F230F"/>
    <w:rsid w:val="00A15973"/>
    <w:rsid w:val="00A233E9"/>
    <w:rsid w:val="00A4513A"/>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D2F85"/>
    <w:rsid w:val="00BE0C84"/>
    <w:rsid w:val="00BE2EAC"/>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07AD"/>
    <w:rsid w:val="00E57F50"/>
    <w:rsid w:val="00E660E2"/>
    <w:rsid w:val="00E91DFA"/>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BAA0D"/>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ro-RO"/>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18423</Words>
  <Characters>111605</Characters>
  <Application>Microsoft Office Word</Application>
  <DocSecurity>0</DocSecurity>
  <Lines>4130</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2025-05-28T08:25:00Z</dcterms:created>
  <dcterms:modified xsi:type="dcterms:W3CDTF">2025-05-28T08:25:00Z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AM\1321470RO.docx</vt:lpwstr>
  </property>
  <property fmtid="{D5CDD505-2E9C-101B-9397-08002B2CF9AE}" pid="10" name="LastEdited with">
    <vt:lpwstr>10.1.1 Build [20250421]</vt:lpwstr>
  </property>
  <property fmtid="{D5CDD505-2E9C-101B-9397-08002B2CF9AE}" pid="11" name="OriLang">
    <vt:lpwstr>EN</vt:lpwstr>
  </property>
  <property fmtid="{D5CDD505-2E9C-101B-9397-08002B2CF9AE}" pid="12" name="PE number">
    <vt:lpwstr>773.390</vt:lpwstr>
  </property>
  <property fmtid="{D5CDD505-2E9C-101B-9397-08002B2CF9AE}" pid="13" name="SDLStudio">
    <vt:lpwstr/>
  </property>
  <property fmtid="{D5CDD505-2E9C-101B-9397-08002B2CF9AE}" pid="14" name="SendToEpades">
    <vt:lpwstr>OK(AMNUM) - 2025/05/20 17:49</vt:lpwstr>
  </property>
  <property fmtid="{D5CDD505-2E9C-101B-9397-08002B2CF9AE}" pid="15" name="Bookout">
    <vt:lpwstr>NOK(TYPAM) - 2025/05/28 10:24</vt:lpwstr>
  </property>
</Properties>
</file>