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C379A" w:rsidRPr="003811B2" w:rsidTr="00C85D0F">
        <w:trPr>
          <w:trHeight w:hRule="exact" w:val="1418"/>
        </w:trPr>
        <w:tc>
          <w:tcPr>
            <w:tcW w:w="6804" w:type="dxa"/>
            <w:shd w:val="clear" w:color="auto" w:fill="auto"/>
            <w:vAlign w:val="center"/>
          </w:tcPr>
          <w:p w:rsidR="00BE5062" w:rsidRPr="003811B2" w:rsidRDefault="00F355D6" w:rsidP="00C85D0F">
            <w:pPr>
              <w:pStyle w:val="EPName"/>
            </w:pPr>
            <w:r w:rsidRPr="003811B2">
              <w:t>Evropski parlament</w:t>
            </w:r>
          </w:p>
          <w:p w:rsidR="00BE5062" w:rsidRPr="003811B2" w:rsidRDefault="00F355D6" w:rsidP="002E7ECC">
            <w:pPr>
              <w:pStyle w:val="EPTerm"/>
            </w:pPr>
            <w:r w:rsidRPr="003811B2">
              <w:t>2024-2029</w:t>
            </w:r>
          </w:p>
        </w:tc>
        <w:tc>
          <w:tcPr>
            <w:tcW w:w="2268" w:type="dxa"/>
            <w:shd w:val="clear" w:color="auto" w:fill="auto"/>
          </w:tcPr>
          <w:p w:rsidR="00BE5062" w:rsidRPr="003811B2" w:rsidRDefault="00F355D6" w:rsidP="00C85D0F">
            <w:pPr>
              <w:pStyle w:val="EPLogo"/>
            </w:pPr>
            <w:r w:rsidRPr="003811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811B2" w:rsidRDefault="000E7234" w:rsidP="000E7234">
      <w:pPr>
        <w:pStyle w:val="LineTop"/>
      </w:pPr>
    </w:p>
    <w:p w:rsidR="000E7234" w:rsidRPr="00E312A0" w:rsidRDefault="00F355D6" w:rsidP="000E7234">
      <w:pPr>
        <w:pStyle w:val="EPBody"/>
      </w:pPr>
      <w:r w:rsidRPr="00E312A0">
        <w:rPr>
          <w:rStyle w:val="HideTWBExt"/>
          <w:i w:val="0"/>
          <w:szCs w:val="20"/>
        </w:rPr>
        <w:t>&lt;Commission&gt;</w:t>
      </w:r>
      <w:r w:rsidRPr="00E312A0">
        <w:rPr>
          <w:rStyle w:val="HideTWBInt"/>
          <w:i w:val="0"/>
          <w:szCs w:val="20"/>
        </w:rPr>
        <w:t>{EMPL}</w:t>
      </w:r>
      <w:r w:rsidRPr="00E312A0">
        <w:t>Odbor za zaposlovanje in socialne zadeve</w:t>
      </w:r>
      <w:r w:rsidRPr="00E312A0">
        <w:rPr>
          <w:rStyle w:val="HideTWBExt"/>
          <w:i w:val="0"/>
          <w:szCs w:val="20"/>
        </w:rPr>
        <w:t>&lt;/Commission&gt;</w:t>
      </w:r>
    </w:p>
    <w:p w:rsidR="000E7234" w:rsidRPr="00E312A0" w:rsidRDefault="000E7234" w:rsidP="000E7234">
      <w:pPr>
        <w:pStyle w:val="LineBottom"/>
      </w:pPr>
    </w:p>
    <w:p w:rsidR="00B85286" w:rsidRPr="00E312A0" w:rsidRDefault="00F355D6">
      <w:pPr>
        <w:pStyle w:val="CoverReference"/>
      </w:pPr>
      <w:r w:rsidRPr="00E312A0">
        <w:rPr>
          <w:rStyle w:val="HideTWBExt"/>
          <w:b w:val="0"/>
        </w:rPr>
        <w:t>&lt;RefProc&gt;</w:t>
      </w:r>
      <w:r w:rsidRPr="00E312A0">
        <w:t>2025/0085</w:t>
      </w:r>
      <w:r w:rsidRPr="00E312A0">
        <w:rPr>
          <w:rStyle w:val="HideTWBExt"/>
          <w:b w:val="0"/>
        </w:rPr>
        <w:t>&lt;/RefProc&gt;&lt;RefTypeProc&gt;</w:t>
      </w:r>
      <w:r w:rsidRPr="00E312A0">
        <w:t>(COD)</w:t>
      </w:r>
      <w:r w:rsidRPr="00E312A0">
        <w:rPr>
          <w:rStyle w:val="HideTWBExt"/>
          <w:b w:val="0"/>
        </w:rPr>
        <w:t>&lt;/RefTypeProc&gt;</w:t>
      </w:r>
    </w:p>
    <w:p w:rsidR="00B85286" w:rsidRPr="00E312A0" w:rsidRDefault="00F355D6">
      <w:pPr>
        <w:pStyle w:val="CoverDate"/>
      </w:pPr>
      <w:r w:rsidRPr="00E312A0">
        <w:rPr>
          <w:rStyle w:val="HideTWBExt"/>
        </w:rPr>
        <w:t>&lt;Date&gt;</w:t>
      </w:r>
      <w:r w:rsidRPr="00E312A0">
        <w:rPr>
          <w:rStyle w:val="HideTWBInt"/>
        </w:rPr>
        <w:t>{20/05/2025}</w:t>
      </w:r>
      <w:r w:rsidRPr="00E312A0">
        <w:t>20.5.2025</w:t>
      </w:r>
      <w:r w:rsidRPr="00E312A0">
        <w:rPr>
          <w:rStyle w:val="HideTWBExt"/>
        </w:rPr>
        <w:t>&lt;/Date&gt;</w:t>
      </w:r>
    </w:p>
    <w:p w:rsidR="009B0305" w:rsidRPr="00E312A0" w:rsidRDefault="00F355D6" w:rsidP="009B0305">
      <w:pPr>
        <w:pStyle w:val="CoverDocType"/>
      </w:pPr>
      <w:r w:rsidRPr="00E312A0">
        <w:rPr>
          <w:rStyle w:val="HideTWBExt"/>
          <w:b w:val="0"/>
        </w:rPr>
        <w:t>&lt;TypeAM&gt;</w:t>
      </w:r>
      <w:r w:rsidRPr="00E312A0">
        <w:t>PREDLOGI SPREMEMB</w:t>
      </w:r>
      <w:r w:rsidRPr="00E312A0">
        <w:rPr>
          <w:rStyle w:val="HideTWBExt"/>
          <w:b w:val="0"/>
        </w:rPr>
        <w:t>&lt;/TypeAM&gt;</w:t>
      </w:r>
    </w:p>
    <w:p w:rsidR="00B85286" w:rsidRPr="00E312A0" w:rsidRDefault="00F355D6" w:rsidP="001C2054">
      <w:pPr>
        <w:pStyle w:val="CoverDocType24a"/>
      </w:pPr>
      <w:r w:rsidRPr="00E312A0">
        <w:rPr>
          <w:rStyle w:val="HideTWBExt"/>
          <w:b w:val="0"/>
        </w:rPr>
        <w:t>&lt;RangeAM&gt;</w:t>
      </w:r>
      <w:r w:rsidRPr="00E312A0">
        <w:t>1 - 113</w:t>
      </w:r>
      <w:r w:rsidRPr="00E312A0">
        <w:rPr>
          <w:rStyle w:val="HideTWBExt"/>
          <w:b w:val="0"/>
        </w:rPr>
        <w:t>&lt;/RangeAM&gt;</w:t>
      </w:r>
    </w:p>
    <w:p w:rsidR="001C2054" w:rsidRPr="00E312A0" w:rsidRDefault="00F355D6" w:rsidP="00A93F8C">
      <w:pPr>
        <w:pStyle w:val="CoverBold"/>
      </w:pPr>
      <w:r w:rsidRPr="00E312A0">
        <w:rPr>
          <w:rStyle w:val="HideTWBExt"/>
          <w:b w:val="0"/>
        </w:rPr>
        <w:t>&lt;TitreType&gt;</w:t>
      </w:r>
      <w:r w:rsidRPr="00E312A0">
        <w:t>Osnutek poročila</w:t>
      </w:r>
      <w:r w:rsidRPr="00E312A0">
        <w:rPr>
          <w:rStyle w:val="HideTWBExt"/>
          <w:b w:val="0"/>
        </w:rPr>
        <w:t>&lt;/TitreType&gt;</w:t>
      </w:r>
    </w:p>
    <w:p w:rsidR="00B85286" w:rsidRPr="00E312A0" w:rsidRDefault="00F355D6" w:rsidP="00A93F8C">
      <w:pPr>
        <w:pStyle w:val="CoverBold"/>
      </w:pPr>
      <w:r w:rsidRPr="00E312A0">
        <w:rPr>
          <w:rStyle w:val="HideTWBExt"/>
          <w:b w:val="0"/>
        </w:rPr>
        <w:t>&lt;Rapporteur&gt;</w:t>
      </w:r>
      <w:r w:rsidRPr="00E312A0">
        <w:t>Marit Maij</w:t>
      </w:r>
      <w:r w:rsidRPr="00E312A0">
        <w:rPr>
          <w:rStyle w:val="HideTWBExt"/>
          <w:b w:val="0"/>
        </w:rPr>
        <w:t>&lt;/Rapporteur&gt;</w:t>
      </w:r>
    </w:p>
    <w:p w:rsidR="00B85286" w:rsidRPr="00E312A0" w:rsidRDefault="00B85286">
      <w:pPr>
        <w:pStyle w:val="CoverNormal24a"/>
      </w:pPr>
    </w:p>
    <w:p w:rsidR="00B85286" w:rsidRPr="00E312A0" w:rsidRDefault="00F355D6">
      <w:pPr>
        <w:pStyle w:val="CoverNormal24a"/>
        <w:rPr>
          <w:rStyle w:val="HideTWBExt"/>
        </w:rPr>
      </w:pPr>
      <w:r w:rsidRPr="00E312A0">
        <w:rPr>
          <w:rStyle w:val="HideTWBExt"/>
        </w:rPr>
        <w:t>&lt;Titre&gt;</w:t>
      </w:r>
      <w:r w:rsidRPr="00E312A0">
        <w:t>Sprememba Uredbe (EU) 2021/1057 o vzpostavitvi Evropskega socialnega sklada+ (ESS+) glede posebnih ukrepov za obravnavanje strateških izzivov</w:t>
      </w:r>
      <w:r w:rsidRPr="00E312A0">
        <w:rPr>
          <w:rStyle w:val="HideTWBExt"/>
        </w:rPr>
        <w:t>&lt;/Titre&gt;</w:t>
      </w:r>
    </w:p>
    <w:p w:rsidR="006337D4" w:rsidRPr="00E312A0" w:rsidRDefault="00F355D6" w:rsidP="006337D4">
      <w:pPr>
        <w:pStyle w:val="CoverNormal"/>
      </w:pPr>
      <w:r w:rsidRPr="00E312A0">
        <w:rPr>
          <w:rStyle w:val="HideTWBExt"/>
        </w:rPr>
        <w:t>&lt;DocAmend&gt;</w:t>
      </w:r>
      <w:r w:rsidRPr="00E312A0">
        <w:t>Predlog uredbe</w:t>
      </w:r>
      <w:r w:rsidRPr="00E312A0">
        <w:rPr>
          <w:rStyle w:val="HideTWBExt"/>
        </w:rPr>
        <w:t>&lt;/DocAmend&gt;</w:t>
      </w:r>
    </w:p>
    <w:p w:rsidR="00B85286" w:rsidRPr="00E312A0" w:rsidRDefault="00F355D6">
      <w:pPr>
        <w:pStyle w:val="CoverNormal24a"/>
      </w:pPr>
      <w:r w:rsidRPr="00E312A0">
        <w:rPr>
          <w:rStyle w:val="HideTWBExt"/>
        </w:rPr>
        <w:t>&lt;DocRef&gt;</w:t>
      </w:r>
      <w:r w:rsidRPr="00E312A0">
        <w:t>(COM(2025)0164 – C10</w:t>
      </w:r>
      <w:r w:rsidRPr="00E312A0">
        <w:noBreakHyphen/>
        <w:t>0064/2025 – 2025/0085(COD))</w:t>
      </w:r>
      <w:r w:rsidRPr="00E312A0">
        <w:rPr>
          <w:rStyle w:val="HideTWBExt"/>
        </w:rPr>
        <w:t>&lt;/DocRef&gt;</w:t>
      </w:r>
    </w:p>
    <w:p w:rsidR="00B85286" w:rsidRPr="003811B2" w:rsidRDefault="00F355D6" w:rsidP="00E660E2">
      <w:pPr>
        <w:widowControl/>
        <w:tabs>
          <w:tab w:val="center" w:pos="4677"/>
        </w:tabs>
      </w:pPr>
      <w:r w:rsidRPr="00E312A0">
        <w:br w:type="page"/>
      </w:r>
      <w:r w:rsidRPr="003811B2">
        <w:lastRenderedPageBreak/>
        <w:t>AM_Com_LegReport</w:t>
      </w:r>
    </w:p>
    <w:p w:rsidR="00E312A0" w:rsidRPr="003811B2" w:rsidRDefault="00F355D6" w:rsidP="00E312A0">
      <w:pPr>
        <w:pStyle w:val="AMNumberTabs0"/>
        <w:keepNext/>
      </w:pPr>
      <w:r w:rsidRPr="003811B2">
        <w:br w:type="page"/>
      </w:r>
      <w:r w:rsidR="00E312A0" w:rsidRPr="00E312A0">
        <w:rPr>
          <w:rStyle w:val="HideTWBExt"/>
          <w:b w:val="0"/>
        </w:rPr>
        <w:lastRenderedPageBreak/>
        <w:t>&lt;RepeatBlock-Amend&gt;&lt;Amend&gt;</w:t>
      </w:r>
      <w:r w:rsidR="00E312A0">
        <w:t>Predlog spremembe</w:t>
      </w:r>
      <w:r w:rsidR="00E312A0">
        <w:tab/>
      </w:r>
      <w:r w:rsidR="00E312A0">
        <w:tab/>
      </w:r>
      <w:r w:rsidR="00E312A0" w:rsidRPr="00E312A0">
        <w:rPr>
          <w:rStyle w:val="HideTWBExt"/>
          <w:b w:val="0"/>
        </w:rPr>
        <w:t>&lt;NumAm&gt;</w:t>
      </w:r>
      <w:r w:rsidR="00E312A0">
        <w:t>1</w:t>
      </w:r>
      <w:r w:rsidR="00E312A0"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Estrella Galán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tcPr>
          <w:p w:rsidR="00E312A0" w:rsidRPr="003811B2" w:rsidRDefault="00E312A0" w:rsidP="008D243F">
            <w:pPr>
              <w:pStyle w:val="ColumnHeading"/>
              <w:keepNext/>
            </w:pPr>
          </w:p>
        </w:tc>
        <w:tc>
          <w:tcPr>
            <w:tcW w:w="4876" w:type="dxa"/>
            <w:hideMark/>
          </w:tcPr>
          <w:p w:rsidR="00E312A0" w:rsidRPr="003811B2" w:rsidRDefault="00E312A0" w:rsidP="008D243F">
            <w:pPr>
              <w:pStyle w:val="ColumnHeading"/>
              <w:keepNext/>
            </w:pPr>
            <w:r>
              <w:t>Predlog zavrnitve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Evropski parlament zavrne predlog Komisije.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(ESS+ ne sme financirati ukrepov za znanja in spretnosti ali zaposlovanje, povezanih z obrambnim sektorjem. Sklad mora ostati zavezan svojim civilnim in socialnim ciljem in se ne sme spreminjati, da bi z nujnimi postopki legitimiral reforme, povezane z obrambo. Čeprav podpiramo razogljičenje, ki je že izrecno predvideno in financirano iz ESS+, zavračamo njegovo instrumentalizacijo, da bi upravičili izdatke za obrambo, in poudarjamo, da je za podnebno politiko potrebna redna demokratična razprava.)</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Navedba sklicevanja 5 a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ob upoštevanju mnenja Evropskega računskega sodišča št. 02/2025,</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(-1)</w:t>
            </w:r>
            <w:r>
              <w:rPr>
                <w:b/>
                <w:i/>
              </w:rPr>
              <w:tab/>
              <w:t>Glavni cilj ESS+ je podpirati socialno vključevanje in socialno kohezijo ter uresničevati načela in krovne cilje evropskega stebra socialnih pravic s podpiranjem naložb v ljudi in sisteme na področju politike zaposlovanja, izobraževanja in socialnega vključevanja.</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4</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Branislav Ondruš</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(1)</w:t>
            </w:r>
            <w:r>
              <w:rPr>
                <w:b/>
                <w:i/>
              </w:rPr>
              <w:tab/>
              <w:t>Glede na pomembne geopolitične in gospodarske dogodke, ki so preoblikovali nekatere strateške politične prednostne naloge Unije, je treba državam članicam zagotoviti možnosti, da se spoprimejo s temi strateškimi izzivi in preusmerijo svoja sredstva v nove prednostne naloge.</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5</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Marie Dauchy, Nikola Bartůšek</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{EMPL}</w:t>
      </w:r>
      <w:r>
        <w:t>v imenu Odbora za zaposlovanje in socialne zadeve:</w:t>
      </w:r>
      <w:r w:rsidRPr="00E312A0">
        <w:rPr>
          <w:rStyle w:val="HideTWBExt"/>
        </w:rPr>
        <w:t>&lt;/AuNomDe&gt;</w:t>
      </w:r>
    </w:p>
    <w:p w:rsidR="00E312A0" w:rsidRPr="003811B2" w:rsidRDefault="00E312A0" w:rsidP="00E312A0">
      <w:pPr>
        <w:pStyle w:val="NormalBold"/>
      </w:pPr>
      <w:r w:rsidRPr="00E312A0">
        <w:rPr>
          <w:rStyle w:val="HideTWBExt"/>
          <w:b w:val="0"/>
        </w:rPr>
        <w:t>&lt;Members&gt;</w:t>
      </w:r>
      <w:r>
        <w:t>Séverine Werbrouck</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w:t>
            </w:r>
            <w:r>
              <w:tab/>
              <w:t>Glede na pomembne geopolitične in gospodarske dogodke, ki so preoblikovali nekatere strateške politične prednostne naloge Unije, je treba državam članicam zagotoviti možnosti, da se spoprimejo s temi strateškimi izzivi in preusmerijo svoja sredstva v nove prednostne naloge.</w:t>
            </w:r>
          </w:p>
        </w:tc>
        <w:tc>
          <w:tcPr>
            <w:tcW w:w="4876" w:type="dxa"/>
            <w:hideMark/>
          </w:tcPr>
          <w:p w:rsidR="00E312A0" w:rsidRPr="003811B2" w:rsidRDefault="00E312A0" w:rsidP="008D243F">
            <w:pPr>
              <w:pStyle w:val="Normal6"/>
              <w:rPr>
                <w:szCs w:val="24"/>
              </w:rPr>
            </w:pPr>
            <w:r>
              <w:t>(1)</w:t>
            </w:r>
            <w:r>
              <w:tab/>
              <w:t xml:space="preserve">Glede na pomembne geopolitične in gospodarske dogodke, ki so preoblikovali nekatere strateške politične prednostne naloge Unije, </w:t>
            </w:r>
            <w:r>
              <w:rPr>
                <w:b/>
                <w:i/>
              </w:rPr>
              <w:t xml:space="preserve">ter znatno vrzel med cilji ESS+ in utemeljenimi pomisleki, ki so jih imele države članice, ko so ga načrtovale za obdobje 2021–2027, </w:t>
            </w:r>
            <w:r>
              <w:t>je treba državam članicam zagotoviti možnosti, da se spoprimejo s temi strateškimi izzivi in preusmerijo svoja sredstva v nove prednostne naloge.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{FR}</w:t>
      </w:r>
      <w:r w:rsidRPr="003811B2">
        <w:rPr>
          <w:noProof w:val="0"/>
        </w:rPr>
        <w:t>fr</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6</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w:t>
            </w:r>
            <w:r>
              <w:tab/>
              <w:t>Glede na pomembne geopolitične in gospodarske dogodke, ki so preoblikovali nekatere strateške politične prednostne naloge Unije, je treba državam članicam zagotoviti možnosti, da se spoprimejo s temi strateškimi izzivi in preusmerijo svoja sredstva v nove prednostne naloge</w:t>
            </w:r>
            <w:r>
              <w:rPr>
                <w:b/>
                <w:i/>
              </w:rPr>
              <w:t>.</w:t>
            </w:r>
          </w:p>
        </w:tc>
        <w:tc>
          <w:tcPr>
            <w:tcW w:w="4876" w:type="dxa"/>
            <w:hideMark/>
          </w:tcPr>
          <w:p w:rsidR="00E312A0" w:rsidRPr="003811B2" w:rsidRDefault="00E312A0" w:rsidP="008D243F">
            <w:pPr>
              <w:pStyle w:val="Normal6"/>
              <w:rPr>
                <w:szCs w:val="24"/>
              </w:rPr>
            </w:pPr>
            <w:r>
              <w:t>(1)</w:t>
            </w:r>
            <w:r>
              <w:tab/>
              <w:t xml:space="preserve">Glede na pomembne geopolitične in gospodarske dogodke, ki so preoblikovali nekatere strateške politične prednostne naloge Unije, je treba državam članicam zagotoviti </w:t>
            </w:r>
            <w:r>
              <w:rPr>
                <w:b/>
                <w:i/>
              </w:rPr>
              <w:t xml:space="preserve">več strukturnih </w:t>
            </w:r>
            <w:r>
              <w:t xml:space="preserve">možnosti, da se spoprimejo s temi strateškimi izzivi in </w:t>
            </w:r>
            <w:r>
              <w:rPr>
                <w:b/>
                <w:i/>
              </w:rPr>
              <w:t xml:space="preserve">naložbenimi potrebami industrij ter </w:t>
            </w:r>
            <w:r>
              <w:t>preusmerijo svoja sredstva v nove prednostne naloge</w:t>
            </w:r>
            <w:r>
              <w:rPr>
                <w:b/>
                <w:i/>
              </w:rPr>
              <w:t>, hkrati pa je treba zaščititi kohezijo, ustvariti kakovostna delovna mesta in ohraniti enake konkurenčne pogoje na notranjem trgu;</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7</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w:t>
            </w:r>
            <w:r>
              <w:tab/>
              <w:t>Glede na pomembne geopolitične in gospodarske dogodke, ki so preoblikovali nekatere strateške politične prednostne naloge Unije, je treba državam članicam zagotoviti možnosti, da se spoprimejo s temi strateškimi izzivi in preusmerijo svoja sredstva v nove prednostne naloge.</w:t>
            </w:r>
          </w:p>
        </w:tc>
        <w:tc>
          <w:tcPr>
            <w:tcW w:w="4876" w:type="dxa"/>
            <w:hideMark/>
          </w:tcPr>
          <w:p w:rsidR="00E312A0" w:rsidRPr="003811B2" w:rsidRDefault="00E312A0" w:rsidP="008D243F">
            <w:pPr>
              <w:pStyle w:val="Normal6"/>
              <w:rPr>
                <w:szCs w:val="24"/>
              </w:rPr>
            </w:pPr>
            <w:r>
              <w:t>(1)</w:t>
            </w:r>
            <w:r>
              <w:tab/>
              <w:t>Glede na pomembne geopolitične in gospodarske dogodke, ki so preoblikovali nekatere strateške politične prednostne naloge Unije, je treba državam članicam zagotoviti možnosti, da se spoprimejo s temi strateškimi izzivi in preusmerijo svoja sredstva v nove prednostne naloge</w:t>
            </w:r>
            <w:r>
              <w:rPr>
                <w:b/>
                <w:i/>
              </w:rPr>
              <w:t>, če teh izzivov ni mogoče obravnavati v okviru obstoječih programov</w:t>
            </w:r>
            <w:r>
              <w:t>.</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8</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Brigitte van den Berg, Jana Toom, Hristo Petrov, Grégory Allione, Eugen Tomac</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w:t>
            </w:r>
            <w:r>
              <w:tab/>
              <w:t>Glede na pomembne geopolitične in gospodarske dogodke, ki so preoblikovali nekatere strateške politične prednostne naloge Unije, je treba državam članicam zagotoviti možnosti, da se spoprimejo s temi strateškimi izzivi in preusmerijo svoja sredstva v nove prednostne naloge.</w:t>
            </w:r>
          </w:p>
        </w:tc>
        <w:tc>
          <w:tcPr>
            <w:tcW w:w="4876" w:type="dxa"/>
            <w:hideMark/>
          </w:tcPr>
          <w:p w:rsidR="00E312A0" w:rsidRPr="003811B2" w:rsidRDefault="00E312A0" w:rsidP="008D243F">
            <w:pPr>
              <w:pStyle w:val="Normal6"/>
              <w:rPr>
                <w:szCs w:val="24"/>
              </w:rPr>
            </w:pPr>
            <w:r>
              <w:t>(1)</w:t>
            </w:r>
            <w:r>
              <w:tab/>
              <w:t>Glede na pomembne geopolitične in gospodarske dogodke, ki so preoblikovali nekatere strateške politične prednostne naloge Unije, je treba državam članicam zagotoviti možnosti, da se spoprimejo s temi strateškimi izzivi in preusmerijo svoja sredstva v nove prednostne naloge</w:t>
            </w:r>
            <w:r>
              <w:rPr>
                <w:b/>
                <w:i/>
              </w:rPr>
              <w:t>, in sicer na vključujoč način</w:t>
            </w:r>
            <w:r>
              <w:t>.</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9</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 a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(1a)</w:t>
            </w:r>
            <w:r>
              <w:rPr>
                <w:b/>
                <w:i/>
              </w:rPr>
              <w:tab/>
              <w:t>V skladu z mnenjem Evropskega računskega sodišča 02/2025 lahko večkratna uporaba sredstev kohezijske politike za odzivanje na izredne razmere (npr. ukrepi za obvladovanje migracijskih kriz ali drugih izrednih razmer) ogrozi glavni cilj kohezijske politike, tj. zmanjšanje teritorialnih razlik ter spodbujanje ekonomske in socialne kohezije v Evropski uniji.</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10</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 a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(1a)</w:t>
            </w:r>
            <w:r>
              <w:rPr>
                <w:b/>
                <w:i/>
              </w:rPr>
              <w:tab/>
              <w:t>Glavni cilj ESS+ je podpreti države članice in regije pri doseganju socialne vključenosti in aktivaciji trga dela z uresničevanjem načel in krovnih ciljev evropskega stebra socialnih pravic, ki še zdaleč niso doseženi.</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11</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 b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(1b)</w:t>
            </w:r>
            <w:r>
              <w:rPr>
                <w:b/>
                <w:i/>
              </w:rPr>
              <w:tab/>
              <w:t>Evropska unija in njene države članice še naprej dokazujejo, da se lahko hitro odzovejo na geopolitične dogodke in so pripravljene uporabiti zadostna finančna sredstva za krepitev naše obrambne industrije prek različnih evropskih in nacionalnih programov, kar je pozitivno in potrebno za varnost Unije. Pomembno je, da se s programi za konkurenčnost okrepi naš obrambni sektor. Hkrati je izjemno pomembno, da se prek ESS+ še naprej vlaga v socialne cilje Unije, saj je socialna kohezija temelj naše demokratične in družbene odpornosti, ki je bistvena za soočanje z grožnjami agresije.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Marc Angel, Idoia Mendia, Vilija Blinkevičiūtė, Aodhán Ó Ríordáin, Evelyn Regner</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 c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(1c)</w:t>
            </w:r>
            <w:r>
              <w:rPr>
                <w:b/>
                <w:i/>
              </w:rPr>
              <w:tab/>
              <w:t>Kohezijska politika mora ostati dolgoročna politika, ki temelji na ciljih iz členov 174 in 175 PDEU. Kohezijska politika se pogosto uporablja kot orodje za odzivanje na izredne razmere, kar ne bi smelo ogroziti dolgoročnih političnih in naložbenih ciljev kohezijske politike.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Branislav Ondruš</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2</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(2)</w:t>
            </w:r>
            <w:r>
              <w:rPr>
                <w:b/>
                <w:i/>
              </w:rPr>
              <w:tab/>
              <w:t>Bela knjiga za evropsko obrambo – pripravljenost do leta 2030</w:t>
            </w:r>
            <w:r>
              <w:rPr>
                <w:b/>
                <w:i/>
                <w:vertAlign w:val="superscript"/>
              </w:rPr>
              <w:t>3</w:t>
            </w:r>
            <w:r>
              <w:rPr>
                <w:b/>
                <w:i/>
              </w:rPr>
              <w:t xml:space="preserve"> utira pot pravi evropski obrambni uniji, med drugim s predlogom državam članicam, naj veliko vlagajo v obrambo in obrambno industrijo. V zvezi s tem so v sporočilu Komisije Unija spretnosti z dne 5. marca 2025</w:t>
            </w:r>
            <w:r>
              <w:rPr>
                <w:b/>
                <w:i/>
                <w:vertAlign w:val="superscript"/>
              </w:rPr>
              <w:t>4</w:t>
            </w:r>
            <w:r>
              <w:rPr>
                <w:b/>
                <w:i/>
              </w:rPr>
              <w:t xml:space="preserve"> (v nadaljnjem besedilu: sporočilo o Uniji spretnosti) določeni ukrepi za odpravo vrzeli v spretnostih in obravnavanje pomanjkanja spretnosti v Uniji, tudi prek pobude Pakt za spretnosti iz navedenega sporočila ter njenih obsežnih partnerstev, vključno s partnerstvom za obrambni ekosistem. Zato je primerno vključiti spodbude za ESS+, vzpostavljen z Uredbo (EU) 2021/1057 Evropskega parlamenta in Sveta</w:t>
            </w:r>
            <w:r>
              <w:rPr>
                <w:b/>
                <w:i/>
                <w:vertAlign w:val="superscript"/>
              </w:rPr>
              <w:t>5</w:t>
            </w:r>
            <w:r>
              <w:rPr>
                <w:b/>
                <w:i/>
              </w:rPr>
              <w:t xml:space="preserve"> , da se olajša razvoj spretnosti v obrambni industriji.</w:t>
            </w:r>
          </w:p>
        </w:tc>
        <w:tc>
          <w:tcPr>
            <w:tcW w:w="4876" w:type="dxa"/>
            <w:hideMark/>
          </w:tcPr>
          <w:p w:rsidR="00E312A0" w:rsidRPr="003811B2" w:rsidRDefault="00E312A0" w:rsidP="008D243F">
            <w:pPr>
              <w:pStyle w:val="Normal6"/>
              <w:rPr>
                <w:szCs w:val="24"/>
              </w:rPr>
            </w:pPr>
            <w:r>
              <w:rPr>
                <w:b/>
                <w:i/>
              </w:rPr>
              <w:t>črtano</w:t>
            </w:r>
          </w:p>
        </w:tc>
      </w:tr>
      <w:tr w:rsidR="00E312A0" w:rsidTr="008D243F">
        <w:trPr>
          <w:jc w:val="center"/>
        </w:trPr>
        <w:tc>
          <w:tcPr>
            <w:tcW w:w="4876" w:type="dxa"/>
            <w:hideMark/>
          </w:tcPr>
          <w:p w:rsidR="00E312A0" w:rsidRPr="003811B2" w:rsidRDefault="00E312A0" w:rsidP="008D243F">
            <w:pPr>
              <w:pStyle w:val="Normal6"/>
            </w:pPr>
            <w:r>
              <w:rPr>
                <w:b/>
                <w:i/>
              </w:rPr>
              <w:t>__________________</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Pr>
                <w:b/>
                <w:i/>
              </w:rPr>
              <w:t>3 Skupna bela knjiga o prihodnosti evropske obrambe Pripravljenost do leta 2030, JOIN(2025) 120 final, 19.3.2025.</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Pr>
                <w:b/>
                <w:i/>
              </w:rPr>
              <w:t>4 COM (2025) 90 final</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Pr>
                <w:b/>
                <w:i/>
              </w:rPr>
              <w:t>5 Uredba (EU) 2021/1057 Evropskega parlamenta in Sveta z dne 24. junija 2021 o vzpostavitvi Evropskega socialnega sklada plus (ESS+) in razveljavitvi Uredbe (EU) št. 1296/2013 (UL L 231, 30.6.2021, str. 21, ELI: http://data.europa.eu/eli/reg/2021/1057/oj).</w:t>
            </w:r>
          </w:p>
        </w:tc>
        <w:tc>
          <w:tcPr>
            <w:tcW w:w="4876" w:type="dxa"/>
          </w:tcPr>
          <w:p w:rsidR="00E312A0" w:rsidRPr="003811B2" w:rsidRDefault="00E312A0" w:rsidP="008D243F">
            <w:pPr>
              <w:pStyle w:val="Normal6"/>
              <w:rPr>
                <w:szCs w:val="24"/>
              </w:rPr>
            </w:pP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14</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Grégory Allione, Brigitte van den Berg, Marie-Pierre Vedrenne</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2</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t>Bela knjiga za evropsko obrambo – pripravljenost do leta 2030</w:t>
            </w:r>
            <w:r>
              <w:rPr>
                <w:vertAlign w:val="superscript"/>
              </w:rPr>
              <w:t>3</w:t>
            </w:r>
            <w:r>
              <w:t xml:space="preserve"> utira pot pravi evropski obrambni uniji, med drugim s predlogom državam članicam, naj veliko vlagajo v obrambo</w:t>
            </w:r>
            <w:r>
              <w:rPr>
                <w:b/>
                <w:i/>
              </w:rPr>
              <w:t xml:space="preserve"> in</w:t>
            </w:r>
            <w:r>
              <w:t xml:space="preserve"> obrambno industrijo. V zvezi s tem so v sporočilu Komisije Unija spretnosti z dne 5. marca 2025</w:t>
            </w:r>
            <w:r>
              <w:rPr>
                <w:vertAlign w:val="superscript"/>
              </w:rPr>
              <w:t>4</w:t>
            </w:r>
            <w:r>
              <w:t xml:space="preserve"> (v nadaljnjem besedilu: sporočilo o Uniji spretnosti) določeni ukrepi za odpravo vrzeli v spretnostih in obravnavanje pomanjkanja spretnosti v Uniji, tudi prek pobude Pakt za spretnosti iz navedenega sporočila ter njenih obsežnih partnerstev, vključno s partnerstvom za obrambni ekosistem. Zato je primerno vključiti spodbude za ESS+, vzpostavljen z Uredbo (EU) 2021/1057 Evropskega parlamenta in Sveta</w:t>
            </w:r>
            <w:r>
              <w:rPr>
                <w:vertAlign w:val="superscript"/>
              </w:rPr>
              <w:t>5</w:t>
            </w:r>
            <w:r>
              <w:t xml:space="preserve"> , da se </w:t>
            </w:r>
            <w:r>
              <w:rPr>
                <w:b/>
                <w:i/>
              </w:rPr>
              <w:t>olajša</w:t>
            </w:r>
            <w:r>
              <w:t xml:space="preserve"> razvoj spretnosti v obrambni industriji.</w:t>
            </w:r>
          </w:p>
        </w:tc>
        <w:tc>
          <w:tcPr>
            <w:tcW w:w="4876" w:type="dxa"/>
            <w:hideMark/>
          </w:tcPr>
          <w:p w:rsidR="00E312A0" w:rsidRPr="003811B2" w:rsidRDefault="00E312A0" w:rsidP="008D243F">
            <w:pPr>
              <w:pStyle w:val="Normal6"/>
              <w:rPr>
                <w:szCs w:val="24"/>
              </w:rPr>
            </w:pPr>
            <w:r>
              <w:t>(2)</w:t>
            </w:r>
            <w:r>
              <w:tab/>
            </w:r>
            <w:r>
              <w:rPr>
                <w:b/>
                <w:i/>
              </w:rPr>
              <w:t>Kot dopolnitev Niinistöjevega poročila z naslovom Varnejši skupaj: krepitev civilne in vojaške pripravljenosti Evrope</w:t>
            </w:r>
            <w:r>
              <w:rPr>
                <w:b/>
                <w:i/>
                <w:vertAlign w:val="superscript"/>
              </w:rPr>
              <w:t>2a</w:t>
            </w:r>
            <w:r>
              <w:rPr>
                <w:b/>
                <w:i/>
              </w:rPr>
              <w:t xml:space="preserve"> in strategije EU za Unijo pripravljenosti</w:t>
            </w:r>
            <w:r>
              <w:rPr>
                <w:b/>
                <w:i/>
                <w:vertAlign w:val="superscript"/>
              </w:rPr>
              <w:t>2b</w:t>
            </w:r>
            <w:r>
              <w:rPr>
                <w:b/>
                <w:i/>
              </w:rPr>
              <w:t>,</w:t>
            </w:r>
            <w:r>
              <w:t xml:space="preserve"> bela knjiga za evropsko obrambo – pripravljenost do leta 2030</w:t>
            </w:r>
            <w:r>
              <w:rPr>
                <w:vertAlign w:val="superscript"/>
              </w:rPr>
              <w:t>3</w:t>
            </w:r>
            <w:r>
              <w:t xml:space="preserve"> utira pot pravi evropski obrambni uniji, med drugim s predlogom državam članicam, naj veliko vlagajo v obrambo</w:t>
            </w:r>
            <w:r>
              <w:rPr>
                <w:b/>
                <w:i/>
              </w:rPr>
              <w:t>, civilno obrambo,</w:t>
            </w:r>
            <w:r>
              <w:t xml:space="preserve"> obrambno industrijo</w:t>
            </w:r>
            <w:r>
              <w:rPr>
                <w:b/>
                <w:i/>
              </w:rPr>
              <w:t xml:space="preserve"> in tehnologije z dvojno rabo, kar bi moralo biti tesno povezano s socialnimi izdatki, ustvarjanjem delovnih mest ter priložnostmi za izpopolnjevanje in preusposabljanje</w:t>
            </w:r>
            <w:r>
              <w:t>. V zvezi s tem so v sporočilu Komisije Unija spretnosti z dne 5. marca 2025</w:t>
            </w:r>
            <w:r>
              <w:rPr>
                <w:vertAlign w:val="superscript"/>
              </w:rPr>
              <w:t>4</w:t>
            </w:r>
            <w:r>
              <w:t xml:space="preserve"> (v nadaljnjem besedilu: sporočilo o Uniji spretnosti) določeni ukrepi za odpravo vrzeli v spretnostih in obravnavanje pomanjkanja spretnosti v Uniji, tudi prek pobude Pakt za spretnosti iz navedenega sporočila ter njenih obsežnih partnerstev, vključno s partnerstvom za obrambni ekosistem</w:t>
            </w:r>
            <w:r>
              <w:rPr>
                <w:b/>
                <w:i/>
              </w:rPr>
              <w:t>, vzajemnim priznavanjem kvalifikacij in diplom, mobilnostjo delovne sile ter pobudami na področju poklicnega izobraževanja in usposabljanja. Da bi države članice lahko dosegle cilje te uredbe, bi bilo treba spodbujati sodelovanje med javnimi in zasebnimi akterji ter dejavno vključevanje socialnih partnerjev, vključno s sindikati in organizacijami delodajalcev, da se zagotovi vključujoča in trajnostna rast. Da bi državam članicam omogočili smiselno in pravično reprogramiranje ter usmerjanje virov na strateške akterje, je primerno podpreti mala in srednja ter zagonska podjetja pri njihovi ključni vlogi pri inovacijah, gospodarski dinamiki in ustvarjanju delovnih mest, s posebnim poudarkom na zmanjšanju ovir za njihovo udeležbo ter olajšanju njihovega dostopa do virov in priložnosti</w:t>
            </w:r>
            <w:r>
              <w:t>. Zato je primerno vključiti spodbude za ESS+, vzpostavljen z Uredbo (EU) 2021/1057 Evropskega parlamenta in Sveta</w:t>
            </w:r>
            <w:r>
              <w:rPr>
                <w:vertAlign w:val="superscript"/>
              </w:rPr>
              <w:t>5</w:t>
            </w:r>
            <w:r>
              <w:t xml:space="preserve"> , da se </w:t>
            </w:r>
            <w:r>
              <w:rPr>
                <w:b/>
                <w:i/>
              </w:rPr>
              <w:t>olajšata</w:t>
            </w:r>
            <w:r>
              <w:t xml:space="preserve"> razvoj spretnosti </w:t>
            </w:r>
            <w:r>
              <w:rPr>
                <w:b/>
                <w:i/>
              </w:rPr>
              <w:t xml:space="preserve">in usposabljanje </w:t>
            </w:r>
            <w:r>
              <w:t xml:space="preserve">v </w:t>
            </w:r>
            <w:r>
              <w:rPr>
                <w:b/>
                <w:i/>
              </w:rPr>
              <w:t xml:space="preserve">civilni obrambi in </w:t>
            </w:r>
            <w:r>
              <w:t>obrambni industriji</w:t>
            </w:r>
            <w:r>
              <w:rPr>
                <w:b/>
                <w:i/>
              </w:rPr>
              <w:t>, hkrati pa ohranijo socialni standardi</w:t>
            </w:r>
            <w:r>
              <w:t>.</w:t>
            </w:r>
          </w:p>
        </w:tc>
      </w:tr>
      <w:tr w:rsidR="00E312A0" w:rsidTr="008D243F">
        <w:trPr>
          <w:jc w:val="center"/>
        </w:trPr>
        <w:tc>
          <w:tcPr>
            <w:tcW w:w="4876" w:type="dxa"/>
            <w:hideMark/>
          </w:tcPr>
          <w:p w:rsidR="00E312A0" w:rsidRPr="003811B2" w:rsidRDefault="00E312A0" w:rsidP="008D243F">
            <w:pPr>
              <w:pStyle w:val="Normal6"/>
            </w:pPr>
            <w:r>
              <w:t>__________________</w:t>
            </w:r>
          </w:p>
        </w:tc>
        <w:tc>
          <w:tcPr>
            <w:tcW w:w="4876" w:type="dxa"/>
            <w:hideMark/>
          </w:tcPr>
          <w:p w:rsidR="00E312A0" w:rsidRPr="003811B2" w:rsidRDefault="00E312A0" w:rsidP="008D243F">
            <w:pPr>
              <w:pStyle w:val="Normal6"/>
              <w:rPr>
                <w:szCs w:val="24"/>
              </w:rPr>
            </w:pPr>
            <w:r>
              <w:t>__________________</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vertAlign w:val="superscript"/>
              </w:rPr>
              <w:t>2a</w:t>
            </w:r>
            <w:r>
              <w:rPr>
                <w:b/>
                <w:i/>
              </w:rPr>
              <w:t xml:space="preserve"> Sauli Niinistö, Report: Safer Together – Strengthening Europe’s Civilian and Military Preparedness and Readiness (Poročilo: Varnejši skupaj – Krepitev civilne in vojaške pripravljenosti Evrope), 30.10.2024.</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vertAlign w:val="superscript"/>
              </w:rPr>
              <w:t>2b</w:t>
            </w:r>
            <w:r>
              <w:rPr>
                <w:b/>
                <w:i/>
              </w:rPr>
              <w:t xml:space="preserve"> SKUPNO SPOROČILO EVROPSKEMU PARLAMENTU, EVROPSKEMU SVETU, SVETU, EVROPSKEMU EKONOMSKO-SOCIALNEMU ODBORU IN ODBORU REGIJ o evropski strategiji za unijo pripravljenosti, JOIN (2025)0130, 23.3.2025.</w:t>
            </w:r>
          </w:p>
        </w:tc>
      </w:tr>
      <w:tr w:rsidR="00E312A0" w:rsidTr="008D243F">
        <w:trPr>
          <w:jc w:val="center"/>
        </w:trPr>
        <w:tc>
          <w:tcPr>
            <w:tcW w:w="4876" w:type="dxa"/>
            <w:hideMark/>
          </w:tcPr>
          <w:p w:rsidR="00E312A0" w:rsidRPr="003811B2" w:rsidRDefault="00E312A0" w:rsidP="008D243F">
            <w:pPr>
              <w:pStyle w:val="Normal6"/>
            </w:pPr>
            <w:r>
              <w:rPr>
                <w:vertAlign w:val="superscript"/>
              </w:rPr>
              <w:t>3</w:t>
            </w:r>
            <w:r>
              <w:t xml:space="preserve"> Skupna bela knjiga o prihodnosti evropske obrambe Pripravljenost do leta 2030, JOIN(2025) 120 final, 19.3.2025.</w:t>
            </w:r>
          </w:p>
        </w:tc>
        <w:tc>
          <w:tcPr>
            <w:tcW w:w="4876" w:type="dxa"/>
            <w:hideMark/>
          </w:tcPr>
          <w:p w:rsidR="00E312A0" w:rsidRPr="003811B2" w:rsidRDefault="00E312A0" w:rsidP="008D243F">
            <w:pPr>
              <w:pStyle w:val="Normal6"/>
              <w:rPr>
                <w:szCs w:val="24"/>
              </w:rPr>
            </w:pPr>
            <w:r>
              <w:rPr>
                <w:vertAlign w:val="superscript"/>
              </w:rPr>
              <w:t>3</w:t>
            </w:r>
            <w:r>
              <w:t xml:space="preserve"> Skupna bela knjiga o prihodnosti evropske obrambe Pripravljenost do leta 2030, JOIN(2025) 120 final, 19.3.2025.</w:t>
            </w:r>
          </w:p>
        </w:tc>
      </w:tr>
      <w:tr w:rsidR="00E312A0" w:rsidTr="008D243F">
        <w:trPr>
          <w:jc w:val="center"/>
        </w:trPr>
        <w:tc>
          <w:tcPr>
            <w:tcW w:w="4876" w:type="dxa"/>
            <w:hideMark/>
          </w:tcPr>
          <w:p w:rsidR="00E312A0" w:rsidRPr="003811B2" w:rsidRDefault="00E312A0" w:rsidP="008D243F">
            <w:pPr>
              <w:pStyle w:val="Normal6"/>
            </w:pPr>
            <w:r>
              <w:rPr>
                <w:vertAlign w:val="superscript"/>
              </w:rPr>
              <w:t>4</w:t>
            </w:r>
            <w:r>
              <w:t xml:space="preserve"> COM(2025)0090</w:t>
            </w:r>
          </w:p>
        </w:tc>
        <w:tc>
          <w:tcPr>
            <w:tcW w:w="4876" w:type="dxa"/>
            <w:hideMark/>
          </w:tcPr>
          <w:p w:rsidR="00E312A0" w:rsidRPr="003811B2" w:rsidRDefault="00E312A0" w:rsidP="008D243F">
            <w:pPr>
              <w:pStyle w:val="Normal6"/>
              <w:rPr>
                <w:szCs w:val="24"/>
              </w:rPr>
            </w:pPr>
            <w:r>
              <w:rPr>
                <w:vertAlign w:val="superscript"/>
              </w:rPr>
              <w:t>4</w:t>
            </w:r>
            <w:r>
              <w:t xml:space="preserve"> COM(2025)0090</w:t>
            </w:r>
          </w:p>
        </w:tc>
      </w:tr>
      <w:tr w:rsidR="00E312A0" w:rsidTr="008D243F">
        <w:trPr>
          <w:jc w:val="center"/>
        </w:trPr>
        <w:tc>
          <w:tcPr>
            <w:tcW w:w="4876" w:type="dxa"/>
            <w:hideMark/>
          </w:tcPr>
          <w:p w:rsidR="00E312A0" w:rsidRPr="003811B2" w:rsidRDefault="00E312A0" w:rsidP="008D243F">
            <w:pPr>
              <w:pStyle w:val="Normal6"/>
            </w:pPr>
            <w:r>
              <w:rPr>
                <w:vertAlign w:val="superscript"/>
              </w:rPr>
              <w:t>5</w:t>
            </w:r>
            <w:r>
              <w:t xml:space="preserve"> Uredba (EU) 2021/1057 Evropskega parlamenta in Sveta z dne 24. junija 2021 o vzpostavitvi Evropskega socialnega sklada plus (ESS+) in razveljavitvi Uredbe (EU) št. 1296/2013 (UL L 231, 30.6.2021, str. 21, ELI: http://data.europa.eu/eli/reg/2021/1057/oj).</w:t>
            </w:r>
          </w:p>
        </w:tc>
        <w:tc>
          <w:tcPr>
            <w:tcW w:w="4876" w:type="dxa"/>
            <w:hideMark/>
          </w:tcPr>
          <w:p w:rsidR="00E312A0" w:rsidRPr="003811B2" w:rsidRDefault="00E312A0" w:rsidP="008D243F">
            <w:pPr>
              <w:pStyle w:val="Normal6"/>
              <w:rPr>
                <w:szCs w:val="24"/>
              </w:rPr>
            </w:pPr>
            <w:r>
              <w:rPr>
                <w:vertAlign w:val="superscript"/>
              </w:rPr>
              <w:t>5</w:t>
            </w:r>
            <w:r>
              <w:t xml:space="preserve"> Uredba (EU) 2021/1057 Evropskega parlamenta in Sveta z dne 24. junija 2021 o vzpostavitvi Evropskega socialnega sklada plus (ESS+) in razveljavitvi Uredbe (EU) št. 1296/2013 (UL L 231, 30.6.2021, str. 21, ELI: http://data.europa.eu/eli/reg/2021/1057/oj).</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15</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Brigitte van den Berg, Jana Toom, Hristo Petrov, Grégory Allione, Eugen Tomac</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2</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t>Bela knjiga za evropsko obrambo – pripravljenost do leta 2030</w:t>
            </w:r>
            <w:r>
              <w:rPr>
                <w:vertAlign w:val="superscript"/>
              </w:rPr>
              <w:t>3</w:t>
            </w:r>
            <w:r>
              <w:t xml:space="preserve"> utira pot pravi evropski obrambni uniji, med drugim s predlogom državam članicam, naj veliko vlagajo v obrambo in </w:t>
            </w:r>
            <w:r>
              <w:rPr>
                <w:b/>
                <w:i/>
              </w:rPr>
              <w:t>obrambno industrijo</w:t>
            </w:r>
            <w:r>
              <w:t>. V zvezi s tem so v sporočilu Komisije Unija spretnosti z dne 5. marca 2025</w:t>
            </w:r>
            <w:r>
              <w:rPr>
                <w:vertAlign w:val="superscript"/>
              </w:rPr>
              <w:t>4</w:t>
            </w:r>
            <w:r>
              <w:t xml:space="preserve"> (v nadaljnjem besedilu: sporočilo o Uniji spretnosti) določeni ukrepi za odpravo vrzeli v spretnostih in obravnavanje pomanjkanja spretnosti v Uniji, tudi prek pobude Pakt za spretnosti</w:t>
            </w:r>
            <w:r>
              <w:rPr>
                <w:b/>
                <w:i/>
              </w:rPr>
              <w:t xml:space="preserve"> iz navedenega sporočila</w:t>
            </w:r>
            <w:r>
              <w:t xml:space="preserve"> ter </w:t>
            </w:r>
            <w:r>
              <w:rPr>
                <w:b/>
                <w:i/>
              </w:rPr>
              <w:t>njenih obsežnih partnerstev</w:t>
            </w:r>
            <w:r>
              <w:t xml:space="preserve">, vključno s </w:t>
            </w:r>
            <w:r>
              <w:rPr>
                <w:b/>
                <w:i/>
              </w:rPr>
              <w:t>partnerstvom</w:t>
            </w:r>
            <w:r>
              <w:t xml:space="preserve"> za </w:t>
            </w:r>
            <w:r>
              <w:rPr>
                <w:b/>
                <w:i/>
              </w:rPr>
              <w:t>obrambni ekosistem</w:t>
            </w:r>
            <w:r>
              <w:t>. Zato je primerno vključiti spodbude za ESS+, vzpostavljen z Uredbo (EU) 2021/1057 Evropskega parlamenta in Sveta</w:t>
            </w:r>
            <w:r>
              <w:rPr>
                <w:vertAlign w:val="superscript"/>
              </w:rPr>
              <w:t>5</w:t>
            </w:r>
            <w:r>
              <w:t xml:space="preserve"> , da se </w:t>
            </w:r>
            <w:r>
              <w:rPr>
                <w:b/>
                <w:i/>
              </w:rPr>
              <w:t>olajša</w:t>
            </w:r>
            <w:r>
              <w:t xml:space="preserve"> razvoj spretnosti v obrambni industriji.</w:t>
            </w:r>
          </w:p>
        </w:tc>
        <w:tc>
          <w:tcPr>
            <w:tcW w:w="4876" w:type="dxa"/>
            <w:hideMark/>
          </w:tcPr>
          <w:p w:rsidR="00E312A0" w:rsidRPr="003811B2" w:rsidRDefault="00E312A0" w:rsidP="008D243F">
            <w:pPr>
              <w:pStyle w:val="Normal6"/>
              <w:rPr>
                <w:szCs w:val="24"/>
              </w:rPr>
            </w:pPr>
            <w:r>
              <w:t>(2)</w:t>
            </w:r>
            <w:r>
              <w:tab/>
              <w:t>Bela knjiga za evropsko obrambo – pripravljenost do leta 2030</w:t>
            </w:r>
            <w:r>
              <w:rPr>
                <w:vertAlign w:val="superscript"/>
              </w:rPr>
              <w:t>3</w:t>
            </w:r>
            <w:r>
              <w:t xml:space="preserve"> utira pot pravi evropski obrambni uniji, med drugim s predlogom državam članicam, naj veliko vlagajo v obrambo</w:t>
            </w:r>
            <w:r>
              <w:rPr>
                <w:b/>
                <w:i/>
              </w:rPr>
              <w:t>, obrambno industrijo</w:t>
            </w:r>
            <w:r>
              <w:t xml:space="preserve"> in </w:t>
            </w:r>
            <w:r>
              <w:rPr>
                <w:b/>
                <w:i/>
              </w:rPr>
              <w:t>tehnologije z dvojno rabo, kar bi moralo biti tesno povezano s socialnimi izdatki, ustvarjanjem delovnih mest ter priložnostmi za izpopolnjevanje in preusposabljanje</w:t>
            </w:r>
            <w:r>
              <w:t>. V zvezi s tem so v sporočilu Komisije Unija spretnosti z dne 5. marca 2025</w:t>
            </w:r>
            <w:r>
              <w:rPr>
                <w:vertAlign w:val="superscript"/>
              </w:rPr>
              <w:t>4</w:t>
            </w:r>
            <w:r>
              <w:t xml:space="preserve"> (v nadaljnjem besedilu: sporočilo o Uniji spretnosti) določeni ukrepi za odpravo vrzeli v spretnostih in obravnavanje pomanjkanja spretnosti v Uniji, tudi prek pobude Pakt za spretnosti</w:t>
            </w:r>
            <w:r>
              <w:rPr>
                <w:b/>
                <w:i/>
              </w:rPr>
              <w:t>, obsežnih partnerstev, vključno s partnerstvom za obrambni ekosistem, vzajemnim priznavanjem kvalifikacij in diplom, mobilnostjo delovne sile</w:t>
            </w:r>
            <w:r>
              <w:t xml:space="preserve"> ter </w:t>
            </w:r>
            <w:r>
              <w:rPr>
                <w:b/>
                <w:i/>
              </w:rPr>
              <w:t>pobudami na področju poklicnega izobraževanja in usposabljanja. Da bi države članice lahko dosegle cilje te uredbe, bi bilo treba spodbujati sodelovanje med javnimi in zasebnimi akterji ter dejavno vključevanje socialnih partnerjev, vključno s sindikati in organizacijami delodajalcev, da se zagotovi vključujoča in trajnostna rast. Da bi državam članicam omogočili smiselno in pravično reprogramiranje ter usmerjanje virov na strateške akterje, je primerno podpreti mala in srednja ter zagonska podjetja pri njihovi ključni vlogi pri inovacijah, gospodarski dinamiki in ustvarjanju delovnih mest, s posebnim poudarkom na zmanjšanju ovir</w:t>
            </w:r>
            <w:r>
              <w:t xml:space="preserve"> za </w:t>
            </w:r>
            <w:r>
              <w:rPr>
                <w:b/>
                <w:i/>
              </w:rPr>
              <w:t>njihovo udeležbo ter olajšanju njihovega dostopa do virov in priložnosti</w:t>
            </w:r>
            <w:r>
              <w:t>. Zato je primerno vključiti spodbude za ESS+, vzpostavljen z Uredbo (EU) 2021/1057 Evropskega parlamenta in Sveta</w:t>
            </w:r>
            <w:r>
              <w:rPr>
                <w:vertAlign w:val="superscript"/>
              </w:rPr>
              <w:t>5</w:t>
            </w:r>
            <w:r>
              <w:t xml:space="preserve"> , da se </w:t>
            </w:r>
            <w:r>
              <w:rPr>
                <w:b/>
                <w:i/>
              </w:rPr>
              <w:t>olajšata</w:t>
            </w:r>
            <w:r>
              <w:t xml:space="preserve"> razvoj spretnosti </w:t>
            </w:r>
            <w:r>
              <w:rPr>
                <w:b/>
                <w:i/>
              </w:rPr>
              <w:t xml:space="preserve">in usposabljanje </w:t>
            </w:r>
            <w:r>
              <w:t>v obrambni industriji</w:t>
            </w:r>
            <w:r>
              <w:rPr>
                <w:b/>
                <w:i/>
              </w:rPr>
              <w:t>, hkrati pa ohranijo socialni standardi</w:t>
            </w:r>
            <w:r>
              <w:t>.</w:t>
            </w:r>
          </w:p>
        </w:tc>
      </w:tr>
      <w:tr w:rsidR="00E312A0" w:rsidTr="008D243F">
        <w:trPr>
          <w:jc w:val="center"/>
        </w:trPr>
        <w:tc>
          <w:tcPr>
            <w:tcW w:w="4876" w:type="dxa"/>
            <w:hideMark/>
          </w:tcPr>
          <w:p w:rsidR="00E312A0" w:rsidRPr="003811B2" w:rsidRDefault="00E312A0" w:rsidP="008D243F">
            <w:pPr>
              <w:pStyle w:val="Normal6"/>
            </w:pPr>
            <w:r>
              <w:t>__________________</w:t>
            </w:r>
          </w:p>
        </w:tc>
        <w:tc>
          <w:tcPr>
            <w:tcW w:w="4876" w:type="dxa"/>
            <w:hideMark/>
          </w:tcPr>
          <w:p w:rsidR="00E312A0" w:rsidRPr="003811B2" w:rsidRDefault="00E312A0" w:rsidP="008D243F">
            <w:pPr>
              <w:pStyle w:val="Normal6"/>
              <w:rPr>
                <w:szCs w:val="24"/>
              </w:rPr>
            </w:pPr>
            <w:r>
              <w:t>__________________</w:t>
            </w:r>
          </w:p>
        </w:tc>
      </w:tr>
      <w:tr w:rsidR="00E312A0" w:rsidTr="008D243F">
        <w:trPr>
          <w:jc w:val="center"/>
        </w:trPr>
        <w:tc>
          <w:tcPr>
            <w:tcW w:w="4876" w:type="dxa"/>
            <w:hideMark/>
          </w:tcPr>
          <w:p w:rsidR="00E312A0" w:rsidRPr="003811B2" w:rsidRDefault="00E312A0" w:rsidP="008D243F">
            <w:pPr>
              <w:pStyle w:val="Normal6"/>
            </w:pPr>
            <w:r>
              <w:rPr>
                <w:vertAlign w:val="superscript"/>
              </w:rPr>
              <w:t>3</w:t>
            </w:r>
            <w:r>
              <w:t xml:space="preserve"> Skupna bela knjiga o prihodnosti evropske obrambe Pripravljenost do leta 2030, JOIN(2025) 120 final, 19.3.2025.</w:t>
            </w:r>
          </w:p>
        </w:tc>
        <w:tc>
          <w:tcPr>
            <w:tcW w:w="4876" w:type="dxa"/>
            <w:hideMark/>
          </w:tcPr>
          <w:p w:rsidR="00E312A0" w:rsidRPr="003811B2" w:rsidRDefault="00E312A0" w:rsidP="008D243F">
            <w:pPr>
              <w:pStyle w:val="Normal6"/>
              <w:rPr>
                <w:szCs w:val="24"/>
              </w:rPr>
            </w:pPr>
            <w:r>
              <w:rPr>
                <w:vertAlign w:val="superscript"/>
              </w:rPr>
              <w:t>3</w:t>
            </w:r>
            <w:r>
              <w:t xml:space="preserve"> Skupna bela knjiga o prihodnosti evropske obrambe Pripravljenost do leta 2030, JOIN(2025) 120 final, 19.3.2025.</w:t>
            </w:r>
          </w:p>
        </w:tc>
      </w:tr>
      <w:tr w:rsidR="00E312A0" w:rsidTr="008D243F">
        <w:trPr>
          <w:jc w:val="center"/>
        </w:trPr>
        <w:tc>
          <w:tcPr>
            <w:tcW w:w="4876" w:type="dxa"/>
            <w:hideMark/>
          </w:tcPr>
          <w:p w:rsidR="00E312A0" w:rsidRPr="003811B2" w:rsidRDefault="00E312A0" w:rsidP="008D243F">
            <w:pPr>
              <w:pStyle w:val="Normal6"/>
            </w:pPr>
            <w:r>
              <w:rPr>
                <w:vertAlign w:val="superscript"/>
              </w:rPr>
              <w:t>4</w:t>
            </w:r>
            <w:r>
              <w:t xml:space="preserve"> COM(2025)0090</w:t>
            </w:r>
          </w:p>
        </w:tc>
        <w:tc>
          <w:tcPr>
            <w:tcW w:w="4876" w:type="dxa"/>
            <w:hideMark/>
          </w:tcPr>
          <w:p w:rsidR="00E312A0" w:rsidRPr="003811B2" w:rsidRDefault="00E312A0" w:rsidP="008D243F">
            <w:pPr>
              <w:pStyle w:val="Normal6"/>
              <w:rPr>
                <w:szCs w:val="24"/>
              </w:rPr>
            </w:pPr>
            <w:r>
              <w:rPr>
                <w:vertAlign w:val="superscript"/>
              </w:rPr>
              <w:t>4</w:t>
            </w:r>
            <w:r>
              <w:t xml:space="preserve"> COM(2025)0090</w:t>
            </w:r>
          </w:p>
        </w:tc>
      </w:tr>
      <w:tr w:rsidR="00E312A0" w:rsidTr="008D243F">
        <w:trPr>
          <w:jc w:val="center"/>
        </w:trPr>
        <w:tc>
          <w:tcPr>
            <w:tcW w:w="4876" w:type="dxa"/>
            <w:hideMark/>
          </w:tcPr>
          <w:p w:rsidR="00E312A0" w:rsidRPr="003811B2" w:rsidRDefault="00E312A0" w:rsidP="008D243F">
            <w:pPr>
              <w:pStyle w:val="Normal6"/>
            </w:pPr>
            <w:r>
              <w:rPr>
                <w:vertAlign w:val="superscript"/>
              </w:rPr>
              <w:t>5</w:t>
            </w:r>
            <w:r>
              <w:t xml:space="preserve"> Uredba (EU) 2021/1057 Evropskega parlamenta in Sveta z dne 24. junija 2021 o vzpostavitvi Evropskega socialnega sklada plus (ESS+) in razveljavitvi Uredbe (EU) št. 1296/2013 (UL L 231, 30.6.2021, str. 21, ELI: http://data.europa.eu/eli/reg/2021/1057/oj).</w:t>
            </w:r>
          </w:p>
        </w:tc>
        <w:tc>
          <w:tcPr>
            <w:tcW w:w="4876" w:type="dxa"/>
            <w:hideMark/>
          </w:tcPr>
          <w:p w:rsidR="00E312A0" w:rsidRPr="003811B2" w:rsidRDefault="00E312A0" w:rsidP="008D243F">
            <w:pPr>
              <w:pStyle w:val="Normal6"/>
              <w:rPr>
                <w:szCs w:val="24"/>
              </w:rPr>
            </w:pPr>
            <w:r>
              <w:rPr>
                <w:vertAlign w:val="superscript"/>
              </w:rPr>
              <w:t>5</w:t>
            </w:r>
            <w:r>
              <w:t xml:space="preserve"> Uredba (EU) 2021/1057 Evropskega parlamenta in Sveta z dne 24. junija 2021 o vzpostavitvi Evropskega socialnega sklada plus (ESS+) in razveljavitvi Uredbe (EU) št. 1296/2013 (UL L 231, 30.6.2021, str. 21, ELI: http://data.europa.eu/eli/reg/2021/1057/oj).</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16</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2</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t>Bela knjiga za evropsko obrambo – pripravljenost do leta 2030</w:t>
            </w:r>
            <w:r>
              <w:rPr>
                <w:vertAlign w:val="superscript"/>
              </w:rPr>
              <w:t>3</w:t>
            </w:r>
            <w:r>
              <w:t xml:space="preserve"> utira pot pravi evropski obrambni uniji, med drugim s predlogom državam članicam, naj veliko vlagajo v obrambo in obrambno industrijo. V zvezi s tem so v sporočilu Komisije Unija spretnosti z dne 5. marca 2025</w:t>
            </w:r>
            <w:r>
              <w:rPr>
                <w:vertAlign w:val="superscript"/>
              </w:rPr>
              <w:t>4</w:t>
            </w:r>
            <w:r>
              <w:t xml:space="preserve"> (v nadaljnjem besedilu: sporočilo o Uniji spretnosti) določeni ukrepi za odpravo vrzeli v spretnostih in obravnavanje pomanjkanja spretnosti v Uniji, tudi prek pobude Pakt za spretnosti iz navedenega sporočila ter njenih obsežnih partnerstev, vključno s partnerstvom za obrambni ekosistem. </w:t>
            </w:r>
            <w:r>
              <w:rPr>
                <w:b/>
                <w:i/>
              </w:rPr>
              <w:t>Zato je primerno vključiti spodbude</w:t>
            </w:r>
            <w:r>
              <w:t xml:space="preserve"> za ESS+, vzpostavljen z Uredbo (EU) 2021/1057 Evropskega parlamenta in Sveta</w:t>
            </w:r>
            <w:r>
              <w:rPr>
                <w:vertAlign w:val="superscript"/>
              </w:rPr>
              <w:t>5</w:t>
            </w:r>
            <w:r>
              <w:rPr>
                <w:b/>
                <w:i/>
              </w:rPr>
              <w:t xml:space="preserve"> </w:t>
            </w:r>
            <w:r>
              <w:t>, da se olajša razvoj spretnosti v obrambni industriji.</w:t>
            </w:r>
          </w:p>
        </w:tc>
        <w:tc>
          <w:tcPr>
            <w:tcW w:w="4876" w:type="dxa"/>
            <w:hideMark/>
          </w:tcPr>
          <w:p w:rsidR="00E312A0" w:rsidRPr="003811B2" w:rsidRDefault="00E312A0" w:rsidP="008D243F">
            <w:pPr>
              <w:pStyle w:val="Normal6"/>
              <w:rPr>
                <w:szCs w:val="24"/>
              </w:rPr>
            </w:pPr>
            <w:r>
              <w:t>(2)</w:t>
            </w:r>
            <w:r>
              <w:tab/>
              <w:t>Bela knjiga za evropsko obrambo – pripravljenost do leta 2030</w:t>
            </w:r>
            <w:r>
              <w:rPr>
                <w:vertAlign w:val="superscript"/>
              </w:rPr>
              <w:t>3</w:t>
            </w:r>
            <w:r>
              <w:t xml:space="preserve"> utira pot pravi evropski obrambni uniji, med drugim s predlogom državam članicam, naj veliko vlagajo v obrambo in obrambno industrijo. V zvezi s tem so v sporočilu Komisije Unija spretnosti z dne 5. marca 2025</w:t>
            </w:r>
            <w:r>
              <w:rPr>
                <w:vertAlign w:val="superscript"/>
              </w:rPr>
              <w:t>4</w:t>
            </w:r>
            <w:r>
              <w:t xml:space="preserve"> (v nadaljnjem besedilu: sporočilo o Uniji spretnosti) določeni ukrepi za odpravo vrzeli v spretnostih in obravnavanje pomanjkanja spretnosti v Uniji, tudi prek pobude Pakt za spretnosti iz navedenega sporočila ter njenih obsežnih partnerstev, vključno s partnerstvom za obrambni ekosistem. </w:t>
            </w:r>
            <w:r>
              <w:rPr>
                <w:b/>
                <w:i/>
              </w:rPr>
              <w:t>Evropska unija in njene države članice se odzivajo na geopolitične dogodke in so pripravljene uporabiti potrebna finančna sredstva za okrepitev naše obrambne industrije prek različnih evropskih in nacionalnih programov.</w:t>
            </w:r>
            <w:r>
              <w:t xml:space="preserve"> </w:t>
            </w:r>
            <w:r>
              <w:rPr>
                <w:b/>
                <w:i/>
              </w:rPr>
              <w:t xml:space="preserve">Pomembno je okrepiti naš obrambni sektor ter hkrati še naprej vlagati v socialno vključevanje in kohezijo naše Unije prek ESS+, države članice pa lahko že zdaj uporabljajo </w:t>
            </w:r>
            <w:r>
              <w:t>ESS+, vzpostavljen z Uredbo (EU) 2021/1057 Evropskega parlamenta in Sveta</w:t>
            </w:r>
            <w:r>
              <w:rPr>
                <w:vertAlign w:val="superscript"/>
              </w:rPr>
              <w:t>5</w:t>
            </w:r>
            <w:r>
              <w:t>, da se olajša razvoj spretnosti v obrambni industriji.</w:t>
            </w:r>
          </w:p>
        </w:tc>
      </w:tr>
      <w:tr w:rsidR="00E312A0" w:rsidTr="008D243F">
        <w:trPr>
          <w:jc w:val="center"/>
        </w:trPr>
        <w:tc>
          <w:tcPr>
            <w:tcW w:w="4876" w:type="dxa"/>
            <w:hideMark/>
          </w:tcPr>
          <w:p w:rsidR="00E312A0" w:rsidRPr="003811B2" w:rsidRDefault="00E312A0" w:rsidP="008D243F">
            <w:pPr>
              <w:pStyle w:val="Normal6"/>
            </w:pPr>
            <w:r>
              <w:t>__________________</w:t>
            </w:r>
          </w:p>
        </w:tc>
        <w:tc>
          <w:tcPr>
            <w:tcW w:w="4876" w:type="dxa"/>
            <w:hideMark/>
          </w:tcPr>
          <w:p w:rsidR="00E312A0" w:rsidRPr="003811B2" w:rsidRDefault="00E312A0" w:rsidP="008D243F">
            <w:pPr>
              <w:pStyle w:val="Normal6"/>
              <w:rPr>
                <w:szCs w:val="24"/>
              </w:rPr>
            </w:pPr>
            <w:r>
              <w:t>__________________</w:t>
            </w:r>
          </w:p>
        </w:tc>
      </w:tr>
      <w:tr w:rsidR="00E312A0" w:rsidTr="008D243F">
        <w:trPr>
          <w:jc w:val="center"/>
        </w:trPr>
        <w:tc>
          <w:tcPr>
            <w:tcW w:w="4876" w:type="dxa"/>
            <w:hideMark/>
          </w:tcPr>
          <w:p w:rsidR="00E312A0" w:rsidRPr="003811B2" w:rsidRDefault="00E312A0" w:rsidP="008D243F">
            <w:pPr>
              <w:pStyle w:val="Normal6"/>
            </w:pPr>
            <w:r>
              <w:rPr>
                <w:vertAlign w:val="superscript"/>
              </w:rPr>
              <w:t>3</w:t>
            </w:r>
            <w:r>
              <w:t xml:space="preserve"> Skupna bela knjiga o prihodnosti evropske obrambe Pripravljenost do leta 2030, JOIN(2025) 120 final, 19.3.2025.</w:t>
            </w:r>
          </w:p>
        </w:tc>
        <w:tc>
          <w:tcPr>
            <w:tcW w:w="4876" w:type="dxa"/>
            <w:hideMark/>
          </w:tcPr>
          <w:p w:rsidR="00E312A0" w:rsidRPr="003811B2" w:rsidRDefault="00E312A0" w:rsidP="008D243F">
            <w:pPr>
              <w:pStyle w:val="Normal6"/>
              <w:rPr>
                <w:szCs w:val="24"/>
              </w:rPr>
            </w:pPr>
            <w:r>
              <w:rPr>
                <w:vertAlign w:val="superscript"/>
              </w:rPr>
              <w:t>3</w:t>
            </w:r>
            <w:r>
              <w:t xml:space="preserve"> Skupna bela knjiga o prihodnosti evropske obrambe Pripravljenost do leta 2030, JOIN(2025) 120 final, 19.3.2025.</w:t>
            </w:r>
          </w:p>
        </w:tc>
      </w:tr>
      <w:tr w:rsidR="00E312A0" w:rsidTr="008D243F">
        <w:trPr>
          <w:jc w:val="center"/>
        </w:trPr>
        <w:tc>
          <w:tcPr>
            <w:tcW w:w="4876" w:type="dxa"/>
            <w:hideMark/>
          </w:tcPr>
          <w:p w:rsidR="00E312A0" w:rsidRPr="003811B2" w:rsidRDefault="00E312A0" w:rsidP="008D243F">
            <w:pPr>
              <w:pStyle w:val="Normal6"/>
            </w:pPr>
            <w:r>
              <w:rPr>
                <w:vertAlign w:val="superscript"/>
              </w:rPr>
              <w:t>4</w:t>
            </w:r>
            <w:r>
              <w:t xml:space="preserve"> COM(2025)0090</w:t>
            </w:r>
          </w:p>
        </w:tc>
        <w:tc>
          <w:tcPr>
            <w:tcW w:w="4876" w:type="dxa"/>
            <w:hideMark/>
          </w:tcPr>
          <w:p w:rsidR="00E312A0" w:rsidRPr="003811B2" w:rsidRDefault="00E312A0" w:rsidP="008D243F">
            <w:pPr>
              <w:pStyle w:val="Normal6"/>
              <w:rPr>
                <w:szCs w:val="24"/>
              </w:rPr>
            </w:pPr>
            <w:r>
              <w:rPr>
                <w:vertAlign w:val="superscript"/>
              </w:rPr>
              <w:t>4</w:t>
            </w:r>
            <w:r>
              <w:t xml:space="preserve"> COM(2025)0090</w:t>
            </w:r>
          </w:p>
        </w:tc>
      </w:tr>
      <w:tr w:rsidR="00E312A0" w:rsidTr="008D243F">
        <w:trPr>
          <w:jc w:val="center"/>
        </w:trPr>
        <w:tc>
          <w:tcPr>
            <w:tcW w:w="4876" w:type="dxa"/>
            <w:hideMark/>
          </w:tcPr>
          <w:p w:rsidR="00E312A0" w:rsidRPr="003811B2" w:rsidRDefault="00E312A0" w:rsidP="008D243F">
            <w:pPr>
              <w:pStyle w:val="Normal6"/>
            </w:pPr>
            <w:r>
              <w:rPr>
                <w:vertAlign w:val="superscript"/>
              </w:rPr>
              <w:t>5</w:t>
            </w:r>
            <w:r>
              <w:t xml:space="preserve"> Uredba (EU) 2021/1057 Evropskega parlamenta in Sveta z dne 24. junija 2021 o vzpostavitvi Evropskega socialnega sklada plus (ESS+) in razveljavitvi Uredbe (EU) št. 1296/2013 (UL L 231, 30.6.2021, str. 21, ELI: http://data.europa.eu/eli/reg/2021/1057/oj).</w:t>
            </w:r>
          </w:p>
        </w:tc>
        <w:tc>
          <w:tcPr>
            <w:tcW w:w="4876" w:type="dxa"/>
            <w:hideMark/>
          </w:tcPr>
          <w:p w:rsidR="00E312A0" w:rsidRPr="003811B2" w:rsidRDefault="00E312A0" w:rsidP="008D243F">
            <w:pPr>
              <w:pStyle w:val="Normal6"/>
              <w:rPr>
                <w:szCs w:val="24"/>
              </w:rPr>
            </w:pPr>
            <w:r>
              <w:rPr>
                <w:vertAlign w:val="superscript"/>
              </w:rPr>
              <w:t>5</w:t>
            </w:r>
            <w:r>
              <w:t xml:space="preserve"> Uredba (EU) 2021/1057 Evropskega parlamenta in Sveta z dne 24. junija 2021 o vzpostavitvi Evropskega socialnega sklada plus (ESS+) in razveljavitvi Uredbe (EU) št. 1296/2013 (UL L 231, 30.6.2021, str. 21, ELI: http://data.europa.eu/eli/reg/2021/1057/oj).</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17</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Marie Dauchy, Nikola Bartůšek</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{EMPL}</w:t>
      </w:r>
      <w:r>
        <w:t>v imenu Odbora za zaposlovanje in socialne zadeve:</w:t>
      </w:r>
      <w:r w:rsidRPr="00E312A0">
        <w:rPr>
          <w:rStyle w:val="HideTWBExt"/>
        </w:rPr>
        <w:t>&lt;/AuNomDe&gt;</w:t>
      </w:r>
    </w:p>
    <w:p w:rsidR="00E312A0" w:rsidRPr="003811B2" w:rsidRDefault="00E312A0" w:rsidP="00E312A0">
      <w:pPr>
        <w:pStyle w:val="NormalBold"/>
      </w:pPr>
      <w:r w:rsidRPr="00E312A0">
        <w:rPr>
          <w:rStyle w:val="HideTWBExt"/>
          <w:b w:val="0"/>
        </w:rPr>
        <w:t>&lt;Members&gt;</w:t>
      </w:r>
      <w:r>
        <w:t>Séverine Werbrouck, Rachel Blom</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2</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r>
            <w:r>
              <w:rPr>
                <w:b/>
                <w:i/>
              </w:rPr>
              <w:t>Bela knjiga za evropsko obrambo – pripravljenost do leta 2030</w:t>
            </w:r>
            <w:r>
              <w:rPr>
                <w:b/>
                <w:i/>
                <w:vertAlign w:val="superscript"/>
              </w:rPr>
              <w:t>3</w:t>
            </w:r>
            <w:r>
              <w:rPr>
                <w:b/>
                <w:i/>
              </w:rPr>
              <w:t xml:space="preserve"> utira pot pravi evropski obrambni uniji</w:t>
            </w:r>
            <w:r>
              <w:t xml:space="preserve">, </w:t>
            </w:r>
            <w:r>
              <w:rPr>
                <w:b/>
                <w:i/>
              </w:rPr>
              <w:t>med drugim s predlogom državam članicam, naj veliko vlagajo</w:t>
            </w:r>
            <w:r>
              <w:t xml:space="preserve"> v obrambo in obrambno industrijo. </w:t>
            </w:r>
            <w:r>
              <w:rPr>
                <w:b/>
                <w:i/>
              </w:rPr>
              <w:t>V zvezi s tem so v sporočilu Komisije Unija spretnosti z dne 5. marca 2025</w:t>
            </w:r>
            <w:r>
              <w:rPr>
                <w:b/>
                <w:i/>
                <w:vertAlign w:val="superscript"/>
              </w:rPr>
              <w:t>4</w:t>
            </w:r>
            <w:r>
              <w:rPr>
                <w:b/>
                <w:i/>
              </w:rPr>
              <w:t xml:space="preserve"> (v nadaljnjem besedilu: sporočilo o Uniji spretnosti) določeni ukrepi za odpravo vrzeli</w:t>
            </w:r>
            <w:r>
              <w:t xml:space="preserve"> v </w:t>
            </w:r>
            <w:r>
              <w:rPr>
                <w:b/>
                <w:i/>
              </w:rPr>
              <w:t>spretnostih in obravnavanje pomanjkanja spretnosti v Uniji</w:t>
            </w:r>
            <w:r>
              <w:t xml:space="preserve">, </w:t>
            </w:r>
            <w:r>
              <w:rPr>
                <w:b/>
                <w:i/>
              </w:rPr>
              <w:t>tudi prek pobude Pakt za spretnosti iz navedenega sporočila ter njenih obsežnih partnerstev, vključno s partnerstvom za obrambni ekosistem</w:t>
            </w:r>
            <w:r>
              <w:t>. Zato je primerno vključiti spodbude za ESS+, vzpostavljen z Uredbo (EU) 2021/1057 Evropskega parlamenta in Sveta</w:t>
            </w:r>
            <w:r>
              <w:rPr>
                <w:vertAlign w:val="superscript"/>
              </w:rPr>
              <w:t>5</w:t>
            </w:r>
            <w:r>
              <w:t>, da se olajša razvoj spretnosti v obrambni industriji.</w:t>
            </w:r>
          </w:p>
        </w:tc>
        <w:tc>
          <w:tcPr>
            <w:tcW w:w="4876" w:type="dxa"/>
            <w:hideMark/>
          </w:tcPr>
          <w:p w:rsidR="00E312A0" w:rsidRPr="003811B2" w:rsidRDefault="00E312A0" w:rsidP="008D243F">
            <w:pPr>
              <w:pStyle w:val="Normal6"/>
              <w:rPr>
                <w:szCs w:val="24"/>
              </w:rPr>
            </w:pPr>
            <w:r>
              <w:t>(2)</w:t>
            </w:r>
            <w:r>
              <w:tab/>
            </w:r>
            <w:r>
              <w:rPr>
                <w:b/>
                <w:i/>
              </w:rPr>
              <w:t>Nedavni geopolitični pretresi so državam članicam v opozorilo</w:t>
            </w:r>
            <w:r>
              <w:t xml:space="preserve">, </w:t>
            </w:r>
            <w:r>
              <w:rPr>
                <w:b/>
                <w:i/>
              </w:rPr>
              <w:t>da morajo veliko in hitro vlagati</w:t>
            </w:r>
            <w:r>
              <w:t xml:space="preserve"> v obrambo in obrambno industrijo. </w:t>
            </w:r>
            <w:r>
              <w:rPr>
                <w:b/>
                <w:i/>
              </w:rPr>
              <w:t xml:space="preserve">Za to področje, ki je za Evropejce ekonomsko donosno in vir številnih kvalificiranih delovnih mest, je treba usposobiti veliko delovne sile, zlasti na področju visoke tehnologije. </w:t>
            </w:r>
            <w:r>
              <w:t xml:space="preserve">V </w:t>
            </w:r>
            <w:r>
              <w:rPr>
                <w:b/>
                <w:i/>
              </w:rPr>
              <w:t>ospredju programov, ukrepov in partnerstev mora biti v prvi vrsti</w:t>
            </w:r>
            <w:r>
              <w:t xml:space="preserve">, </w:t>
            </w:r>
            <w:r>
              <w:rPr>
                <w:b/>
                <w:i/>
              </w:rPr>
              <w:t>da prebivalci držav članic razvijejo te kompetence, da bi lahko izkoristili ta stabilna delovna mesta in poklicne kvalifikacije</w:t>
            </w:r>
            <w:r>
              <w:t>. Zato je primerno vključiti spodbude za ESS+, vzpostavljen z Uredbo (EU) 2021/1057 Evropskega parlamenta in Sveta, da se olajša razvoj spretnosti v obrambni industriji.</w:t>
            </w:r>
          </w:p>
        </w:tc>
      </w:tr>
      <w:tr w:rsidR="00E312A0" w:rsidTr="008D243F">
        <w:trPr>
          <w:jc w:val="center"/>
        </w:trPr>
        <w:tc>
          <w:tcPr>
            <w:tcW w:w="4876" w:type="dxa"/>
            <w:hideMark/>
          </w:tcPr>
          <w:p w:rsidR="00E312A0" w:rsidRPr="003811B2" w:rsidRDefault="00E312A0" w:rsidP="008D243F">
            <w:pPr>
              <w:pStyle w:val="Normal6"/>
            </w:pPr>
            <w:r>
              <w:t>__________________</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sidRPr="006F1731">
              <w:rPr>
                <w:b/>
                <w:i/>
                <w:vertAlign w:val="superscript"/>
              </w:rPr>
              <w:t>3</w:t>
            </w:r>
            <w:r>
              <w:rPr>
                <w:b/>
                <w:i/>
              </w:rPr>
              <w:t xml:space="preserve"> Skupna bela knjiga o prihodnosti evropske obrambe Pripravljenost do leta 2030, JOIN(2025) 120 final, 19.3.2025.</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sidRPr="006F1731">
              <w:rPr>
                <w:b/>
                <w:i/>
                <w:vertAlign w:val="superscript"/>
              </w:rPr>
              <w:t>4</w:t>
            </w:r>
            <w:r>
              <w:rPr>
                <w:b/>
                <w:i/>
              </w:rPr>
              <w:t xml:space="preserve"> COM(2025) 90 final.</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sidRPr="006F1731">
              <w:rPr>
                <w:b/>
                <w:i/>
                <w:vertAlign w:val="superscript"/>
              </w:rPr>
              <w:t>5</w:t>
            </w:r>
            <w:r>
              <w:rPr>
                <w:b/>
                <w:i/>
              </w:rPr>
              <w:t xml:space="preserve"> Uredba (EU) 2021/1057 Evropskega parlamenta in Sveta z dne 24. junija 2021 o vzpostavitvi Evropskega socialnega sklada plus (ESS+) in razveljavitvi Uredbe (EU) št. 1296/2013 (UL L 231, 30.6.2021, str. 21, ELI: http://data.europa.eu/eli/reg/2021/1057/oj).</w:t>
            </w:r>
          </w:p>
        </w:tc>
        <w:tc>
          <w:tcPr>
            <w:tcW w:w="4876" w:type="dxa"/>
          </w:tcPr>
          <w:p w:rsidR="00E312A0" w:rsidRPr="003811B2" w:rsidRDefault="00E312A0" w:rsidP="008D243F">
            <w:pPr>
              <w:pStyle w:val="Normal6"/>
              <w:rPr>
                <w:szCs w:val="24"/>
              </w:rPr>
            </w:pP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{FR}</w:t>
      </w:r>
      <w:r w:rsidRPr="003811B2">
        <w:rPr>
          <w:noProof w:val="0"/>
        </w:rPr>
        <w:t>fr</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18</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2</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t>Bela knjiga za evropsko obrambo – pripravljenost do leta 2030</w:t>
            </w:r>
            <w:r>
              <w:rPr>
                <w:vertAlign w:val="superscript"/>
              </w:rPr>
              <w:t>3</w:t>
            </w:r>
            <w:r>
              <w:t xml:space="preserve"> utira pot pravi evropski obrambni uniji, med drugim s predlogom državam članicam, naj veliko vlagajo v obrambo in obrambno industrijo. V zvezi s tem so v sporočilu Komisije Unija spretnosti z dne 5. marca 2025</w:t>
            </w:r>
            <w:r>
              <w:rPr>
                <w:vertAlign w:val="superscript"/>
              </w:rPr>
              <w:t>4</w:t>
            </w:r>
            <w:r>
              <w:t xml:space="preserve"> (v nadaljnjem besedilu: sporočilo o Uniji spretnosti) določeni ukrepi za odpravo vrzeli v spretnostih in obravnavanje pomanjkanja spretnosti v Uniji, tudi prek pobude Pakt za spretnosti iz navedenega sporočila ter njenih obsežnih partnerstev, vključno s partnerstvom za obrambni ekosistem. </w:t>
            </w:r>
            <w:r>
              <w:rPr>
                <w:b/>
                <w:i/>
              </w:rPr>
              <w:t>Zato je primerno vključiti spodbude za ESS+, vzpostavljen z Uredbo (EU) 2021/1057 Evropskega parlamenta in Sveta</w:t>
            </w:r>
            <w:r>
              <w:rPr>
                <w:b/>
                <w:i/>
                <w:vertAlign w:val="superscript"/>
              </w:rPr>
              <w:t>5</w:t>
            </w:r>
            <w:r>
              <w:rPr>
                <w:b/>
                <w:i/>
              </w:rPr>
              <w:t xml:space="preserve"> , da se olajša razvoj spretnosti v obrambni industriji.</w:t>
            </w:r>
          </w:p>
        </w:tc>
        <w:tc>
          <w:tcPr>
            <w:tcW w:w="4876" w:type="dxa"/>
            <w:hideMark/>
          </w:tcPr>
          <w:p w:rsidR="00E312A0" w:rsidRPr="003811B2" w:rsidRDefault="00E312A0" w:rsidP="008D243F">
            <w:pPr>
              <w:pStyle w:val="Normal6"/>
              <w:rPr>
                <w:szCs w:val="24"/>
              </w:rPr>
            </w:pPr>
            <w:r>
              <w:t>(2)</w:t>
            </w:r>
            <w:r>
              <w:tab/>
            </w:r>
            <w:r>
              <w:rPr>
                <w:b/>
                <w:i/>
              </w:rPr>
              <w:t>Razvoj spretnosti v obrambni industriji je že mogoče podpreti v okviru ESS+, vzpostavljenega z Uredbo (EU) 2021/1057 Evropskega parlamenta in Sveta.</w:t>
            </w:r>
            <w:r>
              <w:t xml:space="preserve"> Bela knjiga za evropsko obrambo – pripravljenost do leta 2030</w:t>
            </w:r>
            <w:r>
              <w:rPr>
                <w:vertAlign w:val="superscript"/>
              </w:rPr>
              <w:t>3</w:t>
            </w:r>
            <w:r>
              <w:t xml:space="preserve"> utira pot pravi evropski obrambni uniji, med drugim s predlogom državam članicam, naj veliko vlagajo v obrambo in obrambno industrijo. V zvezi s tem so v sporočilu Komisije Unija spretnosti z dne 5. marca 2025</w:t>
            </w:r>
            <w:r>
              <w:rPr>
                <w:vertAlign w:val="superscript"/>
              </w:rPr>
              <w:t>4</w:t>
            </w:r>
            <w:r>
              <w:t xml:space="preserve"> (v nadaljnjem besedilu: sporočilo o Uniji spretnosti) določeni ukrepi za odpravo vrzeli v spretnostih in obravnavanje pomanjkanja spretnosti v Uniji, tudi prek pobude Pakt za spretnosti iz navedenega sporočila ter njenih obsežnih partnerstev, vključno s partnerstvom za obrambni ekosistem.</w:t>
            </w:r>
          </w:p>
        </w:tc>
      </w:tr>
      <w:tr w:rsidR="00E312A0" w:rsidTr="008D243F">
        <w:trPr>
          <w:jc w:val="center"/>
        </w:trPr>
        <w:tc>
          <w:tcPr>
            <w:tcW w:w="4876" w:type="dxa"/>
            <w:hideMark/>
          </w:tcPr>
          <w:p w:rsidR="00E312A0" w:rsidRPr="003811B2" w:rsidRDefault="00E312A0" w:rsidP="008D243F">
            <w:pPr>
              <w:pStyle w:val="Normal6"/>
            </w:pPr>
            <w:r>
              <w:t>__________________</w:t>
            </w:r>
          </w:p>
        </w:tc>
        <w:tc>
          <w:tcPr>
            <w:tcW w:w="4876" w:type="dxa"/>
            <w:hideMark/>
          </w:tcPr>
          <w:p w:rsidR="00E312A0" w:rsidRPr="003811B2" w:rsidRDefault="00E312A0" w:rsidP="008D243F">
            <w:pPr>
              <w:pStyle w:val="Normal6"/>
              <w:rPr>
                <w:szCs w:val="24"/>
              </w:rPr>
            </w:pPr>
            <w:r>
              <w:t>__________________</w:t>
            </w:r>
          </w:p>
        </w:tc>
      </w:tr>
      <w:tr w:rsidR="00E312A0" w:rsidTr="008D243F">
        <w:trPr>
          <w:jc w:val="center"/>
        </w:trPr>
        <w:tc>
          <w:tcPr>
            <w:tcW w:w="4876" w:type="dxa"/>
            <w:hideMark/>
          </w:tcPr>
          <w:p w:rsidR="00E312A0" w:rsidRPr="003811B2" w:rsidRDefault="00E312A0" w:rsidP="008D243F">
            <w:pPr>
              <w:pStyle w:val="Normal6"/>
            </w:pPr>
            <w:r>
              <w:rPr>
                <w:vertAlign w:val="superscript"/>
              </w:rPr>
              <w:t>3</w:t>
            </w:r>
            <w:r>
              <w:t xml:space="preserve"> Skupna bela knjiga o prihodnosti evropske obrambe Pripravljenost do leta 2030, JOIN(2025) 120 final, 19.3.2025.</w:t>
            </w:r>
          </w:p>
        </w:tc>
        <w:tc>
          <w:tcPr>
            <w:tcW w:w="4876" w:type="dxa"/>
            <w:hideMark/>
          </w:tcPr>
          <w:p w:rsidR="00E312A0" w:rsidRPr="003811B2" w:rsidRDefault="00E312A0" w:rsidP="008D243F">
            <w:pPr>
              <w:pStyle w:val="Normal6"/>
              <w:rPr>
                <w:szCs w:val="24"/>
              </w:rPr>
            </w:pPr>
            <w:r>
              <w:rPr>
                <w:vertAlign w:val="superscript"/>
              </w:rPr>
              <w:t>3</w:t>
            </w:r>
            <w:r>
              <w:t xml:space="preserve"> Skupna bela knjiga o prihodnosti evropske obrambe Pripravljenost do leta 2030, JOIN(2025) 120 final, 19.3.2025.</w:t>
            </w:r>
          </w:p>
        </w:tc>
      </w:tr>
      <w:tr w:rsidR="00E312A0" w:rsidTr="008D243F">
        <w:trPr>
          <w:jc w:val="center"/>
        </w:trPr>
        <w:tc>
          <w:tcPr>
            <w:tcW w:w="4876" w:type="dxa"/>
            <w:hideMark/>
          </w:tcPr>
          <w:p w:rsidR="00E312A0" w:rsidRPr="003811B2" w:rsidRDefault="00E312A0" w:rsidP="008D243F">
            <w:pPr>
              <w:pStyle w:val="Normal6"/>
            </w:pPr>
            <w:r>
              <w:rPr>
                <w:vertAlign w:val="superscript"/>
              </w:rPr>
              <w:t>4</w:t>
            </w:r>
            <w:r>
              <w:t xml:space="preserve"> COM(2025)0090</w:t>
            </w:r>
          </w:p>
        </w:tc>
        <w:tc>
          <w:tcPr>
            <w:tcW w:w="4876" w:type="dxa"/>
            <w:hideMark/>
          </w:tcPr>
          <w:p w:rsidR="00E312A0" w:rsidRPr="003811B2" w:rsidRDefault="00E312A0" w:rsidP="008D243F">
            <w:pPr>
              <w:pStyle w:val="Normal6"/>
              <w:rPr>
                <w:szCs w:val="24"/>
              </w:rPr>
            </w:pPr>
            <w:r>
              <w:rPr>
                <w:vertAlign w:val="superscript"/>
              </w:rPr>
              <w:t>4</w:t>
            </w:r>
            <w:r>
              <w:t xml:space="preserve"> COM(2025)0090</w:t>
            </w:r>
          </w:p>
        </w:tc>
      </w:tr>
      <w:tr w:rsidR="00E312A0" w:rsidTr="008D243F">
        <w:trPr>
          <w:jc w:val="center"/>
        </w:trPr>
        <w:tc>
          <w:tcPr>
            <w:tcW w:w="4876" w:type="dxa"/>
            <w:hideMark/>
          </w:tcPr>
          <w:p w:rsidR="00E312A0" w:rsidRPr="003811B2" w:rsidRDefault="00E312A0" w:rsidP="008D243F">
            <w:pPr>
              <w:pStyle w:val="Normal6"/>
            </w:pPr>
            <w:r>
              <w:rPr>
                <w:vertAlign w:val="superscript"/>
              </w:rPr>
              <w:t>5</w:t>
            </w:r>
            <w:r>
              <w:t xml:space="preserve"> Uredba (EU) 2021/1057 Evropskega parlamenta in Sveta z dne 24. junija 2021 o vzpostavitvi Evropskega socialnega sklada plus (ESS+) in razveljavitvi Uredbe (EU) št. 1296/2013 (UL L 231, 30.6.2021, str. 21, ELI: http://data.europa.eu/eli/reg/2021/1057/oj).</w:t>
            </w:r>
          </w:p>
        </w:tc>
        <w:tc>
          <w:tcPr>
            <w:tcW w:w="4876" w:type="dxa"/>
            <w:hideMark/>
          </w:tcPr>
          <w:p w:rsidR="00E312A0" w:rsidRPr="003811B2" w:rsidRDefault="00E312A0" w:rsidP="008D243F">
            <w:pPr>
              <w:pStyle w:val="Normal6"/>
              <w:rPr>
                <w:szCs w:val="24"/>
              </w:rPr>
            </w:pPr>
            <w:r>
              <w:rPr>
                <w:vertAlign w:val="superscript"/>
              </w:rPr>
              <w:t>5</w:t>
            </w:r>
            <w:r>
              <w:t xml:space="preserve"> Uredba (EU) 2021/1057 Evropskega parlamenta in Sveta z dne 24. junija 2021 o vzpostavitvi Evropskega socialnega sklada plus (ESS+) in razveljavitvi Uredbe (EU) št. 1296/2013 (UL L 231, 30.6.2021, str. 21, ELI: http://data.europa.eu/eli/reg/2021/1057/oj).</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19</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Maria Zaharia (Maria Zacharia)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2</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r>
            <w:r>
              <w:rPr>
                <w:b/>
                <w:i/>
              </w:rPr>
              <w:t>Bela knjiga za evropsko obrambo – pripravljenost do leta 2030</w:t>
            </w:r>
            <w:r>
              <w:rPr>
                <w:b/>
                <w:i/>
                <w:vertAlign w:val="superscript"/>
              </w:rPr>
              <w:t>3</w:t>
            </w:r>
            <w:r>
              <w:rPr>
                <w:b/>
                <w:i/>
              </w:rPr>
              <w:t xml:space="preserve"> utira pot pravi evropski obrambni uniji</w:t>
            </w:r>
            <w:r>
              <w:t xml:space="preserve">, </w:t>
            </w:r>
            <w:r>
              <w:rPr>
                <w:b/>
                <w:i/>
              </w:rPr>
              <w:t>med drugim s predlogom državam članicam, naj veliko vlagajo</w:t>
            </w:r>
            <w:r>
              <w:t xml:space="preserve"> v </w:t>
            </w:r>
            <w:r>
              <w:rPr>
                <w:b/>
                <w:i/>
              </w:rPr>
              <w:t>obrambo in obrambno industrijo. V zvezi</w:t>
            </w:r>
            <w:r>
              <w:t xml:space="preserve"> s </w:t>
            </w:r>
            <w:r>
              <w:rPr>
                <w:b/>
                <w:i/>
              </w:rPr>
              <w:t>tem so v sporočilu Komisije Unija spretnosti z dne 5. marca 2025</w:t>
            </w:r>
            <w:r>
              <w:rPr>
                <w:b/>
                <w:i/>
                <w:vertAlign w:val="superscript"/>
              </w:rPr>
              <w:t>4</w:t>
            </w:r>
            <w:r>
              <w:rPr>
                <w:b/>
                <w:i/>
              </w:rPr>
              <w:t xml:space="preserve"> (v nadaljnjem besedilu: sporočilo o Uniji spretnosti) določeni ukrepi za odpravo vrzeli v spretnostih in obravnavanje pomanjkanja spretnosti v Uniji</w:t>
            </w:r>
            <w:r>
              <w:t xml:space="preserve">, </w:t>
            </w:r>
            <w:r>
              <w:rPr>
                <w:b/>
                <w:i/>
              </w:rPr>
              <w:t>tudi prek pobude Pakt za spretnosti iz navedenega sporočila ter njenih obsežnih partnerstev</w:t>
            </w:r>
            <w:r>
              <w:t xml:space="preserve">, </w:t>
            </w:r>
            <w:r>
              <w:rPr>
                <w:b/>
                <w:i/>
              </w:rPr>
              <w:t>vključno s partnerstvom za obrambni ekosistem</w:t>
            </w:r>
            <w:r>
              <w:t>.</w:t>
            </w:r>
            <w:r>
              <w:rPr>
                <w:b/>
                <w:i/>
              </w:rPr>
              <w:t xml:space="preserve"> Zato je primerno vključiti spodbude za ESS+, vzpostavljen z Uredbo (EU) 2021/1057 Evropskega parlamenta</w:t>
            </w:r>
            <w:r>
              <w:t xml:space="preserve"> in </w:t>
            </w:r>
            <w:r>
              <w:rPr>
                <w:b/>
                <w:i/>
              </w:rPr>
              <w:t>Sveta</w:t>
            </w:r>
            <w:r>
              <w:rPr>
                <w:b/>
                <w:i/>
                <w:vertAlign w:val="superscript"/>
              </w:rPr>
              <w:t>5</w:t>
            </w:r>
            <w:r>
              <w:rPr>
                <w:b/>
                <w:i/>
              </w:rPr>
              <w:t xml:space="preserve"> , da se olajša razvoj spretnosti v obrambni industriji</w:t>
            </w:r>
            <w:r>
              <w:t>.</w:t>
            </w:r>
          </w:p>
        </w:tc>
        <w:tc>
          <w:tcPr>
            <w:tcW w:w="4876" w:type="dxa"/>
            <w:hideMark/>
          </w:tcPr>
          <w:p w:rsidR="00E312A0" w:rsidRPr="003811B2" w:rsidRDefault="00E312A0" w:rsidP="008D243F">
            <w:pPr>
              <w:pStyle w:val="Normal6"/>
              <w:rPr>
                <w:szCs w:val="24"/>
              </w:rPr>
            </w:pPr>
            <w:r>
              <w:t>(2)</w:t>
            </w:r>
            <w:r>
              <w:tab/>
            </w:r>
            <w:r>
              <w:rPr>
                <w:b/>
                <w:i/>
              </w:rPr>
              <w:t>V skladu z zavezanostjo Unije miru</w:t>
            </w:r>
            <w:r>
              <w:t xml:space="preserve">, </w:t>
            </w:r>
            <w:r>
              <w:rPr>
                <w:b/>
                <w:i/>
              </w:rPr>
              <w:t>socialni vključenosti in trajnostnemu razvoju ter</w:t>
            </w:r>
            <w:r>
              <w:t xml:space="preserve"> v </w:t>
            </w:r>
            <w:r>
              <w:rPr>
                <w:b/>
                <w:i/>
              </w:rPr>
              <w:t>skladu</w:t>
            </w:r>
            <w:r>
              <w:t xml:space="preserve"> s </w:t>
            </w:r>
            <w:r>
              <w:rPr>
                <w:b/>
                <w:i/>
              </w:rPr>
              <w:t>cilji Evropskega socialnega sklada plus financiranje Unije na podlagi te uredbe ne podpira obrambne industrije ali dejavnosti, povezanih z razvojem, proizvodnjo, javnim naročanjem ali uporabo vojaških zmogljivosti</w:t>
            </w:r>
            <w:r>
              <w:t xml:space="preserve">, </w:t>
            </w:r>
            <w:r>
              <w:rPr>
                <w:b/>
                <w:i/>
              </w:rPr>
              <w:t>vključno z orožjem</w:t>
            </w:r>
            <w:r>
              <w:t xml:space="preserve">, </w:t>
            </w:r>
            <w:r>
              <w:rPr>
                <w:b/>
                <w:i/>
              </w:rPr>
              <w:t>strelivom in obrambnimi sistemi</w:t>
            </w:r>
            <w:r>
              <w:t xml:space="preserve">. </w:t>
            </w:r>
            <w:r>
              <w:rPr>
                <w:b/>
                <w:i/>
              </w:rPr>
              <w:t>Financiranje ESS+ je strogo omejeno na spodbujanje socialne kohezije, zaposlovanja, izobraževanja, razvoja znanj</w:t>
            </w:r>
            <w:r>
              <w:t xml:space="preserve"> in </w:t>
            </w:r>
            <w:r>
              <w:rPr>
                <w:b/>
                <w:i/>
              </w:rPr>
              <w:t>spretnosti, socialnih inovacij ter boja proti revščini in socialni izključenosti</w:t>
            </w:r>
            <w:r>
              <w:t>.</w:t>
            </w:r>
          </w:p>
        </w:tc>
      </w:tr>
      <w:tr w:rsidR="00E312A0" w:rsidTr="008D243F">
        <w:trPr>
          <w:jc w:val="center"/>
        </w:trPr>
        <w:tc>
          <w:tcPr>
            <w:tcW w:w="4876" w:type="dxa"/>
            <w:hideMark/>
          </w:tcPr>
          <w:p w:rsidR="00E312A0" w:rsidRPr="003811B2" w:rsidRDefault="00E312A0" w:rsidP="008D243F">
            <w:pPr>
              <w:pStyle w:val="Normal6"/>
            </w:pPr>
            <w:r>
              <w:t>__________________</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Pr>
                <w:b/>
                <w:i/>
              </w:rPr>
              <w:t>3 Skupna bela knjiga o prihodnosti evropske obrambe Pripravljenost do leta 2030, JOIN(2025) 120 final, 19.3.2025.</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Pr>
                <w:b/>
                <w:i/>
                <w:vertAlign w:val="superscript"/>
              </w:rPr>
              <w:t>4</w:t>
            </w:r>
            <w:r>
              <w:rPr>
                <w:b/>
                <w:i/>
              </w:rPr>
              <w:t xml:space="preserve"> COM (2025) 90 final</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Pr>
                <w:b/>
                <w:i/>
                <w:vertAlign w:val="superscript"/>
              </w:rPr>
              <w:t>5</w:t>
            </w:r>
            <w:r>
              <w:rPr>
                <w:b/>
                <w:i/>
              </w:rPr>
              <w:t xml:space="preserve"> Uredba (EU) 2021/1057 Evropskega parlamenta in Sveta z dne 24. junija 2021 o vzpostavitvi Evropskega socialnega sklada plus (ESS+) in razveljavitvi Uredbe (EU) št. 1296/2013 (UL L 231, 30.6.2021, str. 21, ELI: http://data.europa.eu/eli/reg/2021/1057/oj).</w:t>
            </w:r>
          </w:p>
        </w:tc>
        <w:tc>
          <w:tcPr>
            <w:tcW w:w="4876" w:type="dxa"/>
          </w:tcPr>
          <w:p w:rsidR="00E312A0" w:rsidRPr="003811B2" w:rsidRDefault="00E312A0" w:rsidP="008D243F">
            <w:pPr>
              <w:pStyle w:val="Normal6"/>
              <w:rPr>
                <w:szCs w:val="24"/>
              </w:rPr>
            </w:pP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20</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2 a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(2a)</w:t>
            </w:r>
            <w:r>
              <w:rPr>
                <w:b/>
                <w:i/>
              </w:rPr>
              <w:tab/>
              <w:t>Bistveno je zagotoviti, da se vsi ukrepi, sprejeti v okviru izrednih razmer, ustrezno razlikujejo in ne posegajo v doseganje strukturnih in strateških ciljev kohezijske politike. Poziva se, naj se v regulativni okvir vključijo zaščitni ukrepi, ki preprečujejo opustitev temeljne naloge kohezijske politike.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21</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2 a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(2a)</w:t>
            </w:r>
            <w:r>
              <w:rPr>
                <w:b/>
                <w:i/>
              </w:rPr>
              <w:tab/>
              <w:t>Ruska vojaška agresija je nesorazmerno močno prizadela regije NUTS 2, ki mejijo na Rusijo, Belorusijo ali Ukrajino, saj se soočajo z izgubo delovnih mest, manjšo gospodarsko dejavnostjo in socialno izključenostjo zaradi manj medosebnih stikov.</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22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2 b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(2b)</w:t>
            </w:r>
            <w:r>
              <w:rPr>
                <w:b/>
                <w:i/>
              </w:rPr>
              <w:tab/>
              <w:t>Ponavljajoča se uporaba strukturnih sredstev za odzivanje na izredne razmere bi lahko ogrozila dolgoročno vzdržnost in učinkovitost kohezijske politike z izrivanjem naložb, ki bi bile v običajnih razmerah namenjene spodbujanju uravnoteženega razvoja med regijami.</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23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Elena Donazzan, Francesco Torselli, Mariateresa Vivaldini, Chiara Gemma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3</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(3)</w:t>
            </w:r>
            <w:r>
              <w:rPr>
                <w:b/>
                <w:i/>
              </w:rPr>
              <w:tab/>
              <w:t>V okviru ESS+ je že mogoče podpreti prilagajanje delavcev, podjetnikov in podjetij spremembam. V skladu z ukrepi za razogljičenje, predlaganimi v sporočilu Komisije – Dogovor o čisti industriji: skupni načrt za konkurenčnost in razogljičenje z dne 26. februarja 2025</w:t>
            </w:r>
            <w:r>
              <w:rPr>
                <w:b/>
                <w:i/>
                <w:vertAlign w:val="superscript"/>
              </w:rPr>
              <w:t>6</w:t>
            </w:r>
            <w:r>
              <w:rPr>
                <w:b/>
                <w:i/>
              </w:rPr>
              <w:t xml:space="preserve"> ter za nadaljnje olajšanje industrijske prilagoditve, povezane z razogljičenjem proizvodnih procesov in proizvodov, v okviru cilja, da se zagotovijo priložnosti za vseživljenjsko izpopolnjevanje in preusposabljanje ljudi, kot je določeno v sporočilu o Uniji spretnosti, tudi z novo predlaganim jamstvom za spretnosti, bi moral ESS+ z zagotavljanjem prožnosti pri izvajanju olajšati usposabljanje, ohranjanje delovnih mest in ustvarjanje delovnih mest v celotnem procesu razogljičenja.</w:t>
            </w:r>
          </w:p>
        </w:tc>
        <w:tc>
          <w:tcPr>
            <w:tcW w:w="4876" w:type="dxa"/>
            <w:hideMark/>
          </w:tcPr>
          <w:p w:rsidR="00E312A0" w:rsidRPr="003811B2" w:rsidRDefault="00E312A0" w:rsidP="008D243F">
            <w:pPr>
              <w:pStyle w:val="Normal6"/>
              <w:rPr>
                <w:szCs w:val="24"/>
              </w:rPr>
            </w:pPr>
            <w:r>
              <w:rPr>
                <w:b/>
                <w:i/>
              </w:rPr>
              <w:t>črtano</w:t>
            </w:r>
          </w:p>
        </w:tc>
      </w:tr>
      <w:tr w:rsidR="00E312A0" w:rsidTr="008D243F">
        <w:trPr>
          <w:jc w:val="center"/>
        </w:trPr>
        <w:tc>
          <w:tcPr>
            <w:tcW w:w="4876" w:type="dxa"/>
            <w:hideMark/>
          </w:tcPr>
          <w:p w:rsidR="00E312A0" w:rsidRPr="003811B2" w:rsidRDefault="00E312A0" w:rsidP="008D243F">
            <w:pPr>
              <w:pStyle w:val="Normal6"/>
            </w:pPr>
            <w:r>
              <w:rPr>
                <w:b/>
                <w:i/>
              </w:rPr>
              <w:t>__________________</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Pr>
                <w:b/>
                <w:i/>
                <w:vertAlign w:val="superscript"/>
              </w:rPr>
              <w:t>6</w:t>
            </w:r>
            <w:r>
              <w:rPr>
                <w:b/>
                <w:i/>
              </w:rPr>
              <w:t xml:space="preserve"> COM(2025)0085</w:t>
            </w:r>
          </w:p>
        </w:tc>
        <w:tc>
          <w:tcPr>
            <w:tcW w:w="4876" w:type="dxa"/>
          </w:tcPr>
          <w:p w:rsidR="00E312A0" w:rsidRPr="003811B2" w:rsidRDefault="00E312A0" w:rsidP="008D243F">
            <w:pPr>
              <w:pStyle w:val="Normal6"/>
              <w:rPr>
                <w:szCs w:val="24"/>
              </w:rPr>
            </w:pP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24</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Brigitte van den Berg, Jana Toom, Hristo Petrov, Grégory Allione, Eugen Tomac</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3</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(3)</w:t>
            </w:r>
            <w:r>
              <w:tab/>
              <w:t>V okviru ESS+ je že mogoče podpreti prilagajanje delavcev, podjetnikov in podjetij spremembam. V skladu z ukrepi za razogljičenje, predlaganimi v sporočilu Komisije – Dogovor o čisti industriji: skupni načrt za konkurenčnost in razogljičenje z dne 26. februarja 2025</w:t>
            </w:r>
            <w:r>
              <w:rPr>
                <w:vertAlign w:val="superscript"/>
              </w:rPr>
              <w:t>6</w:t>
            </w:r>
            <w:r>
              <w:t xml:space="preserve"> ter za nadaljnje olajšanje industrijske prilagoditve, povezane z razogljičenjem proizvodnih procesov in proizvodov, v okviru cilja, da se zagotovijo priložnosti za vseživljenjsko izpopolnjevanje in preusposabljanje ljudi, kot je določeno v sporočilu o Uniji spretnosti, tudi z novo predlaganim jamstvom za spretnosti, bi moral ESS+ z zagotavljanjem prožnosti pri izvajanju olajšati usposabljanje, ohranjanje delovnih mest in ustvarjanje delovnih mest v celotnem procesu razogljičenja.</w:t>
            </w:r>
          </w:p>
        </w:tc>
        <w:tc>
          <w:tcPr>
            <w:tcW w:w="4876" w:type="dxa"/>
            <w:hideMark/>
          </w:tcPr>
          <w:p w:rsidR="00E312A0" w:rsidRPr="003811B2" w:rsidRDefault="00E312A0" w:rsidP="008D243F">
            <w:pPr>
              <w:pStyle w:val="Normal6"/>
              <w:rPr>
                <w:szCs w:val="24"/>
              </w:rPr>
            </w:pPr>
            <w:r>
              <w:t>(3)</w:t>
            </w:r>
            <w:r>
              <w:tab/>
              <w:t>V okviru ESS+ je že mogoče podpreti prilagajanje delavcev, podjetnikov in podjetij spremembam. V skladu z ukrepi za razogljičenje, predlaganimi v sporočilu Komisije – Dogovor o čisti industriji: skupni načrt za konkurenčnost in razogljičenje z dne 26. februarja 2025</w:t>
            </w:r>
            <w:r>
              <w:rPr>
                <w:vertAlign w:val="superscript"/>
              </w:rPr>
              <w:t>6</w:t>
            </w:r>
            <w:r>
              <w:t xml:space="preserve"> ter za nadaljnje olajšanje industrijske prilagoditve, povezane z razogljičenjem proizvodnih procesov in proizvodov, v okviru cilja, da se zagotovijo priložnosti za vseživljenjsko izpopolnjevanje in preusposabljanje ljudi, kot je določeno v sporočilu o Uniji spretnosti, tudi z novo predlaganim jamstvom za spretnosti, bi moral ESS+ z zagotavljanjem prožnosti pri izvajanju olajšati usposabljanje, ohranjanje delovnih mest in ustvarjanje delovnih mest v celotnem procesu razogljičenja. </w:t>
            </w:r>
            <w:r>
              <w:rPr>
                <w:b/>
                <w:i/>
              </w:rPr>
              <w:t>Da bi zagotovili prehod, ki ni potreben le glede na digitalne in zelene cilje Unije, temveč tudi socialno pravičen, je bistveno, da je proces pravičen in vključujoč. Posebno pozornost bi bilo treba nameniti posebnim potrebam in okoliščinam manj razvitih regij. Te regije in njihovo prebivalstvo bi morali biti dejavno vključeni v prehod in imeti od njega koristi, s čimer bi zagotovili njihovo popolno vključitev v širšo gospodarsko, socialno in okoljsko preobrazbo Unije.</w:t>
            </w:r>
          </w:p>
        </w:tc>
      </w:tr>
      <w:tr w:rsidR="00E312A0" w:rsidTr="008D243F">
        <w:trPr>
          <w:jc w:val="center"/>
        </w:trPr>
        <w:tc>
          <w:tcPr>
            <w:tcW w:w="4876" w:type="dxa"/>
            <w:hideMark/>
          </w:tcPr>
          <w:p w:rsidR="00E312A0" w:rsidRPr="003811B2" w:rsidRDefault="00E312A0" w:rsidP="008D243F">
            <w:pPr>
              <w:pStyle w:val="Normal6"/>
            </w:pPr>
            <w:r>
              <w:t>__________________</w:t>
            </w:r>
          </w:p>
        </w:tc>
        <w:tc>
          <w:tcPr>
            <w:tcW w:w="4876" w:type="dxa"/>
            <w:hideMark/>
          </w:tcPr>
          <w:p w:rsidR="00E312A0" w:rsidRPr="003811B2" w:rsidRDefault="00E312A0" w:rsidP="008D243F">
            <w:pPr>
              <w:pStyle w:val="Normal6"/>
              <w:rPr>
                <w:szCs w:val="24"/>
              </w:rPr>
            </w:pPr>
            <w:r>
              <w:t>__________________</w:t>
            </w:r>
          </w:p>
        </w:tc>
      </w:tr>
      <w:tr w:rsidR="00E312A0" w:rsidTr="008D243F">
        <w:trPr>
          <w:jc w:val="center"/>
        </w:trPr>
        <w:tc>
          <w:tcPr>
            <w:tcW w:w="4876" w:type="dxa"/>
            <w:hideMark/>
          </w:tcPr>
          <w:p w:rsidR="00E312A0" w:rsidRPr="003811B2" w:rsidRDefault="00E312A0" w:rsidP="008D243F">
            <w:pPr>
              <w:pStyle w:val="Normal6"/>
            </w:pPr>
            <w:r>
              <w:rPr>
                <w:vertAlign w:val="superscript"/>
              </w:rPr>
              <w:t>6</w:t>
            </w:r>
            <w:r>
              <w:t xml:space="preserve"> COM(2025)0085</w:t>
            </w:r>
          </w:p>
        </w:tc>
        <w:tc>
          <w:tcPr>
            <w:tcW w:w="4876" w:type="dxa"/>
            <w:hideMark/>
          </w:tcPr>
          <w:p w:rsidR="00E312A0" w:rsidRPr="003811B2" w:rsidRDefault="00E312A0" w:rsidP="008D243F">
            <w:pPr>
              <w:pStyle w:val="Normal6"/>
              <w:rPr>
                <w:szCs w:val="24"/>
              </w:rPr>
            </w:pPr>
            <w:r>
              <w:rPr>
                <w:vertAlign w:val="superscript"/>
              </w:rPr>
              <w:t>6</w:t>
            </w:r>
            <w:r>
              <w:t xml:space="preserve"> COM(2025)0085</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25</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Marie Dauchy, Nikola Bartůšek</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{EMPL}</w:t>
      </w:r>
      <w:r>
        <w:t>v imenu Odbora za zaposlovanje in socialne zadeve:</w:t>
      </w:r>
      <w:r w:rsidRPr="00E312A0">
        <w:rPr>
          <w:rStyle w:val="HideTWBExt"/>
        </w:rPr>
        <w:t>&lt;/AuNomDe&gt;</w:t>
      </w:r>
    </w:p>
    <w:p w:rsidR="00E312A0" w:rsidRPr="003811B2" w:rsidRDefault="00E312A0" w:rsidP="00E312A0">
      <w:pPr>
        <w:pStyle w:val="NormalBold"/>
      </w:pPr>
      <w:r w:rsidRPr="00E312A0">
        <w:rPr>
          <w:rStyle w:val="HideTWBExt"/>
          <w:b w:val="0"/>
        </w:rPr>
        <w:t>&lt;Members&gt;</w:t>
      </w:r>
      <w:r>
        <w:t>Séverine Werbrouck, Rachel Blom</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3</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(3)</w:t>
            </w:r>
            <w:r>
              <w:tab/>
              <w:t xml:space="preserve">V okviru ESS+ je že mogoče podpreti prilagajanje delavcev, podjetnikov in podjetij spremembam. </w:t>
            </w:r>
            <w:r>
              <w:rPr>
                <w:b/>
                <w:i/>
              </w:rPr>
              <w:t>V skladu z ukrepi za razogljičenje</w:t>
            </w:r>
            <w:r>
              <w:t xml:space="preserve">, </w:t>
            </w:r>
            <w:r>
              <w:rPr>
                <w:b/>
                <w:i/>
              </w:rPr>
              <w:t>predlaganimi</w:t>
            </w:r>
            <w:r>
              <w:t xml:space="preserve"> v </w:t>
            </w:r>
            <w:r>
              <w:rPr>
                <w:b/>
                <w:i/>
              </w:rPr>
              <w:t>sporočilu</w:t>
            </w:r>
            <w:r>
              <w:t xml:space="preserve"> Komisije</w:t>
            </w:r>
            <w:r>
              <w:rPr>
                <w:b/>
                <w:i/>
              </w:rPr>
              <w:t xml:space="preserve"> – Dogovor o čisti industriji: skupni načrt za konkurenčnost in razogljičenje z dne 26. februarja 2025</w:t>
            </w:r>
            <w:r>
              <w:rPr>
                <w:b/>
                <w:i/>
                <w:vertAlign w:val="superscript"/>
              </w:rPr>
              <w:t>6</w:t>
            </w:r>
            <w:r>
              <w:rPr>
                <w:b/>
                <w:i/>
              </w:rPr>
              <w:t xml:space="preserve"> ter za nadaljnje olajšanje industrijske prilagoditve, povezane</w:t>
            </w:r>
            <w:r>
              <w:t xml:space="preserve"> z </w:t>
            </w:r>
            <w:r>
              <w:rPr>
                <w:b/>
                <w:i/>
              </w:rPr>
              <w:t>razogljičenjem proizvodnih procesov</w:t>
            </w:r>
            <w:r>
              <w:t xml:space="preserve"> in </w:t>
            </w:r>
            <w:r>
              <w:rPr>
                <w:b/>
                <w:i/>
              </w:rPr>
              <w:t>proizvodov,</w:t>
            </w:r>
            <w:r>
              <w:t xml:space="preserve"> v okviru cilja, da se zagotovijo priložnosti za vseživljenjsko izpopolnjevanje in preusposabljanje ljudi, kot je določeno v sporočilu o Uniji spretnosti, tudi z novo predlaganim jamstvom za spretnosti, bi moral ESS+ z zagotavljanjem prožnosti pri izvajanju olajšati usposabljanje, ohranjanje delovnih mest in ustvarjanje delovnih mest v </w:t>
            </w:r>
            <w:r>
              <w:rPr>
                <w:b/>
                <w:i/>
              </w:rPr>
              <w:t>celotnem procesu razogljičenja</w:t>
            </w:r>
            <w:r>
              <w:t>.</w:t>
            </w:r>
          </w:p>
        </w:tc>
        <w:tc>
          <w:tcPr>
            <w:tcW w:w="4876" w:type="dxa"/>
            <w:hideMark/>
          </w:tcPr>
          <w:p w:rsidR="00E312A0" w:rsidRPr="003811B2" w:rsidRDefault="00E312A0" w:rsidP="008D243F">
            <w:pPr>
              <w:pStyle w:val="Normal6"/>
              <w:rPr>
                <w:szCs w:val="24"/>
              </w:rPr>
            </w:pPr>
            <w:r>
              <w:t>(3)</w:t>
            </w:r>
            <w:r>
              <w:tab/>
              <w:t xml:space="preserve">V okviru ESS+ je že mogoče podpreti prilagajanje delavcev, podjetnikov in podjetij spremembam. </w:t>
            </w:r>
            <w:r>
              <w:rPr>
                <w:b/>
                <w:i/>
              </w:rPr>
              <w:t>Težave, s katerimi se spopada evropska industrija</w:t>
            </w:r>
            <w:r>
              <w:t xml:space="preserve">, </w:t>
            </w:r>
            <w:r>
              <w:rPr>
                <w:b/>
                <w:i/>
              </w:rPr>
              <w:t>se lahko</w:t>
            </w:r>
            <w:r>
              <w:t xml:space="preserve"> v </w:t>
            </w:r>
            <w:r>
              <w:rPr>
                <w:b/>
                <w:i/>
              </w:rPr>
              <w:t>zelo veliki meri pripišejo političnim izbiram Evropske</w:t>
            </w:r>
            <w:r>
              <w:t xml:space="preserve"> komisije</w:t>
            </w:r>
            <w:r>
              <w:rPr>
                <w:b/>
                <w:i/>
              </w:rPr>
              <w:t>, zlasti pa zelenemu dogovoru, s katerim je bil naši industriji naložen kaznovalni regulativni okvir, zaradi katerih so včasih ogroženi sam obstoj podjetij v tem sektorju ter</w:t>
            </w:r>
            <w:r>
              <w:t xml:space="preserve"> z </w:t>
            </w:r>
            <w:r>
              <w:rPr>
                <w:b/>
                <w:i/>
              </w:rPr>
              <w:t>njimi povezana delovna mesta</w:t>
            </w:r>
            <w:r>
              <w:t xml:space="preserve"> in </w:t>
            </w:r>
            <w:r>
              <w:rPr>
                <w:b/>
                <w:i/>
              </w:rPr>
              <w:t>spretnosti.</w:t>
            </w:r>
            <w:r>
              <w:t xml:space="preserve"> V okviru cilja, da se zagotovijo priložnosti za vseživljenjsko izpopolnjevanje in preusposabljanje ljudi, kot je določeno v sporočilu o uniji spretnosti, tudi z novo predlaganim jamstvom za spretnosti, bi moral ESS+ z zagotavljanjem prožnosti pri izvajanju olajšati usposabljanje, ohranjanje delovnih mest in ustvarjanje delovnih mest v </w:t>
            </w:r>
            <w:r>
              <w:rPr>
                <w:b/>
                <w:i/>
              </w:rPr>
              <w:t>industrijskih panogah, zlasti v zvezi s proizvodnjo energije na evropskem ozemlju</w:t>
            </w:r>
            <w:r>
              <w:t>.</w:t>
            </w:r>
          </w:p>
        </w:tc>
      </w:tr>
      <w:tr w:rsidR="00E312A0" w:rsidTr="008D243F">
        <w:trPr>
          <w:jc w:val="center"/>
        </w:trPr>
        <w:tc>
          <w:tcPr>
            <w:tcW w:w="4876" w:type="dxa"/>
            <w:hideMark/>
          </w:tcPr>
          <w:p w:rsidR="00E312A0" w:rsidRPr="003811B2" w:rsidRDefault="00E312A0" w:rsidP="008D243F">
            <w:pPr>
              <w:pStyle w:val="Normal6"/>
            </w:pPr>
            <w:r>
              <w:t>__________________</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sidRPr="006F1731">
              <w:rPr>
                <w:b/>
                <w:i/>
                <w:vertAlign w:val="superscript"/>
              </w:rPr>
              <w:t>6</w:t>
            </w:r>
            <w:r>
              <w:rPr>
                <w:b/>
                <w:i/>
              </w:rPr>
              <w:t xml:space="preserve"> COM(2025) 85 final.</w:t>
            </w:r>
          </w:p>
        </w:tc>
        <w:tc>
          <w:tcPr>
            <w:tcW w:w="4876" w:type="dxa"/>
          </w:tcPr>
          <w:p w:rsidR="00E312A0" w:rsidRPr="003811B2" w:rsidRDefault="00E312A0" w:rsidP="008D243F">
            <w:pPr>
              <w:pStyle w:val="Normal6"/>
              <w:rPr>
                <w:szCs w:val="24"/>
              </w:rPr>
            </w:pP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{FR}</w:t>
      </w:r>
      <w:r w:rsidRPr="003811B2">
        <w:rPr>
          <w:noProof w:val="0"/>
        </w:rPr>
        <w:t>fr</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26</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3</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(3)</w:t>
            </w:r>
            <w:r>
              <w:tab/>
              <w:t>V okviru ESS+ je že mogoče podpreti prilagajanje delavcev, podjetnikov in podjetij spremembam. V skladu z ukrepi za razogljičenje, predlaganimi v sporočilu Komisije – Dogovor o čisti industriji: skupni načrt za konkurenčnost in razogljičenje z dne 26. februarja 2025</w:t>
            </w:r>
            <w:r>
              <w:rPr>
                <w:vertAlign w:val="superscript"/>
              </w:rPr>
              <w:t>6</w:t>
            </w:r>
            <w:r>
              <w:t xml:space="preserve"> ter za nadaljnje olajšanje industrijske prilagoditve, povezane z razogljičenjem proizvodnih procesov in proizvodov, v okviru cilja, da se zagotovijo priložnosti za vseživljenjsko izpopolnjevanje in preusposabljanje ljudi, kot je določeno v sporočilu o Uniji spretnosti, tudi z novo predlaganim jamstvom za spretnosti, bi moral ESS+ z zagotavljanjem prožnosti pri izvajanju olajšati usposabljanje, ohranjanje delovnih mest in ustvarjanje delovnih mest v celotnem procesu razogljičenja.</w:t>
            </w:r>
          </w:p>
        </w:tc>
        <w:tc>
          <w:tcPr>
            <w:tcW w:w="4876" w:type="dxa"/>
            <w:hideMark/>
          </w:tcPr>
          <w:p w:rsidR="00E312A0" w:rsidRPr="003811B2" w:rsidRDefault="00E312A0" w:rsidP="008D243F">
            <w:pPr>
              <w:pStyle w:val="Normal6"/>
              <w:rPr>
                <w:szCs w:val="24"/>
              </w:rPr>
            </w:pPr>
            <w:r>
              <w:t>(3)</w:t>
            </w:r>
            <w:r>
              <w:tab/>
              <w:t>V okviru ESS+ je že mogoče podpreti prilagajanje delavcev, podjetnikov in podjetij spremembam. V skladu z ukrepi za razogljičenje, predlaganimi v sporočilu Komisije – Dogovor o čisti industriji: skupni načrt za konkurenčnost in razogljičenje z dne 26. februarja 2025</w:t>
            </w:r>
            <w:r>
              <w:rPr>
                <w:vertAlign w:val="superscript"/>
              </w:rPr>
              <w:t>6</w:t>
            </w:r>
            <w:r>
              <w:t xml:space="preserve"> ter za nadaljnje olajšanje industrijske prilagoditve, povezane z razogljičenjem proizvodnih procesov in proizvodov, v okviru cilja, da se zagotovijo priložnosti za vseživljenjsko izpopolnjevanje in preusposabljanje ljudi, kot je določeno v sporočilu o Uniji spretnosti, tudi z novo predlaganim jamstvom za spretnosti, bi moral ESS+ z zagotavljanjem prožnosti pri izvajanju olajšati usposabljanje, ohranjanje delovnih mest in ustvarjanje </w:t>
            </w:r>
            <w:r>
              <w:rPr>
                <w:b/>
                <w:i/>
              </w:rPr>
              <w:t xml:space="preserve">kakovostnih </w:t>
            </w:r>
            <w:r>
              <w:t>delovnih mest v celotnem procesu razogljičenja.</w:t>
            </w:r>
          </w:p>
        </w:tc>
      </w:tr>
      <w:tr w:rsidR="00E312A0" w:rsidTr="008D243F">
        <w:trPr>
          <w:jc w:val="center"/>
        </w:trPr>
        <w:tc>
          <w:tcPr>
            <w:tcW w:w="4876" w:type="dxa"/>
            <w:hideMark/>
          </w:tcPr>
          <w:p w:rsidR="00E312A0" w:rsidRPr="003811B2" w:rsidRDefault="00E312A0" w:rsidP="008D243F">
            <w:pPr>
              <w:pStyle w:val="Normal6"/>
            </w:pPr>
            <w:r>
              <w:t>__________________</w:t>
            </w:r>
          </w:p>
        </w:tc>
        <w:tc>
          <w:tcPr>
            <w:tcW w:w="4876" w:type="dxa"/>
            <w:hideMark/>
          </w:tcPr>
          <w:p w:rsidR="00E312A0" w:rsidRPr="003811B2" w:rsidRDefault="00E312A0" w:rsidP="008D243F">
            <w:pPr>
              <w:pStyle w:val="Normal6"/>
              <w:rPr>
                <w:szCs w:val="24"/>
              </w:rPr>
            </w:pPr>
            <w:r>
              <w:t>__________________</w:t>
            </w:r>
          </w:p>
        </w:tc>
      </w:tr>
      <w:tr w:rsidR="00E312A0" w:rsidTr="008D243F">
        <w:trPr>
          <w:jc w:val="center"/>
        </w:trPr>
        <w:tc>
          <w:tcPr>
            <w:tcW w:w="4876" w:type="dxa"/>
            <w:hideMark/>
          </w:tcPr>
          <w:p w:rsidR="00E312A0" w:rsidRPr="003811B2" w:rsidRDefault="00E312A0" w:rsidP="008D243F">
            <w:pPr>
              <w:pStyle w:val="Normal6"/>
            </w:pPr>
            <w:r>
              <w:rPr>
                <w:vertAlign w:val="superscript"/>
              </w:rPr>
              <w:t>6</w:t>
            </w:r>
            <w:r>
              <w:t xml:space="preserve"> COM(2025)0085</w:t>
            </w:r>
          </w:p>
        </w:tc>
        <w:tc>
          <w:tcPr>
            <w:tcW w:w="4876" w:type="dxa"/>
            <w:hideMark/>
          </w:tcPr>
          <w:p w:rsidR="00E312A0" w:rsidRPr="003811B2" w:rsidRDefault="00E312A0" w:rsidP="008D243F">
            <w:pPr>
              <w:pStyle w:val="Normal6"/>
              <w:rPr>
                <w:szCs w:val="24"/>
              </w:rPr>
            </w:pPr>
            <w:r>
              <w:rPr>
                <w:vertAlign w:val="superscript"/>
              </w:rPr>
              <w:t>6</w:t>
            </w:r>
            <w:r>
              <w:t xml:space="preserve"> COM(2025)0085</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27</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3 a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(3a)</w:t>
            </w:r>
            <w:r>
              <w:rPr>
                <w:b/>
                <w:i/>
              </w:rPr>
              <w:tab/>
              <w:t>Evropski socialni sklad plus (ESS+) je temeljni steber kohezijske politike, katere glavni cilj je spodbujanje socialne vključenosti, enakosti pri zaposlovanju in zmanjšanja teritorialnih razlik.</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28</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3 b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(3b)</w:t>
            </w:r>
            <w:r>
              <w:rPr>
                <w:b/>
                <w:i/>
              </w:rPr>
              <w:tab/>
              <w:t>Kljub vključitvi novih strateških prednostnih nalog na ravni EU je bistveno, da ESS+ ne odstopa od svojega socialnega poslanstva, ki bi moralo ostati osnovna usmeritev za obravnavanje posebnih potreb ozemelj in njihovih skupnosti.</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29</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3 c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(3c)</w:t>
            </w:r>
            <w:r>
              <w:rPr>
                <w:b/>
                <w:i/>
              </w:rPr>
              <w:tab/>
              <w:t>Reprogramiranje sredstev v okviru ESS+ bi moralo zagotoviti, da prilagoditveni ukrepi v odziv na strateške izzive ne ogrožajo njegovega teritorialnega in socialnega pristopa, temveč krepijo njegovo zmogljivost za boj proti neenakosti in spodbujanje uravnoteženega razvoja.</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30</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3 d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(3d)</w:t>
            </w:r>
            <w:r>
              <w:rPr>
                <w:b/>
                <w:i/>
              </w:rPr>
              <w:tab/>
              <w:t>Ustrezno vključevanje dodatnih ukrepov ali finančne prožnosti je temeljnega pomena za zaščito socialnega bistva ESS+, pri čemer je treba zagotoviti, da naložbe v nove prednostne naloge ne bodo privedle do zmanjšanja povezovalne vloge politike in ne bodo povzročile preusmeritve sredstev v izključno strateške interese.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31</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Brigitte van den Berg, Jana Toom, Hristo Petrov, Grégory Allione, Eugen Tomac</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4</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(4)</w:t>
            </w:r>
            <w:r>
              <w:tab/>
              <w:t>V okviru ESS+ je že mogoče podpreti naložbe, ki prispevajo k ciljem platforme za strateške tehnologije za Evropo (STEP), vzpostavljene z Uredbo (EU) 2024/795 Evropskega parlamenta in Sveta</w:t>
            </w:r>
            <w:r>
              <w:rPr>
                <w:b/>
                <w:i/>
                <w:vertAlign w:val="superscript"/>
              </w:rPr>
              <w:t>7</w:t>
            </w:r>
            <w:r>
              <w:rPr>
                <w:b/>
                <w:i/>
              </w:rPr>
              <w:t xml:space="preserve"> </w:t>
            </w:r>
            <w:r>
              <w:t>, katere cilj je okrepiti vodilni položaj Unije na področju tehnologije. Da bi dodatno spodbudili naložbe iz ESS+ na teh kritičnih področjih, bi bilo treba razširiti možnost, da države članice prejmejo višje predfinanciranje za povezane spremembe programov.</w:t>
            </w:r>
          </w:p>
        </w:tc>
        <w:tc>
          <w:tcPr>
            <w:tcW w:w="4876" w:type="dxa"/>
            <w:hideMark/>
          </w:tcPr>
          <w:p w:rsidR="00E312A0" w:rsidRPr="003811B2" w:rsidRDefault="00E312A0" w:rsidP="008D243F">
            <w:pPr>
              <w:pStyle w:val="Normal6"/>
              <w:rPr>
                <w:szCs w:val="24"/>
              </w:rPr>
            </w:pPr>
            <w:r>
              <w:t>(4)</w:t>
            </w:r>
            <w:r>
              <w:tab/>
              <w:t>V okviru ESS+ je že mogoče podpreti naložbe, ki prispevajo k ciljem platforme za strateške tehnologije za Evropo (STEP), vzpostavljene z Uredbo (EU) 2024/795 Evropskega parlamenta in Sveta, katere cilj je okrepiti vodilni položaj Unije na področju tehnologije</w:t>
            </w:r>
            <w:r>
              <w:rPr>
                <w:b/>
                <w:i/>
              </w:rPr>
              <w:t xml:space="preserve"> ter razvoj znanj in spretnosti</w:t>
            </w:r>
            <w:r>
              <w:t>. Da bi dodatno spodbudili naložbe iz ESS+ na teh kritičnih področjih, bi bilo treba razširiti možnost, da države članice prejmejo višje predfinanciranje za povezane spremembe programov.</w:t>
            </w:r>
          </w:p>
        </w:tc>
      </w:tr>
      <w:tr w:rsidR="00E312A0" w:rsidTr="008D243F">
        <w:trPr>
          <w:jc w:val="center"/>
        </w:trPr>
        <w:tc>
          <w:tcPr>
            <w:tcW w:w="4876" w:type="dxa"/>
            <w:hideMark/>
          </w:tcPr>
          <w:p w:rsidR="00E312A0" w:rsidRPr="003811B2" w:rsidRDefault="00E312A0" w:rsidP="008D243F">
            <w:pPr>
              <w:pStyle w:val="Normal6"/>
            </w:pPr>
            <w:r>
              <w:t>__________________</w:t>
            </w:r>
          </w:p>
        </w:tc>
        <w:tc>
          <w:tcPr>
            <w:tcW w:w="4876" w:type="dxa"/>
            <w:hideMark/>
          </w:tcPr>
          <w:p w:rsidR="00E312A0" w:rsidRPr="003811B2" w:rsidRDefault="00E312A0" w:rsidP="008D243F">
            <w:pPr>
              <w:pStyle w:val="Normal6"/>
              <w:rPr>
                <w:szCs w:val="24"/>
              </w:rPr>
            </w:pPr>
            <w:r>
              <w:t>__________________</w:t>
            </w:r>
          </w:p>
        </w:tc>
      </w:tr>
      <w:tr w:rsidR="00E312A0" w:rsidTr="008D243F">
        <w:trPr>
          <w:jc w:val="center"/>
        </w:trPr>
        <w:tc>
          <w:tcPr>
            <w:tcW w:w="4876" w:type="dxa"/>
            <w:hideMark/>
          </w:tcPr>
          <w:p w:rsidR="00E312A0" w:rsidRPr="003811B2" w:rsidRDefault="00E312A0" w:rsidP="008D243F">
            <w:pPr>
              <w:pStyle w:val="Normal6"/>
            </w:pPr>
            <w:r>
              <w:rPr>
                <w:vertAlign w:val="superscript"/>
              </w:rPr>
              <w:t>7</w:t>
            </w:r>
            <w:r>
              <w:t xml:space="preserve"> Uredba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29. februar 2024, ELI: https://eur-lex.europa.eu/eli/reg/2024/795/oj).</w:t>
            </w:r>
          </w:p>
        </w:tc>
        <w:tc>
          <w:tcPr>
            <w:tcW w:w="4876" w:type="dxa"/>
            <w:hideMark/>
          </w:tcPr>
          <w:p w:rsidR="00E312A0" w:rsidRPr="003811B2" w:rsidRDefault="00E312A0" w:rsidP="008D243F">
            <w:pPr>
              <w:pStyle w:val="Normal6"/>
              <w:rPr>
                <w:szCs w:val="24"/>
              </w:rPr>
            </w:pPr>
            <w:r>
              <w:rPr>
                <w:vertAlign w:val="superscript"/>
              </w:rPr>
              <w:t>7</w:t>
            </w:r>
            <w:r>
              <w:t xml:space="preserve"> Uredba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29. februar 2024, ELI: https://eur-lex.europa.eu/eli/reg/2024/795/oj).</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32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Brigitte van den Berg, Jana Toom, Hristo Petrov, Grégory Allione, Eugen Tomac</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4 a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(4a)</w:t>
            </w:r>
            <w:r>
              <w:rPr>
                <w:b/>
                <w:i/>
              </w:rPr>
              <w:tab/>
              <w:t>Za reševanje ključnih izzivov spodbujanja inovacij in zaščite znanja za povečanje konkurenčnosti in odpornosti Evropske unije bi morale države članice spodbujati sodelovanje med organizacijami, ki se ukvarjajo z ustvarjanjem in razširjanjem znanj in spretnosti, kot so poklicne, akademske in raziskovalne ustanove, ter industrijami. Takšno sodelovanje je bistveno za razvoj novih tehnologij in varstvo intelektualne lastnine, s čimer se zagotavlja, da EU ostane na čelu svetovnih inovacij.</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33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4 a (novo)</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(4a)</w:t>
            </w:r>
            <w:r>
              <w:rPr>
                <w:b/>
                <w:i/>
              </w:rPr>
              <w:tab/>
              <w:t>V skladu z drugim pododstavkom člena 5(1) Uredbe (EU) 2021/1060 ESS+ prispeva k specifičnemu cilju omogočanja regijam in ljudem, da obravnavajo socialne, zaposlitvene, gospodarske in okoljske učinke, ki jih ima prehod na energetske in podnebne cilje Unije za leto 2030 in na podnebno nevtralno gospodarstvo Unije do leta 2050 na podlagi Pariškega sporazuma.</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34</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5</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(5)</w:t>
            </w:r>
            <w:r>
              <w:tab/>
              <w:t xml:space="preserve">Da bi lahko države članice </w:t>
            </w:r>
            <w:r>
              <w:rPr>
                <w:b/>
                <w:i/>
              </w:rPr>
              <w:t>smiselno</w:t>
            </w:r>
            <w:r>
              <w:t xml:space="preserve"> reprogramirale sredstva in jih usmerile na strateške prednostne naloge Unije iz uvodnih izjav 2, 3 in 4, ne da bi pri tem povzročile dodatne zamude pri izvajanju, je </w:t>
            </w:r>
            <w:r>
              <w:rPr>
                <w:b/>
                <w:i/>
              </w:rPr>
              <w:t>primerno zagotoviti dodatno</w:t>
            </w:r>
            <w:r>
              <w:t xml:space="preserve"> prožnost. Vmesni pregled </w:t>
            </w:r>
            <w:r>
              <w:rPr>
                <w:b/>
                <w:i/>
              </w:rPr>
              <w:t>bi moral biti</w:t>
            </w:r>
            <w:r>
              <w:t xml:space="preserve"> priložnost za obravnavanje nastajajočih strateških izzivov in novih prednostnih nalog, </w:t>
            </w:r>
            <w:r>
              <w:rPr>
                <w:b/>
                <w:i/>
              </w:rPr>
              <w:t>zato bi morale imeti države članice</w:t>
            </w:r>
            <w:r>
              <w:t xml:space="preserve"> več časa za dokončanje ocene </w:t>
            </w:r>
            <w:r>
              <w:rPr>
                <w:b/>
                <w:i/>
              </w:rPr>
              <w:t>rezultatov vmesnega pregleda</w:t>
            </w:r>
            <w:r>
              <w:t xml:space="preserve"> in </w:t>
            </w:r>
            <w:r>
              <w:rPr>
                <w:b/>
                <w:i/>
              </w:rPr>
              <w:t>predložitev s tem povezanih sprememb programov</w:t>
            </w:r>
            <w:r>
              <w:t>.</w:t>
            </w:r>
          </w:p>
        </w:tc>
        <w:tc>
          <w:tcPr>
            <w:tcW w:w="4876" w:type="dxa"/>
            <w:hideMark/>
          </w:tcPr>
          <w:p w:rsidR="00E312A0" w:rsidRPr="003811B2" w:rsidRDefault="00E312A0" w:rsidP="008D243F">
            <w:pPr>
              <w:pStyle w:val="Normal6"/>
              <w:rPr>
                <w:szCs w:val="24"/>
              </w:rPr>
            </w:pPr>
            <w:r>
              <w:t>(5)</w:t>
            </w:r>
            <w:r>
              <w:tab/>
              <w:t xml:space="preserve">Da bi lahko države članice </w:t>
            </w:r>
            <w:r>
              <w:rPr>
                <w:b/>
                <w:i/>
              </w:rPr>
              <w:t>znatno</w:t>
            </w:r>
            <w:r>
              <w:t xml:space="preserve"> reprogramirale sredstva in jih usmerile na strateške prednostne naloge Unije iz uvodnih izjav 2, 3 in 4, ne da bi pri tem povzročile dodatne zamude pri izvajanju, je </w:t>
            </w:r>
            <w:r>
              <w:rPr>
                <w:b/>
                <w:i/>
              </w:rPr>
              <w:t>potrebna dodatna</w:t>
            </w:r>
            <w:r>
              <w:t xml:space="preserve"> prožnost. Vmesni pregled </w:t>
            </w:r>
            <w:r>
              <w:rPr>
                <w:b/>
                <w:i/>
              </w:rPr>
              <w:t>se šteje za</w:t>
            </w:r>
            <w:r>
              <w:t xml:space="preserve"> priložnost za obravnavanje nastajajočih strateških izzivov in novih prednostnih nalog, </w:t>
            </w:r>
            <w:r>
              <w:rPr>
                <w:b/>
                <w:i/>
              </w:rPr>
              <w:t>kar bo državam članicam omogočilo</w:t>
            </w:r>
            <w:r>
              <w:t xml:space="preserve"> več časa za dokončanje ocene </w:t>
            </w:r>
            <w:r>
              <w:rPr>
                <w:b/>
                <w:i/>
              </w:rPr>
              <w:t>uspešnosti in predložitev ustreznih programskih sprememb. Vendar se je treba vprašati, ali bi lahko osredotočanje prizadevanj na ponovno opredelitev prednostnih nalog na ravni EU spodkopalo bistvo kohezijske politike, ki temelji na obravnavanju posebnih prednostnih nalog in potreb ozemelj. Preusmerjanje pozornosti na globalne strateške izzive lahko glavno poslanstvo, tj. zmanjšanje regionalnih razlik in spodbujanje uravnoteženega teritorialnega razvoja, premakne v ozadje, kar bi povzročilo izgubo teritorialnega pristopa, ki je značilen za kohezijsko politiko.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35</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5</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(5)</w:t>
            </w:r>
            <w:r>
              <w:tab/>
              <w:t>Da bi lahko države članice smiselno reprogramirale sredstva in jih usmerile na strateške prednostne naloge Unije iz uvodnih izjav 2, 3 in 4, ne da bi pri tem povzročile dodatne zamude pri izvajanju, je primerno zagotoviti dodatno prožnost. Vmesni pregled bi moral biti priložnost za obravnavanje nastajajočih strateških izzivov in novih prednostnih nalog, zato bi morale imeti države članice več časa za dokončanje ocene rezultatov vmesnega pregleda in predložitev s tem povezanih sprememb programov.</w:t>
            </w:r>
          </w:p>
        </w:tc>
        <w:tc>
          <w:tcPr>
            <w:tcW w:w="4876" w:type="dxa"/>
            <w:hideMark/>
          </w:tcPr>
          <w:p w:rsidR="00E312A0" w:rsidRPr="003811B2" w:rsidRDefault="00E312A0" w:rsidP="008D243F">
            <w:pPr>
              <w:pStyle w:val="Normal6"/>
              <w:rPr>
                <w:szCs w:val="24"/>
              </w:rPr>
            </w:pPr>
            <w:r>
              <w:t>(5)</w:t>
            </w:r>
            <w:r>
              <w:tab/>
              <w:t>Da bi lahko države članice smiselno reprogramirale sredstva</w:t>
            </w:r>
            <w:r>
              <w:rPr>
                <w:b/>
                <w:i/>
              </w:rPr>
              <w:t>, ne da bi se izgubila osredotočenost na glavne cilje sklada,</w:t>
            </w:r>
            <w:r>
              <w:t xml:space="preserve"> in jih usmerile na strateške prednostne naloge Unije iz uvodnih izjav 2, 3 in 4, ne da bi pri tem povzročile dodatne zamude pri izvajanju, je primerno zagotoviti dodatno prožnost. Vmesni pregled bi moral biti priložnost za obravnavanje nastajajočih strateških izzivov in novih prednostnih nalog, zato bi morale imeti države članice več časa za dokončanje ocene rezultatov vmesnega pregleda in predložitev s tem povezanih sprememb programov.</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36</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5</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(5)</w:t>
            </w:r>
            <w:r>
              <w:tab/>
              <w:t xml:space="preserve">Da bi lahko države članice smiselno reprogramirale sredstva in jih usmerile na strateške prednostne naloge Unije iz uvodnih izjav </w:t>
            </w:r>
            <w:r>
              <w:rPr>
                <w:b/>
                <w:i/>
              </w:rPr>
              <w:t xml:space="preserve">2, </w:t>
            </w:r>
            <w:r>
              <w:t>3 in 4, ne da bi pri tem povzročile dodatne zamude pri izvajanju, je primerno zagotoviti dodatno prožnost. Vmesni pregled bi moral biti priložnost za obravnavanje nastajajočih strateških izzivov in novih prednostnih nalog, zato bi morale imeti države članice več časa za dokončanje ocene rezultatov vmesnega pregleda in predložitev s tem povezanih sprememb programov.</w:t>
            </w:r>
          </w:p>
        </w:tc>
        <w:tc>
          <w:tcPr>
            <w:tcW w:w="4876" w:type="dxa"/>
            <w:hideMark/>
          </w:tcPr>
          <w:p w:rsidR="00E312A0" w:rsidRPr="003811B2" w:rsidRDefault="00E312A0" w:rsidP="008D243F">
            <w:pPr>
              <w:pStyle w:val="Normal6"/>
              <w:rPr>
                <w:szCs w:val="24"/>
              </w:rPr>
            </w:pPr>
            <w:r>
              <w:t>(5)</w:t>
            </w:r>
            <w:r>
              <w:tab/>
              <w:t>Da bi lahko države članice smiselno reprogramirale sredstva in jih usmerile na strateške prednostne naloge Unije iz uvodnih izjav 3 in 4, ne da bi pri tem povzročile dodatne zamude pri izvajanju, je primerno zagotoviti dodatno prožnost. Vmesni pregled bi moral biti priložnost za obravnavanje nastajajočih strateških</w:t>
            </w:r>
            <w:r>
              <w:rPr>
                <w:b/>
                <w:i/>
              </w:rPr>
              <w:t xml:space="preserve"> in socialnih</w:t>
            </w:r>
            <w:r>
              <w:t xml:space="preserve"> izzivov in novih prednostnih nalog, zato bi morale imeti države članice več časa za dokončanje ocene rezultatov vmesnega pregleda in predložitev s tem povezanih sprememb programov.</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37</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Brigitte van den Berg, Jana Toom, Hristo Petrov, Grégory Allione, Eugen Tomac</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5</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(5)</w:t>
            </w:r>
            <w:r>
              <w:tab/>
              <w:t>Da bi lahko države članice smiselno reprogramirale sredstva in jih usmerile na strateške prednostne naloge Unije iz uvodnih izjav 2, 3 in 4, ne da bi pri tem povzročile dodatne zamude pri izvajanju, je primerno zagotoviti dodatno prožnost. Vmesni pregled bi moral biti priložnost za obravnavanje nastajajočih strateških izzivov in novih prednostnih nalog, zato bi morale imeti države članice več časa za dokončanje ocene rezultatov vmesnega pregleda in predložitev s tem povezanih sprememb programov.</w:t>
            </w:r>
          </w:p>
        </w:tc>
        <w:tc>
          <w:tcPr>
            <w:tcW w:w="4876" w:type="dxa"/>
            <w:hideMark/>
          </w:tcPr>
          <w:p w:rsidR="00E312A0" w:rsidRPr="003811B2" w:rsidRDefault="00E312A0" w:rsidP="008D243F">
            <w:pPr>
              <w:pStyle w:val="Normal6"/>
              <w:rPr>
                <w:szCs w:val="24"/>
              </w:rPr>
            </w:pPr>
            <w:r>
              <w:t>(5)</w:t>
            </w:r>
            <w:r>
              <w:tab/>
              <w:t xml:space="preserve">Da bi lahko države članice smiselno </w:t>
            </w:r>
            <w:r>
              <w:rPr>
                <w:b/>
                <w:i/>
              </w:rPr>
              <w:t xml:space="preserve">in pravično </w:t>
            </w:r>
            <w:r>
              <w:t>reprogramirale sredstva in jih usmerile na strateške prednostne naloge Unije iz uvodnih izjav 2, 3 in 4, ne da bi pri tem povzročile dodatne zamude pri izvajanju, je primerno zagotoviti dodatno prožnost. Vmesni pregled bi moral biti priložnost za obravnavanje nastajajočih strateških izzivov in novih prednostnih nalog, zato bi morale imeti države članice več časa za dokončanje ocene rezultatov vmesnega pregleda in predložitev s tem povezanih sprememb programov.</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38</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Marie Dauchy, Nikola Bartůšek</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{EMPL}</w:t>
      </w:r>
      <w:r>
        <w:t>v imenu Odbora za zaposlovanje in socialne zadeve:</w:t>
      </w:r>
      <w:r w:rsidRPr="00E312A0">
        <w:rPr>
          <w:rStyle w:val="HideTWBExt"/>
        </w:rPr>
        <w:t>&lt;/AuNomDe&gt;</w:t>
      </w:r>
    </w:p>
    <w:p w:rsidR="00E312A0" w:rsidRPr="003811B2" w:rsidRDefault="00E312A0" w:rsidP="00E312A0">
      <w:pPr>
        <w:pStyle w:val="NormalBold"/>
      </w:pPr>
      <w:r w:rsidRPr="00E312A0">
        <w:rPr>
          <w:rStyle w:val="HideTWBExt"/>
          <w:b w:val="0"/>
        </w:rPr>
        <w:t>&lt;Members&gt;</w:t>
      </w:r>
      <w:r>
        <w:t>Séverine Werbrouck</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6</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(6)</w:t>
            </w:r>
            <w:r>
              <w:tab/>
              <w:t>Da bi pospešili izvajanje programov kohezijske politike in zmanjšali pritisk na nacionalne proračune ter zagotovili potrebno likvidnost za izvajanje ključnih naložb, bi bilo treba za programe izplačati dodatno enkratno predfinanciranje iz ESS+. Zaradi negativnega učinka agresije Rusije v Ukrajini bi bilo treba odstotek predfinanciranja dodatno povečati za nekatere programe, ki zajemajo eno ali več regij NUTS 2, ki mejijo na Rusijo, Belorusijo ali Ukrajino. Da bi spodbudili reprogramiranje za namene ključnih prednostnih nalog v okviru vmesnega pregleda, bi moralo biti dodatno predfinanciranje na voljo le, kadar je dosežen določen prag za prerazporeditev finančnih sredstev na posebne ključne prednostne naloge.</w:t>
            </w:r>
          </w:p>
        </w:tc>
        <w:tc>
          <w:tcPr>
            <w:tcW w:w="4876" w:type="dxa"/>
            <w:hideMark/>
          </w:tcPr>
          <w:p w:rsidR="00E312A0" w:rsidRPr="003811B2" w:rsidRDefault="00E312A0" w:rsidP="008D243F">
            <w:pPr>
              <w:pStyle w:val="Normal6"/>
              <w:rPr>
                <w:szCs w:val="24"/>
              </w:rPr>
            </w:pPr>
            <w:r>
              <w:t>(6)</w:t>
            </w:r>
            <w:r>
              <w:tab/>
              <w:t>Da bi pospešili izvajanje programov kohezijske politike in zmanjšali pritisk na nacionalne proračune ter zagotovili potrebno likvidnost za izvajanje ključnih naložb, bi bilo treba za programe izplačati dodatno enkratno predfinanciranje iz ESS+. Zaradi negativnega učinka agresije Rusije v Ukrajini</w:t>
            </w:r>
            <w:r>
              <w:rPr>
                <w:b/>
                <w:i/>
              </w:rPr>
              <w:t>, vključno s povečanim migracijskim pritiskom,</w:t>
            </w:r>
            <w:r>
              <w:t xml:space="preserve"> bi bilo treba odstotek predfinanciranja dodatno povečati za nekatere programe, ki zajemajo eno ali več regij NUTS 2, ki mejijo na Rusijo, Belorusijo ali Ukrajino</w:t>
            </w:r>
            <w:r>
              <w:rPr>
                <w:b/>
                <w:i/>
              </w:rPr>
              <w:t>. Ker so te iste regije zaradi svoje lege na mejah Evropske unije že dolgo vstopna točka za množično nezakonito priseljevanje, ta položaj prinaša tudi negativne posledice, ki se še stopnjujejo</w:t>
            </w:r>
            <w:r>
              <w:t>. Da bi spodbudili reprogramiranje za namene ključnih prednostnih nalog v okviru vmesnega pregleda, bi moralo biti dodatno predfinanciranje na voljo le, kadar je dosežen določen prag za prerazporeditev finančnih sredstev na posebne ključne prednostne naloge.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{FR}</w:t>
      </w:r>
      <w:r w:rsidRPr="003811B2">
        <w:rPr>
          <w:noProof w:val="0"/>
        </w:rPr>
        <w:t>fr</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39</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6</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(6)</w:t>
            </w:r>
            <w:r>
              <w:tab/>
              <w:t xml:space="preserve">Da bi pospešili izvajanje programov kohezijske politike in zmanjšali pritisk na nacionalne proračune ter zagotovili potrebno likvidnost za izvajanje ključnih naložb, bi bilo treba za programe izplačati dodatno enkratno predfinanciranje iz ESS+. Zaradi negativnega učinka agresije Rusije v Ukrajini bi bilo treba odstotek predfinanciranja dodatno povečati za nekatere programe, ki zajemajo eno ali več regij NUTS 2, ki mejijo na Rusijo, Belorusijo </w:t>
            </w:r>
            <w:r>
              <w:rPr>
                <w:b/>
                <w:i/>
              </w:rPr>
              <w:t>ali</w:t>
            </w:r>
            <w:r>
              <w:t xml:space="preserve"> Ukrajino. Da bi spodbudili reprogramiranje za namene ključnih prednostnih nalog v okviru vmesnega pregleda, bi moralo biti dodatno predfinanciranje na voljo le, kadar je dosežen določen prag za prerazporeditev finančnih sredstev na posebne ključne prednostne naloge.</w:t>
            </w:r>
          </w:p>
        </w:tc>
        <w:tc>
          <w:tcPr>
            <w:tcW w:w="4876" w:type="dxa"/>
            <w:hideMark/>
          </w:tcPr>
          <w:p w:rsidR="00E312A0" w:rsidRPr="003811B2" w:rsidRDefault="00E312A0" w:rsidP="008D243F">
            <w:pPr>
              <w:pStyle w:val="Normal6"/>
              <w:rPr>
                <w:szCs w:val="24"/>
              </w:rPr>
            </w:pPr>
            <w:r>
              <w:t>(6)</w:t>
            </w:r>
            <w:r>
              <w:tab/>
              <w:t>Da bi pospešili izvajanje programov kohezijske politike in zmanjšali pritisk na nacionalne proračune ter zagotovili potrebno likvidnost za izvajanje ključnih naložb, bi bilo treba za programe izplačati dodatno enkratno predfinanciranje iz ESS+. Zaradi negativnega učinka agresije Rusije v Ukrajini bi bilo treba odstotek predfinanciranja dodatno povečati za nekatere programe, ki zajemajo eno ali več regij NUTS 2, ki mejijo na Rusijo, Belorusijo</w:t>
            </w:r>
            <w:r>
              <w:rPr>
                <w:b/>
                <w:i/>
              </w:rPr>
              <w:t>,</w:t>
            </w:r>
            <w:r>
              <w:t xml:space="preserve"> Ukrajino ali </w:t>
            </w:r>
            <w:r>
              <w:rPr>
                <w:b/>
                <w:i/>
              </w:rPr>
              <w:t>regije, ki so jih znatno prizadele nekonvencionalne ali hibridne grožnje</w:t>
            </w:r>
            <w:r>
              <w:t>. Da bi spodbudili reprogramiranje za namene ključnih prednostnih nalog v okviru vmesnega pregleda, bi moralo biti dodatno predfinanciranje na voljo le, kadar je dosežen določen prag za prerazporeditev finančnih sredstev na posebne ključne prednostne naloge.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40</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6</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(6)</w:t>
            </w:r>
            <w:r>
              <w:tab/>
              <w:t xml:space="preserve">Da bi pospešili izvajanje programov kohezijske politike in zmanjšali pritisk na nacionalne proračune ter zagotovili potrebno likvidnost za izvajanje ključnih naložb, bi bilo treba za programe izplačati dodatno enkratno predfinanciranje iz ESS+. </w:t>
            </w:r>
            <w:r>
              <w:rPr>
                <w:b/>
                <w:i/>
              </w:rPr>
              <w:t>Zaradi negativnega učinka agresije Rusije v Ukrajini bi bilo treba odstotek predfinanciranja dodatno povečati za nekatere programe, ki zajemajo eno ali več regij NUTS 2, ki mejijo na Rusijo, Belorusijo ali Ukrajino.</w:t>
            </w:r>
            <w:r>
              <w:t xml:space="preserve"> Da bi spodbudili reprogramiranje za namene ključnih prednostnih nalog v okviru vmesnega pregleda, bi moralo biti dodatno predfinanciranje na voljo le, kadar je dosežen določen prag za prerazporeditev finančnih sredstev na posebne ključne prednostne naloge.</w:t>
            </w:r>
          </w:p>
        </w:tc>
        <w:tc>
          <w:tcPr>
            <w:tcW w:w="4876" w:type="dxa"/>
            <w:hideMark/>
          </w:tcPr>
          <w:p w:rsidR="00E312A0" w:rsidRPr="003811B2" w:rsidRDefault="00E312A0" w:rsidP="008D243F">
            <w:pPr>
              <w:pStyle w:val="Normal6"/>
              <w:rPr>
                <w:szCs w:val="24"/>
              </w:rPr>
            </w:pPr>
            <w:r>
              <w:t>(6)</w:t>
            </w:r>
            <w:r>
              <w:tab/>
              <w:t xml:space="preserve">Da bi pospešili izvajanje programov kohezijske politike in zmanjšali pritisk na nacionalne proračune ter zagotovili potrebno likvidnost za izvajanje ključnih naložb, bi bilo treba za programe izplačati dodatno enkratno predfinanciranje iz ESS+. Da bi spodbudili reprogramiranje za namene ključnih prednostnih nalog v okviru vmesnega pregleda, bi moralo biti dodatno predfinanciranje na voljo le, kadar je dosežen določen prag za prerazporeditev finančnih sredstev na posebne ključne prednostne naloge. </w:t>
            </w:r>
            <w:r>
              <w:rPr>
                <w:b/>
                <w:i/>
              </w:rPr>
              <w:t>Zaradi negativnega učinka agresije Rusije v Ukrajini bi bilo treba odstotek predfinanciranja dodatno povečati za nekatere programe, ki zajemajo eno ali več regij NUTS 2, ki mejijo na Rusijo, Belorusijo ali Ukrajino, in sicer brez posebnih pogojev za prerazporeditev finančnih sredstev programa na namenske prednostne naloge.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41</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7</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(7)</w:t>
            </w:r>
            <w:r>
              <w:tab/>
            </w:r>
            <w:r>
              <w:rPr>
                <w:b/>
                <w:i/>
              </w:rPr>
              <w:t>Poleg tega</w:t>
            </w:r>
            <w:r>
              <w:t xml:space="preserve"> bi </w:t>
            </w:r>
            <w:r>
              <w:rPr>
                <w:b/>
                <w:i/>
              </w:rPr>
              <w:t>bilo treba zaradi upoštevanja časa, potrebnega za preusmeritev naložb, in za čim boljšo uporabo razpoložljivih sredstev prilagoditi roke za upravičenost izdatkov in pravila o prenehanju obveznosti za programe, s katerimi se sredstva prerazporedijo na strateške prednostne naloge v okviru vmesnega pregleda</w:t>
            </w:r>
            <w:r>
              <w:t>.</w:t>
            </w:r>
          </w:p>
        </w:tc>
        <w:tc>
          <w:tcPr>
            <w:tcW w:w="4876" w:type="dxa"/>
            <w:hideMark/>
          </w:tcPr>
          <w:p w:rsidR="00E312A0" w:rsidRPr="003811B2" w:rsidRDefault="00E312A0" w:rsidP="008D243F">
            <w:pPr>
              <w:pStyle w:val="Normal6"/>
              <w:rPr>
                <w:szCs w:val="24"/>
              </w:rPr>
            </w:pPr>
            <w:r>
              <w:t>(7)</w:t>
            </w:r>
            <w:r>
              <w:tab/>
            </w:r>
            <w:r>
              <w:rPr>
                <w:b/>
                <w:i/>
              </w:rPr>
              <w:t>Da</w:t>
            </w:r>
            <w:r>
              <w:t xml:space="preserve"> bi </w:t>
            </w:r>
            <w:r>
              <w:rPr>
                <w:b/>
                <w:i/>
              </w:rPr>
              <w:t>imel vmesni pregled dejanski učinek in bi države članice učinkovito spodbudil k preusmeritvi svojih programov k novim strateškim prednostnim nalogam, bi bilo treba dati prednost naložbam na teh področjih v okviru obstoječih rokov za upravičenost in sprostitev obveznosti, ne da bi se sedanji roki podaljšali</w:t>
            </w:r>
            <w:r>
              <w:t>.</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42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8</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(8)</w:t>
            </w:r>
            <w:r>
              <w:tab/>
              <w:t xml:space="preserve">Biti bi moralo tudi mogoče, da se uporabi najvišja stopnja sofinanciranja v višini do </w:t>
            </w:r>
            <w:r>
              <w:rPr>
                <w:b/>
                <w:i/>
              </w:rPr>
              <w:t>100</w:t>
            </w:r>
            <w:r>
              <w:t xml:space="preserve"> % za prednostne naloge pri programih, ki zajemajo eno ali več regij na ravni NUTS2, ki mejijo na Rusijo, Belorusijo ali </w:t>
            </w:r>
            <w:r>
              <w:rPr>
                <w:b/>
                <w:i/>
              </w:rPr>
              <w:t>Ukrajino</w:t>
            </w:r>
            <w:r>
              <w:t>, zaradi negativnega učinka vojne agresije Rusije proti Ukrajini na te regije.</w:t>
            </w:r>
          </w:p>
        </w:tc>
        <w:tc>
          <w:tcPr>
            <w:tcW w:w="4876" w:type="dxa"/>
            <w:hideMark/>
          </w:tcPr>
          <w:p w:rsidR="00E312A0" w:rsidRPr="003811B2" w:rsidRDefault="00E312A0" w:rsidP="008D243F">
            <w:pPr>
              <w:pStyle w:val="Normal6"/>
              <w:rPr>
                <w:szCs w:val="24"/>
              </w:rPr>
            </w:pPr>
            <w:r>
              <w:t>(8)</w:t>
            </w:r>
            <w:r>
              <w:tab/>
              <w:t xml:space="preserve">Biti bi moralo tudi mogoče, da se uporabi najvišja stopnja sofinanciranja v višini do </w:t>
            </w:r>
            <w:r>
              <w:rPr>
                <w:b/>
                <w:i/>
              </w:rPr>
              <w:t>95</w:t>
            </w:r>
            <w:r>
              <w:t> % za prednostne naloge pri programih, ki zajemajo eno ali več regij na ravni NUTS2, ki mejijo na Rusijo, Belorusijo</w:t>
            </w:r>
            <w:r>
              <w:rPr>
                <w:b/>
                <w:i/>
              </w:rPr>
              <w:t>, Ukrajino in regije, ki so jih znatno prizadele nekonvencionalne</w:t>
            </w:r>
            <w:r>
              <w:t xml:space="preserve"> ali </w:t>
            </w:r>
            <w:r>
              <w:rPr>
                <w:b/>
                <w:i/>
              </w:rPr>
              <w:t>hibridne grožnje</w:t>
            </w:r>
            <w:r>
              <w:t>, zaradi negativnega učinka vojne agresije Rusije proti Ukrajini na te regije.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43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8</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(8)</w:t>
            </w:r>
            <w:r>
              <w:tab/>
              <w:t>Biti bi moralo tudi mogoče, da se uporabi najvišja stopnja sofinanciranja v višini do 100 % za prednostne naloge pri programih, ki zajemajo eno ali več regij na ravni NUTS2, ki mejijo na Rusijo, Belorusijo ali Ukrajino, zaradi negativnega učinka vojne agresije Rusije proti Ukrajini na te regije.</w:t>
            </w:r>
          </w:p>
        </w:tc>
        <w:tc>
          <w:tcPr>
            <w:tcW w:w="4876" w:type="dxa"/>
            <w:hideMark/>
          </w:tcPr>
          <w:p w:rsidR="00E312A0" w:rsidRPr="003811B2" w:rsidRDefault="00E312A0" w:rsidP="008D243F">
            <w:pPr>
              <w:pStyle w:val="Normal6"/>
              <w:rPr>
                <w:szCs w:val="24"/>
              </w:rPr>
            </w:pPr>
            <w:r>
              <w:t>(8)</w:t>
            </w:r>
            <w:r>
              <w:tab/>
              <w:t>Biti bi moralo tudi mogoče, da se uporabi najvišja stopnja sofinanciranja v višini do 100 % za prednostne naloge pri programih, ki zajemajo eno ali več regij na ravni NUTS2, ki mejijo na Rusijo, Belorusijo ali Ukrajino, zaradi negativnega učinka vojne agresije Rusije proti Ukrajini na te regije</w:t>
            </w:r>
            <w:r>
              <w:rPr>
                <w:b/>
                <w:i/>
              </w:rPr>
              <w:t>, pri tem pa se ohrani sedanje razlikovanje stopenj med kategorijami in regijami</w:t>
            </w:r>
            <w:r>
              <w:t>.</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44</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8</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(8)</w:t>
            </w:r>
            <w:r>
              <w:tab/>
              <w:t xml:space="preserve">Biti bi moralo tudi mogoče, da se uporabi najvišja stopnja sofinanciranja v višini do 100 % za </w:t>
            </w:r>
            <w:r>
              <w:rPr>
                <w:b/>
                <w:i/>
              </w:rPr>
              <w:t>prednostne naloge pri programih</w:t>
            </w:r>
            <w:r>
              <w:t>, ki zajemajo eno ali več regij na ravni NUTS2, ki mejijo na Rusijo, Belorusijo ali Ukrajino, zaradi negativnega učinka vojne agresije Rusije proti Ukrajini na te regije.</w:t>
            </w:r>
          </w:p>
        </w:tc>
        <w:tc>
          <w:tcPr>
            <w:tcW w:w="4876" w:type="dxa"/>
            <w:hideMark/>
          </w:tcPr>
          <w:p w:rsidR="00E312A0" w:rsidRPr="003811B2" w:rsidRDefault="00E312A0" w:rsidP="008D243F">
            <w:pPr>
              <w:pStyle w:val="Normal6"/>
              <w:rPr>
                <w:szCs w:val="24"/>
              </w:rPr>
            </w:pPr>
            <w:r>
              <w:t>(8)</w:t>
            </w:r>
            <w:r>
              <w:tab/>
              <w:t xml:space="preserve">Biti bi moralo tudi mogoče, da se uporabi najvišja stopnja sofinanciranja v višini do 100 % za </w:t>
            </w:r>
            <w:r>
              <w:rPr>
                <w:b/>
                <w:i/>
              </w:rPr>
              <w:t>programe</w:t>
            </w:r>
            <w:r>
              <w:t>, ki zajemajo eno ali več regij na ravni NUTS2, ki mejijo na Rusijo, Belorusijo ali Ukrajino, zaradi negativnega učinka vojne agresije Rusije proti Ukrajini na te regije.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45</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9</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(9)</w:t>
            </w:r>
            <w:r>
              <w:tab/>
              <w:t>Ker ciljev te uredbe, in sicer obravnavanja strateških izzivov, preusmeritve naložb h kritičnim novim prednostnim nalogam ter poenostavitve in pospešitve izvajanja politike, države članice ne morejo zadovoljivo doseči, temveč se lažje dosežejo na ravni Unije, lahko Unija sprejme ukrepe v skladu z načelom subsidiarnosti iz člena 5 Pogodbe o Evropski uniji. V skladu z načelom sorazmernosti iz navedenega člena ta uredba ne presega tistega, kar je potrebno za doseganje navedenega cilja.</w:t>
            </w:r>
          </w:p>
        </w:tc>
        <w:tc>
          <w:tcPr>
            <w:tcW w:w="4876" w:type="dxa"/>
            <w:hideMark/>
          </w:tcPr>
          <w:p w:rsidR="00E312A0" w:rsidRPr="003811B2" w:rsidRDefault="00E312A0" w:rsidP="008D243F">
            <w:pPr>
              <w:pStyle w:val="Normal6"/>
              <w:rPr>
                <w:szCs w:val="24"/>
              </w:rPr>
            </w:pPr>
            <w:r>
              <w:t>(9)</w:t>
            </w:r>
            <w:r>
              <w:tab/>
              <w:t xml:space="preserve">Ker ciljev te uredbe, in sicer obravnavanja strateških </w:t>
            </w:r>
            <w:r>
              <w:rPr>
                <w:b/>
                <w:i/>
              </w:rPr>
              <w:t xml:space="preserve">in socialnih </w:t>
            </w:r>
            <w:r>
              <w:t>izzivov, preusmeritve naložb h kritičnim novim prednostnim nalogam ter poenostavitve in pospešitve izvajanja politike, države članice ne morejo zadovoljivo doseči, temveč se lažje dosežejo na ravni Unije, lahko Unija sprejme ukrepe v skladu z načelom subsidiarnosti iz člena 5 Pogodbe o Evropski uniji. V skladu z načelom sorazmernosti iz navedenega člena ta uredba ne presega tistega, kar je potrebno za doseganje navedenega cilja.</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46</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9</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(9)</w:t>
            </w:r>
            <w:r>
              <w:tab/>
              <w:t>Ker ciljev te uredbe, in sicer obravnavanja strateških izzivov, preusmeritve naložb h kritičnim novim prednostnim nalogam ter poenostavitve in pospešitve izvajanja politike, države članice ne morejo zadovoljivo doseči, temveč se lažje dosežejo na ravni Unije, lahko Unija sprejme ukrepe v skladu z načelom subsidiarnosti iz člena 5 Pogodbe o Evropski uniji. V skladu z načelom sorazmernosti iz navedenega člena ta uredba ne presega tistega, kar je potrebno za doseganje navedenega cilja.</w:t>
            </w:r>
          </w:p>
        </w:tc>
        <w:tc>
          <w:tcPr>
            <w:tcW w:w="4876" w:type="dxa"/>
            <w:hideMark/>
          </w:tcPr>
          <w:p w:rsidR="00E312A0" w:rsidRPr="003811B2" w:rsidRDefault="00E312A0" w:rsidP="008D243F">
            <w:pPr>
              <w:pStyle w:val="Normal6"/>
              <w:rPr>
                <w:szCs w:val="24"/>
              </w:rPr>
            </w:pPr>
            <w:r>
              <w:t>(9)</w:t>
            </w:r>
            <w:r>
              <w:tab/>
              <w:t xml:space="preserve">Ker ciljev te uredbe, in sicer obravnavanja strateških </w:t>
            </w:r>
            <w:r>
              <w:rPr>
                <w:b/>
                <w:i/>
              </w:rPr>
              <w:t xml:space="preserve">in socialnih </w:t>
            </w:r>
            <w:r>
              <w:t>izzivov, preusmeritve naložb h kritičnim novim prednostnim nalogam ter poenostavitve in pospešitve izvajanja politike, države članice ne morejo zadovoljivo doseči, temveč se lažje dosežejo na ravni Unije, lahko Unija sprejme ukrepe v skladu z načelom subsidiarnosti iz člena 5 Pogodbe o Evropski uniji. V skladu z načelom sorazmernosti iz navedenega člena ta uredba ne presega tistega, kar je potrebno za doseganje navedenega cilja.</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47</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11</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(11)</w:t>
            </w:r>
            <w:r>
              <w:tab/>
              <w:t xml:space="preserve">Glede na </w:t>
            </w:r>
            <w:r>
              <w:rPr>
                <w:b/>
                <w:i/>
              </w:rPr>
              <w:t>pereče</w:t>
            </w:r>
            <w:r>
              <w:t xml:space="preserve"> strateške geopolitične izzive in zaradi nujne potrebe po omogočanju ključnih naložb v spretnosti v </w:t>
            </w:r>
            <w:r>
              <w:rPr>
                <w:b/>
                <w:i/>
              </w:rPr>
              <w:t>obrambni industriji</w:t>
            </w:r>
            <w:r>
              <w:t xml:space="preserve"> ter v prilagajanje spremembam, povezanih z razogljičenjem, bi morala ta uredba začeti veljati dan po objavi v Uradnem listu Evropske unije –</w:t>
            </w:r>
          </w:p>
        </w:tc>
        <w:tc>
          <w:tcPr>
            <w:tcW w:w="4876" w:type="dxa"/>
            <w:hideMark/>
          </w:tcPr>
          <w:p w:rsidR="00E312A0" w:rsidRPr="003811B2" w:rsidRDefault="00E312A0" w:rsidP="008D243F">
            <w:pPr>
              <w:pStyle w:val="Normal6"/>
              <w:rPr>
                <w:szCs w:val="24"/>
              </w:rPr>
            </w:pPr>
            <w:r>
              <w:t>(11)</w:t>
            </w:r>
            <w:r>
              <w:tab/>
              <w:t xml:space="preserve">Glede na </w:t>
            </w:r>
            <w:r>
              <w:rPr>
                <w:b/>
                <w:i/>
              </w:rPr>
              <w:t>vse večje</w:t>
            </w:r>
            <w:r>
              <w:t xml:space="preserve"> strateške geopolitične izzive in zaradi nujne potrebe po omogočanju ključnih naložb v </w:t>
            </w:r>
            <w:r>
              <w:rPr>
                <w:b/>
                <w:i/>
              </w:rPr>
              <w:t xml:space="preserve">specifične </w:t>
            </w:r>
            <w:r>
              <w:t xml:space="preserve">spretnosti v </w:t>
            </w:r>
            <w:r>
              <w:rPr>
                <w:b/>
                <w:i/>
              </w:rPr>
              <w:t>kritičnih industrijah</w:t>
            </w:r>
            <w:r>
              <w:t xml:space="preserve"> ter v prilagajanje spremembam, povezanih z razogljičenjem, bi morala ta uredba začeti veljati dan po objavi v Uradnem listu Evropske unije –</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48</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Uvodna izjava 11</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(11)</w:t>
            </w:r>
            <w:r>
              <w:tab/>
              <w:t xml:space="preserve">Glede na pereče strateške geopolitične izzive in zaradi nujne potrebe po omogočanju ključnih naložb v spretnosti v </w:t>
            </w:r>
            <w:r>
              <w:rPr>
                <w:b/>
                <w:i/>
              </w:rPr>
              <w:t>obrambni</w:t>
            </w:r>
            <w:r>
              <w:t xml:space="preserve"> industriji ter v prilagajanje spremembam, povezanih z razogljičenjem, bi morala ta uredba začeti veljati dan po objavi v Uradnem listu Evropske unije –</w:t>
            </w:r>
          </w:p>
        </w:tc>
        <w:tc>
          <w:tcPr>
            <w:tcW w:w="4876" w:type="dxa"/>
            <w:hideMark/>
          </w:tcPr>
          <w:p w:rsidR="00E312A0" w:rsidRPr="003811B2" w:rsidRDefault="00E312A0" w:rsidP="008D243F">
            <w:pPr>
              <w:pStyle w:val="Normal6"/>
              <w:rPr>
                <w:szCs w:val="24"/>
              </w:rPr>
            </w:pPr>
            <w:r>
              <w:t>(11)</w:t>
            </w:r>
            <w:r>
              <w:tab/>
              <w:t xml:space="preserve">Glede na pereče strateške geopolitične izzive in zaradi nujne potrebe po omogočanju ključnih naložb v spretnosti v </w:t>
            </w:r>
            <w:r>
              <w:rPr>
                <w:b/>
                <w:i/>
              </w:rPr>
              <w:t>tehnični</w:t>
            </w:r>
            <w:r>
              <w:t xml:space="preserve"> industriji ter v prilagajanje spremembam, povezanih z razogljičenjem, bi morala ta uredba začeti veljati dan po objavi v Uradnem listu Evropske unije –</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49</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(EU)2021/1057</w:t>
      </w:r>
      <w:r w:rsidRPr="00E312A0">
        <w:rPr>
          <w:rStyle w:val="HideTWBExt"/>
        </w:rPr>
        <w:t>&lt;/DocAmend2&gt;</w:t>
      </w:r>
    </w:p>
    <w:p w:rsidR="00E312A0" w:rsidRPr="003811B2" w:rsidRDefault="00E312A0" w:rsidP="00E312A0">
      <w:r w:rsidRPr="00E312A0">
        <w:rPr>
          <w:rStyle w:val="HideTWBExt"/>
        </w:rPr>
        <w:t>&lt;Article2&gt;</w:t>
      </w:r>
      <w:r>
        <w:t>Člen 5a – odstavek 1 – prvi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 xml:space="preserve">Komisija v letu 2026 kot dodatno enkratno predfinanciranje izplača 4,5 % skupne podpore iz ESS+, kot je določeno v sklepu o odobritvi spremembe programa. Odstotek enkratnega predfinanciranja v letu 2026 se poveča na 9,5 % za programe, ki zajemajo eno ali več regij na ravni NUTS2, ki mejijo na Rusijo, Belorusijo ali </w:t>
            </w:r>
            <w:r>
              <w:rPr>
                <w:b/>
                <w:i/>
              </w:rPr>
              <w:t>Ukrajino</w:t>
            </w:r>
            <w:r>
              <w:t xml:space="preserve">, v kolikor program ne zajema celotnega ozemlja države članice. Kadar so v državi članici regije na ravni NUTS 2, ki mejijo na Rusijo, Belorusijo ali </w:t>
            </w:r>
            <w:r>
              <w:rPr>
                <w:b/>
                <w:i/>
              </w:rPr>
              <w:t>Ukrajino</w:t>
            </w:r>
            <w:r>
              <w:t>, vključene izključno v programe, ki zajemajo celotno ozemlje te države članice, se za te programe uporablja povečano predfinanciranje iz tega odstavka.</w:t>
            </w:r>
          </w:p>
        </w:tc>
        <w:tc>
          <w:tcPr>
            <w:tcW w:w="4876" w:type="dxa"/>
            <w:hideMark/>
          </w:tcPr>
          <w:p w:rsidR="00E312A0" w:rsidRPr="003811B2" w:rsidRDefault="00E312A0" w:rsidP="008D243F">
            <w:pPr>
              <w:pStyle w:val="Normal6"/>
              <w:rPr>
                <w:szCs w:val="24"/>
              </w:rPr>
            </w:pPr>
            <w:r>
              <w:t>Komisija v letu 2026 kot dodatno enkratno predfinanciranje izplača 4,5 % skupne podpore iz ESS+, kot je določeno v sklepu o odobritvi spremembe programa. Odstotek enkratnega predfinanciranja v letu 2026 se poveča na 9,5 % za programe, ki zajemajo eno ali več regij na ravni NUTS2, ki mejijo na Rusijo, Belorusijo</w:t>
            </w:r>
            <w:r>
              <w:rPr>
                <w:b/>
                <w:i/>
              </w:rPr>
              <w:t>, Ukrajino in regije, ki so jih znatno prizadele nekonvencionalne</w:t>
            </w:r>
            <w:r>
              <w:t xml:space="preserve"> ali </w:t>
            </w:r>
            <w:r>
              <w:rPr>
                <w:b/>
                <w:i/>
              </w:rPr>
              <w:t>hibridne grožnje</w:t>
            </w:r>
            <w:r>
              <w:t>, v kolikor program ne zajema celotnega ozemlja države članice. Kadar so v državi članici regije na ravni NUTS 2, ki mejijo na Rusijo, Belorusijo</w:t>
            </w:r>
            <w:r>
              <w:rPr>
                <w:b/>
                <w:i/>
              </w:rPr>
              <w:t>, Ukrajino</w:t>
            </w:r>
            <w:r>
              <w:t xml:space="preserve"> ali </w:t>
            </w:r>
            <w:r>
              <w:rPr>
                <w:b/>
                <w:i/>
              </w:rPr>
              <w:t>regije, ki so jih znatno prizadele nekonvencionalne ali hibridne grožnje</w:t>
            </w:r>
            <w:r>
              <w:t xml:space="preserve">, vključene izključno v programe, ki zajemajo celotno ozemlje te države članice, se za te programe uporablja povečano predfinanciranje iz tega odstavka. </w:t>
            </w:r>
            <w:r>
              <w:rPr>
                <w:b/>
                <w:i/>
              </w:rPr>
              <w:t>Vendar se za izvajanje izrednega predfinanciranja, zlasti tistega, ki se dodeli z enkratnim izplačilom v višini 30 % dodeljenih sredstev, opravi predhodna ocena finančnega učinka na letne dodelitve iz proračuna EU. Če se ugotovijo znatne obremenitve, se aktivira kompenzacijski mehanizem, ki omogoča začasno prilagoditev stopnje predfinanciranja.</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(Sprememba velja za celotno besedilo; če bo sprejeta, bodo potrebne ustrezne prilagoditve v celotnem besedilu.)</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pPr>
        <w:pStyle w:val="CrossRef"/>
      </w:pPr>
      <w:r>
        <w:t>(</w:t>
      </w:r>
      <w:r w:rsidR="00881E6B">
        <w:t>Odstavek</w:t>
      </w:r>
      <w:r>
        <w:t xml:space="preserve"> 30-31 </w:t>
      </w:r>
      <w:r w:rsidR="00881E6B">
        <w:t>mnenja</w:t>
      </w:r>
      <w:r w:rsidR="00881E6B">
        <w:t xml:space="preserve"> Evropskega računskega sodišča</w:t>
      </w:r>
      <w:r w:rsidR="00881E6B">
        <w:t xml:space="preserve"> št.</w:t>
      </w:r>
      <w:r w:rsidR="00881E6B">
        <w:t xml:space="preserve"> </w:t>
      </w:r>
      <w:r>
        <w:t>02/2025)</w:t>
      </w:r>
    </w:p>
    <w:p w:rsidR="00E312A0" w:rsidRPr="003811B2" w:rsidRDefault="00E312A0" w:rsidP="00E312A0">
      <w:pPr>
        <w:pStyle w:val="JustificationTitle"/>
        <w:rPr>
          <w:noProof w:val="0"/>
        </w:rPr>
      </w:pPr>
      <w:r w:rsidRPr="00E312A0">
        <w:rPr>
          <w:rStyle w:val="HideTWBExt"/>
          <w:i w:val="0"/>
        </w:rPr>
        <w:t>&lt;TitreJust&gt;</w:t>
      </w:r>
      <w:r>
        <w:t>Obrazložitev</w:t>
      </w:r>
      <w:r w:rsidRPr="00E312A0">
        <w:rPr>
          <w:rStyle w:val="HideTWBExt"/>
          <w:i w:val="0"/>
        </w:rPr>
        <w:t>&lt;/TitreJust&gt;</w:t>
      </w:r>
    </w:p>
    <w:p w:rsidR="00E312A0" w:rsidRPr="003811B2" w:rsidRDefault="00E312A0" w:rsidP="00E312A0">
      <w:pPr>
        <w:pStyle w:val="Normal12Italic"/>
        <w:rPr>
          <w:noProof w:val="0"/>
        </w:rPr>
      </w:pPr>
      <w:r>
        <w:t>Zaradi obremenitve – v nekaterih primerih do 30 % –, ki bi jo lahko imelo to izredno predfinanciranje na letni proračun EU. Priporoča se, da se tak ukrep v celoti utemelji in da se vzpostavijo mehanizmi prilagajanja.</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50</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(EU)2021/1057</w:t>
      </w:r>
      <w:r w:rsidRPr="00E312A0">
        <w:rPr>
          <w:rStyle w:val="HideTWBExt"/>
        </w:rPr>
        <w:t>&lt;/DocAmend2&gt;</w:t>
      </w:r>
    </w:p>
    <w:p w:rsidR="00E312A0" w:rsidRPr="003811B2" w:rsidRDefault="00E312A0" w:rsidP="00E312A0">
      <w:r w:rsidRPr="00E312A0">
        <w:rPr>
          <w:rStyle w:val="HideTWBExt"/>
        </w:rPr>
        <w:t>&lt;Article2&gt;</w:t>
      </w:r>
      <w:r>
        <w:t>Člen 5 – odstavek 1 – prvi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Komisija v letu 2026 kot dodatno enkratno predfinanciranje izplača 4,5 % skupne podpore iz ESS+, kot je določeno v sklepu o odobritvi spremembe programa. Odstotek enkratnega predfinanciranja v letu 2026 se poveča na 9,5 % za programe, ki zajemajo eno ali več regij na ravni NUTS2, ki mejijo na Rusijo, Belorusijo ali Ukrajino, v kolikor program ne zajema celotnega ozemlja države članice. Kadar so v državi članici regije na ravni NUTS 2, ki mejijo na Rusijo, Belorusijo ali Ukrajino, vključene izključno v programe, ki zajemajo celotno ozemlje te države članice, se za te programe uporablja povečano predfinanciranje iz tega odstavka.</w:t>
            </w:r>
          </w:p>
        </w:tc>
        <w:tc>
          <w:tcPr>
            <w:tcW w:w="4876" w:type="dxa"/>
            <w:hideMark/>
          </w:tcPr>
          <w:p w:rsidR="00E312A0" w:rsidRPr="003811B2" w:rsidRDefault="00E312A0" w:rsidP="008D243F">
            <w:pPr>
              <w:pStyle w:val="Normal6"/>
              <w:rPr>
                <w:szCs w:val="24"/>
              </w:rPr>
            </w:pPr>
            <w:r>
              <w:t xml:space="preserve">Komisija v letu 2026 kot dodatno enkratno predfinanciranje izplača 4,5 % skupne podpore iz ESS+, kot je določeno v sklepu o odobritvi spremembe programa. </w:t>
            </w:r>
            <w:r>
              <w:rPr>
                <w:b/>
                <w:i/>
              </w:rPr>
              <w:t xml:space="preserve">Dodatno predfinanciranje se uporablja le, kadar so bile odobrene prerazporeditve vsaj </w:t>
            </w:r>
            <w:r>
              <w:t xml:space="preserve">5 % </w:t>
            </w:r>
            <w:r>
              <w:rPr>
                <w:b/>
                <w:i/>
              </w:rPr>
              <w:t>finančnih sredstev programa na</w:t>
            </w:r>
            <w:r>
              <w:t xml:space="preserve"> eno ali več </w:t>
            </w:r>
            <w:r>
              <w:rPr>
                <w:b/>
                <w:i/>
              </w:rPr>
              <w:t>namenskih prednostnih nalog</w:t>
            </w:r>
            <w:r>
              <w:t xml:space="preserve">, </w:t>
            </w:r>
            <w:r>
              <w:rPr>
                <w:b/>
                <w:i/>
              </w:rPr>
              <w:t>določenih</w:t>
            </w:r>
            <w:r>
              <w:t xml:space="preserve"> v </w:t>
            </w:r>
            <w:r>
              <w:rPr>
                <w:b/>
                <w:i/>
              </w:rPr>
              <w:t>skladu s členoma 12a in 12d</w:t>
            </w:r>
            <w:r>
              <w:t xml:space="preserve">, </w:t>
            </w:r>
            <w:r>
              <w:rPr>
                <w:b/>
                <w:i/>
              </w:rPr>
              <w:t>in pod pogojem</w:t>
            </w:r>
            <w:r>
              <w:t xml:space="preserve">, </w:t>
            </w:r>
            <w:r>
              <w:rPr>
                <w:b/>
                <w:i/>
              </w:rPr>
              <w:t>da so ukrepi namenjeni manjšim upravičencem</w:t>
            </w:r>
            <w:r>
              <w:t xml:space="preserve">, </w:t>
            </w:r>
            <w:r>
              <w:rPr>
                <w:b/>
                <w:i/>
              </w:rPr>
              <w:t>če</w:t>
            </w:r>
            <w:r>
              <w:t xml:space="preserve"> se </w:t>
            </w:r>
            <w:r>
              <w:rPr>
                <w:b/>
                <w:i/>
              </w:rPr>
              <w:t>sprememba programa predloži do 31. decembra 2025</w:t>
            </w:r>
            <w:r>
              <w:t>.</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t xml:space="preserve">Odstotek enkratnega predfinanciranja v letu 2026 se poveča na 9,5 % za </w:t>
            </w:r>
            <w:r>
              <w:rPr>
                <w:b/>
                <w:i/>
              </w:rPr>
              <w:t>vse</w:t>
            </w:r>
            <w:r>
              <w:t xml:space="preserve"> programe, ki zajemajo eno ali več regij na ravni NUTS2, ki mejijo na Rusijo, Belorusijo ali Ukrajino, v kolikor program ne zajema celotnega ozemlja države članice. Kadar so v državi članici regije na ravni NUTS 2, ki mejijo na Rusijo, Belorusijo ali Ukrajino, vključene izključno v programe, ki zajemajo celotno ozemlje te države članice, se za te programe uporablja povečano predfinanciranje iz tega odstavka.</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51</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(EU)2021/1057</w:t>
      </w:r>
      <w:r w:rsidRPr="00E312A0">
        <w:rPr>
          <w:rStyle w:val="HideTWBExt"/>
        </w:rPr>
        <w:t>&lt;/DocAmend2&gt;</w:t>
      </w:r>
    </w:p>
    <w:p w:rsidR="00E312A0" w:rsidRPr="003811B2" w:rsidRDefault="00E312A0" w:rsidP="00E312A0">
      <w:r w:rsidRPr="00E312A0">
        <w:rPr>
          <w:rStyle w:val="HideTWBExt"/>
        </w:rPr>
        <w:t>&lt;Article2&gt;</w:t>
      </w:r>
      <w:r>
        <w:t>Člen 5a – odstavek 1 – drugi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Dodatno predfinanciranje iz prvega pododstavka tega odstavka se uporablja le, če je bila odobrena prerazporeditev vsaj 15 % finančnih sredstev programa za eno ali več namenskih prednostnih nalog, določenih v skladu s členi 12a, 12c in 12d, pod pogojem, da se zahtevek za spremembo programa predloži do 31. decembra 2025.</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52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(EU)2021/1057</w:t>
      </w:r>
      <w:r w:rsidRPr="00E312A0">
        <w:rPr>
          <w:rStyle w:val="HideTWBExt"/>
        </w:rPr>
        <w:t>&lt;/DocAmend2&gt;</w:t>
      </w:r>
    </w:p>
    <w:p w:rsidR="00E312A0" w:rsidRPr="003811B2" w:rsidRDefault="00E312A0" w:rsidP="00E312A0">
      <w:r w:rsidRPr="00E312A0">
        <w:rPr>
          <w:rStyle w:val="HideTWBExt"/>
        </w:rPr>
        <w:t>&lt;Article2&gt;</w:t>
      </w:r>
      <w:r>
        <w:t>Člen 5a – odstavek 1 – drugi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Dodatno predfinanciranje iz prvega pododstavka tega odstavka se uporablja le, če je bila odobrena prerazporeditev vsaj 15 % finančnih sredstev programa za eno ali več namenskih prednostnih nalog, določenih v skladu s členi 12a, 12c in 12d, pod pogojem, da se zahtevek za spremembo programa predloži do 31. decembra 2025.</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53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(EU)2021/1057</w:t>
      </w:r>
      <w:r w:rsidRPr="00E312A0">
        <w:rPr>
          <w:rStyle w:val="HideTWBExt"/>
        </w:rPr>
        <w:t>&lt;/DocAmend2&gt;</w:t>
      </w:r>
    </w:p>
    <w:p w:rsidR="00E312A0" w:rsidRPr="003811B2" w:rsidRDefault="00E312A0" w:rsidP="00E312A0">
      <w:r w:rsidRPr="00E312A0">
        <w:rPr>
          <w:rStyle w:val="HideTWBExt"/>
        </w:rPr>
        <w:t>&lt;Article2&gt;</w:t>
      </w:r>
      <w:r>
        <w:t>Člen 5a – odstavek 1 – drugi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Dodatno</w:t>
            </w:r>
            <w:r>
              <w:t xml:space="preserve"> predfinanciranje </w:t>
            </w:r>
            <w:r>
              <w:rPr>
                <w:b/>
                <w:i/>
              </w:rPr>
              <w:t>iz prvega pododstavka tega odstavka</w:t>
            </w:r>
            <w:r>
              <w:t xml:space="preserve"> se uporablja </w:t>
            </w:r>
            <w:r>
              <w:rPr>
                <w:b/>
                <w:i/>
              </w:rPr>
              <w:t>le, če je bila odobrena</w:t>
            </w:r>
            <w:r>
              <w:t xml:space="preserve"> prerazporeditev </w:t>
            </w:r>
            <w:r>
              <w:rPr>
                <w:b/>
                <w:i/>
              </w:rPr>
              <w:t xml:space="preserve">vsaj 15 % </w:t>
            </w:r>
            <w:r>
              <w:t>finančnih sredstev</w:t>
            </w:r>
            <w:r>
              <w:rPr>
                <w:b/>
                <w:i/>
              </w:rPr>
              <w:t xml:space="preserve"> programa za eno ali več namenskih prednostnih nalog, določenih v skladu</w:t>
            </w:r>
            <w:r>
              <w:t xml:space="preserve"> s </w:t>
            </w:r>
            <w:r>
              <w:rPr>
                <w:b/>
                <w:i/>
              </w:rPr>
              <w:t>členi 12a</w:t>
            </w:r>
            <w:r>
              <w:t xml:space="preserve">, </w:t>
            </w:r>
            <w:r>
              <w:rPr>
                <w:b/>
                <w:i/>
              </w:rPr>
              <w:t>12c in 12d</w:t>
            </w:r>
            <w:r>
              <w:t xml:space="preserve">, </w:t>
            </w:r>
            <w:r>
              <w:rPr>
                <w:b/>
                <w:i/>
              </w:rPr>
              <w:t>pod pogojem, da se zahtevek za spremembo programa predloži do 31. decembra 2025</w:t>
            </w:r>
            <w:r>
              <w:t>.</w:t>
            </w:r>
          </w:p>
        </w:tc>
        <w:tc>
          <w:tcPr>
            <w:tcW w:w="4876" w:type="dxa"/>
            <w:hideMark/>
          </w:tcPr>
          <w:p w:rsidR="00E312A0" w:rsidRPr="003811B2" w:rsidRDefault="00E312A0" w:rsidP="008D243F">
            <w:pPr>
              <w:pStyle w:val="Normal6"/>
              <w:rPr>
                <w:szCs w:val="24"/>
              </w:rPr>
            </w:pPr>
            <w:r>
              <w:rPr>
                <w:b/>
                <w:i/>
              </w:rPr>
              <w:t>Izredno</w:t>
            </w:r>
            <w:r>
              <w:t xml:space="preserve"> predfinanciranje </w:t>
            </w:r>
            <w:r>
              <w:rPr>
                <w:b/>
                <w:i/>
              </w:rPr>
              <w:t>(4,5 % ali 9,5 % za programe v sosednjih regijah NUTS 2)</w:t>
            </w:r>
            <w:r>
              <w:t xml:space="preserve"> se </w:t>
            </w:r>
            <w:r>
              <w:rPr>
                <w:b/>
                <w:i/>
              </w:rPr>
              <w:t xml:space="preserve">ne </w:t>
            </w:r>
            <w:r>
              <w:t xml:space="preserve">uporablja </w:t>
            </w:r>
            <w:r>
              <w:rPr>
                <w:b/>
                <w:i/>
              </w:rPr>
              <w:t>samodejno nad 12,5-odstotnim pragom za</w:t>
            </w:r>
            <w:r>
              <w:t xml:space="preserve"> prerazporeditev finančnih sredstev</w:t>
            </w:r>
            <w:r>
              <w:rPr>
                <w:b/>
                <w:i/>
              </w:rPr>
              <w:t>. Komisija v sodelovanju z državami članicami in s primerjalno analizo, vključno</w:t>
            </w:r>
            <w:r>
              <w:t xml:space="preserve"> s </w:t>
            </w:r>
            <w:r>
              <w:rPr>
                <w:b/>
                <w:i/>
              </w:rPr>
              <w:t>kvalitativnimi in kvantitativnimi vidiki, oceni</w:t>
            </w:r>
            <w:r>
              <w:t xml:space="preserve">, </w:t>
            </w:r>
            <w:r>
              <w:rPr>
                <w:b/>
                <w:i/>
              </w:rPr>
              <w:t>ali se izvedena prerazporeditev učinkovito odziva na opredeljene strateške prednostne naloge. Ta analiza lahko privede do uvedbe dodatnih finančnih ukrepov tudi v primerih</w:t>
            </w:r>
            <w:r>
              <w:t xml:space="preserve">, </w:t>
            </w:r>
            <w:r>
              <w:rPr>
                <w:b/>
                <w:i/>
              </w:rPr>
              <w:t>ko stopnja prerazporeditve ne doseže 12,5 %, če je strateška potreba po prilagoditvi trdno utemeljena</w:t>
            </w:r>
            <w:r>
              <w:t>.</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(Sprememba velja za celotno besedilo; če bo sprejeta, bodo potrebne ustrezne prilagoditve v celotnem besedilu.)</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pPr>
        <w:pStyle w:val="CrossRef"/>
      </w:pPr>
      <w:r>
        <w:t>(Gl. mnenje Evropskega računskega sodišča št. 02/2025, odstavka 30 in 31.)</w:t>
      </w:r>
    </w:p>
    <w:p w:rsidR="00E312A0" w:rsidRPr="003811B2" w:rsidRDefault="00E312A0" w:rsidP="00E312A0">
      <w:pPr>
        <w:pStyle w:val="JustificationTitle"/>
        <w:rPr>
          <w:noProof w:val="0"/>
        </w:rPr>
      </w:pPr>
      <w:r w:rsidRPr="00E312A0">
        <w:rPr>
          <w:rStyle w:val="HideTWBExt"/>
          <w:i w:val="0"/>
        </w:rPr>
        <w:t>&lt;TitreJust&gt;</w:t>
      </w:r>
      <w:r>
        <w:t>Obrazložitev</w:t>
      </w:r>
      <w:r w:rsidRPr="00E312A0">
        <w:rPr>
          <w:rStyle w:val="HideTWBExt"/>
          <w:i w:val="0"/>
        </w:rPr>
        <w:t>&lt;/TitreJust&gt;</w:t>
      </w:r>
    </w:p>
    <w:p w:rsidR="00E312A0" w:rsidRPr="003811B2" w:rsidRDefault="00E312A0" w:rsidP="00E312A0">
      <w:pPr>
        <w:pStyle w:val="Normal12Italic"/>
        <w:rPr>
          <w:noProof w:val="0"/>
        </w:rPr>
      </w:pPr>
      <w:r>
        <w:t>Predlaga se, da se ustrezni odstavek člena 5a spremeni tako, da se namesto samodejne uporabe ukrepov, kadar je presežen prag 15 %, uporabi mešani pristop, ki upošteva tudi kvalitativno utemeljitev za prerazporeditev.</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54</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(EU)2021/1057</w:t>
      </w:r>
      <w:r w:rsidRPr="00E312A0">
        <w:rPr>
          <w:rStyle w:val="HideTWBExt"/>
        </w:rPr>
        <w:t>&lt;/DocAmend2&gt;</w:t>
      </w:r>
    </w:p>
    <w:p w:rsidR="00E312A0" w:rsidRPr="003811B2" w:rsidRDefault="00E312A0" w:rsidP="00E312A0">
      <w:r w:rsidRPr="00E312A0">
        <w:rPr>
          <w:rStyle w:val="HideTWBExt"/>
        </w:rPr>
        <w:t>&lt;Article2&gt;</w:t>
      </w:r>
      <w:r>
        <w:t>Člen 5a – odstavek 1 – drugi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 xml:space="preserve">Dodatno predfinanciranje iz prvega pododstavka tega odstavka se uporablja le, če je bila odobrena prerazporeditev vsaj </w:t>
            </w:r>
            <w:r>
              <w:rPr>
                <w:b/>
                <w:i/>
              </w:rPr>
              <w:t>15</w:t>
            </w:r>
            <w:r>
              <w:t xml:space="preserve"> % finančnih sredstev </w:t>
            </w:r>
            <w:r>
              <w:rPr>
                <w:b/>
                <w:i/>
              </w:rPr>
              <w:t>programa</w:t>
            </w:r>
            <w:r>
              <w:t xml:space="preserve"> za eno ali več namenskih prednostnih nalog, določenih v skladu s členi 12a, 12c in 12d, pod pogojem, da se zahtevek za spremembo programa predloži do 31. decembra 2025.</w:t>
            </w:r>
          </w:p>
        </w:tc>
        <w:tc>
          <w:tcPr>
            <w:tcW w:w="4876" w:type="dxa"/>
            <w:hideMark/>
          </w:tcPr>
          <w:p w:rsidR="00E312A0" w:rsidRPr="003811B2" w:rsidRDefault="00E312A0" w:rsidP="008D243F">
            <w:pPr>
              <w:pStyle w:val="Normal6"/>
              <w:rPr>
                <w:szCs w:val="24"/>
              </w:rPr>
            </w:pPr>
            <w:r>
              <w:t xml:space="preserve">Dodatno predfinanciranje iz prvega pododstavka tega odstavka se uporablja le, če je bila odobrena </w:t>
            </w:r>
            <w:r>
              <w:rPr>
                <w:b/>
                <w:i/>
              </w:rPr>
              <w:t xml:space="preserve">potrebna in utemeljena </w:t>
            </w:r>
            <w:r>
              <w:t xml:space="preserve">prerazporeditev vsaj </w:t>
            </w:r>
            <w:r>
              <w:rPr>
                <w:b/>
                <w:i/>
              </w:rPr>
              <w:t>10</w:t>
            </w:r>
            <w:r>
              <w:t xml:space="preserve"> % finančnih sredstev </w:t>
            </w:r>
            <w:r>
              <w:rPr>
                <w:b/>
                <w:i/>
              </w:rPr>
              <w:t>sklada</w:t>
            </w:r>
            <w:r>
              <w:t xml:space="preserve"> za eno ali več namenskih prednostnih nalog, določenih v skladu s členi 12a, 12c in 12d, pod pogojem, da se zahtevek za spremembo programa predloži do 31. decembra 2025.</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55</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Elena Donazzan, Francesco Torselli, Mariateresa Vivaldini, Chiara Gemma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(EU)2021/1057</w:t>
      </w:r>
      <w:r w:rsidRPr="00E312A0">
        <w:rPr>
          <w:rStyle w:val="HideTWBExt"/>
        </w:rPr>
        <w:t>&lt;/DocAmend2&gt;</w:t>
      </w:r>
    </w:p>
    <w:p w:rsidR="00E312A0" w:rsidRPr="003811B2" w:rsidRDefault="00E312A0" w:rsidP="00E312A0">
      <w:r w:rsidRPr="00E312A0">
        <w:rPr>
          <w:rStyle w:val="HideTWBExt"/>
        </w:rPr>
        <w:t>&lt;Article2&gt;</w:t>
      </w:r>
      <w:r>
        <w:t>Člen 5a – odstavek 1 – drugi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 xml:space="preserve">Dodatno predfinanciranje iz prvega pododstavka tega odstavka se uporablja le, če je bila odobrena prerazporeditev vsaj 15 % finančnih sredstev programa za eno ali več namenskih prednostnih nalog, določenih v skladu s </w:t>
            </w:r>
            <w:r>
              <w:rPr>
                <w:b/>
                <w:i/>
              </w:rPr>
              <w:t>členi</w:t>
            </w:r>
            <w:r>
              <w:t xml:space="preserve"> 12a</w:t>
            </w:r>
            <w:r>
              <w:rPr>
                <w:b/>
                <w:i/>
              </w:rPr>
              <w:t>,</w:t>
            </w:r>
            <w:r>
              <w:t xml:space="preserve"> 12c in </w:t>
            </w:r>
            <w:r>
              <w:rPr>
                <w:b/>
                <w:i/>
              </w:rPr>
              <w:t>12d</w:t>
            </w:r>
            <w:r>
              <w:t>, pod pogojem, da se zahtevek za spremembo programa predloži do 31. decembra 2025.</w:t>
            </w:r>
          </w:p>
        </w:tc>
        <w:tc>
          <w:tcPr>
            <w:tcW w:w="4876" w:type="dxa"/>
            <w:hideMark/>
          </w:tcPr>
          <w:p w:rsidR="00E312A0" w:rsidRPr="003811B2" w:rsidRDefault="00E312A0" w:rsidP="008D243F">
            <w:pPr>
              <w:pStyle w:val="Normal6"/>
              <w:rPr>
                <w:szCs w:val="24"/>
              </w:rPr>
            </w:pPr>
            <w:r>
              <w:t xml:space="preserve">Dodatno predfinanciranje iz prvega pododstavka tega odstavka se uporablja le, če je bila odobrena prerazporeditev vsaj 15 % finančnih sredstev programa za eno ali več namenskih prednostnih nalog, določenih v skladu s </w:t>
            </w:r>
            <w:r>
              <w:rPr>
                <w:b/>
                <w:i/>
              </w:rPr>
              <w:t>členoma</w:t>
            </w:r>
            <w:r>
              <w:t xml:space="preserve"> 12a in 12c, pod pogojem, da se zahtevek za spremembo programa predloži do 31. decembra 2025.</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56</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(EU)2021/1057</w:t>
      </w:r>
      <w:r w:rsidRPr="00E312A0">
        <w:rPr>
          <w:rStyle w:val="HideTWBExt"/>
        </w:rPr>
        <w:t>&lt;/DocAmend2&gt;</w:t>
      </w:r>
    </w:p>
    <w:p w:rsidR="00E312A0" w:rsidRPr="003811B2" w:rsidRDefault="00E312A0" w:rsidP="00E312A0">
      <w:r w:rsidRPr="00E312A0">
        <w:rPr>
          <w:rStyle w:val="HideTWBExt"/>
        </w:rPr>
        <w:t>&lt;Article2&gt;</w:t>
      </w:r>
      <w:r>
        <w:t>Člen 5a – odstavek 2</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t xml:space="preserve">Z odstopanjem od člena 63(2) in člena 105(2) Uredbe (EU) 2021/1060 je rok za upravičenost izdatkov, povračilo stroškov in sprostitev obveznosti 31. december 2030. Odstopanje se uporablja le, kadar so bile v okviru vmesnega pregleda odobrene spremembe programa za prerazporeditev vsaj </w:t>
            </w:r>
            <w:r>
              <w:rPr>
                <w:b/>
                <w:i/>
              </w:rPr>
              <w:t>15</w:t>
            </w:r>
            <w:r>
              <w:t> % finančnih sredstev programa na eno ali več namenskih prednostnih nalog, določenih v skladu s členi 12a, 12c in 12d.</w:t>
            </w:r>
          </w:p>
        </w:tc>
        <w:tc>
          <w:tcPr>
            <w:tcW w:w="4876" w:type="dxa"/>
            <w:hideMark/>
          </w:tcPr>
          <w:p w:rsidR="00E312A0" w:rsidRPr="003811B2" w:rsidRDefault="00E312A0" w:rsidP="008D243F">
            <w:pPr>
              <w:pStyle w:val="Normal6"/>
              <w:rPr>
                <w:szCs w:val="24"/>
              </w:rPr>
            </w:pPr>
            <w:r>
              <w:t>(2)</w:t>
            </w:r>
            <w:r>
              <w:tab/>
              <w:t xml:space="preserve">Z odstopanjem od člena 63(2) in člena 105(2) Uredbe (EU) 2021/1060 je rok za upravičenost izdatkov, povračilo stroškov in sprostitev obveznosti 31. december 2030. Odstopanje se uporablja le, kadar so bile v okviru vmesnega pregleda odobrene spremembe programa za prerazporeditev vsaj </w:t>
            </w:r>
            <w:r>
              <w:rPr>
                <w:b/>
                <w:i/>
              </w:rPr>
              <w:t>12,5</w:t>
            </w:r>
            <w:r>
              <w:t> % finančnih sredstev programa na eno ali več namenskih prednostnih nalog, določenih v skladu s členi 12a, 12c in 12d.</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(Sprememba velja za celotno besedilo; če bo sprejeta, bodo potrebne ustrezne prilagoditve v celotnem besedilu.)</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57</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(EU)2021/1057</w:t>
      </w:r>
      <w:r w:rsidRPr="00E312A0">
        <w:rPr>
          <w:rStyle w:val="HideTWBExt"/>
        </w:rPr>
        <w:t>&lt;/DocAmend2&gt;</w:t>
      </w:r>
    </w:p>
    <w:p w:rsidR="00E312A0" w:rsidRPr="003811B2" w:rsidRDefault="00E312A0" w:rsidP="00E312A0">
      <w:r w:rsidRPr="00E312A0">
        <w:rPr>
          <w:rStyle w:val="HideTWBExt"/>
        </w:rPr>
        <w:t>&lt;Article2&gt;</w:t>
      </w:r>
      <w:r>
        <w:t>Člen 5a – odstavek 2</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t xml:space="preserve">Z odstopanjem od člena 63(2) in člena 105(2) Uredbe (EU) 2021/1060 je rok za upravičenost izdatkov, povračilo stroškov in sprostitev obveznosti 31. december 2030. Odstopanje se uporablja le, kadar so bile v okviru vmesnega pregleda odobrene spremembe programa za prerazporeditev vsaj </w:t>
            </w:r>
            <w:r>
              <w:rPr>
                <w:b/>
                <w:i/>
              </w:rPr>
              <w:t>15</w:t>
            </w:r>
            <w:r>
              <w:t> % finančnih sredstev programa na eno ali več namenskih prednostnih nalog, določenih v skladu s členi 12a, 12c in 12d.</w:t>
            </w:r>
          </w:p>
        </w:tc>
        <w:tc>
          <w:tcPr>
            <w:tcW w:w="4876" w:type="dxa"/>
            <w:hideMark/>
          </w:tcPr>
          <w:p w:rsidR="00E312A0" w:rsidRPr="003811B2" w:rsidRDefault="00E312A0" w:rsidP="008D243F">
            <w:pPr>
              <w:pStyle w:val="Normal6"/>
              <w:rPr>
                <w:szCs w:val="24"/>
              </w:rPr>
            </w:pPr>
            <w:r>
              <w:t>(2)</w:t>
            </w:r>
            <w:r>
              <w:tab/>
              <w:t xml:space="preserve">Z odstopanjem od člena 63(2) in člena 105(2) Uredbe (EU) 2021/1060 je rok za upravičenost izdatkov, povračilo stroškov in sprostitev obveznosti 31. december 2030. Odstopanje se uporablja le, kadar so bile v okviru vmesnega pregleda odobrene spremembe programa za prerazporeditev vsaj </w:t>
            </w:r>
            <w:r>
              <w:rPr>
                <w:b/>
                <w:i/>
              </w:rPr>
              <w:t>5</w:t>
            </w:r>
            <w:r>
              <w:t> % finančnih sredstev programa na eno ali več namenskih prednostnih nalog, določenih v skladu s členi 12a, 12c in 12d.</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(Sprememba velja za celotno besedilo; če bo sprejeta, bodo potrebne ustrezne prilagoditve v celotnem besedilu.)</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58</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(EU)2021/1057</w:t>
      </w:r>
      <w:r w:rsidRPr="00E312A0">
        <w:rPr>
          <w:rStyle w:val="HideTWBExt"/>
        </w:rPr>
        <w:t>&lt;/DocAmend2&gt;</w:t>
      </w:r>
    </w:p>
    <w:p w:rsidR="00E312A0" w:rsidRPr="003811B2" w:rsidRDefault="00E312A0" w:rsidP="00E312A0">
      <w:r w:rsidRPr="00E312A0">
        <w:rPr>
          <w:rStyle w:val="HideTWBExt"/>
        </w:rPr>
        <w:t>&lt;Article2&gt;</w:t>
      </w:r>
      <w:r>
        <w:t>Člen 5a – odstavek 2</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t xml:space="preserve">Z odstopanjem od člena 63(2) in člena 105(2) Uredbe (EU) 2021/1060 je rok za upravičenost izdatkov, povračilo stroškov in sprostitev obveznosti 31. december 2030. Odstopanje se uporablja le, kadar so bile v okviru vmesnega pregleda odobrene spremembe </w:t>
            </w:r>
            <w:r>
              <w:rPr>
                <w:b/>
                <w:i/>
              </w:rPr>
              <w:t>programa</w:t>
            </w:r>
            <w:r>
              <w:t xml:space="preserve"> za prerazporeditev vsaj </w:t>
            </w:r>
            <w:r>
              <w:rPr>
                <w:b/>
                <w:i/>
              </w:rPr>
              <w:t>15</w:t>
            </w:r>
            <w:r>
              <w:t> % finančnih sredstev programa na eno ali več namenskih prednostnih nalog, določenih v skladu s členi 12a, 12c in 12d.</w:t>
            </w:r>
          </w:p>
        </w:tc>
        <w:tc>
          <w:tcPr>
            <w:tcW w:w="4876" w:type="dxa"/>
            <w:hideMark/>
          </w:tcPr>
          <w:p w:rsidR="00E312A0" w:rsidRPr="003811B2" w:rsidRDefault="00E312A0" w:rsidP="008D243F">
            <w:pPr>
              <w:pStyle w:val="Normal6"/>
              <w:rPr>
                <w:szCs w:val="24"/>
              </w:rPr>
            </w:pPr>
            <w:r>
              <w:t>(2)</w:t>
            </w:r>
            <w:r>
              <w:tab/>
              <w:t xml:space="preserve">Z odstopanjem od člena 63(2) in člena 105(2) Uredbe (EU) 2021/1060 je rok za upravičenost izdatkov, povračilo stroškov in sprostitev obveznosti 31. december 2030. Odstopanje se uporablja le, kadar so bile v okviru vmesnega pregleda odobrene spremembe </w:t>
            </w:r>
            <w:r>
              <w:rPr>
                <w:b/>
                <w:i/>
              </w:rPr>
              <w:t>sklada</w:t>
            </w:r>
            <w:r>
              <w:t xml:space="preserve"> za prerazporeditev vsaj </w:t>
            </w:r>
            <w:r>
              <w:rPr>
                <w:b/>
                <w:i/>
              </w:rPr>
              <w:t>10</w:t>
            </w:r>
            <w:r>
              <w:t> % finančnih sredstev programa na eno ali več namenskih prednostnih nalog, določenih v skladu s členi 12a, 12c in 12d.</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59</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Elena Donazzan, Francesco Torselli, Mariateresa Vivaldini, Chiara Gemma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2</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t xml:space="preserve">Z odstopanjem od člena 63(2) in člena 105(2) Uredbe (EU) 2021/1060 je rok za upravičenost izdatkov, povračilo stroškov in sprostitev obveznosti 31. december 2030. Odstopanje se uporablja le, kadar so bile v okviru vmesnega pregleda odobrene spremembe programa za prerazporeditev vsaj 15 % finančnih sredstev programa na eno ali več namenskih prednostnih nalog, določenih v skladu s </w:t>
            </w:r>
            <w:r>
              <w:rPr>
                <w:b/>
                <w:bCs/>
                <w:i/>
                <w:iCs/>
              </w:rPr>
              <w:t>členi</w:t>
            </w:r>
            <w:r>
              <w:t xml:space="preserve"> 12a</w:t>
            </w:r>
            <w:r>
              <w:rPr>
                <w:b/>
                <w:i/>
              </w:rPr>
              <w:t>, 12c</w:t>
            </w:r>
            <w:r>
              <w:t xml:space="preserve"> in </w:t>
            </w:r>
            <w:r>
              <w:rPr>
                <w:b/>
                <w:bCs/>
                <w:i/>
                <w:iCs/>
              </w:rPr>
              <w:t>12</w:t>
            </w:r>
            <w:r>
              <w:rPr>
                <w:b/>
                <w:i/>
              </w:rPr>
              <w:t>d</w:t>
            </w:r>
            <w:r>
              <w:t>.</w:t>
            </w:r>
          </w:p>
        </w:tc>
        <w:tc>
          <w:tcPr>
            <w:tcW w:w="4876" w:type="dxa"/>
            <w:hideMark/>
          </w:tcPr>
          <w:p w:rsidR="00E312A0" w:rsidRPr="003811B2" w:rsidRDefault="00E312A0" w:rsidP="008D243F">
            <w:pPr>
              <w:pStyle w:val="Normal6"/>
              <w:rPr>
                <w:szCs w:val="24"/>
              </w:rPr>
            </w:pPr>
            <w:r>
              <w:t>(2)</w:t>
            </w:r>
            <w:r>
              <w:tab/>
              <w:t xml:space="preserve">Z odstopanjem od člena 63(2) in člena 105(2) Uredbe (EU) 2021/1060 je rok za upravičenost izdatkov, povračilo stroškov in sprostitev obveznosti 31. december 2030. Odstopanje se uporablja le, kadar so bile v okviru vmesnega pregleda odobrene spremembe programa za prerazporeditev vsaj 15 % finančnih sredstev programa na eno ali več namenskih prednostnih nalog, določenih v skladu s </w:t>
            </w:r>
            <w:r>
              <w:rPr>
                <w:b/>
                <w:bCs/>
                <w:i/>
                <w:iCs/>
              </w:rPr>
              <w:t>členoma</w:t>
            </w:r>
            <w:r>
              <w:t xml:space="preserve"> 12a in </w:t>
            </w:r>
            <w:r>
              <w:rPr>
                <w:b/>
                <w:bCs/>
                <w:i/>
                <w:iCs/>
              </w:rPr>
              <w:t>12c</w:t>
            </w:r>
            <w:r>
              <w:t>.</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60</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2</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t xml:space="preserve">Z odstopanjem od člena 63(2) in člena 105(2) Uredbe (EU) 2021/1060 je rok za upravičenost izdatkov, povračilo stroškov in sprostitev obveznosti 31. december 2030. Odstopanje se uporablja le, kadar so bile v okviru vmesnega pregleda odobrene spremembe programa za prerazporeditev vsaj </w:t>
            </w:r>
            <w:r>
              <w:rPr>
                <w:b/>
                <w:i/>
              </w:rPr>
              <w:t>15</w:t>
            </w:r>
            <w:r>
              <w:t xml:space="preserve"> % finančnih sredstev programa na eno ali več namenskih prednostnih nalog, določenih v skladu s </w:t>
            </w:r>
            <w:r>
              <w:rPr>
                <w:b/>
                <w:i/>
              </w:rPr>
              <w:t>členi</w:t>
            </w:r>
            <w:r>
              <w:t xml:space="preserve"> 12a</w:t>
            </w:r>
            <w:r>
              <w:rPr>
                <w:b/>
                <w:i/>
              </w:rPr>
              <w:t>, 12c</w:t>
            </w:r>
            <w:r>
              <w:t xml:space="preserve"> in 12d.</w:t>
            </w:r>
          </w:p>
        </w:tc>
        <w:tc>
          <w:tcPr>
            <w:tcW w:w="4876" w:type="dxa"/>
            <w:hideMark/>
          </w:tcPr>
          <w:p w:rsidR="00E312A0" w:rsidRPr="003811B2" w:rsidRDefault="00E312A0" w:rsidP="008D243F">
            <w:pPr>
              <w:pStyle w:val="Normal6"/>
              <w:rPr>
                <w:szCs w:val="24"/>
              </w:rPr>
            </w:pPr>
            <w:r>
              <w:t>(2)</w:t>
            </w:r>
            <w:r>
              <w:tab/>
              <w:t xml:space="preserve">Z odstopanjem od člena 63(2) in člena 105(2) Uredbe (EU) 2021/1060 je rok za upravičenost izdatkov, povračilo stroškov in sprostitev obveznosti 31. december 2030. Odstopanje se uporablja le, kadar so bile v okviru vmesnega pregleda odobrene spremembe programa za prerazporeditev vsaj </w:t>
            </w:r>
            <w:r>
              <w:rPr>
                <w:b/>
                <w:i/>
              </w:rPr>
              <w:t>5</w:t>
            </w:r>
            <w:r>
              <w:t xml:space="preserve"> % finančnih sredstev programa na eno ali več namenskih prednostnih nalog, določenih v skladu s </w:t>
            </w:r>
            <w:r>
              <w:rPr>
                <w:b/>
                <w:i/>
              </w:rPr>
              <w:t>členoma</w:t>
            </w:r>
            <w:r>
              <w:t xml:space="preserve"> 12a in 12d.</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(Sprememba velja za celotno besedilo; če bo sprejeta, bodo potrebne ustrezne prilagoditve v celotnem besedilu.)</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61</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2a (novo)</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(2a)</w:t>
            </w:r>
            <w:r>
              <w:rPr>
                <w:b/>
                <w:i/>
              </w:rPr>
              <w:tab/>
              <w:t>Države članice upravičencem ob spremembi programov v tesnem in smiselnem sodelovanju s socialnimi partnerji naložijo, da morajo v zvezi z namenskimi prednostnimi nalogami spoštovati delovne in zaposlitvene pogoje na podlagi veljavnega prava Unije in nacionalnega prava, konvencij Mednarodne organizacije dela in kolektivnih pogodb.</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62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2a (novo)</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(2a)</w:t>
            </w:r>
            <w:r>
              <w:rPr>
                <w:b/>
                <w:i/>
              </w:rPr>
              <w:tab/>
              <w:t>Države članice pri reprogramiranju tesno sodelujejo s socialnimi partnerji ter spoštujejo delovne in zaposlitvene pogoje na podlagi veljavnih konvencij Mednarodne organizacije dela, prava Unije in nacionalnega prava ter kolektivnih pogodb.</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63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3</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(3)</w:t>
            </w:r>
            <w:r>
              <w:tab/>
              <w:t xml:space="preserve">Z odstopanjem od člena 112 Uredbe (EU) 2021/1060 je najvišja stopnja sofinanciranja za prednostne naloge v programih, ki zajemajo eno ali več regij na ravni NUTS2, ki mejijo na Rusijo, Belorusijo ali Ukrajino, 100 %. Višja stopnja sofinanciranja se ne uporablja za programe, ki zajemajo celotno ozemlje zadevne države članice, razen če so te regije vključene samo v programe, ki zajemajo celotno ozemlje te države članice. </w:t>
            </w:r>
            <w:r>
              <w:rPr>
                <w:b/>
                <w:i/>
              </w:rPr>
              <w:t>Odstopanje se uporablja le, kadar so bile v okviru vmesnega pregleda odobrene prerazporeditve vsaj 15 % finančnih sredstev programa na eno ali več namenskih prednostnih nalog, določenih v skladu s členi 12a, 12c in 12d te uredbe, pod pogojem, da se sprememba programa predloži do 31. decembra 2025.</w:t>
            </w:r>
          </w:p>
        </w:tc>
        <w:tc>
          <w:tcPr>
            <w:tcW w:w="4876" w:type="dxa"/>
            <w:hideMark/>
          </w:tcPr>
          <w:p w:rsidR="00E312A0" w:rsidRPr="003811B2" w:rsidRDefault="00E312A0" w:rsidP="008D243F">
            <w:pPr>
              <w:pStyle w:val="Normal6"/>
              <w:rPr>
                <w:szCs w:val="24"/>
              </w:rPr>
            </w:pPr>
            <w:r>
              <w:t>(3)</w:t>
            </w:r>
            <w:r>
              <w:tab/>
              <w:t>Z odstopanjem od člena 112 Uredbe (EU) 2021/1060 je najvišja stopnja sofinanciranja za prednostne naloge v programih, ki zajemajo eno ali več regij na ravni NUTS2, ki mejijo na Rusijo, Belorusijo ali Ukrajino, 100 %. Višja stopnja sofinanciranja se ne uporablja za programe, ki zajemajo celotno ozemlje zadevne države članice, razen če so te regije vključene samo v programe, ki zajemajo celotno ozemlje te države članice.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64</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3</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(3)</w:t>
            </w:r>
            <w:r>
              <w:tab/>
              <w:t xml:space="preserve">Z odstopanjem od člena 112 Uredbe (EU) 2021/1060 je najvišja stopnja sofinanciranja za prednostne naloge v programih, ki zajemajo eno ali več regij na ravni NUTS2, ki mejijo na Rusijo, Belorusijo ali Ukrajino, 100 %. Višja stopnja sofinanciranja se ne uporablja za programe, ki zajemajo celotno ozemlje zadevne države članice, razen če so te regije vključene samo v programe, ki zajemajo celotno ozemlje te države članice. </w:t>
            </w:r>
            <w:r>
              <w:rPr>
                <w:b/>
                <w:i/>
              </w:rPr>
              <w:t>Odstopanje se uporablja le, kadar so bile v okviru vmesnega pregleda odobrene prerazporeditve vsaj 15 % finančnih sredstev programa na eno ali več namenskih prednostnih nalog, določenih v skladu s členi 12a, 12c in 12d te uredbe, pod pogojem, da se sprememba programa predloži do 31. decembra 2025.</w:t>
            </w:r>
          </w:p>
        </w:tc>
        <w:tc>
          <w:tcPr>
            <w:tcW w:w="4876" w:type="dxa"/>
            <w:hideMark/>
          </w:tcPr>
          <w:p w:rsidR="00E312A0" w:rsidRPr="003811B2" w:rsidRDefault="00E312A0" w:rsidP="008D243F">
            <w:pPr>
              <w:pStyle w:val="Normal6"/>
              <w:rPr>
                <w:szCs w:val="24"/>
              </w:rPr>
            </w:pPr>
            <w:r>
              <w:t>(3)</w:t>
            </w:r>
            <w:r>
              <w:tab/>
              <w:t>Z odstopanjem od člena 112 Uredbe (EU) 2021/1060 je najvišja stopnja sofinanciranja za prednostne naloge v programih, ki zajemajo eno ali več regij na ravni NUTS2, ki mejijo na Rusijo, Belorusijo ali Ukrajino, 100 %. Višja stopnja sofinanciranja se ne uporablja za programe, ki zajemajo celotno ozemlje zadevne države članice, razen če so te regije vključene samo v programe, ki zajemajo celotno ozemlje te države članice.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65</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3</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(3)</w:t>
            </w:r>
            <w:r>
              <w:tab/>
              <w:t>Z odstopanjem od člena</w:t>
            </w:r>
            <w:r>
              <w:rPr>
                <w:b/>
                <w:i/>
              </w:rPr>
              <w:t xml:space="preserve"> </w:t>
            </w:r>
            <w:r>
              <w:t>112 Uredbe (EU)</w:t>
            </w:r>
            <w:r>
              <w:rPr>
                <w:b/>
                <w:i/>
              </w:rPr>
              <w:t xml:space="preserve"> </w:t>
            </w:r>
            <w:r>
              <w:t xml:space="preserve">2021/1060 je najvišja stopnja sofinanciranja za prednostne naloge v programih, ki zajemajo eno ali več regij na ravni NUTS2, ki mejijo na Rusijo, Belorusijo ali </w:t>
            </w:r>
            <w:r>
              <w:rPr>
                <w:b/>
                <w:i/>
              </w:rPr>
              <w:t>Ukrajino</w:t>
            </w:r>
            <w:r>
              <w:t xml:space="preserve">, </w:t>
            </w:r>
            <w:r>
              <w:rPr>
                <w:b/>
                <w:i/>
              </w:rPr>
              <w:t>100</w:t>
            </w:r>
            <w:r>
              <w:t xml:space="preserve"> %. Višja stopnja sofinanciranja se ne uporablja za programe, ki zajemajo celotno ozemlje zadevne države članice, razen če so te regije vključene samo v programe, ki zajemajo celotno ozemlje te države članice. Odstopanje se uporablja le, kadar so bile v okviru vmesnega pregleda odobrene prerazporeditve vsaj </w:t>
            </w:r>
            <w:r>
              <w:rPr>
                <w:b/>
                <w:i/>
              </w:rPr>
              <w:t>15</w:t>
            </w:r>
            <w:r>
              <w:t> % finančnih sredstev programa na eno ali več namenskih prednostnih nalog, določenih v skladu s členi 12a, 12c in 12d te uredbe, pod pogojem, da se sprememba programa predloži do 31. decembra 2025.</w:t>
            </w:r>
          </w:p>
        </w:tc>
        <w:tc>
          <w:tcPr>
            <w:tcW w:w="4876" w:type="dxa"/>
            <w:hideMark/>
          </w:tcPr>
          <w:p w:rsidR="00E312A0" w:rsidRPr="003811B2" w:rsidRDefault="00E312A0" w:rsidP="008D243F">
            <w:pPr>
              <w:pStyle w:val="Normal6"/>
              <w:rPr>
                <w:szCs w:val="24"/>
              </w:rPr>
            </w:pPr>
            <w:r>
              <w:t>(3)</w:t>
            </w:r>
            <w:r>
              <w:tab/>
              <w:t>Z odstopanjem od člena</w:t>
            </w:r>
            <w:r>
              <w:rPr>
                <w:b/>
                <w:i/>
              </w:rPr>
              <w:t> </w:t>
            </w:r>
            <w:r>
              <w:t>112 Uredbe (EU)</w:t>
            </w:r>
            <w:r>
              <w:rPr>
                <w:b/>
                <w:i/>
              </w:rPr>
              <w:t> </w:t>
            </w:r>
            <w:r>
              <w:t>2021/1060 je najvišja stopnja sofinanciranja za prednostne naloge v programih, ki zajemajo eno ali več regij na ravni NUTS2, ki mejijo na Rusijo, Belorusijo</w:t>
            </w:r>
            <w:r>
              <w:rPr>
                <w:b/>
                <w:i/>
              </w:rPr>
              <w:t>, Ukrajino</w:t>
            </w:r>
            <w:r>
              <w:t xml:space="preserve"> ali </w:t>
            </w:r>
            <w:r>
              <w:rPr>
                <w:b/>
                <w:bCs/>
                <w:i/>
              </w:rPr>
              <w:t>regije</w:t>
            </w:r>
            <w:r>
              <w:rPr>
                <w:b/>
                <w:bCs/>
              </w:rPr>
              <w:t xml:space="preserve">, </w:t>
            </w:r>
            <w:r>
              <w:rPr>
                <w:b/>
                <w:bCs/>
                <w:i/>
              </w:rPr>
              <w:t>ki so v veliki meri izpostavljene nekonvencionalnim ali hibridnim grožnjam</w:t>
            </w:r>
            <w:r>
              <w:rPr>
                <w:b/>
                <w:i/>
              </w:rPr>
              <w:t>, 95</w:t>
            </w:r>
            <w:r>
              <w:t xml:space="preserve"> %. Višja stopnja sofinanciranja se ne uporablja za programe, ki zajemajo celotno ozemlje zadevne države članice, razen če so te regije vključene samo v programe, ki zajemajo celotno ozemlje te države članice. Odstopanje se uporablja le, kadar so bile v okviru vmesnega pregleda odobrene prerazporeditve vsaj </w:t>
            </w:r>
            <w:r>
              <w:rPr>
                <w:b/>
                <w:i/>
              </w:rPr>
              <w:t>12,5</w:t>
            </w:r>
            <w:r>
              <w:t> % finančnih sredstev programa na eno ali več namenskih prednostnih nalog, določenih v skladu s členi 12a, 12c in 12d te uredbe, pod pogojem, da se sprememba programa predloži do 31. decembra 2025.</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(Sprememba velja za celotno besedilo; če bo sprejeta, bodo potrebne ustrezne prilagoditve v celotnem besedilu.)</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66</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3</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(3)</w:t>
            </w:r>
            <w:r>
              <w:tab/>
              <w:t xml:space="preserve">Z odstopanjem od člena 112 Uredbe (EU) 2021/1060 je najvišja stopnja sofinanciranja za prednostne naloge v programih, ki zajemajo eno ali več regij na ravni NUTS2, ki mejijo na Rusijo, Belorusijo ali Ukrajino, 100 %. Višja stopnja sofinanciranja se ne uporablja za programe, ki zajemajo celotno ozemlje zadevne države članice, razen če so te regije vključene samo v programe, ki zajemajo celotno ozemlje te države članice. Odstopanje se uporablja le, kadar so bile v okviru vmesnega pregleda odobrene prerazporeditve vsaj 15 % finančnih sredstev programa na eno ali več namenskih prednostnih nalog, določenih v skladu s </w:t>
            </w:r>
            <w:r>
              <w:rPr>
                <w:b/>
                <w:i/>
              </w:rPr>
              <w:t>členi</w:t>
            </w:r>
            <w:r>
              <w:t xml:space="preserve"> 12a</w:t>
            </w:r>
            <w:r>
              <w:rPr>
                <w:b/>
                <w:i/>
              </w:rPr>
              <w:t>, 12c</w:t>
            </w:r>
            <w:r>
              <w:t xml:space="preserve"> in 12d te uredbe, pod pogojem, da se sprememba programa predloži do 31. decembra 2025.</w:t>
            </w:r>
          </w:p>
        </w:tc>
        <w:tc>
          <w:tcPr>
            <w:tcW w:w="4876" w:type="dxa"/>
            <w:hideMark/>
          </w:tcPr>
          <w:p w:rsidR="00E312A0" w:rsidRPr="003811B2" w:rsidRDefault="00E312A0" w:rsidP="008D243F">
            <w:pPr>
              <w:pStyle w:val="Normal6"/>
              <w:rPr>
                <w:szCs w:val="24"/>
              </w:rPr>
            </w:pPr>
            <w:r>
              <w:t>(3)</w:t>
            </w:r>
            <w:r>
              <w:tab/>
              <w:t xml:space="preserve">Z odstopanjem od člena 112 Uredbe (EU) 2021/1060 je najvišja stopnja sofinanciranja za prednostne naloge v programih, ki zajemajo eno ali več regij na ravni NUTS2, ki mejijo na Rusijo, Belorusijo ali Ukrajino, 100 %. Višja stopnja sofinanciranja se ne uporablja za programe, ki zajemajo celotno ozemlje zadevne države članice, razen če so te regije vključene samo v programe, ki zajemajo celotno ozemlje te države članice. Odstopanje se uporablja le, kadar so bile v okviru vmesnega pregleda odobrene prerazporeditve vsaj 15 % finančnih sredstev programa na eno ali več namenskih prednostnih nalog, določenih v skladu s </w:t>
            </w:r>
            <w:r>
              <w:rPr>
                <w:b/>
                <w:i/>
              </w:rPr>
              <w:t>členoma</w:t>
            </w:r>
            <w:r>
              <w:t xml:space="preserve"> 12a in 12d te uredbe, pod pogojem, da se sprememba programa predloži do 31. decembra 2025.</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67</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3</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(3)</w:t>
            </w:r>
            <w:r>
              <w:tab/>
              <w:t xml:space="preserve">Z odstopanjem od člena 112 Uredbe (EU) 2021/1060 je najvišja stopnja sofinanciranja za prednostne naloge v programih, ki zajemajo eno ali več regij na ravni NUTS2, ki mejijo na Rusijo, Belorusijo ali Ukrajino, 100 %. Višja stopnja sofinanciranja se ne uporablja za programe, ki zajemajo celotno ozemlje zadevne države članice, razen če so te regije vključene samo v programe, ki zajemajo celotno ozemlje te države članice. Odstopanje se uporablja le, kadar so bile v okviru vmesnega pregleda odobrene prerazporeditve vsaj </w:t>
            </w:r>
            <w:r>
              <w:rPr>
                <w:b/>
                <w:i/>
              </w:rPr>
              <w:t>15</w:t>
            </w:r>
            <w:r>
              <w:t xml:space="preserve"> % finančnih sredstev </w:t>
            </w:r>
            <w:r>
              <w:rPr>
                <w:b/>
                <w:i/>
              </w:rPr>
              <w:t>programa</w:t>
            </w:r>
            <w:r>
              <w:t xml:space="preserve"> na eno ali več namenskih prednostnih nalog, določenih v skladu s členi 12a, 12c in 12d te uredbe, pod pogojem, da se sprememba programa predloži do 31. decembra 2025.</w:t>
            </w:r>
          </w:p>
        </w:tc>
        <w:tc>
          <w:tcPr>
            <w:tcW w:w="4876" w:type="dxa"/>
            <w:hideMark/>
          </w:tcPr>
          <w:p w:rsidR="00E312A0" w:rsidRPr="003811B2" w:rsidRDefault="00E312A0" w:rsidP="008D243F">
            <w:pPr>
              <w:pStyle w:val="Normal6"/>
              <w:rPr>
                <w:szCs w:val="24"/>
              </w:rPr>
            </w:pPr>
            <w:r>
              <w:t>(3)</w:t>
            </w:r>
            <w:r>
              <w:tab/>
              <w:t xml:space="preserve">Z odstopanjem od člena 112 Uredbe (EU) 2021/1060 je najvišja stopnja sofinanciranja za prednostne naloge v programih, ki zajemajo eno ali več regij na ravni NUTS2, ki mejijo na Rusijo, Belorusijo ali Ukrajino, 100 %. Višja stopnja sofinanciranja se ne uporablja za programe, ki zajemajo celotno ozemlje zadevne države članice, razen če so te regije vključene samo v programe, ki zajemajo celotno ozemlje te države članice. Odstopanje se uporablja le, kadar so bile v okviru vmesnega pregleda odobrene prerazporeditve vsaj </w:t>
            </w:r>
            <w:r>
              <w:rPr>
                <w:b/>
                <w:i/>
              </w:rPr>
              <w:t>10</w:t>
            </w:r>
            <w:r>
              <w:t xml:space="preserve"> % finančnih sredstev </w:t>
            </w:r>
            <w:r>
              <w:rPr>
                <w:b/>
                <w:i/>
              </w:rPr>
              <w:t>sklada</w:t>
            </w:r>
            <w:r>
              <w:t xml:space="preserve"> na eno ali več namenskih prednostnih nalog, določenih v skladu s členi 12a, 12c in 12d te uredbe, pod pogojem, da se sprememba programa predloži do 31. decembra 2025.</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68</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Elena Donazzan, Francesco Torselli, Mariateresa Vivaldini, Chiara Gemma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3</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(3)</w:t>
            </w:r>
            <w:r>
              <w:tab/>
              <w:t xml:space="preserve">Z odstopanjem od člena 112 Uredbe (EU) 2021/1060 je najvišja stopnja sofinanciranja za prednostne naloge v programih, ki zajemajo eno ali več regij na ravni NUTS2, ki mejijo na Rusijo, Belorusijo ali Ukrajino, 100 %. Višja stopnja sofinanciranja se ne uporablja za programe, ki zajemajo celotno ozemlje zadevne države članice, razen če so te regije vključene samo v programe, ki zajemajo celotno ozemlje te države članice. Odstopanje se uporablja le, kadar so bile v okviru vmesnega pregleda odobrene prerazporeditve vsaj 15 % finančnih sredstev programa na eno ali več namenskih prednostnih nalog, določenih v skladu s </w:t>
            </w:r>
            <w:r>
              <w:rPr>
                <w:b/>
                <w:i/>
              </w:rPr>
              <w:t>členi</w:t>
            </w:r>
            <w:r>
              <w:t xml:space="preserve"> 12a</w:t>
            </w:r>
            <w:r>
              <w:rPr>
                <w:b/>
                <w:i/>
              </w:rPr>
              <w:t>, 12c</w:t>
            </w:r>
            <w:r>
              <w:t xml:space="preserve"> in </w:t>
            </w:r>
            <w:r>
              <w:rPr>
                <w:b/>
                <w:bCs/>
                <w:i/>
                <w:iCs/>
              </w:rPr>
              <w:t>12d</w:t>
            </w:r>
            <w:r>
              <w:t xml:space="preserve"> te uredbe, pod pogojem, da se sprememba programa predloži do 31. decembra 2025.</w:t>
            </w:r>
          </w:p>
        </w:tc>
        <w:tc>
          <w:tcPr>
            <w:tcW w:w="4876" w:type="dxa"/>
            <w:hideMark/>
          </w:tcPr>
          <w:p w:rsidR="00E312A0" w:rsidRPr="003811B2" w:rsidRDefault="00E312A0" w:rsidP="008D243F">
            <w:pPr>
              <w:pStyle w:val="Normal6"/>
              <w:rPr>
                <w:szCs w:val="24"/>
              </w:rPr>
            </w:pPr>
            <w:r>
              <w:t>(3)</w:t>
            </w:r>
            <w:r>
              <w:tab/>
              <w:t xml:space="preserve">Z odstopanjem od člena 112 Uredbe (EU) 2021/1060 je najvišja stopnja sofinanciranja za prednostne naloge v programih, ki zajemajo eno ali več regij na ravni NUTS2, ki mejijo na Rusijo, Belorusijo ali Ukrajino, 100 %. Višja stopnja sofinanciranja se ne uporablja za programe, ki zajemajo celotno ozemlje zadevne države članice, razen če so te regije vključene samo v programe, ki zajemajo celotno ozemlje te države članice. Odstopanje se uporablja le, kadar so bile v okviru vmesnega pregleda odobrene prerazporeditve vsaj 15 % finančnih sredstev programa na eno ali več namenskih prednostnih nalog, določenih v skladu s </w:t>
            </w:r>
            <w:r>
              <w:rPr>
                <w:b/>
                <w:i/>
              </w:rPr>
              <w:t>členoma</w:t>
            </w:r>
            <w:r>
              <w:t xml:space="preserve"> 12a in </w:t>
            </w:r>
            <w:r>
              <w:rPr>
                <w:b/>
                <w:bCs/>
                <w:i/>
                <w:iCs/>
              </w:rPr>
              <w:t>12c</w:t>
            </w:r>
            <w:r>
              <w:t xml:space="preserve"> te uredbe, pod pogojem, da se sprememba programa predloži do 31. decembra 2025.</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69</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4</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(4)</w:t>
            </w:r>
            <w:r>
              <w:tab/>
              <w:t xml:space="preserve">Poleg ocene o izidu vmesnega pregleda, ki jo je treba predložiti v skladu s členom 18(2) Uredbe (EU) 2021/1060 za vsak program, lahko države članice </w:t>
            </w:r>
            <w:r>
              <w:rPr>
                <w:b/>
                <w:i/>
              </w:rPr>
              <w:t>v dveh mesecih od začetka veljavnosti Uredbe (EU) XXXX/XXXX [ta uredba]</w:t>
            </w:r>
            <w:r>
              <w:t xml:space="preserve"> ponovno predložijo dopolnilno oceno in povezane zahtevke za spremembe programa, pri čemer upoštevajo možnost namenskih prednostnih nalog v skladu s členi 12a, 12c in 12d. Uporabljajo se roki iz člena 18(3) Uredbe (EU) 2021/1060.</w:t>
            </w:r>
          </w:p>
        </w:tc>
        <w:tc>
          <w:tcPr>
            <w:tcW w:w="4876" w:type="dxa"/>
            <w:hideMark/>
          </w:tcPr>
          <w:p w:rsidR="00E312A0" w:rsidRPr="003811B2" w:rsidRDefault="00E312A0" w:rsidP="008D243F">
            <w:pPr>
              <w:pStyle w:val="Normal6"/>
              <w:rPr>
                <w:szCs w:val="24"/>
              </w:rPr>
            </w:pPr>
            <w:r>
              <w:t>(4)</w:t>
            </w:r>
            <w:r>
              <w:tab/>
              <w:t xml:space="preserve">Poleg ocene o izidu vmesnega pregleda, ki jo je treba predložiti v skladu s členom 18(2) Uredbe (EU) 2021/1060 za vsak program, lahko države članice </w:t>
            </w:r>
            <w:r>
              <w:rPr>
                <w:b/>
                <w:i/>
              </w:rPr>
              <w:t>do 31. decembra 2025</w:t>
            </w:r>
            <w:r>
              <w:t xml:space="preserve"> ponovno predložijo dopolnilno oceno in povezane zahtevke za spremembe programa, pri čemer upoštevajo možnost namenskih prednostnih nalog v skladu s členi 12a, 12c in 12d. Uporabljajo se roki iz člena 18(3) Uredbe (EU) 2021/1060.</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70</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Elena Donazzan, Francesco Torselli, Mariateresa Vivaldini, Chiara Gemma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4</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(4)</w:t>
            </w:r>
            <w:r>
              <w:tab/>
              <w:t xml:space="preserve">Poleg ocene o izidu vmesnega pregleda, ki jo je treba predložiti v skladu s členom 18(2) Uredbe (EU) 2021/1060 za vsak program, lahko države članice v dveh mesecih od začetka veljavnosti Uredbe (EU) XXXX/XXXX [ta uredba] ponovno predložijo dopolnilno oceno in povezane zahtevke za spremembe programa, pri čemer upoštevajo možnost namenskih prednostnih nalog v skladu s </w:t>
            </w:r>
            <w:r>
              <w:rPr>
                <w:b/>
                <w:i/>
              </w:rPr>
              <w:t>členi</w:t>
            </w:r>
            <w:r>
              <w:t xml:space="preserve"> 12a</w:t>
            </w:r>
            <w:r>
              <w:rPr>
                <w:b/>
                <w:i/>
              </w:rPr>
              <w:t>, 12c</w:t>
            </w:r>
            <w:r>
              <w:t xml:space="preserve"> in </w:t>
            </w:r>
            <w:r>
              <w:rPr>
                <w:b/>
                <w:bCs/>
                <w:i/>
                <w:iCs/>
              </w:rPr>
              <w:t>12</w:t>
            </w:r>
            <w:r>
              <w:rPr>
                <w:b/>
                <w:i/>
              </w:rPr>
              <w:t>d</w:t>
            </w:r>
            <w:r>
              <w:t>. Uporabljajo se roki iz člena 18(3) Uredbe (EU) 2021/1060.</w:t>
            </w:r>
          </w:p>
        </w:tc>
        <w:tc>
          <w:tcPr>
            <w:tcW w:w="4876" w:type="dxa"/>
            <w:hideMark/>
          </w:tcPr>
          <w:p w:rsidR="00E312A0" w:rsidRPr="003811B2" w:rsidRDefault="00E312A0" w:rsidP="008D243F">
            <w:pPr>
              <w:pStyle w:val="Normal6"/>
              <w:rPr>
                <w:szCs w:val="24"/>
              </w:rPr>
            </w:pPr>
            <w:r>
              <w:t>(4)</w:t>
            </w:r>
            <w:r>
              <w:tab/>
              <w:t xml:space="preserve">Poleg ocene o izidu vmesnega pregleda, ki jo je treba predložiti v skladu s členom 18(2) Uredbe (EU) 2021/1060 za vsak program, lahko države članice v dveh mesecih od začetka veljavnosti Uredbe (EU) XXXX/XXXX [ta uredba] ponovno predložijo dopolnilno oceno in povezane zahtevke za spremembe programa, pri čemer upoštevajo možnost namenskih prednostnih nalog v skladu s </w:t>
            </w:r>
            <w:r>
              <w:rPr>
                <w:b/>
                <w:i/>
              </w:rPr>
              <w:t>členoma</w:t>
            </w:r>
            <w:r>
              <w:t xml:space="preserve"> 12a in </w:t>
            </w:r>
            <w:r>
              <w:rPr>
                <w:b/>
                <w:bCs/>
                <w:i/>
                <w:iCs/>
              </w:rPr>
              <w:t>12</w:t>
            </w:r>
            <w:r>
              <w:rPr>
                <w:b/>
                <w:i/>
              </w:rPr>
              <w:t>c</w:t>
            </w:r>
            <w:r>
              <w:t>. Uporabljajo se roki iz člena 18(3) Uredbe (EU) 2021/1060.</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71</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4</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(4)</w:t>
            </w:r>
            <w:r>
              <w:tab/>
              <w:t xml:space="preserve">Poleg ocene o izidu vmesnega pregleda, ki jo je treba predložiti v skladu s členom 18(2) Uredbe (EU) 2021/1060 za vsak program, lahko države članice v dveh mesecih od začetka veljavnosti Uredbe (EU) XXXX/XXXX [ta uredba] ponovno predložijo dopolnilno oceno in povezane zahtevke za spremembe programa, pri čemer upoštevajo možnost namenskih prednostnih nalog v skladu s </w:t>
            </w:r>
            <w:r>
              <w:rPr>
                <w:b/>
                <w:i/>
              </w:rPr>
              <w:t>členi</w:t>
            </w:r>
            <w:r>
              <w:t xml:space="preserve"> 12a</w:t>
            </w:r>
            <w:r>
              <w:rPr>
                <w:b/>
                <w:i/>
              </w:rPr>
              <w:t>, 12c</w:t>
            </w:r>
            <w:r>
              <w:t xml:space="preserve"> in 12d. Uporabljajo se roki iz člena 18(3) Uredbe (EU) 2021/1060.</w:t>
            </w:r>
          </w:p>
        </w:tc>
        <w:tc>
          <w:tcPr>
            <w:tcW w:w="4876" w:type="dxa"/>
            <w:hideMark/>
          </w:tcPr>
          <w:p w:rsidR="00E312A0" w:rsidRPr="003811B2" w:rsidRDefault="00E312A0" w:rsidP="008D243F">
            <w:pPr>
              <w:pStyle w:val="Normal6"/>
              <w:rPr>
                <w:szCs w:val="24"/>
              </w:rPr>
            </w:pPr>
            <w:r>
              <w:t>(4)</w:t>
            </w:r>
            <w:r>
              <w:tab/>
              <w:t xml:space="preserve">Poleg ocene o izidu vmesnega pregleda, ki jo je treba predložiti v skladu s členom 18(2) Uredbe (EU) 2021/1060 za vsak program, lahko države članice v dveh mesecih od začetka veljavnosti Uredbe (EU) XXXX/XXXX [ta uredba] ponovno predložijo dopolnilno oceno in povezane zahtevke za spremembe programa, pri čemer upoštevajo možnost namenskih prednostnih nalog v skladu s </w:t>
            </w:r>
            <w:r>
              <w:rPr>
                <w:b/>
                <w:i/>
              </w:rPr>
              <w:t>členoma</w:t>
            </w:r>
            <w:r>
              <w:t xml:space="preserve"> 12a in 12d. Uporabljajo se roki iz člena 18(3) Uredbe (EU) 2021/1060.</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72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1</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5a – odstavek 4</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(4)</w:t>
            </w:r>
            <w:r>
              <w:tab/>
              <w:t xml:space="preserve">Poleg ocene o izidu vmesnega pregleda, ki jo je treba predložiti v skladu s členom 18(2) Uredbe (EU) 2021/1060 za vsak program, lahko države članice v dveh mesecih od začetka veljavnosti Uredbe (EU) XXXX/XXXX [ta uredba] ponovno predložijo dopolnilno oceno in povezane zahtevke za spremembe programa, pri čemer upoštevajo možnost namenskih prednostnih nalog v skladu s </w:t>
            </w:r>
            <w:r>
              <w:rPr>
                <w:b/>
                <w:i/>
              </w:rPr>
              <w:t>členi</w:t>
            </w:r>
            <w:r>
              <w:t xml:space="preserve"> 12a</w:t>
            </w:r>
            <w:r>
              <w:rPr>
                <w:b/>
                <w:i/>
              </w:rPr>
              <w:t>, 12c</w:t>
            </w:r>
            <w:r>
              <w:t xml:space="preserve"> in 12d. Uporabljajo se roki iz člena 18(3) Uredbe (EU) 2021/1060.</w:t>
            </w:r>
          </w:p>
        </w:tc>
        <w:tc>
          <w:tcPr>
            <w:tcW w:w="4876" w:type="dxa"/>
            <w:hideMark/>
          </w:tcPr>
          <w:p w:rsidR="00E312A0" w:rsidRPr="003811B2" w:rsidRDefault="00E312A0" w:rsidP="008D243F">
            <w:pPr>
              <w:pStyle w:val="Normal6"/>
              <w:rPr>
                <w:szCs w:val="24"/>
              </w:rPr>
            </w:pPr>
            <w:r>
              <w:t>(4)</w:t>
            </w:r>
            <w:r>
              <w:tab/>
              <w:t xml:space="preserve">Poleg ocene o izidu vmesnega pregleda, ki jo je treba predložiti v skladu s členom 18(2) Uredbe (EU) 2021/1060 za vsak program, lahko države članice v dveh mesecih od začetka veljavnosti Uredbe (EU) XXXX/XXXX [ta uredba] ponovno predložijo dopolnilno oceno in povezane zahtevke za spremembe programa, pri čemer upoštevajo možnost namenskih prednostnih nalog v skladu s </w:t>
            </w:r>
            <w:r>
              <w:rPr>
                <w:b/>
                <w:i/>
              </w:rPr>
              <w:t>členoma</w:t>
            </w:r>
            <w:r>
              <w:t xml:space="preserve"> 12a in 12d. Uporabljajo se roki iz člena 18(3) Uredbe (EU) 2021/1060.</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73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2</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12a – prvi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Kadar Komisija poleg predfinanciranja programa iz člena 90(1) in (2) Uredbe (EU) 2021/1060 odobri spremembo programa, ki vključuje eno ali več prednostnih nalog, namenjenih dejavnostim, ki jih podpira ESS+ in prispevajo k ciljem platforme STEP iz člena 2 Uredbe (EU) 2024/795, izvede izredno predfinanciranje v višini 30 % na podlagi dodelitve sredstev za navedene prednostne naloge, pod pogojem, da se sprememba programa predloži Komisiji do 31. decembra 2025. Izredno predfinanciranje se izplača v 60 dneh od sprejetja sklepa Komisije o odobritvi spremembe programa.</w:t>
            </w:r>
          </w:p>
        </w:tc>
        <w:tc>
          <w:tcPr>
            <w:tcW w:w="4876" w:type="dxa"/>
            <w:hideMark/>
          </w:tcPr>
          <w:p w:rsidR="00E312A0" w:rsidRPr="003811B2" w:rsidRDefault="00E312A0" w:rsidP="008D243F">
            <w:pPr>
              <w:pStyle w:val="Normal6"/>
              <w:rPr>
                <w:szCs w:val="24"/>
              </w:rPr>
            </w:pPr>
            <w:r>
              <w:t xml:space="preserve">Kadar Komisija poleg predfinanciranja programa iz člena 90(1) in (2) Uredbe (EU) 2021/1060 odobri spremembo programa, ki vključuje eno ali več prednostnih nalog, namenjenih dejavnostim, ki jih podpira ESS+ in prispevajo k ciljem platforme STEP iz člena 2 Uredbe (EU) 2024/795, izvede izredno predfinanciranje v višini 30 % na podlagi dodelitve sredstev za navedene prednostne naloge, pod pogojem, da </w:t>
            </w:r>
            <w:r>
              <w:rPr>
                <w:b/>
                <w:i/>
              </w:rPr>
              <w:t xml:space="preserve">imajo manjši upravičenci prednostni dostop do financiranja in da </w:t>
            </w:r>
            <w:r>
              <w:t>se sprememba programa predloži Komisiji do 31. decembra 2025. Izredno predfinanciranje se izplača v 60 dneh od sprejetja sklepa Komisije o odobritvi spremembe programa.</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74</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 – uvodni del</w:t>
      </w:r>
      <w:r w:rsidRPr="00E312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(3)</w:t>
            </w:r>
            <w:r>
              <w:tab/>
            </w:r>
            <w:r>
              <w:rPr>
                <w:b/>
                <w:i/>
              </w:rPr>
              <w:t>vstavita</w:t>
            </w:r>
            <w:r>
              <w:t xml:space="preserve"> se </w:t>
            </w:r>
            <w:r>
              <w:rPr>
                <w:b/>
                <w:i/>
              </w:rPr>
              <w:t>naslednja člena 12c in</w:t>
            </w:r>
            <w:r>
              <w:t> 12d:</w:t>
            </w:r>
          </w:p>
        </w:tc>
        <w:tc>
          <w:tcPr>
            <w:tcW w:w="4876" w:type="dxa"/>
            <w:hideMark/>
          </w:tcPr>
          <w:p w:rsidR="00E312A0" w:rsidRPr="003811B2" w:rsidRDefault="00E312A0" w:rsidP="008D243F">
            <w:pPr>
              <w:pStyle w:val="Normal6"/>
              <w:rPr>
                <w:szCs w:val="24"/>
              </w:rPr>
            </w:pPr>
            <w:r>
              <w:t>(3)</w:t>
            </w:r>
            <w:r>
              <w:tab/>
            </w:r>
            <w:r>
              <w:rPr>
                <w:b/>
                <w:i/>
              </w:rPr>
              <w:t>vstavi</w:t>
            </w:r>
            <w:r>
              <w:t xml:space="preserve"> se </w:t>
            </w:r>
            <w:r>
              <w:rPr>
                <w:b/>
                <w:i/>
              </w:rPr>
              <w:t>naslednji člen</w:t>
            </w:r>
            <w:r>
              <w:t> 12d:</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75</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 a (novo)</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12e (novo)</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(3a)</w:t>
            </w:r>
            <w:r>
              <w:rPr>
                <w:b/>
                <w:i/>
              </w:rPr>
              <w:tab/>
              <w:t>Smernice in poenostavitev upravnih postopkov</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Komisija najpozneje 60 dni po začetku veljavnosti te uredbe objavi sklop podrobnih smernic, skupaj z informacijami po sistemu vprašanj in odgovorov, da pojasni tehnične, pravne in postopkovne posledice ukrepov, sprejetih v skladu s členi 5a, 12c in 12d. Smernice bodo organom upravljanja omogočile, da bodo uredbo enotno uporabljali, pri čemer bo z njihovo pomočjo zmanjšana upravna obremenitev, morebitni dvomi pa bodo že v zgodnji fazi odpravljeni.</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76</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Villy Søvndal</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{Greens/EFA}</w:t>
      </w:r>
      <w:r>
        <w:t>v imenu skupine Verts/ALE</w:t>
      </w:r>
      <w:r w:rsidRPr="00E312A0">
        <w:rPr>
          <w:rStyle w:val="HideTWBExt"/>
        </w:rPr>
        <w:t>&lt;/AuNomDe&gt;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Člen 12c</w:t>
            </w:r>
          </w:p>
        </w:tc>
        <w:tc>
          <w:tcPr>
            <w:tcW w:w="4876" w:type="dxa"/>
            <w:hideMark/>
          </w:tcPr>
          <w:p w:rsidR="00E312A0" w:rsidRPr="003811B2" w:rsidRDefault="00E312A0" w:rsidP="008D243F">
            <w:pPr>
              <w:pStyle w:val="Normal6"/>
              <w:rPr>
                <w:szCs w:val="24"/>
              </w:rPr>
            </w:pPr>
            <w:r>
              <w:rPr>
                <w:b/>
                <w:i/>
              </w:rPr>
              <w:t>črtano</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(Črtanje člena 12c.)</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77</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Branislav Ondruš</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Člen 12c</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78</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Maria Zaharia (Maria Zacharia)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Člen 12c</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79</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Maria Zaharia (Maria Zacharia)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naslov</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Podpora obrambni industriji</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80</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Maria Zaharia (Maria Zacharia)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1</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(1)</w:t>
            </w:r>
            <w:r>
              <w:rPr>
                <w:b/>
                <w:i/>
              </w:rPr>
              <w:tab/>
              <w:t>Države članice se lahko odločijo, da podporo za razvoj spretnosti v obrambni industriji načrtujejo v okviru namenskih prednostnih nalog. Take prednostne naloge lahko podpirajo kateri koli specifični cilj iz točk (a) do (l) člena 4(1).</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81</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Branislav Ondruš</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1</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(1)</w:t>
            </w:r>
            <w:r>
              <w:rPr>
                <w:b/>
                <w:i/>
              </w:rPr>
              <w:tab/>
              <w:t>Države članice se lahko odločijo, da podporo za razvoj spretnosti v obrambni industriji načrtujejo v okviru namenskih prednostnih nalog. Take prednostne naloge lahko podpirajo kateri koli specifični cilj iz točk (a) do (l) člena 4(1).</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82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1</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(1)</w:t>
            </w:r>
            <w:r>
              <w:rPr>
                <w:b/>
                <w:i/>
              </w:rPr>
              <w:tab/>
              <w:t>Države članice se lahko odločijo, da podporo za razvoj spretnosti v obrambni industriji načrtujejo v okviru namenskih prednostnih nalog. Take prednostne naloge lahko podpirajo kateri koli specifični cilj iz točk (a) do (l) člena 4(1).</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83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Brigitte van den Berg, Jana Toom, Hristo Petrov, Grégory Allione, Eugen Tomac</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1</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w:t>
            </w:r>
            <w:r>
              <w:tab/>
              <w:t xml:space="preserve">Države članice se lahko odločijo, da podporo za razvoj spretnosti v obrambni industriji </w:t>
            </w:r>
            <w:r>
              <w:rPr>
                <w:b/>
                <w:i/>
              </w:rPr>
              <w:t>načrtujejo</w:t>
            </w:r>
            <w:r>
              <w:t xml:space="preserve"> v okviru namenskih prednostnih nalog. Take prednostne naloge</w:t>
            </w:r>
            <w:r>
              <w:rPr>
                <w:b/>
                <w:i/>
              </w:rPr>
              <w:t xml:space="preserve"> lahko</w:t>
            </w:r>
            <w:r>
              <w:t xml:space="preserve"> podpirajo kateri koli specifični cilj iz</w:t>
            </w:r>
            <w:r>
              <w:rPr>
                <w:b/>
                <w:i/>
              </w:rPr>
              <w:t xml:space="preserve"> točk (a) do (l)</w:t>
            </w:r>
            <w:r>
              <w:t xml:space="preserve"> člena 4(1).</w:t>
            </w:r>
          </w:p>
        </w:tc>
        <w:tc>
          <w:tcPr>
            <w:tcW w:w="4876" w:type="dxa"/>
            <w:hideMark/>
          </w:tcPr>
          <w:p w:rsidR="00E312A0" w:rsidRPr="003811B2" w:rsidRDefault="00E312A0" w:rsidP="008D243F">
            <w:pPr>
              <w:pStyle w:val="Normal6"/>
              <w:rPr>
                <w:szCs w:val="24"/>
              </w:rPr>
            </w:pPr>
            <w:r>
              <w:t>(1)</w:t>
            </w:r>
            <w:r>
              <w:tab/>
              <w:t xml:space="preserve">Države članice se lahko odločijo, da </w:t>
            </w:r>
            <w:r>
              <w:rPr>
                <w:b/>
                <w:i/>
              </w:rPr>
              <w:t xml:space="preserve">bodo </w:t>
            </w:r>
            <w:r>
              <w:t xml:space="preserve">podporo za razvoj spretnosti </w:t>
            </w:r>
            <w:r>
              <w:rPr>
                <w:b/>
                <w:i/>
              </w:rPr>
              <w:t xml:space="preserve">in usposabljanje, pa tudi raziskave in razvoj ter inovacije </w:t>
            </w:r>
            <w:r>
              <w:t xml:space="preserve">v obrambni industriji </w:t>
            </w:r>
            <w:r>
              <w:rPr>
                <w:b/>
                <w:i/>
              </w:rPr>
              <w:t>načrtovale</w:t>
            </w:r>
            <w:r>
              <w:t xml:space="preserve"> v okviru namenskih prednostnih nalog. Take prednostne naloge podpirajo kateri koli specifični cilj iz člena 4(1).</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84</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1</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w:t>
            </w:r>
            <w:r>
              <w:tab/>
              <w:t xml:space="preserve">Države članice se lahko odločijo, da podporo za razvoj spretnosti v obrambni industriji načrtujejo v okviru namenskih prednostnih nalog. Take prednostne naloge </w:t>
            </w:r>
            <w:r>
              <w:rPr>
                <w:b/>
                <w:i/>
              </w:rPr>
              <w:t xml:space="preserve">lahko </w:t>
            </w:r>
            <w:r>
              <w:t xml:space="preserve">podpirajo </w:t>
            </w:r>
            <w:r>
              <w:rPr>
                <w:b/>
                <w:i/>
              </w:rPr>
              <w:t>kateri koli specifični cilj</w:t>
            </w:r>
            <w:r>
              <w:t xml:space="preserve"> iz </w:t>
            </w:r>
            <w:r>
              <w:rPr>
                <w:b/>
                <w:i/>
              </w:rPr>
              <w:t>točk</w:t>
            </w:r>
            <w:r>
              <w:t xml:space="preserve"> (a) do (l)</w:t>
            </w:r>
            <w:r>
              <w:rPr>
                <w:b/>
                <w:i/>
              </w:rPr>
              <w:t xml:space="preserve"> člena </w:t>
            </w:r>
            <w:r>
              <w:rPr>
                <w:b/>
                <w:bCs/>
                <w:i/>
                <w:iCs/>
              </w:rPr>
              <w:t>4(1)</w:t>
            </w:r>
            <w:r>
              <w:t>.</w:t>
            </w:r>
          </w:p>
        </w:tc>
        <w:tc>
          <w:tcPr>
            <w:tcW w:w="4876" w:type="dxa"/>
            <w:hideMark/>
          </w:tcPr>
          <w:p w:rsidR="00E312A0" w:rsidRPr="003811B2" w:rsidRDefault="00E312A0" w:rsidP="008D243F">
            <w:pPr>
              <w:pStyle w:val="Normal6"/>
              <w:rPr>
                <w:szCs w:val="24"/>
              </w:rPr>
            </w:pPr>
            <w:r>
              <w:t>(1)</w:t>
            </w:r>
            <w:r>
              <w:tab/>
              <w:t xml:space="preserve">Države članice se lahko odločijo, da podporo za razvoj spretnosti v obrambni industriji načrtujejo v okviru namenskih prednostnih nalog. Take prednostne naloge podpirajo </w:t>
            </w:r>
            <w:r>
              <w:rPr>
                <w:b/>
                <w:i/>
              </w:rPr>
              <w:t>enega ali več specifičnih ciljev</w:t>
            </w:r>
            <w:r>
              <w:t xml:space="preserve"> iz </w:t>
            </w:r>
            <w:r>
              <w:rPr>
                <w:b/>
                <w:i/>
              </w:rPr>
              <w:t>člena 4(1), točke</w:t>
            </w:r>
            <w:r>
              <w:t xml:space="preserve"> (a) do (l).</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85</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Grégory Allione, Brigitte van den Berg, Marie-Pierre Vedrenne</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1a (novo)</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(1a)</w:t>
            </w:r>
            <w:r>
              <w:rPr>
                <w:b/>
                <w:i/>
              </w:rPr>
              <w:tab/>
              <w:t>Kot je poudarjeno v sporočilu o uniji spretnosti, so učinkovite politike na področju spretnosti ter usposabljanja, tudi za kritične funkcije, bistvene, če naj se zagotovi, da bodo imeli delavci prave spretnosti ter da jih bo mogoče v primeru krize mobilizirati po vsej EU. Države članice naj v ta namen spodbujajo usposabljanje, spretnosti, državljansko udejstvovanje in razvoj mobilnosti na področju obrambe in civilne zaščite, da bi poklicne delavce in prostovoljce opremile s potrebnim strokovnim znanjem in pravimi kompetencami, in to v vseh državah članicah in sektorjih.</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86</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1a (novo)</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(1a)</w:t>
            </w:r>
            <w:r>
              <w:rPr>
                <w:b/>
                <w:i/>
              </w:rPr>
              <w:tab/>
              <w:t>V tem členu „naložbe v obrambno industrijo“ pomenijo naložbe, ki dokazano prispevajo k strateški obrambni zmogljivosti Unije in so v skladu s strategijo za evropsko obrambno industrijo (EDIS). Pri teh naložbah se, kolikor je to mogoče, upošteva načelo, da se ne škoduje bistveno, prejeli pa naj bi jih upravičenci s sedežem v državah članicah ali pridruženih državah v skladu s pravnim okvirom EU.</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(Sprememba velja za celotno besedilo; če bo sprejeta, bodo potrebne ustrezne prilagoditve v celotnem besedilu.)</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pPr>
        <w:pStyle w:val="CrossRef"/>
      </w:pPr>
      <w:r>
        <w:t>(Gl. besedilo odstavkov 12–19 mnenja Evropskega računskega sodišča št. 02/2025.)</w:t>
      </w:r>
    </w:p>
    <w:p w:rsidR="00E312A0" w:rsidRPr="003811B2" w:rsidRDefault="00E312A0" w:rsidP="00E312A0">
      <w:pPr>
        <w:pStyle w:val="JustificationTitle"/>
        <w:rPr>
          <w:noProof w:val="0"/>
        </w:rPr>
      </w:pPr>
      <w:r w:rsidRPr="00E312A0">
        <w:rPr>
          <w:rStyle w:val="HideTWBExt"/>
          <w:i w:val="0"/>
        </w:rPr>
        <w:t>&lt;TitreJust&gt;</w:t>
      </w:r>
      <w:r>
        <w:t>Obrazložitev</w:t>
      </w:r>
      <w:r w:rsidRPr="00E312A0">
        <w:rPr>
          <w:rStyle w:val="HideTWBExt"/>
          <w:i w:val="0"/>
        </w:rPr>
        <w:t>&lt;/TitreJust&gt;</w:t>
      </w:r>
    </w:p>
    <w:p w:rsidR="00E312A0" w:rsidRPr="003811B2" w:rsidRDefault="00E312A0" w:rsidP="00E312A0">
      <w:pPr>
        <w:pStyle w:val="Normal12Italic"/>
        <w:rPr>
          <w:noProof w:val="0"/>
        </w:rPr>
      </w:pPr>
      <w:r>
        <w:t>Naložbe v obrambo sicer lahko pozitivno vplivajo na gospodarstvo, pri čemer pa morajo biti skladne z evropskimi strategijami ter spoštovati načelo, da se ne škoduje bistveno, in merila teritorialne skladnosti.</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87</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(EU)2021/1060</w:t>
      </w:r>
      <w:r w:rsidRPr="00E312A0">
        <w:rPr>
          <w:rStyle w:val="HideTWBExt"/>
        </w:rPr>
        <w:t>&lt;/DocAmend2&gt;</w:t>
      </w:r>
    </w:p>
    <w:p w:rsidR="00E312A0" w:rsidRPr="003811B2" w:rsidRDefault="00E312A0" w:rsidP="00E312A0">
      <w:r w:rsidRPr="00E312A0">
        <w:rPr>
          <w:rStyle w:val="HideTWBExt"/>
        </w:rPr>
        <w:t>&lt;Article2&gt;</w:t>
      </w:r>
      <w:r>
        <w:t>Člen 12c – odstavek 1b (novo)</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(1b)</w:t>
            </w:r>
            <w:r>
              <w:rPr>
                <w:b/>
                <w:i/>
              </w:rPr>
              <w:tab/>
              <w:t>Državam članicam bi bilo treba omogočiti, da sredstva prek spodbud in ciljno usmerjenega usposabljanja dodelijo za to, da v določene regije, zlasti na podeželje, privabijo mlade talente in podjetnike. V sklopu tega bi lahko bili med drugim ustanovljeni specializirani centri za usposabljanje, osredotočeni na strateške sektorje, kot so obramba, kibernetska odpornost ali tehnologije z dvojno rabo, da bi prispevali k razvoju spretnosti, skladnih s ciljem strateške avtonomije Unije, hkrati pa okrepili regionalno kohezijo.</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(Sprememba velja za celotno besedilo; če bo sprejeta, bodo potrebne ustrezne prilagoditve v celotnem besedilu.)</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88</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Maria Zaharia (Maria Zacharia)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2</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(2)</w:t>
            </w:r>
            <w:r>
              <w:rPr>
                <w:b/>
                <w:i/>
              </w:rPr>
              <w:tab/>
              <w:t>Sredstva, dodeljena namenski prednostni nalogi iz odstavka 1, se ne upoštevajo pri zagotavljanju skladnosti z zahtevami glede tematske osredotočenosti iz člena 7 te uredbe.</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89</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2</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(2)</w:t>
            </w:r>
            <w:r>
              <w:rPr>
                <w:b/>
                <w:i/>
              </w:rPr>
              <w:tab/>
              <w:t>Sredstva, dodeljena namenski prednostni nalogi iz odstavka 1, se ne upoštevajo pri zagotavljanju skladnosti z zahtevami glede tematske osredotočenosti iz člena 7 te uredbe.</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90</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Branislav Ondruš</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2</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(2)</w:t>
            </w:r>
            <w:r>
              <w:rPr>
                <w:b/>
                <w:i/>
              </w:rPr>
              <w:tab/>
              <w:t>Sredstva, dodeljena namenski prednostni nalogi iz odstavka 1, se ne upoštevajo pri zagotavljanju skladnosti z zahtevami glede tematske osredotočenosti iz člena 7 te uredbe.</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91</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2</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(2)</w:t>
            </w:r>
            <w:r>
              <w:tab/>
              <w:t xml:space="preserve">Sredstva, dodeljena namenski prednostni nalogi iz odstavka 1, se </w:t>
            </w:r>
            <w:r>
              <w:rPr>
                <w:b/>
                <w:i/>
              </w:rPr>
              <w:t xml:space="preserve">ne </w:t>
            </w:r>
            <w:r>
              <w:t>upoštevajo pri zagotavljanju skladnosti z zahtevami glede tematske osredotočenosti iz člena 7 te uredbe.</w:t>
            </w:r>
          </w:p>
        </w:tc>
        <w:tc>
          <w:tcPr>
            <w:tcW w:w="4876" w:type="dxa"/>
            <w:hideMark/>
          </w:tcPr>
          <w:p w:rsidR="00E312A0" w:rsidRPr="003811B2" w:rsidRDefault="00E312A0" w:rsidP="008D243F">
            <w:pPr>
              <w:pStyle w:val="Normal6"/>
              <w:rPr>
                <w:szCs w:val="24"/>
              </w:rPr>
            </w:pPr>
            <w:r>
              <w:t>(2)</w:t>
            </w:r>
            <w:r>
              <w:tab/>
              <w:t>Sredstva, dodeljena namenski prednostni nalogi iz odstavka 1, se upoštevajo pri zagotavljanju skladnosti z zahtevami glede tematske osredotočenosti iz člena 7 te uredbe.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92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Maria Zaharia (Maria Zacharia)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3</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(3)</w:t>
            </w:r>
            <w:r>
              <w:rPr>
                <w:b/>
                <w:i/>
              </w:rPr>
              <w:tab/>
              <w:t>Poleg letnega predfinanciranja za program iz člena 90(1) in (2) Uredbe (EU) 2021/1060 Komisija kot izredno enkratno predfinanciranje izplača 30 % dodelitve za namenske prednostne naloge iz odstavka 1 tega člena, kot je določeno v sklepu o odobritvi spremembe programa.</w:t>
            </w:r>
          </w:p>
        </w:tc>
        <w:tc>
          <w:tcPr>
            <w:tcW w:w="4876" w:type="dxa"/>
            <w:hideMark/>
          </w:tcPr>
          <w:p w:rsidR="00E312A0" w:rsidRPr="003811B2" w:rsidRDefault="00E312A0" w:rsidP="008D243F">
            <w:pPr>
              <w:pStyle w:val="Normal6"/>
              <w:rPr>
                <w:szCs w:val="24"/>
              </w:rPr>
            </w:pPr>
            <w:r>
              <w:rPr>
                <w:b/>
                <w:i/>
              </w:rPr>
              <w:t>črtano</w:t>
            </w:r>
          </w:p>
        </w:tc>
      </w:tr>
      <w:tr w:rsidR="00E312A0" w:rsidTr="008D243F">
        <w:trPr>
          <w:jc w:val="center"/>
        </w:trPr>
        <w:tc>
          <w:tcPr>
            <w:tcW w:w="4876" w:type="dxa"/>
            <w:hideMark/>
          </w:tcPr>
          <w:p w:rsidR="00E312A0" w:rsidRPr="003811B2" w:rsidRDefault="00E312A0" w:rsidP="008D243F">
            <w:pPr>
              <w:pStyle w:val="Normal6"/>
            </w:pPr>
            <w:r>
              <w:rPr>
                <w:b/>
                <w:i/>
              </w:rPr>
              <w:t>To izredno predfinanciranje se izplača v 60 dneh od sprejetja sklepa Komisije o odobritvi spremembe programa v skladu s členom 24 Uredbe (EU) 2021/1060.</w:t>
            </w:r>
          </w:p>
        </w:tc>
        <w:tc>
          <w:tcPr>
            <w:tcW w:w="4876" w:type="dxa"/>
          </w:tcPr>
          <w:p w:rsidR="00E312A0" w:rsidRPr="003811B2" w:rsidRDefault="00E312A0" w:rsidP="008D243F">
            <w:pPr>
              <w:pStyle w:val="Normal6"/>
              <w:rPr>
                <w:szCs w:val="24"/>
              </w:rPr>
            </w:pP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93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3 – prvi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Poleg letnega predfinanciranja za program iz člena 90(1) in (2) Uredbe (EU) 2021/1060 Komisija kot izredno enkratno predfinanciranje izplača 30 % dodelitve za namenske prednostne naloge iz odstavka 1 tega člena, kot je določeno v sklepu o odobritvi spremembe programa.</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94</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3 – drugi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To izredno predfinanciranje se izplača v 60 dneh od sprejetja sklepa Komisije o odobritvi spremembe programa v skladu s členom 24 Uredbe (EU) 2021/1060.</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95</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Maria Zaharia (Maria Zacharia)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4</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(4)</w:t>
            </w:r>
            <w:r>
              <w:rPr>
                <w:b/>
                <w:i/>
              </w:rPr>
              <w:tab/>
              <w:t>V skladu s členom 90(5) Uredbe (EU) 2021/1060 Komisija znesek, izplačan kot izredno predfinanciranje, obračuna najpozneje v zadnjem obračunskem letu.</w:t>
            </w:r>
          </w:p>
        </w:tc>
        <w:tc>
          <w:tcPr>
            <w:tcW w:w="4876" w:type="dxa"/>
            <w:hideMark/>
          </w:tcPr>
          <w:p w:rsidR="00E312A0" w:rsidRPr="003811B2" w:rsidRDefault="00E312A0" w:rsidP="008D243F">
            <w:pPr>
              <w:pStyle w:val="Normal6"/>
              <w:rPr>
                <w:szCs w:val="24"/>
              </w:rPr>
            </w:pPr>
            <w:r>
              <w:rPr>
                <w:b/>
                <w:i/>
              </w:rPr>
              <w:t>črtano</w:t>
            </w:r>
          </w:p>
        </w:tc>
      </w:tr>
      <w:tr w:rsidR="00E312A0" w:rsidTr="008D243F">
        <w:trPr>
          <w:jc w:val="center"/>
        </w:trPr>
        <w:tc>
          <w:tcPr>
            <w:tcW w:w="4876" w:type="dxa"/>
            <w:hideMark/>
          </w:tcPr>
          <w:p w:rsidR="00E312A0" w:rsidRPr="003811B2" w:rsidRDefault="00E312A0" w:rsidP="008D243F">
            <w:pPr>
              <w:pStyle w:val="Normal6"/>
            </w:pPr>
            <w:r>
              <w:rPr>
                <w:b/>
                <w:i/>
              </w:rPr>
              <w:t>V skladu s členom 90(6) Uredbe (EU) 2021/1060 se vsakršne obresti, ki se ustvarijo s predfinanciranjem, za zadevni program uporabijo na enak način kot se ESS+ in se vključijo v obračun za zadnje obračunsko leto.</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Pr>
                <w:b/>
                <w:i/>
              </w:rPr>
              <w:t>V skladu s členom 97(1) Uredbe (EU) 2021/1060 se izredno predfinanciranje začasno ne ustavi.</w:t>
            </w:r>
          </w:p>
        </w:tc>
        <w:tc>
          <w:tcPr>
            <w:tcW w:w="4876" w:type="dxa"/>
          </w:tcPr>
          <w:p w:rsidR="00E312A0" w:rsidRPr="003811B2" w:rsidRDefault="00E312A0" w:rsidP="008D243F">
            <w:pPr>
              <w:pStyle w:val="Normal6"/>
              <w:rPr>
                <w:szCs w:val="24"/>
              </w:rPr>
            </w:pPr>
          </w:p>
        </w:tc>
      </w:tr>
      <w:tr w:rsidR="00E312A0" w:rsidTr="008D243F">
        <w:trPr>
          <w:jc w:val="center"/>
        </w:trPr>
        <w:tc>
          <w:tcPr>
            <w:tcW w:w="4876" w:type="dxa"/>
            <w:hideMark/>
          </w:tcPr>
          <w:p w:rsidR="00E312A0" w:rsidRPr="003811B2" w:rsidRDefault="00E312A0" w:rsidP="008D243F">
            <w:pPr>
              <w:pStyle w:val="Normal6"/>
            </w:pPr>
            <w:r>
              <w:rPr>
                <w:b/>
                <w:i/>
              </w:rPr>
              <w:t>V skladu s členom 105(1) Uredbe (EU) 2021/1060 predfinanciranje, ki se upošteva pri izračunu zneskov, ki jih je treba sprostiti, vključuje izredno izplačano predfinanciranje.</w:t>
            </w:r>
          </w:p>
        </w:tc>
        <w:tc>
          <w:tcPr>
            <w:tcW w:w="4876" w:type="dxa"/>
          </w:tcPr>
          <w:p w:rsidR="00E312A0" w:rsidRPr="003811B2" w:rsidRDefault="00E312A0" w:rsidP="008D243F">
            <w:pPr>
              <w:pStyle w:val="Normal6"/>
              <w:rPr>
                <w:szCs w:val="24"/>
              </w:rPr>
            </w:pP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96</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4 – prvi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V skladu s členom 90(5) Uredbe (EU) 2021/1060 Komisija znesek, izplačan kot izredno predfinanciranje, obračuna najpozneje v zadnjem obračunskem letu.</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97</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4 – drugi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V skladu s členom 90(6) Uredbe (EU) 2021/1060 se vsakršne obresti, ki se ustvarijo s predfinanciranjem, za zadevni program uporabijo na enak način kot se ESS+ in se vključijo v obračun za zadnje obračunsko leto.</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98</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4 – tretji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V skladu s členom 97(1) Uredbe (EU) 2021/1060 se izredno predfinanciranje začasno ne ustavi.</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99</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4 – četrti pododstavek</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V skladu s členom 105(1) Uredbe (EU) 2021/1060 predfinanciranje, ki se upošteva pri izračunu zneskov, ki jih je treba sprostiti, vključuje izredno izplačano predfinanciranje.</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100</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Maria Zaharia (Maria Zacharia)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5</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(5)</w:t>
            </w:r>
            <w:r>
              <w:rPr>
                <w:b/>
                <w:i/>
              </w:rPr>
              <w:tab/>
              <w:t>Z odstopanjem od člena 112 Uredbe (EU) 2021/1060 so najvišje stopnje sofinanciranja za namenske prednostne naloge iz odstavka 1 tega člena 100 %.</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101</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5</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(5)</w:t>
            </w:r>
            <w:r>
              <w:rPr>
                <w:b/>
                <w:i/>
              </w:rPr>
              <w:tab/>
              <w:t>Z odstopanjem od člena 112 Uredbe (EU) 2021/1060 so najvišje stopnje sofinanciranja za namenske prednostne naloge iz odstavka 1 tega člena 100 %.</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102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5</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(5)</w:t>
            </w:r>
            <w:r>
              <w:tab/>
              <w:t>Z</w:t>
            </w:r>
            <w:r>
              <w:rPr>
                <w:b/>
                <w:i/>
              </w:rPr>
              <w:t> </w:t>
            </w:r>
            <w:r>
              <w:t>odstopanjem od člena</w:t>
            </w:r>
            <w:r>
              <w:rPr>
                <w:b/>
                <w:i/>
              </w:rPr>
              <w:t> </w:t>
            </w:r>
            <w:r>
              <w:t>112 Uredbe (EU)</w:t>
            </w:r>
            <w:r>
              <w:rPr>
                <w:b/>
                <w:i/>
              </w:rPr>
              <w:t> </w:t>
            </w:r>
            <w:r>
              <w:t xml:space="preserve">2021/1060 </w:t>
            </w:r>
            <w:r>
              <w:rPr>
                <w:b/>
                <w:i/>
              </w:rPr>
              <w:t>so najvišje stopnje</w:t>
            </w:r>
            <w:r>
              <w:t xml:space="preserve"> sofinanciranja za </w:t>
            </w:r>
            <w:r>
              <w:rPr>
                <w:b/>
                <w:i/>
              </w:rPr>
              <w:t>namenske</w:t>
            </w:r>
            <w:r>
              <w:t xml:space="preserve"> prednostne naloge </w:t>
            </w:r>
            <w:r>
              <w:rPr>
                <w:b/>
                <w:i/>
              </w:rPr>
              <w:t>iz odstavka 1 tega člena 100</w:t>
            </w:r>
            <w:r>
              <w:t> %.</w:t>
            </w:r>
          </w:p>
        </w:tc>
        <w:tc>
          <w:tcPr>
            <w:tcW w:w="4876" w:type="dxa"/>
            <w:hideMark/>
          </w:tcPr>
          <w:p w:rsidR="00E312A0" w:rsidRPr="003811B2" w:rsidRDefault="00E312A0" w:rsidP="008D243F">
            <w:pPr>
              <w:pStyle w:val="Normal6"/>
              <w:rPr>
                <w:szCs w:val="24"/>
              </w:rPr>
            </w:pPr>
            <w:r>
              <w:t>(5)</w:t>
            </w:r>
            <w:r>
              <w:tab/>
              <w:t>Z</w:t>
            </w:r>
            <w:r>
              <w:rPr>
                <w:b/>
                <w:i/>
              </w:rPr>
              <w:t xml:space="preserve"> </w:t>
            </w:r>
            <w:r>
              <w:t>odstopanjem od člena</w:t>
            </w:r>
            <w:r>
              <w:rPr>
                <w:b/>
                <w:i/>
              </w:rPr>
              <w:t xml:space="preserve"> </w:t>
            </w:r>
            <w:r>
              <w:t>112 Uredbe (EU)</w:t>
            </w:r>
            <w:r>
              <w:rPr>
                <w:b/>
                <w:i/>
              </w:rPr>
              <w:t xml:space="preserve"> </w:t>
            </w:r>
            <w:r>
              <w:t xml:space="preserve">2021/1060 </w:t>
            </w:r>
            <w:r>
              <w:rPr>
                <w:b/>
                <w:i/>
              </w:rPr>
              <w:t>se lahko najvišja stopnja</w:t>
            </w:r>
            <w:r>
              <w:t xml:space="preserve"> sofinanciranja za </w:t>
            </w:r>
            <w:r>
              <w:rPr>
                <w:b/>
                <w:i/>
              </w:rPr>
              <w:t>posebne</w:t>
            </w:r>
            <w:r>
              <w:t xml:space="preserve"> prednostne naloge </w:t>
            </w:r>
            <w:r>
              <w:rPr>
                <w:b/>
                <w:i/>
              </w:rPr>
              <w:t>na področju obrambe določi na 95</w:t>
            </w:r>
            <w:r>
              <w:t> %</w:t>
            </w:r>
            <w:r>
              <w:rPr>
                <w:b/>
                <w:i/>
              </w:rPr>
              <w:t xml:space="preserve"> le, če je dokazano potrebno polno financiranje, kar pa ne posega v sorazmerne prispevke držav članic. Pogoj za odobritev tega odstopanja je, da sta na podlagi primerjalne analize predhodno potrjeni pravičnost in trajnost naložb, da se tako prepreči morebitno neravnovesje v nesorazmerno korist bolj razvitih regij</w:t>
            </w:r>
            <w:r>
              <w:t>.</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(Sprememba velja za celotno besedilo.)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pPr>
        <w:pStyle w:val="CrossRef"/>
      </w:pPr>
      <w:r>
        <w:t>(Gl. besedilo odstavkov 32–35 mnenja Evropskega računskega sodišča št. 02/2025.)</w:t>
      </w:r>
    </w:p>
    <w:p w:rsidR="00E312A0" w:rsidRPr="003811B2" w:rsidRDefault="00E312A0" w:rsidP="00E312A0">
      <w:pPr>
        <w:pStyle w:val="JustificationTitle"/>
        <w:rPr>
          <w:noProof w:val="0"/>
        </w:rPr>
      </w:pPr>
      <w:r w:rsidRPr="00E312A0">
        <w:rPr>
          <w:rStyle w:val="HideTWBExt"/>
          <w:i w:val="0"/>
        </w:rPr>
        <w:t>&lt;TitreJust&gt;</w:t>
      </w:r>
      <w:r>
        <w:t>Obrazložitev</w:t>
      </w:r>
      <w:r w:rsidRPr="00E312A0">
        <w:rPr>
          <w:rStyle w:val="HideTWBExt"/>
          <w:i w:val="0"/>
        </w:rPr>
        <w:t>&lt;/TitreJust&gt;</w:t>
      </w:r>
    </w:p>
    <w:p w:rsidR="00E312A0" w:rsidRPr="003811B2" w:rsidRDefault="00E312A0" w:rsidP="00E312A0">
      <w:pPr>
        <w:pStyle w:val="Normal12Italic"/>
        <w:rPr>
          <w:noProof w:val="0"/>
        </w:rPr>
      </w:pPr>
      <w:r>
        <w:t>Če se neselektivno določi polno financiranje (100-odstotno sofinanciranje), lahko to koristi bolj razvitim regijam in oslabi učinek vzvoda sofinanciranja, zato se priporoča, da za ta ukrep veljajo strogi pogoji.</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103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5</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(5)</w:t>
            </w:r>
            <w:r>
              <w:tab/>
              <w:t>Z odstopanjem od člena 112 Uredbe (EU) 2021/1060 so najvišje stopnje sofinanciranja za namenske prednostne naloge iz odstavka 1 tega člena</w:t>
            </w:r>
            <w:r>
              <w:rPr>
                <w:b/>
                <w:i/>
              </w:rPr>
              <w:t xml:space="preserve"> </w:t>
            </w:r>
            <w:r>
              <w:t>100 %.</w:t>
            </w:r>
          </w:p>
        </w:tc>
        <w:tc>
          <w:tcPr>
            <w:tcW w:w="4876" w:type="dxa"/>
            <w:hideMark/>
          </w:tcPr>
          <w:p w:rsidR="00E312A0" w:rsidRPr="003811B2" w:rsidRDefault="00E312A0" w:rsidP="008D243F">
            <w:pPr>
              <w:pStyle w:val="Normal6"/>
              <w:rPr>
                <w:szCs w:val="24"/>
              </w:rPr>
            </w:pPr>
            <w:r>
              <w:t>(5)</w:t>
            </w:r>
            <w:r>
              <w:tab/>
              <w:t>Z odstopanjem od člena 112 Uredbe (EU) 2021/1060 so najvišje stopnje sofinanciranja za namenske prednostne naloge iz odstavka 1 tega člena</w:t>
            </w:r>
            <w:r>
              <w:rPr>
                <w:b/>
                <w:i/>
              </w:rPr>
              <w:t> </w:t>
            </w:r>
            <w:r>
              <w:t>100 %</w:t>
            </w:r>
            <w:r>
              <w:rPr>
                <w:b/>
                <w:i/>
              </w:rPr>
              <w:t>, pri čemer se ohrani sedanje razlikovanje med kategorijami regij</w:t>
            </w:r>
            <w:r>
              <w:t>.</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104</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Brigitte van den Berg, Hristo Petrov, Grégory Allione, Eugen Tomac</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12c – odstavek 5a (novo)</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(5a)</w:t>
            </w:r>
            <w:r>
              <w:rPr>
                <w:b/>
                <w:i/>
              </w:rPr>
              <w:tab/>
              <w:t>Države članice spodbujajo sodelovanje med organizacijami, vključenimi v ustvarjanje in uporabo spretnosti, kot so poklicne, akademske in raziskovalne ustanove ter industrija, da bi spodbudile inovacije in podprle raziskovalne programe v Evropski uniji. To vključuje ukrepe v podporo razvoju novih tehnologij in varstvu pravic intelektualne lastnine.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105</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Elena Donazzan, Francesco Torselli, Mariateresa Vivaldini, Chiara Gemma</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12d</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rPr>
                <w:b/>
                <w:i/>
              </w:rPr>
              <w:t>Člen 12d</w:t>
            </w:r>
          </w:p>
        </w:tc>
        <w:tc>
          <w:tcPr>
            <w:tcW w:w="4876" w:type="dxa"/>
            <w:hideMark/>
          </w:tcPr>
          <w:p w:rsidR="00E312A0" w:rsidRPr="003811B2" w:rsidRDefault="00E312A0" w:rsidP="008D243F">
            <w:pPr>
              <w:pStyle w:val="Normal6"/>
              <w:rPr>
                <w:szCs w:val="24"/>
              </w:rPr>
            </w:pPr>
            <w:r>
              <w:rPr>
                <w:b/>
                <w:i/>
              </w:rPr>
              <w:t>črtano</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pPr>
        <w:pStyle w:val="JustificationTitle"/>
        <w:rPr>
          <w:noProof w:val="0"/>
        </w:rPr>
      </w:pPr>
      <w:r w:rsidRPr="00E312A0">
        <w:rPr>
          <w:rStyle w:val="HideTWBExt"/>
          <w:i w:val="0"/>
        </w:rPr>
        <w:t>&lt;TitreJust&gt;</w:t>
      </w:r>
      <w:r>
        <w:t>Obrazložitev</w:t>
      </w:r>
      <w:r w:rsidRPr="00E312A0">
        <w:rPr>
          <w:rStyle w:val="HideTWBExt"/>
          <w:i w:val="0"/>
        </w:rPr>
        <w:t>&lt;/TitreJust&gt;</w:t>
      </w:r>
    </w:p>
    <w:p w:rsidR="00E312A0" w:rsidRPr="003811B2" w:rsidRDefault="00E312A0" w:rsidP="00E312A0">
      <w:pPr>
        <w:pStyle w:val="Normal12Italic"/>
        <w:rPr>
          <w:noProof w:val="0"/>
        </w:rPr>
      </w:pPr>
      <w:r>
        <w:t>Konkurenčnost in ambiciozni podnebni cilji niso združljivi. Evropski socialni sklad plus bi moral biti osredotočen na socialne cilje in ne bi smel biti še en instrument za izvajanje zelenih politik.</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106</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Maravillas Abadía Jover, 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12d – odstavek 1</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w:t>
            </w:r>
            <w:r>
              <w:tab/>
              <w:t xml:space="preserve">Države članice </w:t>
            </w:r>
            <w:r>
              <w:rPr>
                <w:b/>
                <w:i/>
              </w:rPr>
              <w:t xml:space="preserve">se </w:t>
            </w:r>
            <w:r>
              <w:t xml:space="preserve">lahko </w:t>
            </w:r>
            <w:r>
              <w:rPr>
                <w:b/>
                <w:i/>
              </w:rPr>
              <w:t>odločijo, da</w:t>
            </w:r>
            <w:r>
              <w:t xml:space="preserve"> podporo, </w:t>
            </w:r>
            <w:r>
              <w:rPr>
                <w:b/>
                <w:i/>
              </w:rPr>
              <w:t>namenjeno usposabljanju</w:t>
            </w:r>
            <w:r>
              <w:t xml:space="preserve">, </w:t>
            </w:r>
            <w:r>
              <w:rPr>
                <w:b/>
                <w:i/>
              </w:rPr>
              <w:t>izpopolnjevanju</w:t>
            </w:r>
            <w:r>
              <w:t xml:space="preserve"> in </w:t>
            </w:r>
            <w:r>
              <w:rPr>
                <w:b/>
                <w:i/>
              </w:rPr>
              <w:t>preusposabljanju</w:t>
            </w:r>
            <w:r>
              <w:t xml:space="preserve">, </w:t>
            </w:r>
            <w:r>
              <w:rPr>
                <w:b/>
                <w:i/>
              </w:rPr>
              <w:t>katere namen je prilagoditev delavcev</w:t>
            </w:r>
            <w:r>
              <w:t xml:space="preserve">, </w:t>
            </w:r>
            <w:r>
              <w:rPr>
                <w:b/>
                <w:i/>
              </w:rPr>
              <w:t>podjetij in podjetnikov</w:t>
            </w:r>
            <w:r>
              <w:t xml:space="preserve"> spremembam, </w:t>
            </w:r>
            <w:r>
              <w:rPr>
                <w:b/>
                <w:i/>
              </w:rPr>
              <w:t>ki prispevajo k razogljičenju</w:t>
            </w:r>
            <w:r>
              <w:t xml:space="preserve"> proizvodnih zmogljivosti, </w:t>
            </w:r>
            <w:r>
              <w:rPr>
                <w:b/>
                <w:i/>
              </w:rPr>
              <w:t>načrtujejo</w:t>
            </w:r>
            <w:r>
              <w:t xml:space="preserve"> v </w:t>
            </w:r>
            <w:r>
              <w:rPr>
                <w:b/>
                <w:i/>
              </w:rPr>
              <w:t>okviru namenskih prednostnih nalog</w:t>
            </w:r>
            <w:r>
              <w:t>.</w:t>
            </w:r>
            <w:r>
              <w:rPr>
                <w:b/>
                <w:i/>
              </w:rPr>
              <w:t xml:space="preserve"> </w:t>
            </w:r>
            <w:r>
              <w:t xml:space="preserve">Take prednostne naloge lahko podpirajo kateri koli specifični cilj iz </w:t>
            </w:r>
            <w:r>
              <w:rPr>
                <w:b/>
                <w:i/>
              </w:rPr>
              <w:t>točk</w:t>
            </w:r>
            <w:r>
              <w:t xml:space="preserve"> (a) do (l</w:t>
            </w:r>
            <w:r>
              <w:rPr>
                <w:b/>
                <w:i/>
              </w:rPr>
              <w:t>) člena 4(1</w:t>
            </w:r>
            <w:r>
              <w:t>).</w:t>
            </w:r>
          </w:p>
        </w:tc>
        <w:tc>
          <w:tcPr>
            <w:tcW w:w="4876" w:type="dxa"/>
            <w:hideMark/>
          </w:tcPr>
          <w:p w:rsidR="00E312A0" w:rsidRPr="003811B2" w:rsidRDefault="00E312A0" w:rsidP="008D243F">
            <w:pPr>
              <w:pStyle w:val="Normal6"/>
              <w:rPr>
                <w:szCs w:val="24"/>
              </w:rPr>
            </w:pPr>
            <w:r>
              <w:t>(1)</w:t>
            </w:r>
            <w:r>
              <w:tab/>
              <w:t xml:space="preserve">Države članice lahko </w:t>
            </w:r>
            <w:r>
              <w:rPr>
                <w:b/>
                <w:i/>
              </w:rPr>
              <w:t>načrtujejo ciljno usmerjeno</w:t>
            </w:r>
            <w:r>
              <w:t xml:space="preserve"> podporo</w:t>
            </w:r>
            <w:r>
              <w:rPr>
                <w:b/>
                <w:i/>
              </w:rPr>
              <w:t xml:space="preserve"> za ukrepe usposabljanja</w:t>
            </w:r>
            <w:r>
              <w:t xml:space="preserve">, </w:t>
            </w:r>
            <w:r>
              <w:rPr>
                <w:b/>
                <w:i/>
              </w:rPr>
              <w:t>izpopolnjevanja in preusposabljanja</w:t>
            </w:r>
            <w:r>
              <w:t xml:space="preserve">, </w:t>
            </w:r>
            <w:r>
              <w:rPr>
                <w:b/>
                <w:i/>
              </w:rPr>
              <w:t>da bi delavcem</w:t>
            </w:r>
            <w:r>
              <w:t xml:space="preserve"> in </w:t>
            </w:r>
            <w:r>
              <w:rPr>
                <w:b/>
                <w:i/>
              </w:rPr>
              <w:t>podjetjem</w:t>
            </w:r>
            <w:r>
              <w:t xml:space="preserve">, </w:t>
            </w:r>
            <w:r>
              <w:rPr>
                <w:b/>
                <w:i/>
              </w:rPr>
              <w:t>zlasti malim in srednjim podjetjem</w:t>
            </w:r>
            <w:r>
              <w:t xml:space="preserve">, </w:t>
            </w:r>
            <w:r>
              <w:rPr>
                <w:b/>
                <w:i/>
              </w:rPr>
              <w:t>pomagale pri prilagajanju strukturnim</w:t>
            </w:r>
            <w:r>
              <w:t xml:space="preserve"> spremembam, </w:t>
            </w:r>
            <w:r>
              <w:rPr>
                <w:b/>
                <w:i/>
              </w:rPr>
              <w:t>povezanim z razogljičenjem</w:t>
            </w:r>
            <w:r>
              <w:t xml:space="preserve"> proizvodnih zmogljivosti</w:t>
            </w:r>
            <w:r>
              <w:rPr>
                <w:b/>
                <w:i/>
              </w:rPr>
              <w:t>. Te namenske prednostne naloge bi morale biti malim in srednjim podjetjem v pomoč pri tem</w:t>
            </w:r>
            <w:r>
              <w:t xml:space="preserve">, </w:t>
            </w:r>
            <w:r>
              <w:rPr>
                <w:b/>
                <w:i/>
              </w:rPr>
              <w:t>da bi lahko</w:t>
            </w:r>
            <w:r>
              <w:t xml:space="preserve"> v </w:t>
            </w:r>
            <w:r>
              <w:rPr>
                <w:b/>
                <w:i/>
              </w:rPr>
              <w:t>sklopu zelenega prehoda ostala konkurenčna, trajnostna in inovativna</w:t>
            </w:r>
            <w:r>
              <w:t>.</w:t>
            </w:r>
            <w:r>
              <w:rPr>
                <w:b/>
                <w:i/>
              </w:rPr>
              <w:t xml:space="preserve"> </w:t>
            </w:r>
            <w:r>
              <w:t xml:space="preserve">Take prednostne naloge lahko podpirajo kateri koli specifični cilj iz </w:t>
            </w:r>
            <w:r>
              <w:rPr>
                <w:b/>
                <w:i/>
              </w:rPr>
              <w:t>člena 4(1), točke</w:t>
            </w:r>
            <w:r>
              <w:t xml:space="preserve"> (a) do (l).</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i/>
              </w:rPr>
              <w:t>(Sprememba velja za celotno besedilo; če bo sprejeta, bodo potrebne ustrezne prilagoditve v celotnem besedilu.)</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107</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Marie Dauchy, Nikola Bartůšek, Pál Szekeres</w:t>
      </w:r>
      <w:r w:rsidRPr="00E312A0">
        <w:rPr>
          <w:rStyle w:val="HideTWBExt"/>
          <w:b w:val="0"/>
        </w:rPr>
        <w:t>&lt;/Members&gt;</w:t>
      </w:r>
    </w:p>
    <w:p w:rsidR="00E312A0" w:rsidRPr="003811B2" w:rsidRDefault="00E312A0" w:rsidP="00E312A0">
      <w:r w:rsidRPr="00E312A0">
        <w:rPr>
          <w:rStyle w:val="HideTWBExt"/>
        </w:rPr>
        <w:t>&lt;AuNomDe&gt;</w:t>
      </w:r>
      <w:r w:rsidRPr="00E312A0">
        <w:rPr>
          <w:rStyle w:val="HideTWBInt"/>
        </w:rPr>
        <w:t>{EMPL}</w:t>
      </w:r>
      <w:r>
        <w:t>v imenu Odbora za zaposlovanje in socialne zadeve:</w:t>
      </w:r>
      <w:r w:rsidRPr="00E312A0">
        <w:rPr>
          <w:rStyle w:val="HideTWBExt"/>
        </w:rPr>
        <w:t>&lt;/AuNomDe&gt;</w:t>
      </w:r>
    </w:p>
    <w:p w:rsidR="00E312A0" w:rsidRPr="003811B2" w:rsidRDefault="00E312A0" w:rsidP="00E312A0">
      <w:pPr>
        <w:pStyle w:val="NormalBold"/>
      </w:pPr>
      <w:r w:rsidRPr="00E312A0">
        <w:rPr>
          <w:rStyle w:val="HideTWBExt"/>
          <w:b w:val="0"/>
        </w:rPr>
        <w:t>&lt;Members&gt;</w:t>
      </w:r>
      <w:r>
        <w:t>Séverine Werbrouck, Rachel Blom</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(EU)2021/1057</w:t>
      </w:r>
      <w:r w:rsidRPr="00E312A0">
        <w:rPr>
          <w:rStyle w:val="HideTWBExt"/>
        </w:rPr>
        <w:t>&lt;/DocAmend2&gt;</w:t>
      </w:r>
    </w:p>
    <w:p w:rsidR="00E312A0" w:rsidRPr="003811B2" w:rsidRDefault="00E312A0" w:rsidP="00E312A0">
      <w:r w:rsidRPr="00E312A0">
        <w:rPr>
          <w:rStyle w:val="HideTWBExt"/>
        </w:rPr>
        <w:t>&lt;Article2&gt;</w:t>
      </w:r>
      <w:r>
        <w:t>Člen 12d – odstavek 1</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w:t>
            </w:r>
            <w:r>
              <w:tab/>
              <w:t>Države članice se lahko odločijo, da podporo, namenjeno usposabljanju, izpopolnjevanju in preusposabljanju, katere namen je prilagoditev delavcev, podjetij in podjetnikov</w:t>
            </w:r>
            <w:r>
              <w:rPr>
                <w:b/>
                <w:i/>
              </w:rPr>
              <w:t xml:space="preserve"> spremembam</w:t>
            </w:r>
            <w:r>
              <w:t xml:space="preserve">, ki prispevajo k </w:t>
            </w:r>
            <w:r>
              <w:rPr>
                <w:b/>
                <w:i/>
              </w:rPr>
              <w:t>razogljičenju</w:t>
            </w:r>
            <w:r>
              <w:t xml:space="preserve"> proizvodnih zmogljivosti, načrtujejo v okviru namenskih prednostnih nalog. Take prednostne naloge lahko podpirajo kateri koli specifični cilj iz </w:t>
            </w:r>
            <w:r>
              <w:rPr>
                <w:b/>
                <w:i/>
              </w:rPr>
              <w:t>točk</w:t>
            </w:r>
            <w:r>
              <w:t xml:space="preserve"> (a) do </w:t>
            </w:r>
            <w:r w:rsidRPr="006F1731">
              <w:t>(l)</w:t>
            </w:r>
            <w:r>
              <w:rPr>
                <w:b/>
                <w:i/>
              </w:rPr>
              <w:t xml:space="preserve"> člena 4(1</w:t>
            </w:r>
            <w:r w:rsidRPr="006F1731">
              <w:rPr>
                <w:b/>
                <w:i/>
              </w:rPr>
              <w:t>)</w:t>
            </w:r>
            <w:r>
              <w:t>.</w:t>
            </w:r>
          </w:p>
        </w:tc>
        <w:tc>
          <w:tcPr>
            <w:tcW w:w="4876" w:type="dxa"/>
            <w:hideMark/>
          </w:tcPr>
          <w:p w:rsidR="00E312A0" w:rsidRPr="003811B2" w:rsidRDefault="00E312A0" w:rsidP="008D243F">
            <w:pPr>
              <w:pStyle w:val="Normal6"/>
              <w:rPr>
                <w:szCs w:val="24"/>
              </w:rPr>
            </w:pPr>
            <w:r>
              <w:t>(1)</w:t>
            </w:r>
            <w:r>
              <w:tab/>
              <w:t xml:space="preserve">Države članice se lahko odločijo, da podporo, namenjeno usposabljanju, izpopolnjevanju in preusposabljanju, katere namen je prilagoditev delavcev, podjetij in podjetnikov, ki prispevajo k </w:t>
            </w:r>
            <w:r>
              <w:rPr>
                <w:b/>
                <w:i/>
              </w:rPr>
              <w:t>povečanju industrijskih</w:t>
            </w:r>
            <w:r>
              <w:t xml:space="preserve"> proizvodnih zmogljivosti</w:t>
            </w:r>
            <w:r>
              <w:rPr>
                <w:b/>
                <w:i/>
              </w:rPr>
              <w:t xml:space="preserve"> in proizvodnih sredstev, vključno s proizvodnjo jedrske energije</w:t>
            </w:r>
            <w:r>
              <w:t xml:space="preserve">, načrtujejo v okviru namenskih prednostnih nalog. Take prednostne naloge lahko podpirajo kateri koli specifični cilj iz </w:t>
            </w:r>
            <w:r>
              <w:rPr>
                <w:b/>
                <w:i/>
              </w:rPr>
              <w:t>člena 4, odstavek 1, točke</w:t>
            </w:r>
            <w:r>
              <w:t xml:space="preserve"> (a) do (l).</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{FR}</w:t>
      </w:r>
      <w:r w:rsidRPr="003811B2">
        <w:rPr>
          <w:noProof w:val="0"/>
        </w:rPr>
        <w:t>fr</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108</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Marit Maij, Estelle Ceulemans, Gabriele Bischoff, Alicia Homs Ginel, Evelyn Regner, Marc Angel, Idoia Mendia, Vilija Blinkevičiūtė, Aodhán Ó Ríordáin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12d – odstavek 1</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w:t>
            </w:r>
            <w:r>
              <w:tab/>
              <w:t xml:space="preserve">Države članice se lahko odločijo, da podporo, namenjeno usposabljanju, izpopolnjevanju in preusposabljanju, katere namen je prilagoditev delavcev, podjetij in podjetnikov spremembam, ki prispevajo k razogljičenju proizvodnih zmogljivosti, načrtujejo v okviru namenskih prednostnih nalog. Take prednostne naloge lahko podpirajo kateri koli specifični cilj iz </w:t>
            </w:r>
            <w:r>
              <w:rPr>
                <w:b/>
                <w:i/>
              </w:rPr>
              <w:t>točk</w:t>
            </w:r>
            <w:r>
              <w:t xml:space="preserve"> (a) do (</w:t>
            </w:r>
            <w:r>
              <w:rPr>
                <w:b/>
                <w:i/>
              </w:rPr>
              <w:t>l) člena 4(1</w:t>
            </w:r>
            <w:r>
              <w:t>).</w:t>
            </w:r>
          </w:p>
        </w:tc>
        <w:tc>
          <w:tcPr>
            <w:tcW w:w="4876" w:type="dxa"/>
            <w:hideMark/>
          </w:tcPr>
          <w:p w:rsidR="00E312A0" w:rsidRPr="003811B2" w:rsidRDefault="00E312A0" w:rsidP="008D243F">
            <w:pPr>
              <w:pStyle w:val="Normal6"/>
              <w:rPr>
                <w:szCs w:val="24"/>
              </w:rPr>
            </w:pPr>
            <w:r>
              <w:t>(1)</w:t>
            </w:r>
            <w:r>
              <w:tab/>
              <w:t xml:space="preserve">Države članice se lahko </w:t>
            </w:r>
            <w:r>
              <w:rPr>
                <w:b/>
                <w:i/>
              </w:rPr>
              <w:t xml:space="preserve">po posvetovanju s socialnimi partnerji na nacionalni ravni </w:t>
            </w:r>
            <w:r>
              <w:t xml:space="preserve">odločijo, da podporo, namenjeno usposabljanju, izpopolnjevanju in preusposabljanju, katere namen je prilagoditev delavcev, podjetij in podjetnikov spremembam, ki prispevajo k razogljičenju proizvodnih zmogljivosti, načrtujejo v okviru namenskih prednostnih nalog. Take prednostne naloge lahko podpirajo kateri koli specifični cilj iz </w:t>
            </w:r>
            <w:r>
              <w:rPr>
                <w:b/>
                <w:i/>
              </w:rPr>
              <w:t>člena 4(1), točke</w:t>
            </w:r>
            <w:r>
              <w:t xml:space="preserve"> (a) do (</w:t>
            </w:r>
            <w:r>
              <w:rPr>
                <w:b/>
                <w:i/>
              </w:rPr>
              <w:t>g</w:t>
            </w:r>
            <w:r>
              <w:t>).</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109</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Brigitte van den Berg, Jana Toom, Hristo Petrov, Grégory Allione, Eugen Tomac</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12d – odstavek 1</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w:t>
            </w:r>
            <w:r>
              <w:tab/>
              <w:t xml:space="preserve">Države članice se lahko odločijo, da podporo, namenjeno usposabljanju, izpopolnjevanju in preusposabljanju, katere namen je prilagoditev delavcev, podjetij in podjetnikov spremembam, ki prispevajo k razogljičenju proizvodnih zmogljivosti, načrtujejo v okviru namenskih prednostnih nalog. Take prednostne naloge </w:t>
            </w:r>
            <w:r>
              <w:rPr>
                <w:b/>
                <w:i/>
              </w:rPr>
              <w:t xml:space="preserve">lahko </w:t>
            </w:r>
            <w:r>
              <w:t>podpirajo kateri koli specifični cilj iz</w:t>
            </w:r>
            <w:r>
              <w:rPr>
                <w:b/>
                <w:i/>
              </w:rPr>
              <w:t xml:space="preserve"> točk (a) do (l)</w:t>
            </w:r>
            <w:r>
              <w:t xml:space="preserve"> člena 4(1).</w:t>
            </w:r>
          </w:p>
        </w:tc>
        <w:tc>
          <w:tcPr>
            <w:tcW w:w="4876" w:type="dxa"/>
            <w:hideMark/>
          </w:tcPr>
          <w:p w:rsidR="00E312A0" w:rsidRPr="003811B2" w:rsidRDefault="00E312A0" w:rsidP="008D243F">
            <w:pPr>
              <w:pStyle w:val="Normal6"/>
              <w:rPr>
                <w:szCs w:val="24"/>
              </w:rPr>
            </w:pPr>
            <w:r>
              <w:t>(1)</w:t>
            </w:r>
            <w:r>
              <w:tab/>
              <w:t xml:space="preserve">Države članice se lahko odločijo, da podporo, namenjeno usposabljanju, izpopolnjevanju in preusposabljanju, </w:t>
            </w:r>
            <w:r>
              <w:rPr>
                <w:b/>
                <w:i/>
              </w:rPr>
              <w:t xml:space="preserve">pa tudi raziskavam in razvoju ter inovacijam, </w:t>
            </w:r>
            <w:r>
              <w:t>katere namen je prilagoditev delavcev, podjetij in podjetnikov spremembam, ki prispevajo k razogljičenju proizvodnih zmogljivosti, načrtujejo v okviru namenskih prednostnih nalog. Take prednostne naloge podpirajo kateri koli specifični cilj iz člena 4(1).</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110</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12d – odstavek 1</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(1)</w:t>
            </w:r>
            <w:r>
              <w:tab/>
              <w:t xml:space="preserve">Države članice se lahko odločijo, da podporo, namenjeno usposabljanju, izpopolnjevanju in preusposabljanju, katere namen je prilagoditev delavcev, podjetij in podjetnikov spremembam, ki prispevajo k razogljičenju proizvodnih zmogljivosti, načrtujejo v okviru namenskih prednostnih nalog. Take prednostne naloge </w:t>
            </w:r>
            <w:r>
              <w:rPr>
                <w:b/>
                <w:i/>
              </w:rPr>
              <w:t xml:space="preserve">lahko </w:t>
            </w:r>
            <w:r>
              <w:t xml:space="preserve">podpirajo </w:t>
            </w:r>
            <w:r>
              <w:rPr>
                <w:b/>
                <w:i/>
              </w:rPr>
              <w:t>kateri koli specifični cilj</w:t>
            </w:r>
            <w:r>
              <w:t xml:space="preserve"> iz </w:t>
            </w:r>
            <w:r>
              <w:rPr>
                <w:b/>
                <w:i/>
              </w:rPr>
              <w:t>točk</w:t>
            </w:r>
            <w:r>
              <w:t xml:space="preserve"> (a) do (l</w:t>
            </w:r>
            <w:r>
              <w:rPr>
                <w:b/>
                <w:i/>
              </w:rPr>
              <w:t>) člena </w:t>
            </w:r>
            <w:r>
              <w:rPr>
                <w:b/>
                <w:bCs/>
                <w:i/>
              </w:rPr>
              <w:t>4(1</w:t>
            </w:r>
            <w:r>
              <w:rPr>
                <w:b/>
                <w:bCs/>
              </w:rPr>
              <w:t>)</w:t>
            </w:r>
            <w:r>
              <w:t>.</w:t>
            </w:r>
          </w:p>
        </w:tc>
        <w:tc>
          <w:tcPr>
            <w:tcW w:w="4876" w:type="dxa"/>
            <w:hideMark/>
          </w:tcPr>
          <w:p w:rsidR="00E312A0" w:rsidRPr="003811B2" w:rsidRDefault="00E312A0" w:rsidP="008D243F">
            <w:pPr>
              <w:pStyle w:val="Normal6"/>
              <w:rPr>
                <w:szCs w:val="24"/>
              </w:rPr>
            </w:pPr>
            <w:r>
              <w:t>(1)</w:t>
            </w:r>
            <w:r>
              <w:tab/>
              <w:t xml:space="preserve">Države članice se lahko odločijo, da podporo, namenjeno usposabljanju, izpopolnjevanju in preusposabljanju, katere namen je prilagoditev delavcev, podjetij in podjetnikov spremembam, ki prispevajo k razogljičenju proizvodnih zmogljivosti, načrtujejo v okviru namenskih prednostnih nalog. Take prednostne naloge podpirajo </w:t>
            </w:r>
            <w:r>
              <w:rPr>
                <w:b/>
                <w:i/>
              </w:rPr>
              <w:t>enega ali več specifičnih ciljev</w:t>
            </w:r>
            <w:r>
              <w:t xml:space="preserve"> iz </w:t>
            </w:r>
            <w:r>
              <w:rPr>
                <w:b/>
                <w:i/>
              </w:rPr>
              <w:t>člena 4(1), točke</w:t>
            </w:r>
            <w:r>
              <w:t xml:space="preserve"> (a) do (l).</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111</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12d – odstavek 1a (novo)</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(1a)</w:t>
            </w:r>
            <w:r>
              <w:rPr>
                <w:b/>
                <w:i/>
              </w:rPr>
              <w:tab/>
              <w:t>Sredstva, dodeljena namenski prednostni nalogi iz odstavka 1, se upoštevajo pri zagotavljanju skladnosti z zahtevami glede tematske osredotočenosti iz člena 7 te uredbe.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112</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Miriam Lexmann</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12d – odstavek 5</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hideMark/>
          </w:tcPr>
          <w:p w:rsidR="00E312A0" w:rsidRPr="003811B2" w:rsidRDefault="00E312A0" w:rsidP="008D243F">
            <w:pPr>
              <w:pStyle w:val="Normal6"/>
            </w:pPr>
            <w:r>
              <w:t>(5)</w:t>
            </w:r>
            <w:r>
              <w:tab/>
              <w:t>Z odstopanjem od člena 112 Uredbe (EU) 2021/1060 so najvišje stopnje sofinanciranja za namenske prednostne naloge iz odstavka 1 tega člena</w:t>
            </w:r>
            <w:r>
              <w:rPr>
                <w:b/>
                <w:i/>
              </w:rPr>
              <w:t xml:space="preserve"> </w:t>
            </w:r>
            <w:r>
              <w:t>100 %.</w:t>
            </w:r>
          </w:p>
        </w:tc>
        <w:tc>
          <w:tcPr>
            <w:tcW w:w="4876" w:type="dxa"/>
            <w:hideMark/>
          </w:tcPr>
          <w:p w:rsidR="00E312A0" w:rsidRPr="003811B2" w:rsidRDefault="00E312A0" w:rsidP="008D243F">
            <w:pPr>
              <w:pStyle w:val="Normal6"/>
              <w:rPr>
                <w:szCs w:val="24"/>
              </w:rPr>
            </w:pPr>
            <w:r>
              <w:t>(5)</w:t>
            </w:r>
            <w:r>
              <w:tab/>
              <w:t>Z odstopanjem od člena 112 Uredbe (EU) 2021/1060 so najvišje stopnje sofinanciranja za namenske prednostne naloge iz odstavka 1 tega člena</w:t>
            </w:r>
            <w:r>
              <w:rPr>
                <w:b/>
                <w:i/>
              </w:rPr>
              <w:t> </w:t>
            </w:r>
            <w:r>
              <w:t>100 %</w:t>
            </w:r>
            <w:r>
              <w:rPr>
                <w:b/>
                <w:i/>
              </w:rPr>
              <w:t>, pri čemer se ohrani sedanje razlikovanje med kategorijami regij</w:t>
            </w:r>
            <w:r>
              <w:t>.</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Pr="003811B2" w:rsidRDefault="00E312A0" w:rsidP="00E312A0">
      <w:pPr>
        <w:pStyle w:val="JustificationTitle"/>
        <w:rPr>
          <w:noProof w:val="0"/>
        </w:rPr>
      </w:pPr>
      <w:r w:rsidRPr="00E312A0">
        <w:rPr>
          <w:rStyle w:val="HideTWBExt"/>
          <w:i w:val="0"/>
        </w:rPr>
        <w:t>&lt;TitreJust&gt;</w:t>
      </w:r>
      <w:r>
        <w:t>Obrazložitev</w:t>
      </w:r>
      <w:r w:rsidRPr="00E312A0">
        <w:rPr>
          <w:rStyle w:val="HideTWBExt"/>
          <w:i w:val="0"/>
        </w:rPr>
        <w:t>&lt;/TitreJust&gt;</w:t>
      </w:r>
    </w:p>
    <w:p w:rsidR="00E312A0" w:rsidRPr="003811B2" w:rsidRDefault="00E312A0" w:rsidP="00E312A0">
      <w:pPr>
        <w:pStyle w:val="Normal12Italic"/>
        <w:rPr>
          <w:noProof w:val="0"/>
        </w:rPr>
      </w:pPr>
      <w:r>
        <w:t>Predlog spremembe je potreben, da se ohrani sedanje razlikovanje stopenj sofinanciranja med kategorijami regij.</w:t>
      </w:r>
    </w:p>
    <w:p w:rsidR="00E312A0" w:rsidRPr="003811B2" w:rsidRDefault="00E312A0" w:rsidP="00E312A0">
      <w:r w:rsidRPr="00E312A0">
        <w:rPr>
          <w:rStyle w:val="HideTWBExt"/>
        </w:rPr>
        <w:t>&lt;/Amend&gt;</w:t>
      </w:r>
    </w:p>
    <w:p w:rsidR="00E312A0" w:rsidRPr="003811B2" w:rsidRDefault="00E312A0" w:rsidP="00E312A0">
      <w:pPr>
        <w:pStyle w:val="AMNumberTabs0"/>
        <w:keepNext/>
      </w:pPr>
      <w:r w:rsidRPr="00E312A0">
        <w:rPr>
          <w:rStyle w:val="HideTWBExt"/>
          <w:b w:val="0"/>
        </w:rPr>
        <w:t>&lt;Amend&gt;</w:t>
      </w:r>
      <w:r>
        <w:t>Predlog spremembe</w:t>
      </w:r>
      <w:r>
        <w:tab/>
      </w:r>
      <w:r>
        <w:tab/>
      </w:r>
      <w:r w:rsidRPr="00E312A0">
        <w:rPr>
          <w:rStyle w:val="HideTWBExt"/>
          <w:b w:val="0"/>
        </w:rPr>
        <w:t>&lt;NumAm&gt;</w:t>
      </w:r>
      <w:r>
        <w:t>113</w:t>
      </w:r>
      <w:r w:rsidRPr="00E312A0">
        <w:rPr>
          <w:rStyle w:val="HideTWBExt"/>
          <w:b w:val="0"/>
        </w:rPr>
        <w:t>&lt;/NumAm&gt;</w:t>
      </w:r>
    </w:p>
    <w:p w:rsidR="00E312A0" w:rsidRPr="003811B2" w:rsidRDefault="00E312A0" w:rsidP="00E312A0">
      <w:pPr>
        <w:pStyle w:val="NormalBold"/>
      </w:pPr>
      <w:r w:rsidRPr="00E312A0">
        <w:rPr>
          <w:rStyle w:val="HideTWBExt"/>
          <w:b w:val="0"/>
        </w:rPr>
        <w:t>&lt;RepeatBlock-By&gt;&lt;Members&gt;</w:t>
      </w:r>
      <w:r>
        <w:t>Brigitte van den Berg, Hristo Petrov, Grégory Allione, Eugen Tomac</w:t>
      </w:r>
      <w:r w:rsidRPr="00E312A0">
        <w:rPr>
          <w:rStyle w:val="HideTWBExt"/>
          <w:b w:val="0"/>
        </w:rPr>
        <w:t>&lt;/Members&gt;</w:t>
      </w:r>
    </w:p>
    <w:p w:rsidR="00E312A0" w:rsidRPr="003811B2" w:rsidRDefault="00E312A0" w:rsidP="00E312A0">
      <w:r w:rsidRPr="00E312A0">
        <w:rPr>
          <w:rStyle w:val="HideTWBExt"/>
        </w:rPr>
        <w:t>&lt;/RepeatBlock-By&gt;</w:t>
      </w:r>
    </w:p>
    <w:p w:rsidR="00E312A0" w:rsidRPr="003811B2" w:rsidRDefault="00E312A0" w:rsidP="00E312A0">
      <w:pPr>
        <w:pStyle w:val="NormalBold"/>
        <w:keepNext/>
      </w:pPr>
      <w:r w:rsidRPr="00E312A0">
        <w:rPr>
          <w:rStyle w:val="HideTWBExt"/>
          <w:b w:val="0"/>
        </w:rPr>
        <w:t>&lt;DocAmend&gt;</w:t>
      </w:r>
      <w:r>
        <w:t>Predlog uredbe</w:t>
      </w:r>
      <w:r w:rsidRPr="00E312A0">
        <w:rPr>
          <w:rStyle w:val="HideTWBExt"/>
          <w:b w:val="0"/>
        </w:rPr>
        <w:t>&lt;/DocAmend&gt;</w:t>
      </w:r>
    </w:p>
    <w:p w:rsidR="00E312A0" w:rsidRPr="003811B2" w:rsidRDefault="00E312A0" w:rsidP="00E312A0">
      <w:pPr>
        <w:pStyle w:val="NormalBold"/>
      </w:pPr>
      <w:r w:rsidRPr="00E312A0">
        <w:rPr>
          <w:rStyle w:val="HideTWBExt"/>
          <w:b w:val="0"/>
        </w:rPr>
        <w:t>&lt;Article&gt;</w:t>
      </w:r>
      <w:r>
        <w:t>Člen 1 – odstavek 1 – točka 3</w:t>
      </w:r>
      <w:r w:rsidRPr="00E312A0">
        <w:rPr>
          <w:rStyle w:val="HideTWBExt"/>
          <w:b w:val="0"/>
        </w:rPr>
        <w:t>&lt;/Article&gt;</w:t>
      </w:r>
    </w:p>
    <w:p w:rsidR="00E312A0" w:rsidRPr="003811B2" w:rsidRDefault="00E312A0" w:rsidP="00E312A0">
      <w:pPr>
        <w:keepNext/>
      </w:pPr>
      <w:r w:rsidRPr="00E312A0">
        <w:rPr>
          <w:rStyle w:val="HideTWBExt"/>
        </w:rPr>
        <w:t>&lt;DocAmend2&gt;</w:t>
      </w:r>
      <w:r>
        <w:t>Uredba (EU) 2021/1057</w:t>
      </w:r>
      <w:r w:rsidRPr="00E312A0">
        <w:rPr>
          <w:rStyle w:val="HideTWBExt"/>
        </w:rPr>
        <w:t>&lt;/DocAmend2&gt;</w:t>
      </w:r>
    </w:p>
    <w:p w:rsidR="00E312A0" w:rsidRPr="003811B2" w:rsidRDefault="00E312A0" w:rsidP="00E312A0">
      <w:r w:rsidRPr="00E312A0">
        <w:rPr>
          <w:rStyle w:val="HideTWBExt"/>
        </w:rPr>
        <w:t>&lt;Article2&gt;</w:t>
      </w:r>
      <w:r>
        <w:t>Člen 12d – odstavek 5a (novo)</w:t>
      </w:r>
      <w:r w:rsidRPr="00E31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12A0" w:rsidTr="008D243F">
        <w:trPr>
          <w:jc w:val="center"/>
        </w:trPr>
        <w:tc>
          <w:tcPr>
            <w:tcW w:w="9752" w:type="dxa"/>
            <w:gridSpan w:val="2"/>
          </w:tcPr>
          <w:p w:rsidR="00E312A0" w:rsidRPr="003811B2" w:rsidRDefault="00E312A0" w:rsidP="008D243F">
            <w:pPr>
              <w:keepNext/>
            </w:pPr>
          </w:p>
        </w:tc>
      </w:tr>
      <w:tr w:rsidR="00E312A0" w:rsidTr="008D243F">
        <w:trPr>
          <w:jc w:val="center"/>
        </w:trPr>
        <w:tc>
          <w:tcPr>
            <w:tcW w:w="4876" w:type="dxa"/>
            <w:hideMark/>
          </w:tcPr>
          <w:p w:rsidR="00E312A0" w:rsidRPr="003811B2" w:rsidRDefault="00E312A0" w:rsidP="008D243F">
            <w:pPr>
              <w:pStyle w:val="ColumnHeading"/>
              <w:keepNext/>
            </w:pPr>
            <w:r>
              <w:t>Besedilo, ki ga predlaga Komisija</w:t>
            </w:r>
          </w:p>
        </w:tc>
        <w:tc>
          <w:tcPr>
            <w:tcW w:w="4876" w:type="dxa"/>
            <w:hideMark/>
          </w:tcPr>
          <w:p w:rsidR="00E312A0" w:rsidRPr="003811B2" w:rsidRDefault="00E312A0" w:rsidP="008D243F">
            <w:pPr>
              <w:pStyle w:val="ColumnHeading"/>
              <w:keepNext/>
            </w:pPr>
            <w:r>
              <w:t>Predlog spremembe</w:t>
            </w:r>
          </w:p>
        </w:tc>
      </w:tr>
      <w:tr w:rsidR="00E312A0" w:rsidTr="008D243F">
        <w:trPr>
          <w:jc w:val="center"/>
        </w:trPr>
        <w:tc>
          <w:tcPr>
            <w:tcW w:w="4876" w:type="dxa"/>
          </w:tcPr>
          <w:p w:rsidR="00E312A0" w:rsidRPr="003811B2" w:rsidRDefault="00E312A0" w:rsidP="008D243F">
            <w:pPr>
              <w:pStyle w:val="Normal6"/>
            </w:pPr>
          </w:p>
        </w:tc>
        <w:tc>
          <w:tcPr>
            <w:tcW w:w="4876" w:type="dxa"/>
            <w:hideMark/>
          </w:tcPr>
          <w:p w:rsidR="00E312A0" w:rsidRPr="003811B2" w:rsidRDefault="00E312A0" w:rsidP="008D243F">
            <w:pPr>
              <w:pStyle w:val="Normal6"/>
              <w:rPr>
                <w:szCs w:val="24"/>
              </w:rPr>
            </w:pPr>
            <w:r>
              <w:rPr>
                <w:b/>
                <w:i/>
              </w:rPr>
              <w:t>(5a)</w:t>
            </w:r>
            <w:r>
              <w:rPr>
                <w:b/>
                <w:i/>
              </w:rPr>
              <w:tab/>
              <w:t>Države članice spodbujajo sodelovanje med organizacijami, vključenimi v ustvarjanje in uporabo spretnosti, kot so poklicne, akademske in raziskovalne ustanove ter industrija, da bi spodbudile inovacije in podprle raziskovalne programe v Evropski uniji. To vključuje ukrepe v podporo razvoju novih tehnologij in varstvu pravic intelektualne lastnine.</w:t>
            </w:r>
          </w:p>
        </w:tc>
      </w:tr>
    </w:tbl>
    <w:p w:rsidR="00E312A0" w:rsidRPr="003811B2" w:rsidRDefault="00E312A0" w:rsidP="00E312A0">
      <w:pPr>
        <w:pStyle w:val="Olang"/>
      </w:pPr>
      <w:r w:rsidRPr="003811B2">
        <w:rPr>
          <w:noProof w:val="0"/>
        </w:rPr>
        <w:t xml:space="preserve">Or. </w:t>
      </w:r>
      <w:r w:rsidRPr="00E312A0">
        <w:rPr>
          <w:rStyle w:val="HideTWBExt"/>
        </w:rPr>
        <w:t>&lt;Original&gt;</w:t>
      </w:r>
      <w:r w:rsidRPr="00E312A0">
        <w:rPr>
          <w:rStyle w:val="HideTWBInt"/>
          <w:rFonts w:eastAsiaTheme="majorEastAsia"/>
        </w:rPr>
        <w:t>{EN}</w:t>
      </w:r>
      <w:r w:rsidRPr="003811B2">
        <w:rPr>
          <w:noProof w:val="0"/>
        </w:rPr>
        <w:t>en</w:t>
      </w:r>
      <w:r w:rsidRPr="00E312A0">
        <w:rPr>
          <w:rStyle w:val="HideTWBExt"/>
        </w:rPr>
        <w:t>&lt;/Original&gt;</w:t>
      </w:r>
    </w:p>
    <w:p w:rsidR="00E312A0" w:rsidRDefault="00E312A0" w:rsidP="00E312A0">
      <w:r w:rsidRPr="00E312A0">
        <w:rPr>
          <w:rStyle w:val="HideTWBExt"/>
        </w:rPr>
        <w:t>&lt;/Amend&gt;&lt;/RepeatBlock-Amend&gt;</w:t>
      </w:r>
    </w:p>
    <w:p w:rsidR="008363E4" w:rsidRPr="003811B2" w:rsidRDefault="008363E4" w:rsidP="00E312A0">
      <w:bookmarkStart w:id="0" w:name="_GoBack"/>
      <w:bookmarkEnd w:id="0"/>
    </w:p>
    <w:sectPr w:rsidR="008363E4" w:rsidRPr="003811B2" w:rsidSect="00E312A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E33" w:rsidRPr="003811B2" w:rsidRDefault="00F355D6">
      <w:r w:rsidRPr="003811B2">
        <w:separator/>
      </w:r>
    </w:p>
  </w:endnote>
  <w:endnote w:type="continuationSeparator" w:id="0">
    <w:p w:rsidR="00216E33" w:rsidRPr="003811B2" w:rsidRDefault="00F355D6">
      <w:r w:rsidRPr="003811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2A0" w:rsidRDefault="00E312A0" w:rsidP="00E312A0">
    <w:pPr>
      <w:pStyle w:val="EPFooter"/>
    </w:pPr>
    <w:r>
      <w:t>PE</w:t>
    </w:r>
    <w:r w:rsidRPr="00E312A0">
      <w:rPr>
        <w:rStyle w:val="HideTWBExt"/>
      </w:rPr>
      <w:t>&lt;NoPE&gt;</w:t>
    </w:r>
    <w:r>
      <w:t>773.390</w:t>
    </w:r>
    <w:r w:rsidRPr="00E312A0">
      <w:rPr>
        <w:rStyle w:val="HideTWBExt"/>
      </w:rPr>
      <w:t>&lt;/NoPE&gt;&lt;Version&gt;</w:t>
    </w:r>
    <w:r>
      <w:t>v01-00</w:t>
    </w:r>
    <w:r w:rsidRPr="00E312A0">
      <w:rPr>
        <w:rStyle w:val="HideTWBExt"/>
      </w:rPr>
      <w:t>&lt;/Version&gt;</w:t>
    </w:r>
    <w:r>
      <w:tab/>
    </w:r>
    <w:r>
      <w:fldChar w:fldCharType="begin"/>
    </w:r>
    <w:r>
      <w:instrText xml:space="preserve"> PAGE  \* MERGEFORMAT </w:instrText>
    </w:r>
    <w:r>
      <w:fldChar w:fldCharType="separate"/>
    </w:r>
    <w:r w:rsidR="00881E6B">
      <w:rPr>
        <w:noProof/>
      </w:rPr>
      <w:t>70</w:t>
    </w:r>
    <w:r>
      <w:fldChar w:fldCharType="end"/>
    </w:r>
    <w:r>
      <w:t>/</w:t>
    </w:r>
    <w:fldSimple w:instr=" NUMPAGES  \* MERGEFORMAT ">
      <w:r w:rsidR="00881E6B">
        <w:rPr>
          <w:noProof/>
        </w:rPr>
        <w:t>71</w:t>
      </w:r>
    </w:fldSimple>
    <w:r>
      <w:tab/>
    </w:r>
    <w:r w:rsidRPr="00E312A0">
      <w:rPr>
        <w:rStyle w:val="HideTWBExt"/>
      </w:rPr>
      <w:t>&lt;PathFdR&gt;</w:t>
    </w:r>
    <w:r>
      <w:t>AM\1321470SL.docx</w:t>
    </w:r>
    <w:r w:rsidRPr="00E312A0">
      <w:rPr>
        <w:rStyle w:val="HideTWBExt"/>
      </w:rPr>
      <w:t>&lt;/PathFdR&gt;</w:t>
    </w:r>
  </w:p>
  <w:p w:rsidR="00D82FCC" w:rsidRPr="003811B2" w:rsidRDefault="00E312A0" w:rsidP="00E312A0">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2A0" w:rsidRDefault="00E312A0" w:rsidP="00E312A0">
    <w:pPr>
      <w:pStyle w:val="EPFooter"/>
    </w:pPr>
    <w:r w:rsidRPr="00E312A0">
      <w:rPr>
        <w:rStyle w:val="HideTWBExt"/>
      </w:rPr>
      <w:t>&lt;PathFdR&gt;</w:t>
    </w:r>
    <w:r>
      <w:t>AM\1321470SL.docx</w:t>
    </w:r>
    <w:r w:rsidRPr="00E312A0">
      <w:rPr>
        <w:rStyle w:val="HideTWBExt"/>
      </w:rPr>
      <w:t>&lt;/PathFdR&gt;</w:t>
    </w:r>
    <w:r>
      <w:tab/>
    </w:r>
    <w:r>
      <w:fldChar w:fldCharType="begin"/>
    </w:r>
    <w:r>
      <w:instrText xml:space="preserve"> PAGE  \* MERGEFORMAT </w:instrText>
    </w:r>
    <w:r>
      <w:fldChar w:fldCharType="separate"/>
    </w:r>
    <w:r w:rsidR="00881E6B">
      <w:rPr>
        <w:noProof/>
      </w:rPr>
      <w:t>71</w:t>
    </w:r>
    <w:r>
      <w:fldChar w:fldCharType="end"/>
    </w:r>
    <w:r>
      <w:t>/</w:t>
    </w:r>
    <w:fldSimple w:instr=" NUMPAGES  \* MERGEFORMAT ">
      <w:r w:rsidR="00881E6B">
        <w:rPr>
          <w:noProof/>
        </w:rPr>
        <w:t>71</w:t>
      </w:r>
    </w:fldSimple>
    <w:r>
      <w:tab/>
      <w:t>PE</w:t>
    </w:r>
    <w:r w:rsidRPr="00E312A0">
      <w:rPr>
        <w:rStyle w:val="HideTWBExt"/>
      </w:rPr>
      <w:t>&lt;NoPE&gt;</w:t>
    </w:r>
    <w:r>
      <w:t>773.390</w:t>
    </w:r>
    <w:r w:rsidRPr="00E312A0">
      <w:rPr>
        <w:rStyle w:val="HideTWBExt"/>
      </w:rPr>
      <w:t>&lt;/NoPE&gt;&lt;Version&gt;</w:t>
    </w:r>
    <w:r>
      <w:t>v01-00</w:t>
    </w:r>
    <w:r w:rsidRPr="00E312A0">
      <w:rPr>
        <w:rStyle w:val="HideTWBExt"/>
      </w:rPr>
      <w:t>&lt;/Version&gt;</w:t>
    </w:r>
  </w:p>
  <w:p w:rsidR="00D82FCC" w:rsidRPr="003811B2" w:rsidRDefault="00E312A0" w:rsidP="00E312A0">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2A0" w:rsidRDefault="00E312A0" w:rsidP="00E312A0">
    <w:pPr>
      <w:pStyle w:val="EPFooter"/>
    </w:pPr>
    <w:r w:rsidRPr="00E312A0">
      <w:rPr>
        <w:rStyle w:val="HideTWBExt"/>
      </w:rPr>
      <w:t>&lt;PathFdR&gt;</w:t>
    </w:r>
    <w:r>
      <w:t>AM\1321470SL.docx</w:t>
    </w:r>
    <w:r w:rsidRPr="00E312A0">
      <w:rPr>
        <w:rStyle w:val="HideTWBExt"/>
      </w:rPr>
      <w:t>&lt;/PathFdR&gt;</w:t>
    </w:r>
    <w:r>
      <w:tab/>
    </w:r>
    <w:r>
      <w:tab/>
      <w:t>PE</w:t>
    </w:r>
    <w:r w:rsidRPr="00E312A0">
      <w:rPr>
        <w:rStyle w:val="HideTWBExt"/>
      </w:rPr>
      <w:t>&lt;NoPE&gt;</w:t>
    </w:r>
    <w:r>
      <w:t>773.390</w:t>
    </w:r>
    <w:r w:rsidRPr="00E312A0">
      <w:rPr>
        <w:rStyle w:val="HideTWBExt"/>
      </w:rPr>
      <w:t>&lt;/NoPE&gt;&lt;Version&gt;</w:t>
    </w:r>
    <w:r>
      <w:t>v01-00</w:t>
    </w:r>
    <w:r w:rsidRPr="00E312A0">
      <w:rPr>
        <w:rStyle w:val="HideTWBExt"/>
      </w:rPr>
      <w:t>&lt;/Version&gt;</w:t>
    </w:r>
  </w:p>
  <w:p w:rsidR="00D82FCC" w:rsidRPr="003811B2" w:rsidRDefault="00E312A0" w:rsidP="00E312A0">
    <w:pPr>
      <w:pStyle w:val="EPFooter2"/>
    </w:pPr>
    <w:r>
      <w:t>SL</w:t>
    </w:r>
    <w:r>
      <w:tab/>
    </w:r>
    <w:r w:rsidRPr="00E312A0">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E33" w:rsidRPr="003811B2" w:rsidRDefault="00F355D6">
      <w:r w:rsidRPr="003811B2">
        <w:separator/>
      </w:r>
    </w:p>
  </w:footnote>
  <w:footnote w:type="continuationSeparator" w:id="0">
    <w:p w:rsidR="00216E33" w:rsidRPr="003811B2" w:rsidRDefault="00F355D6">
      <w:r w:rsidRPr="003811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2A0" w:rsidRDefault="00E31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2A0" w:rsidRDefault="00E312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2A0" w:rsidRDefault="00E312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SL"/>
    <w:docVar w:name="TXTLANGUEMIN" w:val="sl"/>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SL.docx"/>
    <w:docVar w:name="TXTTITLE" w:val="Amending Regulation (EU) 2021/1057 establishing the European Social Fund + (ESF+) as regards specific measures to address strategic challenges"/>
    <w:docVar w:name="TXTVERSION" w:val="01-00"/>
  </w:docVars>
  <w:rsids>
    <w:rsidRoot w:val="00E507AD"/>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16E33"/>
    <w:rsid w:val="00222325"/>
    <w:rsid w:val="00231EA7"/>
    <w:rsid w:val="00236619"/>
    <w:rsid w:val="002574CB"/>
    <w:rsid w:val="00280EA6"/>
    <w:rsid w:val="002A1C82"/>
    <w:rsid w:val="002B6A7B"/>
    <w:rsid w:val="002C5761"/>
    <w:rsid w:val="002E3F68"/>
    <w:rsid w:val="002E4311"/>
    <w:rsid w:val="002E7ECC"/>
    <w:rsid w:val="003003A7"/>
    <w:rsid w:val="00315664"/>
    <w:rsid w:val="00322475"/>
    <w:rsid w:val="00363AD3"/>
    <w:rsid w:val="003743DE"/>
    <w:rsid w:val="0037660F"/>
    <w:rsid w:val="003811B2"/>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97A90"/>
    <w:rsid w:val="006A2838"/>
    <w:rsid w:val="006B4B58"/>
    <w:rsid w:val="006B6438"/>
    <w:rsid w:val="006D6B15"/>
    <w:rsid w:val="006F3F81"/>
    <w:rsid w:val="006F4B73"/>
    <w:rsid w:val="00702F62"/>
    <w:rsid w:val="0070486D"/>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1E6B"/>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1A9B"/>
    <w:rsid w:val="00B85286"/>
    <w:rsid w:val="00B90B7F"/>
    <w:rsid w:val="00B9188F"/>
    <w:rsid w:val="00BA48D2"/>
    <w:rsid w:val="00BC1B1F"/>
    <w:rsid w:val="00BE0C84"/>
    <w:rsid w:val="00BE2EAC"/>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379A"/>
    <w:rsid w:val="00DC4160"/>
    <w:rsid w:val="00DC6A1B"/>
    <w:rsid w:val="00DE672F"/>
    <w:rsid w:val="00E15A86"/>
    <w:rsid w:val="00E25DC5"/>
    <w:rsid w:val="00E312A0"/>
    <w:rsid w:val="00E44BB0"/>
    <w:rsid w:val="00E471BE"/>
    <w:rsid w:val="00E507AD"/>
    <w:rsid w:val="00E57F50"/>
    <w:rsid w:val="00E660E2"/>
    <w:rsid w:val="00EA25AE"/>
    <w:rsid w:val="00EB3A71"/>
    <w:rsid w:val="00EE011D"/>
    <w:rsid w:val="00EE3E0D"/>
    <w:rsid w:val="00EF03A3"/>
    <w:rsid w:val="00EF11AD"/>
    <w:rsid w:val="00F27170"/>
    <w:rsid w:val="00F355D6"/>
    <w:rsid w:val="00F459F7"/>
    <w:rsid w:val="00F655B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E1C04"/>
  <w15:chartTrackingRefBased/>
  <w15:docId w15:val="{6E5EAC94-954B-4B49-98E9-1DFF5F7F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rPr>
  </w:style>
  <w:style w:type="paragraph" w:customStyle="1" w:styleId="PERight">
    <w:name w:val="PERight"/>
    <w:basedOn w:val="Normal"/>
    <w:next w:val="Normal"/>
    <w:rsid w:val="00B81A9B"/>
    <w:pPr>
      <w:jc w:val="right"/>
    </w:pPr>
    <w:rPr>
      <w:rFonts w:ascii="Arial" w:hAnsi="Arial" w:cs="Arial"/>
      <w:sz w:val="22"/>
      <w:szCs w:val="22"/>
    </w:rPr>
  </w:style>
  <w:style w:type="character" w:customStyle="1" w:styleId="Normal6Char">
    <w:name w:val="Normal6 Char"/>
    <w:basedOn w:val="DefaultParagraphFont"/>
    <w:link w:val="Normal6"/>
    <w:locked/>
    <w:rsid w:val="00B81A9B"/>
    <w:rPr>
      <w:sz w:val="24"/>
      <w:lang w:val="sl-SI"/>
    </w:rPr>
  </w:style>
  <w:style w:type="paragraph" w:customStyle="1" w:styleId="Normal6">
    <w:name w:val="Normal6"/>
    <w:basedOn w:val="Normal"/>
    <w:link w:val="Normal6Char"/>
    <w:rsid w:val="00B81A9B"/>
    <w:pPr>
      <w:spacing w:after="120"/>
    </w:p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rPr>
  </w:style>
  <w:style w:type="paragraph" w:customStyle="1" w:styleId="JustificationTitle">
    <w:name w:val="JustificationTitle"/>
    <w:basedOn w:val="Normal"/>
    <w:next w:val="Normal12"/>
    <w:rsid w:val="00B81A9B"/>
    <w:pPr>
      <w:keepNext/>
      <w:spacing w:before="240" w:after="240"/>
      <w:jc w:val="center"/>
    </w:pPr>
    <w:rPr>
      <w:i/>
      <w:noProof/>
    </w:rPr>
  </w:style>
  <w:style w:type="paragraph" w:customStyle="1" w:styleId="Olang">
    <w:name w:val="Olang"/>
    <w:basedOn w:val="Normal"/>
    <w:rsid w:val="00B81A9B"/>
    <w:pPr>
      <w:spacing w:before="240" w:after="240"/>
      <w:jc w:val="right"/>
    </w:pPr>
    <w:rPr>
      <w:noProof/>
      <w:szCs w:val="24"/>
    </w:rPr>
  </w:style>
  <w:style w:type="paragraph" w:customStyle="1" w:styleId="ColumnHeading">
    <w:name w:val="ColumnHeading"/>
    <w:basedOn w:val="Normal"/>
    <w:rsid w:val="00B81A9B"/>
    <w:pPr>
      <w:spacing w:after="240"/>
      <w:jc w:val="center"/>
    </w:pPr>
    <w:rPr>
      <w:i/>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81A9B"/>
    <w:pPr>
      <w:spacing w:before="240"/>
    </w:pPr>
    <w:rPr>
      <w:b/>
    </w:rPr>
  </w:style>
  <w:style w:type="paragraph" w:customStyle="1" w:styleId="CrossRef">
    <w:name w:val="CrossRef"/>
    <w:basedOn w:val="Normal"/>
    <w:rsid w:val="00B81A9B"/>
    <w:pPr>
      <w:spacing w:before="240"/>
      <w:jc w:val="center"/>
    </w:pPr>
    <w:rPr>
      <w:i/>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16463</Words>
  <Characters>118097</Characters>
  <Application>Microsoft Office Word</Application>
  <DocSecurity>0</DocSecurity>
  <Lines>4723</Lines>
  <Paragraphs>1725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2025-06-02T09:24:00Z</dcterms:created>
  <dcterms:modified xsi:type="dcterms:W3CDTF">2025-06-02T09:24:00Z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AM\1321470SL.docx</vt:lpwstr>
  </property>
  <property fmtid="{D5CDD505-2E9C-101B-9397-08002B2CF9AE}" pid="10" name="LastEdited with">
    <vt:lpwstr>10.1.1 Build [20250421]</vt:lpwstr>
  </property>
  <property fmtid="{D5CDD505-2E9C-101B-9397-08002B2CF9AE}" pid="11" name="PE number">
    <vt:lpwstr>773.390</vt:lpwstr>
  </property>
  <property fmtid="{D5CDD505-2E9C-101B-9397-08002B2CF9AE}" pid="12" name="SendToEpades">
    <vt:lpwstr>OK(AMNUM) - 2025/05/20 17:49</vt:lpwstr>
  </property>
  <property fmtid="{D5CDD505-2E9C-101B-9397-08002B2CF9AE}" pid="13" name="SDLStudio">
    <vt:lpwstr/>
  </property>
  <property fmtid="{D5CDD505-2E9C-101B-9397-08002B2CF9AE}" pid="14" name="Bookout">
    <vt:lpwstr>OK - 2025/06/02 11:18</vt:lpwstr>
  </property>
</Properties>
</file>