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A26490" w:rsidTr="00BF1E0A">
        <w:trPr>
          <w:trHeight w:hRule="exact" w:val="1418"/>
        </w:trPr>
        <w:tc>
          <w:tcPr>
            <w:tcW w:w="6804" w:type="dxa"/>
            <w:shd w:val="clear" w:color="auto" w:fill="auto"/>
            <w:vAlign w:val="center"/>
          </w:tcPr>
          <w:p w:rsidR="00BE5062" w:rsidRPr="00A26490" w:rsidRDefault="00E507AD" w:rsidP="00BF1E0A">
            <w:pPr>
              <w:pStyle w:val="EPName"/>
            </w:pPr>
            <w:bookmarkStart w:id="0" w:name="_GoBack"/>
            <w:bookmarkEnd w:id="0"/>
            <w:r>
              <w:t>Europaparlamentet</w:t>
            </w:r>
          </w:p>
          <w:p w:rsidR="00BE5062" w:rsidRPr="00A26490" w:rsidRDefault="002E7ECC" w:rsidP="002E7ECC">
            <w:pPr>
              <w:pStyle w:val="EPTerm"/>
            </w:pPr>
            <w:r>
              <w:t>2024-2029</w:t>
            </w:r>
          </w:p>
        </w:tc>
        <w:tc>
          <w:tcPr>
            <w:tcW w:w="2268" w:type="dxa"/>
            <w:shd w:val="clear" w:color="auto" w:fill="auto"/>
          </w:tcPr>
          <w:p w:rsidR="00BE5062" w:rsidRPr="00A26490" w:rsidRDefault="00BE5062" w:rsidP="00BF1E0A">
            <w:pPr>
              <w:pStyle w:val="EPLogo"/>
            </w:pPr>
            <w:r w:rsidRPr="00A26490">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E7234" w:rsidRPr="00A26490" w:rsidRDefault="000E7234" w:rsidP="000E7234">
      <w:pPr>
        <w:pStyle w:val="LineTop"/>
      </w:pPr>
    </w:p>
    <w:p w:rsidR="000E7234" w:rsidRPr="00A26490" w:rsidRDefault="000E7234" w:rsidP="000E7234">
      <w:pPr>
        <w:pStyle w:val="EPBody"/>
      </w:pPr>
      <w:r>
        <w:rPr>
          <w:rStyle w:val="HideTWBExt"/>
        </w:rPr>
        <w:t>&lt;</w:t>
      </w:r>
      <w:r>
        <w:rPr>
          <w:rStyle w:val="HideTWBExt"/>
          <w:i w:val="0"/>
        </w:rPr>
        <w:t>Commission</w:t>
      </w:r>
      <w:r>
        <w:rPr>
          <w:rStyle w:val="HideTWBExt"/>
        </w:rPr>
        <w:t>&gt;</w:t>
      </w:r>
      <w:r>
        <w:rPr>
          <w:rStyle w:val="HideTWBInt"/>
        </w:rPr>
        <w:t>{EMPL}</w:t>
      </w:r>
      <w:r>
        <w:t>Utskottet för sysselsättning och sociala frågor</w:t>
      </w:r>
      <w:r>
        <w:rPr>
          <w:rStyle w:val="HideTWBExt"/>
        </w:rPr>
        <w:t>&lt;/</w:t>
      </w:r>
      <w:r>
        <w:rPr>
          <w:rStyle w:val="HideTWBExt"/>
          <w:i w:val="0"/>
        </w:rPr>
        <w:t>Commission</w:t>
      </w:r>
      <w:r>
        <w:rPr>
          <w:rStyle w:val="HideTWBExt"/>
        </w:rPr>
        <w:t>&gt;</w:t>
      </w:r>
    </w:p>
    <w:p w:rsidR="000E7234" w:rsidRPr="00A26490" w:rsidRDefault="000E7234" w:rsidP="000E7234">
      <w:pPr>
        <w:pStyle w:val="LineBottom"/>
      </w:pPr>
    </w:p>
    <w:p w:rsidR="00B85286" w:rsidRPr="00A26490" w:rsidRDefault="00B85286">
      <w:pPr>
        <w:pStyle w:val="CoverReference"/>
      </w:pPr>
      <w:r>
        <w:rPr>
          <w:rStyle w:val="HideTWBExt"/>
          <w:b w:val="0"/>
        </w:rPr>
        <w:t>&lt;RefProc&gt;</w:t>
      </w:r>
      <w:r>
        <w:t>2025/0085</w:t>
      </w:r>
      <w:r>
        <w:rPr>
          <w:rStyle w:val="HideTWBExt"/>
          <w:b w:val="0"/>
        </w:rPr>
        <w:t>&lt;/RefProc&gt;&lt;RefTypeProc&gt;</w:t>
      </w:r>
      <w:r>
        <w:t>(COD)</w:t>
      </w:r>
      <w:r>
        <w:rPr>
          <w:rStyle w:val="HideTWBExt"/>
          <w:b w:val="0"/>
        </w:rPr>
        <w:t>&lt;/RefTypeProc&gt;</w:t>
      </w:r>
    </w:p>
    <w:p w:rsidR="00B85286" w:rsidRPr="00A26490" w:rsidRDefault="00B85286">
      <w:pPr>
        <w:pStyle w:val="CoverDate"/>
      </w:pPr>
      <w:r>
        <w:rPr>
          <w:rStyle w:val="HideTWBExt"/>
        </w:rPr>
        <w:t>&lt;Date&gt;</w:t>
      </w:r>
      <w:r>
        <w:rPr>
          <w:rStyle w:val="HideTWBInt"/>
        </w:rPr>
        <w:t>{20/05/2025}</w:t>
      </w:r>
      <w:r>
        <w:t>20.5.2025</w:t>
      </w:r>
      <w:r>
        <w:rPr>
          <w:rStyle w:val="HideTWBExt"/>
        </w:rPr>
        <w:t>&lt;/Date&gt;</w:t>
      </w:r>
    </w:p>
    <w:p w:rsidR="009B0305" w:rsidRPr="00A26490" w:rsidRDefault="009B0305" w:rsidP="009B0305">
      <w:pPr>
        <w:pStyle w:val="CoverDocType"/>
      </w:pPr>
      <w:r>
        <w:rPr>
          <w:rStyle w:val="HideTWBExt"/>
          <w:b w:val="0"/>
        </w:rPr>
        <w:t>&lt;TypeAM&gt;</w:t>
      </w:r>
      <w:r>
        <w:t>ÄNDRINGSFÖRSLAG</w:t>
      </w:r>
      <w:r>
        <w:rPr>
          <w:rStyle w:val="HideTWBExt"/>
          <w:b w:val="0"/>
        </w:rPr>
        <w:t>&lt;/TypeAM&gt;</w:t>
      </w:r>
    </w:p>
    <w:p w:rsidR="00B85286" w:rsidRPr="00A26490" w:rsidRDefault="00E25DC5" w:rsidP="001C2054">
      <w:pPr>
        <w:pStyle w:val="CoverDocType24a"/>
      </w:pPr>
      <w:r>
        <w:rPr>
          <w:rStyle w:val="HideTWBExt"/>
          <w:b w:val="0"/>
        </w:rPr>
        <w:t>&lt;RangeAM&gt;</w:t>
      </w:r>
      <w:r>
        <w:t>1 - 113</w:t>
      </w:r>
      <w:r>
        <w:rPr>
          <w:rStyle w:val="HideTWBExt"/>
          <w:b w:val="0"/>
        </w:rPr>
        <w:t>&lt;/RangeAM&gt;</w:t>
      </w:r>
    </w:p>
    <w:p w:rsidR="001C2054" w:rsidRPr="00A26490" w:rsidRDefault="00A15973" w:rsidP="00A93F8C">
      <w:pPr>
        <w:pStyle w:val="CoverBold"/>
      </w:pPr>
      <w:r>
        <w:rPr>
          <w:rStyle w:val="HideTWBExt"/>
          <w:b w:val="0"/>
        </w:rPr>
        <w:t>&lt;TitreType&gt;</w:t>
      </w:r>
      <w:r>
        <w:t>Förslag till betänkande</w:t>
      </w:r>
      <w:r>
        <w:rPr>
          <w:rStyle w:val="HideTWBExt"/>
          <w:b w:val="0"/>
        </w:rPr>
        <w:t>&lt;/TitreType&gt;</w:t>
      </w:r>
    </w:p>
    <w:p w:rsidR="00B85286" w:rsidRPr="00A26490" w:rsidRDefault="00E25DC5" w:rsidP="00A93F8C">
      <w:pPr>
        <w:pStyle w:val="CoverBold"/>
      </w:pPr>
      <w:r>
        <w:rPr>
          <w:rStyle w:val="HideTWBExt"/>
          <w:b w:val="0"/>
        </w:rPr>
        <w:t>&lt;Rapporteur&gt;</w:t>
      </w:r>
      <w:r>
        <w:t>Marit Maij</w:t>
      </w:r>
      <w:r>
        <w:rPr>
          <w:rStyle w:val="HideTWBExt"/>
          <w:b w:val="0"/>
        </w:rPr>
        <w:t>&lt;/Rapporteur&gt;</w:t>
      </w:r>
    </w:p>
    <w:p w:rsidR="00B85286" w:rsidRPr="00A26490" w:rsidRDefault="00B85286">
      <w:pPr>
        <w:pStyle w:val="CoverNormal24a"/>
      </w:pPr>
    </w:p>
    <w:p w:rsidR="00B85286" w:rsidRPr="00A26490" w:rsidRDefault="00A15973">
      <w:pPr>
        <w:pStyle w:val="CoverNormal24a"/>
      </w:pPr>
      <w:r>
        <w:rPr>
          <w:rStyle w:val="HideTWBExt"/>
        </w:rPr>
        <w:t>&lt;Titre&gt;</w:t>
      </w:r>
      <w:r w:rsidR="00BF1E0A" w:rsidRPr="00BF1E0A">
        <w:t>Ändring av förordning (EU) 2021/1057 om inrättande av Europeiska socialfonden+ (ESF+) vad gäller särskilda åtgärder för att hantera strategiska utmaningar</w:t>
      </w:r>
      <w:r>
        <w:rPr>
          <w:rStyle w:val="HideTWBExt"/>
        </w:rPr>
        <w:t>&lt;/Titre&gt;</w:t>
      </w:r>
    </w:p>
    <w:p w:rsidR="006337D4" w:rsidRPr="00A26490" w:rsidRDefault="00E25DC5" w:rsidP="006337D4">
      <w:pPr>
        <w:pStyle w:val="CoverNormal"/>
      </w:pPr>
      <w:r>
        <w:rPr>
          <w:rStyle w:val="HideTWBExt"/>
        </w:rPr>
        <w:t>&lt;DocAmend&gt;</w:t>
      </w:r>
      <w:r>
        <w:t>Förslag till förordning</w:t>
      </w:r>
      <w:r>
        <w:rPr>
          <w:rStyle w:val="HideTWBExt"/>
        </w:rPr>
        <w:t>&lt;/DocAmend&gt;</w:t>
      </w:r>
    </w:p>
    <w:p w:rsidR="00B85286" w:rsidRPr="00A26490" w:rsidRDefault="00A15973">
      <w:pPr>
        <w:pStyle w:val="CoverNormal24a"/>
      </w:pPr>
      <w:r>
        <w:rPr>
          <w:rStyle w:val="HideTWBExt"/>
        </w:rPr>
        <w:t>&lt;DocRef&gt;</w:t>
      </w:r>
      <w:r>
        <w:t>(COM(2025)0164 – C10</w:t>
      </w:r>
      <w:r>
        <w:noBreakHyphen/>
        <w:t>0064/2025 – 2025/0085(COD))</w:t>
      </w:r>
      <w:r>
        <w:rPr>
          <w:rStyle w:val="HideTWBExt"/>
        </w:rPr>
        <w:t>&lt;/DocRef&gt;</w:t>
      </w:r>
    </w:p>
    <w:p w:rsidR="00B85286" w:rsidRPr="00A26490" w:rsidRDefault="00B85286" w:rsidP="00E660E2">
      <w:pPr>
        <w:widowControl/>
        <w:tabs>
          <w:tab w:val="center" w:pos="4677"/>
        </w:tabs>
      </w:pPr>
      <w:r>
        <w:br w:type="page"/>
      </w:r>
      <w:r>
        <w:lastRenderedPageBreak/>
        <w:t>AM_Com_LegReport</w:t>
      </w:r>
    </w:p>
    <w:p w:rsidR="008E4158" w:rsidRPr="00A26490" w:rsidRDefault="00B85286" w:rsidP="008E4158">
      <w:pPr>
        <w:pStyle w:val="AMNumberTabs0"/>
        <w:keepNext/>
      </w:pPr>
      <w:r>
        <w:br w:type="page"/>
      </w:r>
      <w:r w:rsidR="008E4158" w:rsidRPr="008E4158">
        <w:rPr>
          <w:rStyle w:val="HideTWBExt"/>
          <w:b w:val="0"/>
        </w:rPr>
        <w:lastRenderedPageBreak/>
        <w:t>&lt;RepeatBlock-Amend&gt;</w:t>
      </w:r>
      <w:r w:rsidR="008E4158">
        <w:rPr>
          <w:rStyle w:val="HideTWBExt"/>
          <w:b w:val="0"/>
        </w:rPr>
        <w:t>&lt;Amend&gt;</w:t>
      </w:r>
      <w:r w:rsidR="008E4158">
        <w:t>Ändringsförslag</w:t>
      </w:r>
      <w:r w:rsidR="008E4158">
        <w:tab/>
      </w:r>
      <w:r w:rsidR="008E4158">
        <w:tab/>
      </w:r>
      <w:r w:rsidR="008E4158">
        <w:rPr>
          <w:rStyle w:val="HideTWBExt"/>
          <w:b w:val="0"/>
        </w:rPr>
        <w:t>&lt;NumAm&gt;</w:t>
      </w:r>
      <w:r w:rsidR="008E4158">
        <w:t>1</w:t>
      </w:r>
      <w:r w:rsidR="008E4158">
        <w:rPr>
          <w:rStyle w:val="HideTWBExt"/>
          <w:b w:val="0"/>
        </w:rPr>
        <w:t>&lt;/NumAm&gt;</w:t>
      </w:r>
    </w:p>
    <w:p w:rsidR="008E4158" w:rsidRPr="00A26490" w:rsidRDefault="008E4158" w:rsidP="008E4158">
      <w:pPr>
        <w:pStyle w:val="NormalBold"/>
      </w:pPr>
      <w:r>
        <w:rPr>
          <w:rStyle w:val="HideTWBExt"/>
          <w:b w:val="0"/>
        </w:rPr>
        <w:t>&lt;RepeatBlock-By&gt;&lt;Members&gt;</w:t>
      </w:r>
      <w:r>
        <w:t>Estrella Galán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tcPr>
          <w:p w:rsidR="008E4158" w:rsidRPr="00A26490" w:rsidRDefault="008E4158" w:rsidP="00BF1E0A">
            <w:pPr>
              <w:pStyle w:val="ColumnHeading"/>
              <w:keepNext/>
            </w:pPr>
          </w:p>
        </w:tc>
        <w:tc>
          <w:tcPr>
            <w:tcW w:w="4876" w:type="dxa"/>
            <w:hideMark/>
          </w:tcPr>
          <w:p w:rsidR="008E4158" w:rsidRPr="00A26490" w:rsidRDefault="008E4158" w:rsidP="00BF1E0A">
            <w:pPr>
              <w:pStyle w:val="ColumnHeading"/>
              <w:keepNext/>
            </w:pPr>
            <w:r>
              <w:t>Förslag om förkastande</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Europaparlamentet förkastar kommissionens 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(ESF+ får inte finansiera kompetens- eller sysselsättningsåtgärder med anknytning till försvarssektorn. Fonden måste stå fast vid sina civila och sociala mål och inte användas för att legitimera försvarsrelaterade reformer genom nödförfaranden. Även om vi stöder utfasningen av fossila bränslen, som redan uttryckligen tillåts och finansieras av ESF+, motsätter vi oss att fonden instrumentaliseras för att motivera försvarsutgifter och betonar att klimatpolitiken kräver regelbunden demokratisk debatt.)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Beaktandeled 5a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med beaktande av Europeiska revisionsrättens yttrande 02/2025,</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lastRenderedPageBreak/>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w:t>
            </w:r>
            <w:r>
              <w:rPr>
                <w:b/>
                <w:i/>
              </w:rPr>
              <w:tab/>
              <w:t>Huvudsyftet med ESF+ är att stödja social inkludering och social sammanhållning och att uppfylla principerna och de överordnade målen i den europeiska pelaren för sociala rättigheter genom att stödja investeringar i människor och system inom politikområdet sysselsättning, utbildning och social inkludering.</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w:t>
      </w:r>
      <w:r>
        <w:rPr>
          <w:rStyle w:val="HideTWBExt"/>
          <w:b w:val="0"/>
        </w:rPr>
        <w:t>&lt;/NumAm&gt;</w:t>
      </w:r>
    </w:p>
    <w:p w:rsidR="008E4158" w:rsidRPr="00A26490" w:rsidRDefault="008E4158" w:rsidP="008E4158">
      <w:pPr>
        <w:pStyle w:val="NormalBold"/>
      </w:pPr>
      <w:r>
        <w:rPr>
          <w:rStyle w:val="HideTWBExt"/>
          <w:b w:val="0"/>
        </w:rPr>
        <w:t>&lt;RepeatBlock-By&gt;&lt;Members&gt;</w:t>
      </w:r>
      <w:r>
        <w:t>Branislav Ondruš</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(1)</w:t>
            </w:r>
            <w:r>
              <w:rPr>
                <w:b/>
                <w:i/>
              </w:rPr>
              <w:tab/>
              <w:t>Med tanke på de stora geopolitiska och ekonomiska händelser som har omformat vissa av unionens strategiska politiska prioriteringar är det nödvändigt att ge medlemsstaterna möjlighet att hantera dessa strategiska utmaningar och att inrikta sina resurser på nya framväxande prioriteringar.</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w:t>
      </w:r>
      <w:r>
        <w:rPr>
          <w:rStyle w:val="HideTWBExt"/>
          <w:b w:val="0"/>
        </w:rPr>
        <w:t>&lt;/NumAm&gt;</w:t>
      </w:r>
    </w:p>
    <w:p w:rsidR="008E4158" w:rsidRPr="00A26490" w:rsidRDefault="008E4158" w:rsidP="008E4158">
      <w:pPr>
        <w:pStyle w:val="NormalBold"/>
      </w:pPr>
      <w:r>
        <w:rPr>
          <w:rStyle w:val="HideTWBExt"/>
          <w:b w:val="0"/>
        </w:rPr>
        <w:t>&lt;RepeatBlock-By&gt;&lt;Members&gt;</w:t>
      </w:r>
      <w:r>
        <w:t>Marie Dauchy, Nikola Bartůšek</w:t>
      </w:r>
      <w:r>
        <w:rPr>
          <w:rStyle w:val="HideTWBExt"/>
          <w:b w:val="0"/>
        </w:rPr>
        <w:t>&lt;/Members&gt;</w:t>
      </w:r>
    </w:p>
    <w:p w:rsidR="008E4158" w:rsidRPr="00A26490" w:rsidRDefault="008E4158" w:rsidP="008E4158">
      <w:r>
        <w:rPr>
          <w:rStyle w:val="HideTWBExt"/>
        </w:rPr>
        <w:t>&lt;AuNomDe&gt;</w:t>
      </w:r>
      <w:r>
        <w:rPr>
          <w:rStyle w:val="HideTWBInt"/>
        </w:rPr>
        <w:t>{EMPL}</w:t>
      </w:r>
      <w:r>
        <w:t>för utskottet för sysselsättning och sociala frågor</w:t>
      </w:r>
      <w:r>
        <w:rPr>
          <w:rStyle w:val="HideTWBExt"/>
        </w:rPr>
        <w:t>&lt;/AuNomDe&gt;</w:t>
      </w:r>
    </w:p>
    <w:p w:rsidR="008E4158" w:rsidRPr="00A26490" w:rsidRDefault="008E4158" w:rsidP="008E4158">
      <w:pPr>
        <w:pStyle w:val="NormalBold"/>
      </w:pPr>
      <w:r>
        <w:rPr>
          <w:rStyle w:val="HideTWBExt"/>
          <w:b w:val="0"/>
        </w:rPr>
        <w:t>&lt;Members&gt;</w:t>
      </w:r>
      <w:r>
        <w:t>Séverine Werbrouck</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Med tanke på de stora geopolitiska och ekonomiska händelser som har omformat vissa av unionens strategiska politiska prioriteringar är det nödvändigt att ge medlemsstaterna möjlighet att hantera dessa strategiska utmaningar och att inrikta sina resurser på nya framväxande prioriteringar.</w:t>
            </w:r>
          </w:p>
        </w:tc>
        <w:tc>
          <w:tcPr>
            <w:tcW w:w="4876" w:type="dxa"/>
            <w:hideMark/>
          </w:tcPr>
          <w:p w:rsidR="008E4158" w:rsidRPr="00A26490" w:rsidRDefault="008E4158" w:rsidP="00BF1E0A">
            <w:pPr>
              <w:pStyle w:val="Normal6"/>
              <w:rPr>
                <w:szCs w:val="24"/>
              </w:rPr>
            </w:pPr>
            <w:r>
              <w:t>(1)</w:t>
            </w:r>
            <w:r>
              <w:tab/>
              <w:t>Med tanke på de stora geopolitiska och ekonomiska händelser som har omformat vissa av unionens strategiska politiska prioriteringar</w:t>
            </w:r>
            <w:r>
              <w:rPr>
                <w:b/>
                <w:bCs/>
                <w:i/>
                <w:iCs/>
              </w:rPr>
              <w:t xml:space="preserve">, liksom den stora diskrepansen mellan ESF+-fondens mål och medlemsstaternas verkliga angelägenheter vid programplaneringen för perioden 2021–2027, </w:t>
            </w:r>
            <w:r>
              <w:t>är det nödvändigt att ge medlemsstaterna möjlighet att hantera dessa strategiska utmaningar och att inrikta sina resurser på nya framväxande prioriteringar.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{FR}</w:t>
      </w:r>
      <w:r w:rsidRPr="00A26490">
        <w:rPr>
          <w:noProof w:val="0"/>
        </w:rPr>
        <w:t>fr</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 xml:space="preserve">Med tanke på de stora geopolitiska och ekonomiska händelser som har omformat vissa av unionens strategiska politiska prioriteringar är det nödvändigt att ge medlemsstaterna </w:t>
            </w:r>
            <w:r>
              <w:rPr>
                <w:b/>
                <w:i/>
              </w:rPr>
              <w:t>möjlighet</w:t>
            </w:r>
            <w:r>
              <w:t xml:space="preserve"> att hantera dessa strategiska utmaningar och att inrikta sina resurser på nya framväxande prioriteringar.</w:t>
            </w:r>
          </w:p>
        </w:tc>
        <w:tc>
          <w:tcPr>
            <w:tcW w:w="4876" w:type="dxa"/>
            <w:hideMark/>
          </w:tcPr>
          <w:p w:rsidR="008E4158" w:rsidRPr="00A26490" w:rsidRDefault="008E4158" w:rsidP="00BF1E0A">
            <w:pPr>
              <w:pStyle w:val="Normal6"/>
              <w:rPr>
                <w:szCs w:val="24"/>
              </w:rPr>
            </w:pPr>
            <w:r>
              <w:t>(1)</w:t>
            </w:r>
            <w:r>
              <w:tab/>
              <w:t xml:space="preserve">Med tanke på de stora geopolitiska och ekonomiska händelser som har omformat vissa av unionens strategiska politiska prioriteringar är det nödvändigt att ge medlemsstaterna </w:t>
            </w:r>
            <w:r>
              <w:rPr>
                <w:b/>
                <w:i/>
              </w:rPr>
              <w:t>mer strukturella möjligheter</w:t>
            </w:r>
            <w:r>
              <w:t xml:space="preserve"> att hantera dessa strategiska utmaningar och </w:t>
            </w:r>
            <w:r>
              <w:rPr>
                <w:b/>
                <w:i/>
              </w:rPr>
              <w:t xml:space="preserve">industriernas investeringsbehov och </w:t>
            </w:r>
            <w:r>
              <w:t>att inrikta sina resurser på nya framväxande prioriteringar</w:t>
            </w:r>
            <w:r>
              <w:rPr>
                <w:b/>
                <w:i/>
              </w:rPr>
              <w:t>, samtidigt som man värnar om sammanhållning, skapar arbetstillfällen av god kvalitet och upprätthåller rättvisa villkor på den inre marknaden</w:t>
            </w:r>
            <w:r>
              <w: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7</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Med tanke på de stora geopolitiska och ekonomiska händelser som har omformat vissa av unionens strategiska politiska prioriteringar är det nödvändigt att ge medlemsstaterna möjlighet att hantera dessa strategiska utmaningar och att inrikta sina resurser på nya framväxande prioriteringar.</w:t>
            </w:r>
          </w:p>
        </w:tc>
        <w:tc>
          <w:tcPr>
            <w:tcW w:w="4876" w:type="dxa"/>
            <w:hideMark/>
          </w:tcPr>
          <w:p w:rsidR="008E4158" w:rsidRPr="00A26490" w:rsidRDefault="008E4158" w:rsidP="00BF1E0A">
            <w:pPr>
              <w:pStyle w:val="Normal6"/>
              <w:rPr>
                <w:szCs w:val="24"/>
              </w:rPr>
            </w:pPr>
            <w:r>
              <w:t>(1)</w:t>
            </w:r>
            <w:r>
              <w:tab/>
              <w:t>Med tanke på de stora geopolitiska och ekonomiska händelser som har omformat vissa av unionens strategiska politiska prioriteringar är det nödvändigt att ge medlemsstaterna möjlighet att hantera dessa strategiska utmaningar och att inrikta sina resurser på nya framväxande prioriteringar</w:t>
            </w:r>
            <w:r>
              <w:rPr>
                <w:b/>
                <w:i/>
              </w:rPr>
              <w:t xml:space="preserve"> om det inte går att hantera dessa utmaningar inom de nuvarande programmens tillämpningsområde</w:t>
            </w:r>
            <w:r>
              <w: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Med tanke på de stora geopolitiska och ekonomiska händelser som har omformat vissa av unionens strategiska politiska prioriteringar är det nödvändigt att ge medlemsstaterna möjlighet att hantera dessa strategiska utmaningar och att inrikta sina resurser på nya framväxande prioriteringar.</w:t>
            </w:r>
          </w:p>
        </w:tc>
        <w:tc>
          <w:tcPr>
            <w:tcW w:w="4876" w:type="dxa"/>
            <w:hideMark/>
          </w:tcPr>
          <w:p w:rsidR="008E4158" w:rsidRPr="00A26490" w:rsidRDefault="008E4158" w:rsidP="00BF1E0A">
            <w:pPr>
              <w:pStyle w:val="Normal6"/>
              <w:rPr>
                <w:szCs w:val="24"/>
              </w:rPr>
            </w:pPr>
            <w:r>
              <w:t>(1)</w:t>
            </w:r>
            <w:r>
              <w:tab/>
              <w:t>Med tanke på de stora geopolitiska och ekonomiska händelser som har omformat vissa av unionens strategiska politiska prioriteringar är det nödvändigt att ge medlemsstaterna möjlighet att hantera dessa strategiska utmaningar och att inrikta sina resurser på nya framväxande prioriteringar</w:t>
            </w:r>
            <w:r>
              <w:rPr>
                <w:b/>
                <w:i/>
              </w:rPr>
              <w:t>, på ett inkluderande sätt</w:t>
            </w:r>
            <w:r>
              <w: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lastRenderedPageBreak/>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(1a)</w:t>
            </w:r>
            <w:r>
              <w:rPr>
                <w:b/>
                <w:i/>
              </w:rPr>
              <w:tab/>
              <w:t>Enligt revisionsrättens yttrande 02/2025 riskerar den upprepade användningen av sammanhållningspolitiska medel för att hantera nödsituationer (t.ex. åtgärder för att hantera migrationskriser eller andra nödsituationer) att undergräva sammanhållningspolitikens främsta mål, som är att minska territoriella skillnader och främja ekonomisk och social sammanhållning i Europeiska unionen.</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(1a)</w:t>
            </w:r>
            <w:r>
              <w:rPr>
                <w:b/>
                <w:i/>
              </w:rPr>
              <w:tab/>
              <w:t>Huvudsyftet med ESF+ är att hjälpa medlemsstaterna och regionerna att uppnå social inkludering och att aktivera arbetsmarknaden genom att uppfylla principerna och de överordnade målen i den europeiska pelaren för sociala rättigheter, som ännu är långt ifrån uppfyllda.</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11</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Marc Angel, Idoia Mendia, Vilija Blinkevičiūtė, Aodhán Ó Ríordáin</w:t>
      </w:r>
      <w:r>
        <w:rPr>
          <w:rStyle w:val="HideTWBExt"/>
          <w:b w:val="0"/>
        </w:rPr>
        <w:t>&lt;/Members&gt;</w:t>
      </w:r>
    </w:p>
    <w:p w:rsidR="008E4158" w:rsidRPr="00A26490" w:rsidRDefault="008E4158" w:rsidP="008E4158">
      <w:r>
        <w:rPr>
          <w:rStyle w:val="HideTWBExt"/>
        </w:rPr>
        <w:lastRenderedPageBreak/>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1b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(1b)</w:t>
            </w:r>
            <w:r>
              <w:rPr>
                <w:b/>
                <w:i/>
              </w:rPr>
              <w:tab/>
              <w:t>Europeiska unionen och dess medlemsstater fortsätter att visa att de snabbt kan reagera på geopolitiska händelser och är beredda att använda tillräckliga finansiella resurser för att stärka vår försvarsindustri genom olika europeiska och nationella program, vilket är positivt och nödvändigt för unionens säkerhet. Det är viktigt att stärka vår försvarssektor genom programmen för konkurrenskraft. Samtidigt är det av yttersta vikt att fortsätta att investera i unionens sociala mål genom ESF+, eftersom social sammanhållning är en hörnsten i vår demokratiska och samhälleliga resiliens, som är avgörande för att möta hot om aggressioner.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12</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Marc Angel, Idoia Mendia, Vilija Blinkevičiūtė, Aodhán Ó Ríordáin, Evelyn Regner</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1c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(1c)</w:t>
            </w:r>
            <w:r>
              <w:rPr>
                <w:b/>
                <w:i/>
              </w:rPr>
              <w:tab/>
              <w:t>Sammanhållningspolitiken måste fortsätta att vara en långsiktig politik som bygger på målen i artiklarna 174 och 175 i EUF-fördraget. Sammanhållningspolitiken används ofta som ett krishanteringsverktyg, vilket inte bör äventyra dess långsiktiga politiska mål och investeringsmål.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lastRenderedPageBreak/>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13</w:t>
      </w:r>
      <w:r>
        <w:rPr>
          <w:rStyle w:val="HideTWBExt"/>
          <w:b w:val="0"/>
        </w:rPr>
        <w:t>&lt;/NumAm&gt;</w:t>
      </w:r>
    </w:p>
    <w:p w:rsidR="008E4158" w:rsidRPr="00A26490" w:rsidRDefault="008E4158" w:rsidP="008E4158">
      <w:pPr>
        <w:pStyle w:val="NormalBold"/>
      </w:pPr>
      <w:r>
        <w:rPr>
          <w:rStyle w:val="HideTWBExt"/>
          <w:b w:val="0"/>
        </w:rPr>
        <w:t>&lt;RepeatBlock-By&gt;&lt;Members&gt;</w:t>
      </w:r>
      <w:r>
        <w:t>Branislav Ondruš</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(2)</w:t>
            </w:r>
            <w:r>
              <w:rPr>
                <w:b/>
                <w:i/>
              </w:rPr>
              <w:tab/>
              <w:t>Vitboken om den europeiska försvarsberedskapen 2030</w:t>
            </w:r>
            <w:r>
              <w:rPr>
                <w:b/>
                <w:i/>
                <w:vertAlign w:val="superscript"/>
              </w:rPr>
              <w:t>3</w:t>
            </w:r>
            <w:r>
              <w:rPr>
                <w:b/>
                <w:i/>
              </w:rPr>
              <w:t xml:space="preserve"> banar väg för en verklig europeisk försvarsunion, bland annat genom att föreslå att medlemsstaterna ska göra stora investeringar i försvaret och försvarsindustrin. I detta avseende fastställs i kommissionens meddelande om kompetensunionen av den 5 mars 2025</w:t>
            </w:r>
            <w:r>
              <w:rPr>
                <w:b/>
                <w:i/>
                <w:vertAlign w:val="superscript"/>
              </w:rPr>
              <w:t>4</w:t>
            </w:r>
            <w:r>
              <w:rPr>
                <w:b/>
                <w:i/>
              </w:rPr>
              <w:t xml:space="preserve"> (meddelandet om kompetensunionen) åtgärder för att ta itu med kompetensklyftor och kompetensbrister i unionen, även genom den kompetenspakt som avses i meddelandet och dess storskaliga partnerskap, varav ett som rör försvarsekosystemet. Det är därför lämpligt att inkludera incitament för ESF+, som inrättades genom Europaparlamentets och rådets förordning (EU) 2021/1057</w:t>
            </w:r>
            <w:r>
              <w:rPr>
                <w:b/>
                <w:i/>
                <w:vertAlign w:val="superscript"/>
              </w:rPr>
              <w:t>5</w:t>
            </w:r>
            <w:r>
              <w:rPr>
                <w:b/>
                <w:i/>
              </w:rPr>
              <w:t>, för att underlätta kompetensutvecklingen inom försvarsindustrin.</w:t>
            </w:r>
          </w:p>
        </w:tc>
        <w:tc>
          <w:tcPr>
            <w:tcW w:w="4876" w:type="dxa"/>
            <w:hideMark/>
          </w:tcPr>
          <w:p w:rsidR="008E4158" w:rsidRPr="00A26490" w:rsidRDefault="008E4158" w:rsidP="00BF1E0A">
            <w:pPr>
              <w:pStyle w:val="Normal6"/>
              <w:rPr>
                <w:szCs w:val="24"/>
              </w:rPr>
            </w:pPr>
            <w:r>
              <w:rPr>
                <w:b/>
                <w:i/>
              </w:rPr>
              <w:t>utgår</w:t>
            </w:r>
          </w:p>
        </w:tc>
      </w:tr>
      <w:tr w:rsidR="008E4158" w:rsidTr="00BF1E0A">
        <w:trPr>
          <w:jc w:val="center"/>
        </w:trPr>
        <w:tc>
          <w:tcPr>
            <w:tcW w:w="4876" w:type="dxa"/>
            <w:hideMark/>
          </w:tcPr>
          <w:p w:rsidR="008E4158" w:rsidRPr="00A26490" w:rsidRDefault="008E4158" w:rsidP="00BF1E0A">
            <w:pPr>
              <w:pStyle w:val="Normal6"/>
            </w:pPr>
            <w:r>
              <w:rPr>
                <w:b/>
                <w:i/>
              </w:rPr>
              <w:t>__________________</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sidRPr="00BF1E0A">
              <w:rPr>
                <w:b/>
                <w:i/>
                <w:vertAlign w:val="superscript"/>
              </w:rPr>
              <w:t xml:space="preserve">3 </w:t>
            </w:r>
            <w:r>
              <w:rPr>
                <w:b/>
                <w:i/>
              </w:rPr>
              <w:t>Gemensam vitbok om europeisk försvarsberedskap 2030, JOIN(2025) 120 final, 19.3.2025.</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sidRPr="00BF1E0A">
              <w:rPr>
                <w:b/>
                <w:i/>
                <w:vertAlign w:val="superscript"/>
              </w:rPr>
              <w:t>4</w:t>
            </w:r>
            <w:r>
              <w:rPr>
                <w:b/>
                <w:i/>
              </w:rPr>
              <w:t xml:space="preserve"> COM (2025) 90 final.</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sidRPr="00BF1E0A">
              <w:rPr>
                <w:b/>
                <w:i/>
                <w:vertAlign w:val="superscript"/>
              </w:rPr>
              <w:t>5</w:t>
            </w:r>
            <w:r>
              <w:rPr>
                <w:b/>
                <w:i/>
              </w:rPr>
              <w:t xml:space="preserve"> Europaparlamentets och rådets förordning (EU) 2021/1057 av den 24 juni 2021 om inrättande av Europeiska socialfonden+ (ESF+) och om upphävande av förordning (EU) nr 1296/2013 (EUT L 231, 30.6.2021, s. 21, ELI: http://data.europa.eu/eli/reg/2021/1057/oj).</w:t>
            </w:r>
          </w:p>
        </w:tc>
        <w:tc>
          <w:tcPr>
            <w:tcW w:w="4876" w:type="dxa"/>
          </w:tcPr>
          <w:p w:rsidR="008E4158" w:rsidRPr="00A26490" w:rsidRDefault="008E4158" w:rsidP="00BF1E0A">
            <w:pPr>
              <w:pStyle w:val="Normal6"/>
              <w:rPr>
                <w:szCs w:val="24"/>
              </w:rPr>
            </w:pP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14</w:t>
      </w:r>
      <w:r>
        <w:rPr>
          <w:rStyle w:val="HideTWBExt"/>
          <w:b w:val="0"/>
        </w:rPr>
        <w:t>&lt;/NumAm&gt;</w:t>
      </w:r>
    </w:p>
    <w:p w:rsidR="008E4158" w:rsidRPr="00A26490" w:rsidRDefault="008E4158" w:rsidP="008E4158">
      <w:pPr>
        <w:pStyle w:val="NormalBold"/>
      </w:pPr>
      <w:r>
        <w:rPr>
          <w:rStyle w:val="HideTWBExt"/>
          <w:b w:val="0"/>
        </w:rPr>
        <w:t>&lt;RepeatBlock-By&gt;&lt;Members&gt;</w:t>
      </w:r>
      <w:r>
        <w:t>Grégory Allione, Brigitte van den Berg, Marie-Pierre Vedrenne</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Vitboken om den europeiska försvarsberedskapen 2030</w:t>
            </w:r>
            <w:r>
              <w:rPr>
                <w:vertAlign w:val="superscript"/>
              </w:rPr>
              <w:t>3</w:t>
            </w:r>
            <w:r>
              <w:rPr>
                <w:b/>
                <w:i/>
              </w:rPr>
              <w:t xml:space="preserve"> banar</w:t>
            </w:r>
            <w:r>
              <w:t xml:space="preserve"> väg för en verklig europeisk försvarsunion, bland annat genom att föreslå att medlemsstaterna ska göra stora investeringar i försvaret </w:t>
            </w:r>
            <w:r>
              <w:rPr>
                <w:b/>
                <w:bCs/>
                <w:i/>
                <w:iCs/>
              </w:rPr>
              <w:t>och</w:t>
            </w:r>
            <w:r>
              <w:t xml:space="preserve"> försvarsindustrin. I detta avseende fastställs i kommissionens meddelande om kompetensunionen av den 5 mars 2025</w:t>
            </w:r>
            <w:r>
              <w:rPr>
                <w:vertAlign w:val="superscript"/>
              </w:rPr>
              <w:t>4</w:t>
            </w:r>
            <w:r>
              <w:t xml:space="preserve"> (meddelandet om kompetensunionen) åtgärder för att ta itu med kompetensklyftor och kompetensbrister i unionen, även genom den kompetenspakt som avses i meddelandet och dess storskaliga partnerskap, varav ett som rör försvarsekosystemet. Det är därför lämpligt att inkludera incitament för ESF+, som inrättades genom Europaparlamentets och rådets förordning (EU) 2021/1057</w:t>
            </w:r>
            <w:r>
              <w:rPr>
                <w:vertAlign w:val="superscript"/>
              </w:rPr>
              <w:t>5</w:t>
            </w:r>
            <w:r>
              <w:t>, för att underlätta kompetensutvecklingen inom försvarsindustrin.</w:t>
            </w:r>
          </w:p>
        </w:tc>
        <w:tc>
          <w:tcPr>
            <w:tcW w:w="4876" w:type="dxa"/>
            <w:hideMark/>
          </w:tcPr>
          <w:p w:rsidR="008E4158" w:rsidRPr="00A26490" w:rsidRDefault="008E4158" w:rsidP="00BF1E0A">
            <w:pPr>
              <w:pStyle w:val="Normal6"/>
              <w:rPr>
                <w:szCs w:val="24"/>
              </w:rPr>
            </w:pPr>
            <w:r>
              <w:t>(2)</w:t>
            </w:r>
            <w:r>
              <w:tab/>
            </w:r>
            <w:r>
              <w:rPr>
                <w:b/>
                <w:i/>
              </w:rPr>
              <w:t>Som komplement till Niinistö-rapporten Safer together: Strenghtening Europe’s civilian and military Preparedness and Readiness</w:t>
            </w:r>
            <w:r>
              <w:rPr>
                <w:b/>
                <w:i/>
                <w:vertAlign w:val="superscript"/>
              </w:rPr>
              <w:t>2a</w:t>
            </w:r>
            <w:r>
              <w:rPr>
                <w:b/>
                <w:i/>
              </w:rPr>
              <w:t xml:space="preserve"> och EU:s strategi för en beredskapsunion</w:t>
            </w:r>
            <w:r>
              <w:rPr>
                <w:b/>
                <w:i/>
                <w:vertAlign w:val="superscript"/>
              </w:rPr>
              <w:t>2b</w:t>
            </w:r>
            <w:r>
              <w:rPr>
                <w:b/>
                <w:i/>
              </w:rPr>
              <w:t xml:space="preserve"> banar</w:t>
            </w:r>
            <w:r>
              <w:t xml:space="preserve"> vitboken om den europeiska försvarsberedskapen 2030</w:t>
            </w:r>
            <w:r>
              <w:rPr>
                <w:vertAlign w:val="superscript"/>
              </w:rPr>
              <w:t>3</w:t>
            </w:r>
            <w:r>
              <w:t xml:space="preserve"> väg för en verklig europeisk försvarsunion, bland annat genom att föreslå att medlemsstaterna ska göra stora investeringar i försvaret</w:t>
            </w:r>
            <w:r>
              <w:rPr>
                <w:b/>
                <w:i/>
              </w:rPr>
              <w:t xml:space="preserve">, civilförsvaret, </w:t>
            </w:r>
            <w:r>
              <w:t xml:space="preserve">försvarsindustrin </w:t>
            </w:r>
            <w:r>
              <w:rPr>
                <w:b/>
                <w:bCs/>
                <w:i/>
                <w:iCs/>
              </w:rPr>
              <w:t>och</w:t>
            </w:r>
            <w:r>
              <w:t xml:space="preserve"> </w:t>
            </w:r>
            <w:r>
              <w:rPr>
                <w:b/>
                <w:i/>
              </w:rPr>
              <w:t>teknik med dubbla användningsområden, vilket bör gå hand i hand med sociala utgifter, skapande av arbetstillfällen och möjligheter till kompetenshöjning och omskolning</w:t>
            </w:r>
            <w:r>
              <w:t>. I detta avseende fastställs i kommissionens meddelande om kompetensunionen av den 5 mars 2025</w:t>
            </w:r>
            <w:r>
              <w:rPr>
                <w:vertAlign w:val="superscript"/>
              </w:rPr>
              <w:t>4</w:t>
            </w:r>
            <w:r>
              <w:t xml:space="preserve"> (meddelandet om kompetensunionen) åtgärder för att ta itu med kompetensklyftor och kompetensbrister i unionen, även genom den kompetenspakt som avses i meddelandet och dess storskaliga partnerskap, varav ett som rör försvarsekosystemet</w:t>
            </w:r>
            <w:r>
              <w:rPr>
                <w:b/>
                <w:i/>
              </w:rPr>
              <w:t xml:space="preserve">, ömsesidigt erkännande av kvalifikationer och examensbevis, arbetskraftens rörlighet och initiativ inom yrkesutbildning. För att göra det möjligt för medlemsstaterna att uppnå målen i denna förordning bör samarbete mellan offentliga och privata aktörer främjas, liksom aktivt deltagande av arbetsmarknadens parter, inbegripet fackföreningar och arbetsgivarorganisationer, för att </w:t>
            </w:r>
            <w:r>
              <w:rPr>
                <w:b/>
                <w:i/>
              </w:rPr>
              <w:lastRenderedPageBreak/>
              <w:t>säkerställa en hållbar tillväxt för alla. För att göra det möjligt för medlemsstaterna att genomföra meningsfulla och rättvisa ändringar i programplaneringen och inrikta resurserna på strategiska aktörer är det lämpligt att stödja små och medelstora företag och uppstartsföretag i deras viktiga roll när det gäller innovation, ekonomisk dynamik och skapande av arbetstillfällen, med särskild tonvikt på att minska hindren för deras deltagande och underlätta deras tillgång till resurser och möjligheter</w:t>
            </w:r>
            <w:r>
              <w:t>. Det är därför lämpligt att inkludera incitament för ESF+, som inrättades genom Europaparlamentets och rådets förordning (EU) 2021/1057</w:t>
            </w:r>
            <w:r>
              <w:rPr>
                <w:vertAlign w:val="superscript"/>
              </w:rPr>
              <w:t>5</w:t>
            </w:r>
            <w:r>
              <w:t xml:space="preserve">, för att underlätta kompetensutvecklingen </w:t>
            </w:r>
            <w:r>
              <w:rPr>
                <w:b/>
                <w:i/>
              </w:rPr>
              <w:t xml:space="preserve">och utbildning </w:t>
            </w:r>
            <w:r>
              <w:t xml:space="preserve">inom </w:t>
            </w:r>
            <w:r>
              <w:rPr>
                <w:b/>
                <w:i/>
              </w:rPr>
              <w:t xml:space="preserve">civilförsvaret och </w:t>
            </w:r>
            <w:r>
              <w:t>försvarsindustrin</w:t>
            </w:r>
            <w:r>
              <w:rPr>
                <w:b/>
                <w:i/>
              </w:rPr>
              <w:t>, samtidigt som man upprätthåller sociala normer</w:t>
            </w:r>
            <w:r>
              <w:t>.</w:t>
            </w:r>
          </w:p>
        </w:tc>
      </w:tr>
      <w:tr w:rsidR="008E4158" w:rsidTr="00BF1E0A">
        <w:trPr>
          <w:jc w:val="center"/>
        </w:trPr>
        <w:tc>
          <w:tcPr>
            <w:tcW w:w="4876" w:type="dxa"/>
            <w:hideMark/>
          </w:tcPr>
          <w:p w:rsidR="008E4158" w:rsidRPr="00A26490" w:rsidRDefault="008E4158" w:rsidP="00BF1E0A">
            <w:pPr>
              <w:pStyle w:val="Normal6"/>
            </w:pPr>
            <w:r>
              <w:lastRenderedPageBreak/>
              <w:t>__________________</w:t>
            </w:r>
          </w:p>
        </w:tc>
        <w:tc>
          <w:tcPr>
            <w:tcW w:w="4876" w:type="dxa"/>
            <w:hideMark/>
          </w:tcPr>
          <w:p w:rsidR="008E4158" w:rsidRPr="00A26490" w:rsidRDefault="008E4158" w:rsidP="00BF1E0A">
            <w:pPr>
              <w:pStyle w:val="Normal6"/>
              <w:rPr>
                <w:szCs w:val="24"/>
              </w:rPr>
            </w:pPr>
            <w:r>
              <w:t>__________________</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sidRPr="00BF1E0A">
              <w:rPr>
                <w:b/>
                <w:i/>
                <w:vertAlign w:val="superscript"/>
              </w:rPr>
              <w:t>2a</w:t>
            </w:r>
            <w:r>
              <w:rPr>
                <w:b/>
                <w:i/>
              </w:rPr>
              <w:t xml:space="preserve"> Sauli Niinistö, rapport: Safer Together – Strengthening Europe’s Civilian and Military Preparedness and Readiness, 30.10.2024.</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sidRPr="00BF1E0A">
              <w:rPr>
                <w:b/>
                <w:i/>
                <w:vertAlign w:val="superscript"/>
              </w:rPr>
              <w:t>2b</w:t>
            </w:r>
            <w:r>
              <w:rPr>
                <w:b/>
                <w:i/>
              </w:rPr>
              <w:t xml:space="preserve"> Gemensamt meddelande till Europaparlamentet, Europeiska rådet, rådet, Europeiska ekonomiska och sociala kommittén samt Regionkommittén om EU:s strategi för en beredskapsunion, JOIN(2025)0130, 23.3.2025.</w:t>
            </w:r>
          </w:p>
        </w:tc>
      </w:tr>
      <w:tr w:rsidR="008E4158" w:rsidTr="00BF1E0A">
        <w:trPr>
          <w:jc w:val="center"/>
        </w:trPr>
        <w:tc>
          <w:tcPr>
            <w:tcW w:w="4876" w:type="dxa"/>
            <w:hideMark/>
          </w:tcPr>
          <w:p w:rsidR="008E4158" w:rsidRPr="00A26490" w:rsidRDefault="008E4158" w:rsidP="00BF1E0A">
            <w:pPr>
              <w:pStyle w:val="Normal6"/>
            </w:pPr>
            <w:r>
              <w:rPr>
                <w:vertAlign w:val="superscript"/>
              </w:rPr>
              <w:t>3</w:t>
            </w:r>
            <w:r>
              <w:t xml:space="preserve"> Gemensam vitbok om europeisk försvarsberedskap 2030, JOIN(2025) 120 final, 19.3.2025.</w:t>
            </w:r>
          </w:p>
        </w:tc>
        <w:tc>
          <w:tcPr>
            <w:tcW w:w="4876" w:type="dxa"/>
            <w:hideMark/>
          </w:tcPr>
          <w:p w:rsidR="008E4158" w:rsidRPr="00A26490" w:rsidRDefault="008E4158" w:rsidP="00BF1E0A">
            <w:pPr>
              <w:pStyle w:val="Normal6"/>
              <w:rPr>
                <w:szCs w:val="24"/>
              </w:rPr>
            </w:pPr>
            <w:r>
              <w:rPr>
                <w:vertAlign w:val="superscript"/>
              </w:rPr>
              <w:t>3</w:t>
            </w:r>
            <w:r>
              <w:t xml:space="preserve"> Gemensam vitbok om europeisk försvarsberedskap 2030, JOIN(2025) 120 final, 19.3.2025.</w:t>
            </w:r>
          </w:p>
        </w:tc>
      </w:tr>
      <w:tr w:rsidR="008E4158" w:rsidTr="00BF1E0A">
        <w:trPr>
          <w:jc w:val="center"/>
        </w:trPr>
        <w:tc>
          <w:tcPr>
            <w:tcW w:w="4876" w:type="dxa"/>
            <w:hideMark/>
          </w:tcPr>
          <w:p w:rsidR="008E4158" w:rsidRPr="00A26490" w:rsidRDefault="008E4158" w:rsidP="00BF1E0A">
            <w:pPr>
              <w:pStyle w:val="Normal6"/>
            </w:pPr>
            <w:r>
              <w:rPr>
                <w:vertAlign w:val="superscript"/>
              </w:rPr>
              <w:t>4</w:t>
            </w:r>
            <w:r>
              <w:t xml:space="preserve"> COM (2025) 90 final.</w:t>
            </w:r>
          </w:p>
        </w:tc>
        <w:tc>
          <w:tcPr>
            <w:tcW w:w="4876" w:type="dxa"/>
            <w:hideMark/>
          </w:tcPr>
          <w:p w:rsidR="008E4158" w:rsidRPr="00A26490" w:rsidRDefault="008E4158" w:rsidP="00BF1E0A">
            <w:pPr>
              <w:pStyle w:val="Normal6"/>
              <w:rPr>
                <w:szCs w:val="24"/>
              </w:rPr>
            </w:pPr>
            <w:r>
              <w:rPr>
                <w:vertAlign w:val="superscript"/>
              </w:rPr>
              <w:t>4</w:t>
            </w:r>
            <w:r>
              <w:t xml:space="preserve"> COM (2025) 90 final.</w:t>
            </w:r>
          </w:p>
        </w:tc>
      </w:tr>
      <w:tr w:rsidR="008E4158" w:rsidTr="00BF1E0A">
        <w:trPr>
          <w:jc w:val="center"/>
        </w:trPr>
        <w:tc>
          <w:tcPr>
            <w:tcW w:w="4876" w:type="dxa"/>
            <w:hideMark/>
          </w:tcPr>
          <w:p w:rsidR="008E4158" w:rsidRPr="00A26490" w:rsidRDefault="008E4158" w:rsidP="00BF1E0A">
            <w:pPr>
              <w:pStyle w:val="Normal6"/>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c>
          <w:tcPr>
            <w:tcW w:w="4876" w:type="dxa"/>
            <w:hideMark/>
          </w:tcPr>
          <w:p w:rsidR="008E4158" w:rsidRPr="00A26490" w:rsidRDefault="008E4158" w:rsidP="00BF1E0A">
            <w:pPr>
              <w:pStyle w:val="Normal6"/>
              <w:rPr>
                <w:szCs w:val="24"/>
              </w:rPr>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lastRenderedPageBreak/>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15</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Vitboken om den europeiska försvarsberedskapen 2030</w:t>
            </w:r>
            <w:r>
              <w:rPr>
                <w:vertAlign w:val="superscript"/>
              </w:rPr>
              <w:t>3</w:t>
            </w:r>
            <w:r>
              <w:t xml:space="preserve"> banar väg för en verklig europeisk försvarsunion, bland annat genom att föreslå att medlemsstaterna ska göra stora investeringar i försvaret </w:t>
            </w:r>
            <w:r>
              <w:rPr>
                <w:b/>
                <w:bCs/>
                <w:i/>
                <w:iCs/>
              </w:rPr>
              <w:t>och</w:t>
            </w:r>
            <w:r>
              <w:t xml:space="preserve"> försvarsindustrin. I detta avseende fastställs i kommissionens meddelande om kompetensunionen av den 5 mars 2025</w:t>
            </w:r>
            <w:r>
              <w:rPr>
                <w:vertAlign w:val="superscript"/>
              </w:rPr>
              <w:t>4</w:t>
            </w:r>
            <w:r>
              <w:t xml:space="preserve"> (meddelandet om kompetensunionen) åtgärder för att ta itu med kompetensklyftor och kompetensbrister i unionen, </w:t>
            </w:r>
            <w:r>
              <w:rPr>
                <w:b/>
                <w:i/>
              </w:rPr>
              <w:t xml:space="preserve">även </w:t>
            </w:r>
            <w:r>
              <w:t>genom</w:t>
            </w:r>
            <w:r>
              <w:rPr>
                <w:b/>
                <w:i/>
              </w:rPr>
              <w:t xml:space="preserve"> den kompetenspakt</w:t>
            </w:r>
            <w:r>
              <w:t xml:space="preserve"> </w:t>
            </w:r>
            <w:r>
              <w:rPr>
                <w:b/>
                <w:bCs/>
                <w:i/>
                <w:iCs/>
              </w:rPr>
              <w:t>som</w:t>
            </w:r>
            <w:r>
              <w:t xml:space="preserve"> </w:t>
            </w:r>
            <w:r>
              <w:rPr>
                <w:b/>
                <w:i/>
              </w:rPr>
              <w:t>avses</w:t>
            </w:r>
            <w:r>
              <w:t xml:space="preserve"> i </w:t>
            </w:r>
            <w:r>
              <w:rPr>
                <w:b/>
                <w:i/>
              </w:rPr>
              <w:t>meddelandet</w:t>
            </w:r>
            <w:r>
              <w:t xml:space="preserve"> </w:t>
            </w:r>
            <w:r>
              <w:rPr>
                <w:b/>
                <w:bCs/>
                <w:i/>
                <w:iCs/>
              </w:rPr>
              <w:t>och</w:t>
            </w:r>
            <w:r>
              <w:t xml:space="preserve"> </w:t>
            </w:r>
            <w:r>
              <w:rPr>
                <w:b/>
                <w:i/>
              </w:rPr>
              <w:t xml:space="preserve">dess </w:t>
            </w:r>
            <w:r>
              <w:t>storskaliga partnerskap, varav ett som rör försvarsekosystemet. Det är därför lämpligt att inkludera incitament för ESF+, som inrättades genom Europaparlamentets och rådets förordning (EU) 2021/1057</w:t>
            </w:r>
            <w:r>
              <w:rPr>
                <w:vertAlign w:val="superscript"/>
              </w:rPr>
              <w:t>5</w:t>
            </w:r>
            <w:r>
              <w:t>, för att underlätta kompetensutvecklingen inom försvarsindustrin.</w:t>
            </w:r>
          </w:p>
        </w:tc>
        <w:tc>
          <w:tcPr>
            <w:tcW w:w="4876" w:type="dxa"/>
            <w:hideMark/>
          </w:tcPr>
          <w:p w:rsidR="008E4158" w:rsidRPr="00A26490" w:rsidRDefault="008E4158" w:rsidP="00BF1E0A">
            <w:pPr>
              <w:pStyle w:val="Normal6"/>
              <w:rPr>
                <w:szCs w:val="24"/>
              </w:rPr>
            </w:pPr>
            <w:r>
              <w:t>(2)</w:t>
            </w:r>
            <w:r>
              <w:tab/>
              <w:t>Vitboken om den europeiska försvarsberedskapen 2030</w:t>
            </w:r>
            <w:r>
              <w:rPr>
                <w:vertAlign w:val="superscript"/>
              </w:rPr>
              <w:t>3</w:t>
            </w:r>
            <w:r>
              <w:t xml:space="preserve"> banar väg för en verklig europeisk försvarsunion, bland annat genom att föreslå att medlemsstaterna ska göra stora investeringar i försvaret</w:t>
            </w:r>
            <w:r>
              <w:rPr>
                <w:b/>
                <w:i/>
              </w:rPr>
              <w:t xml:space="preserve">, </w:t>
            </w:r>
            <w:r>
              <w:t xml:space="preserve">försvarsindustrin </w:t>
            </w:r>
            <w:r>
              <w:rPr>
                <w:b/>
                <w:bCs/>
                <w:i/>
                <w:iCs/>
              </w:rPr>
              <w:t>och</w:t>
            </w:r>
            <w:r>
              <w:t xml:space="preserve"> </w:t>
            </w:r>
            <w:r>
              <w:rPr>
                <w:b/>
                <w:i/>
              </w:rPr>
              <w:t>teknik med dubbla användningsområden, vilket bör gå hand i hand med sociala utgifter, skapande av arbetstillfällen och möjligheter till kompetenshöjning och omskolning</w:t>
            </w:r>
            <w:r>
              <w:t>. I detta avseende fastställs i kommissionens meddelande om kompetensunionen av den 5 mars 2025</w:t>
            </w:r>
            <w:r>
              <w:rPr>
                <w:vertAlign w:val="superscript"/>
              </w:rPr>
              <w:t>4</w:t>
            </w:r>
            <w:r>
              <w:t xml:space="preserve"> (meddelandet om kompetensunionen) åtgärder för att ta itu med kompetensklyftor och kompetensbrister i unionen, genom</w:t>
            </w:r>
            <w:r>
              <w:rPr>
                <w:b/>
                <w:i/>
              </w:rPr>
              <w:t xml:space="preserve"> kompetenspakten, </w:t>
            </w:r>
            <w:r>
              <w:t>storskaliga partnerskap, varav ett som rör försvarsekosystemet</w:t>
            </w:r>
            <w:r>
              <w:rPr>
                <w:b/>
                <w:i/>
              </w:rPr>
              <w:t xml:space="preserve">, ömsesidigt erkännande av kvalifikationer och examensbevis, arbetskraftens rörlighet och initiativ inom yrkesutbildning. För att göra det möjligt för medlemsstaterna att uppnå målen i denna förordning bör samarbete mellan offentliga och privata aktörer främjas, liksom aktivt deltagande av arbetsmarknadens parter, inbegripet fackföreningar och arbetsgivarorganisationer, för att säkerställa en hållbar tillväxt för alla. För att göra det möjligt för medlemsstaterna att genomföra meningsfulla och rättvisa ändringar i programplaneringen och inrikta resurserna på strategiska aktörer är det lämpligt att stödja små och medelstora företag och uppstartsföretag i </w:t>
            </w:r>
            <w:r>
              <w:rPr>
                <w:b/>
                <w:i/>
              </w:rPr>
              <w:lastRenderedPageBreak/>
              <w:t>deras viktiga roll när det gäller innovation, ekonomisk dynamik och skapande av arbetstillfällen, med särskild tonvikt på att minska hindren för deras deltagande och underlätta deras tillgång till resurser och möjligheter</w:t>
            </w:r>
            <w:r>
              <w:t>. Det är därför lämpligt att inkludera incitament för ESF+, som inrättades genom Europaparlamentets och rådets förordning (EU) 2021/1057</w:t>
            </w:r>
            <w:r>
              <w:rPr>
                <w:vertAlign w:val="superscript"/>
              </w:rPr>
              <w:t>5</w:t>
            </w:r>
            <w:r>
              <w:t xml:space="preserve">, för att underlätta kompetensutvecklingen </w:t>
            </w:r>
            <w:r>
              <w:rPr>
                <w:b/>
                <w:i/>
              </w:rPr>
              <w:t xml:space="preserve">och utbildning </w:t>
            </w:r>
            <w:r>
              <w:t>inom försvarsindustrin</w:t>
            </w:r>
            <w:r>
              <w:rPr>
                <w:b/>
                <w:i/>
              </w:rPr>
              <w:t>, samtidigt som man upprätthåller sociala normer</w:t>
            </w:r>
            <w:r>
              <w:t>.</w:t>
            </w:r>
          </w:p>
        </w:tc>
      </w:tr>
      <w:tr w:rsidR="008E4158" w:rsidTr="00BF1E0A">
        <w:trPr>
          <w:jc w:val="center"/>
        </w:trPr>
        <w:tc>
          <w:tcPr>
            <w:tcW w:w="4876" w:type="dxa"/>
            <w:hideMark/>
          </w:tcPr>
          <w:p w:rsidR="008E4158" w:rsidRPr="00A26490" w:rsidRDefault="008E4158" w:rsidP="00BF1E0A">
            <w:pPr>
              <w:pStyle w:val="Normal6"/>
            </w:pPr>
            <w:r>
              <w:lastRenderedPageBreak/>
              <w:t>__________________</w:t>
            </w:r>
          </w:p>
        </w:tc>
        <w:tc>
          <w:tcPr>
            <w:tcW w:w="4876" w:type="dxa"/>
            <w:hideMark/>
          </w:tcPr>
          <w:p w:rsidR="008E4158" w:rsidRPr="00A26490" w:rsidRDefault="008E4158" w:rsidP="00BF1E0A">
            <w:pPr>
              <w:pStyle w:val="Normal6"/>
              <w:rPr>
                <w:szCs w:val="24"/>
              </w:rPr>
            </w:pPr>
            <w:r>
              <w:t>__________________</w:t>
            </w:r>
          </w:p>
        </w:tc>
      </w:tr>
      <w:tr w:rsidR="008E4158" w:rsidTr="00BF1E0A">
        <w:trPr>
          <w:jc w:val="center"/>
        </w:trPr>
        <w:tc>
          <w:tcPr>
            <w:tcW w:w="4876" w:type="dxa"/>
            <w:hideMark/>
          </w:tcPr>
          <w:p w:rsidR="008E4158" w:rsidRPr="00A26490" w:rsidRDefault="008E4158" w:rsidP="00BF1E0A">
            <w:pPr>
              <w:pStyle w:val="Normal6"/>
            </w:pPr>
            <w:r>
              <w:rPr>
                <w:vertAlign w:val="superscript"/>
              </w:rPr>
              <w:t>3</w:t>
            </w:r>
            <w:r>
              <w:t xml:space="preserve"> Gemensam vitbok om europeisk försvarsberedskap 2030, JOIN(2025) 120 final, 19.3.2025.</w:t>
            </w:r>
          </w:p>
        </w:tc>
        <w:tc>
          <w:tcPr>
            <w:tcW w:w="4876" w:type="dxa"/>
            <w:hideMark/>
          </w:tcPr>
          <w:p w:rsidR="008E4158" w:rsidRPr="00A26490" w:rsidRDefault="008E4158" w:rsidP="00BF1E0A">
            <w:pPr>
              <w:pStyle w:val="Normal6"/>
              <w:rPr>
                <w:szCs w:val="24"/>
              </w:rPr>
            </w:pPr>
            <w:r>
              <w:rPr>
                <w:vertAlign w:val="superscript"/>
              </w:rPr>
              <w:t>3</w:t>
            </w:r>
            <w:r>
              <w:t xml:space="preserve"> Gemensam vitbok om europeisk försvarsberedskap 2030, JOIN(2025) 120 final, 19.3.2025.</w:t>
            </w:r>
          </w:p>
        </w:tc>
      </w:tr>
      <w:tr w:rsidR="008E4158" w:rsidTr="00BF1E0A">
        <w:trPr>
          <w:jc w:val="center"/>
        </w:trPr>
        <w:tc>
          <w:tcPr>
            <w:tcW w:w="4876" w:type="dxa"/>
            <w:hideMark/>
          </w:tcPr>
          <w:p w:rsidR="008E4158" w:rsidRPr="00A26490" w:rsidRDefault="008E4158" w:rsidP="00BF1E0A">
            <w:pPr>
              <w:pStyle w:val="Normal6"/>
            </w:pPr>
            <w:r>
              <w:rPr>
                <w:vertAlign w:val="superscript"/>
              </w:rPr>
              <w:t>4</w:t>
            </w:r>
            <w:r>
              <w:t xml:space="preserve"> COM (2025) 90 final.</w:t>
            </w:r>
          </w:p>
        </w:tc>
        <w:tc>
          <w:tcPr>
            <w:tcW w:w="4876" w:type="dxa"/>
            <w:hideMark/>
          </w:tcPr>
          <w:p w:rsidR="008E4158" w:rsidRPr="00A26490" w:rsidRDefault="008E4158" w:rsidP="00BF1E0A">
            <w:pPr>
              <w:pStyle w:val="Normal6"/>
              <w:rPr>
                <w:szCs w:val="24"/>
              </w:rPr>
            </w:pPr>
            <w:r>
              <w:rPr>
                <w:vertAlign w:val="superscript"/>
              </w:rPr>
              <w:t>4</w:t>
            </w:r>
            <w:r>
              <w:t xml:space="preserve"> COM (2025) 90 final.</w:t>
            </w:r>
          </w:p>
        </w:tc>
      </w:tr>
      <w:tr w:rsidR="008E4158" w:rsidTr="00BF1E0A">
        <w:trPr>
          <w:jc w:val="center"/>
        </w:trPr>
        <w:tc>
          <w:tcPr>
            <w:tcW w:w="4876" w:type="dxa"/>
            <w:hideMark/>
          </w:tcPr>
          <w:p w:rsidR="008E4158" w:rsidRPr="00A26490" w:rsidRDefault="008E4158" w:rsidP="00BF1E0A">
            <w:pPr>
              <w:pStyle w:val="Normal6"/>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c>
          <w:tcPr>
            <w:tcW w:w="4876" w:type="dxa"/>
            <w:hideMark/>
          </w:tcPr>
          <w:p w:rsidR="008E4158" w:rsidRPr="00A26490" w:rsidRDefault="008E4158" w:rsidP="00BF1E0A">
            <w:pPr>
              <w:pStyle w:val="Normal6"/>
              <w:rPr>
                <w:szCs w:val="24"/>
              </w:rPr>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16</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Vitboken om den europeiska försvarsberedskapen 2030</w:t>
            </w:r>
            <w:r>
              <w:rPr>
                <w:vertAlign w:val="superscript"/>
              </w:rPr>
              <w:t>3</w:t>
            </w:r>
            <w:r>
              <w:t xml:space="preserve"> banar väg för en verklig europeisk försvarsunion, bland annat genom att föreslå att medlemsstaterna ska göra stora investeringar i försvaret och försvarsindustrin. I detta avseende fastställs </w:t>
            </w:r>
            <w:r>
              <w:lastRenderedPageBreak/>
              <w:t>i kommissionens meddelande om kompetensunionen av den 5 mars 2025</w:t>
            </w:r>
            <w:r>
              <w:rPr>
                <w:vertAlign w:val="superscript"/>
              </w:rPr>
              <w:t>4</w:t>
            </w:r>
            <w:r>
              <w:t xml:space="preserve"> (meddelandet om kompetensunionen) åtgärder för att ta itu med kompetensklyftor och kompetensbrister i unionen, även genom den kompetenspakt som avses i meddelandet och dess storskaliga partnerskap, varav ett som rör försvarsekosystemet. Det är </w:t>
            </w:r>
            <w:r>
              <w:rPr>
                <w:b/>
                <w:i/>
              </w:rPr>
              <w:t>därför lämpligt</w:t>
            </w:r>
            <w:r>
              <w:t xml:space="preserve"> att </w:t>
            </w:r>
            <w:r>
              <w:rPr>
                <w:b/>
                <w:i/>
              </w:rPr>
              <w:t>inkludera incitament för</w:t>
            </w:r>
            <w:r>
              <w:t xml:space="preserve"> ESF+, som inrättades genom Europaparlamentets och rådets förordning (EU) 2021/1057</w:t>
            </w:r>
            <w:r>
              <w:rPr>
                <w:vertAlign w:val="superscript"/>
              </w:rPr>
              <w:t>5</w:t>
            </w:r>
            <w:r>
              <w:t>, för att underlätta kompetensutvecklingen inom försvarsindustrin.</w:t>
            </w:r>
          </w:p>
        </w:tc>
        <w:tc>
          <w:tcPr>
            <w:tcW w:w="4876" w:type="dxa"/>
            <w:hideMark/>
          </w:tcPr>
          <w:p w:rsidR="008E4158" w:rsidRPr="00A26490" w:rsidRDefault="008E4158" w:rsidP="00BF1E0A">
            <w:pPr>
              <w:pStyle w:val="Normal6"/>
              <w:rPr>
                <w:szCs w:val="24"/>
              </w:rPr>
            </w:pPr>
            <w:r>
              <w:lastRenderedPageBreak/>
              <w:t>(2)</w:t>
            </w:r>
            <w:r>
              <w:tab/>
              <w:t>Vitboken om den europeiska försvarsberedskapen 2030</w:t>
            </w:r>
            <w:r>
              <w:rPr>
                <w:vertAlign w:val="superscript"/>
              </w:rPr>
              <w:t>3</w:t>
            </w:r>
            <w:r>
              <w:t xml:space="preserve"> banar väg för en verklig europeisk försvarsunion, bland annat genom att föreslå att medlemsstaterna ska göra stora investeringar i försvaret och försvarsindustrin. I detta avseende fastställs </w:t>
            </w:r>
            <w:r>
              <w:lastRenderedPageBreak/>
              <w:t>i kommissionens meddelande om kompetensunionen av den 5 mars 2025</w:t>
            </w:r>
            <w:r>
              <w:rPr>
                <w:vertAlign w:val="superscript"/>
              </w:rPr>
              <w:t>4</w:t>
            </w:r>
            <w:r>
              <w:t xml:space="preserve"> (meddelandet om kompetensunionen) åtgärder för att ta itu med kompetensklyftor och kompetensbrister i unionen, även genom den kompetenspakt som avses i meddelandet och dess storskaliga partnerskap, varav ett som rör försvarsekosystemet. </w:t>
            </w:r>
            <w:r>
              <w:rPr>
                <w:b/>
                <w:i/>
              </w:rPr>
              <w:t>Europeiska unionen och dess medlemsstater reagerar på de geopolitiska händelserna och är beredda att använda de finansiella resurser som behövs för att stärka vår försvarsindustri genom olika europeiska och nationella program.</w:t>
            </w:r>
            <w:r>
              <w:t xml:space="preserve"> Det är </w:t>
            </w:r>
            <w:r>
              <w:rPr>
                <w:b/>
                <w:i/>
              </w:rPr>
              <w:t>viktigt att stärka vår försvarssektor och samtidigt fortsätta</w:t>
            </w:r>
            <w:r>
              <w:t xml:space="preserve"> att </w:t>
            </w:r>
            <w:r>
              <w:rPr>
                <w:b/>
                <w:i/>
              </w:rPr>
              <w:t>investera i social inkludering och sammanhållning i vår union genom ESF+, och medlemsstaterna kan redan nu använda</w:t>
            </w:r>
            <w:r>
              <w:t xml:space="preserve"> ESF+, som inrättades genom Europaparlamentets och rådets förordning (EU) 2021/1057</w:t>
            </w:r>
            <w:r>
              <w:rPr>
                <w:vertAlign w:val="superscript"/>
              </w:rPr>
              <w:t>5</w:t>
            </w:r>
            <w:r>
              <w:t>, för att underlätta kompetensutvecklingen inom försvarsindustrin.</w:t>
            </w:r>
          </w:p>
        </w:tc>
      </w:tr>
      <w:tr w:rsidR="008E4158" w:rsidTr="00BF1E0A">
        <w:trPr>
          <w:jc w:val="center"/>
        </w:trPr>
        <w:tc>
          <w:tcPr>
            <w:tcW w:w="4876" w:type="dxa"/>
            <w:hideMark/>
          </w:tcPr>
          <w:p w:rsidR="008E4158" w:rsidRPr="00A26490" w:rsidRDefault="008E4158" w:rsidP="00BF1E0A">
            <w:pPr>
              <w:pStyle w:val="Normal6"/>
            </w:pPr>
            <w:r>
              <w:lastRenderedPageBreak/>
              <w:t>__________________</w:t>
            </w:r>
          </w:p>
        </w:tc>
        <w:tc>
          <w:tcPr>
            <w:tcW w:w="4876" w:type="dxa"/>
            <w:hideMark/>
          </w:tcPr>
          <w:p w:rsidR="008E4158" w:rsidRPr="00A26490" w:rsidRDefault="008E4158" w:rsidP="00BF1E0A">
            <w:pPr>
              <w:pStyle w:val="Normal6"/>
              <w:rPr>
                <w:szCs w:val="24"/>
              </w:rPr>
            </w:pPr>
            <w:r>
              <w:t>__________________</w:t>
            </w:r>
          </w:p>
        </w:tc>
      </w:tr>
      <w:tr w:rsidR="008E4158" w:rsidTr="00BF1E0A">
        <w:trPr>
          <w:jc w:val="center"/>
        </w:trPr>
        <w:tc>
          <w:tcPr>
            <w:tcW w:w="4876" w:type="dxa"/>
            <w:hideMark/>
          </w:tcPr>
          <w:p w:rsidR="008E4158" w:rsidRPr="00A26490" w:rsidRDefault="008E4158" w:rsidP="00BF1E0A">
            <w:pPr>
              <w:pStyle w:val="Normal6"/>
            </w:pPr>
            <w:r>
              <w:rPr>
                <w:vertAlign w:val="superscript"/>
              </w:rPr>
              <w:t>3</w:t>
            </w:r>
            <w:r>
              <w:t xml:space="preserve"> Gemensam vitbok om europeisk försvarsberedskap 2030, JOIN(2025) 120 final, 19.3.2025.</w:t>
            </w:r>
          </w:p>
        </w:tc>
        <w:tc>
          <w:tcPr>
            <w:tcW w:w="4876" w:type="dxa"/>
            <w:hideMark/>
          </w:tcPr>
          <w:p w:rsidR="008E4158" w:rsidRPr="00A26490" w:rsidRDefault="008E4158" w:rsidP="00BF1E0A">
            <w:pPr>
              <w:pStyle w:val="Normal6"/>
              <w:rPr>
                <w:szCs w:val="24"/>
              </w:rPr>
            </w:pPr>
            <w:r>
              <w:rPr>
                <w:vertAlign w:val="superscript"/>
              </w:rPr>
              <w:t>3</w:t>
            </w:r>
            <w:r>
              <w:t xml:space="preserve"> Gemensam vitbok om europeisk försvarsberedskap 2030, JOIN(2025) 120 final, 19.3.2025.</w:t>
            </w:r>
          </w:p>
        </w:tc>
      </w:tr>
      <w:tr w:rsidR="008E4158" w:rsidTr="00BF1E0A">
        <w:trPr>
          <w:jc w:val="center"/>
        </w:trPr>
        <w:tc>
          <w:tcPr>
            <w:tcW w:w="4876" w:type="dxa"/>
            <w:hideMark/>
          </w:tcPr>
          <w:p w:rsidR="008E4158" w:rsidRPr="00A26490" w:rsidRDefault="008E4158" w:rsidP="00BF1E0A">
            <w:pPr>
              <w:pStyle w:val="Normal6"/>
            </w:pPr>
            <w:r>
              <w:rPr>
                <w:vertAlign w:val="superscript"/>
              </w:rPr>
              <w:t>4</w:t>
            </w:r>
            <w:r>
              <w:t xml:space="preserve"> COM (2025) 90 final.</w:t>
            </w:r>
          </w:p>
        </w:tc>
        <w:tc>
          <w:tcPr>
            <w:tcW w:w="4876" w:type="dxa"/>
            <w:hideMark/>
          </w:tcPr>
          <w:p w:rsidR="008E4158" w:rsidRPr="00A26490" w:rsidRDefault="008E4158" w:rsidP="00BF1E0A">
            <w:pPr>
              <w:pStyle w:val="Normal6"/>
              <w:rPr>
                <w:szCs w:val="24"/>
              </w:rPr>
            </w:pPr>
            <w:r>
              <w:rPr>
                <w:vertAlign w:val="superscript"/>
              </w:rPr>
              <w:t>4</w:t>
            </w:r>
            <w:r>
              <w:t xml:space="preserve"> COM (2025) 90 final.</w:t>
            </w:r>
          </w:p>
        </w:tc>
      </w:tr>
      <w:tr w:rsidR="008E4158" w:rsidTr="00BF1E0A">
        <w:trPr>
          <w:jc w:val="center"/>
        </w:trPr>
        <w:tc>
          <w:tcPr>
            <w:tcW w:w="4876" w:type="dxa"/>
            <w:hideMark/>
          </w:tcPr>
          <w:p w:rsidR="008E4158" w:rsidRPr="00A26490" w:rsidRDefault="008E4158" w:rsidP="00BF1E0A">
            <w:pPr>
              <w:pStyle w:val="Normal6"/>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c>
          <w:tcPr>
            <w:tcW w:w="4876" w:type="dxa"/>
            <w:hideMark/>
          </w:tcPr>
          <w:p w:rsidR="008E4158" w:rsidRPr="00A26490" w:rsidRDefault="008E4158" w:rsidP="00BF1E0A">
            <w:pPr>
              <w:pStyle w:val="Normal6"/>
              <w:rPr>
                <w:szCs w:val="24"/>
              </w:rPr>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17</w:t>
      </w:r>
      <w:r>
        <w:rPr>
          <w:rStyle w:val="HideTWBExt"/>
          <w:b w:val="0"/>
        </w:rPr>
        <w:t>&lt;/NumAm&gt;</w:t>
      </w:r>
    </w:p>
    <w:p w:rsidR="008E4158" w:rsidRPr="00A26490" w:rsidRDefault="008E4158" w:rsidP="008E4158">
      <w:pPr>
        <w:pStyle w:val="NormalBold"/>
      </w:pPr>
      <w:r>
        <w:rPr>
          <w:rStyle w:val="HideTWBExt"/>
          <w:b w:val="0"/>
        </w:rPr>
        <w:t>&lt;RepeatBlock-By&gt;&lt;Members&gt;</w:t>
      </w:r>
      <w:r>
        <w:t>Marie Dauchy, Nikola Bartůšek</w:t>
      </w:r>
      <w:r>
        <w:rPr>
          <w:rStyle w:val="HideTWBExt"/>
          <w:b w:val="0"/>
        </w:rPr>
        <w:t>&lt;/Members&gt;</w:t>
      </w:r>
    </w:p>
    <w:p w:rsidR="008E4158" w:rsidRPr="00A26490" w:rsidRDefault="008E4158" w:rsidP="008E4158">
      <w:r>
        <w:rPr>
          <w:rStyle w:val="HideTWBExt"/>
        </w:rPr>
        <w:t>&lt;AuNomDe&gt;</w:t>
      </w:r>
      <w:r>
        <w:rPr>
          <w:rStyle w:val="HideTWBInt"/>
        </w:rPr>
        <w:t>{EMPL}</w:t>
      </w:r>
      <w:r>
        <w:t>för utskottet för sysselsättning och sociala frågor</w:t>
      </w:r>
      <w:r>
        <w:rPr>
          <w:rStyle w:val="HideTWBExt"/>
        </w:rPr>
        <w:t>&lt;/AuNomDe&gt;</w:t>
      </w:r>
    </w:p>
    <w:p w:rsidR="008E4158" w:rsidRPr="00A26490" w:rsidRDefault="008E4158" w:rsidP="008E4158">
      <w:pPr>
        <w:pStyle w:val="NormalBold"/>
      </w:pPr>
      <w:r>
        <w:rPr>
          <w:rStyle w:val="HideTWBExt"/>
          <w:b w:val="0"/>
        </w:rPr>
        <w:t>&lt;Members&gt;</w:t>
      </w:r>
      <w:r>
        <w:t>Séverine Werbrouck, Rachel Blom</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lastRenderedPageBreak/>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r>
            <w:r>
              <w:rPr>
                <w:b/>
                <w:bCs/>
                <w:i/>
                <w:iCs/>
              </w:rPr>
              <w:t>Vitboken om den europeiska försvarsberedskapen 2030</w:t>
            </w:r>
            <w:r>
              <w:rPr>
                <w:b/>
                <w:bCs/>
                <w:i/>
                <w:iCs/>
                <w:vertAlign w:val="superscript"/>
              </w:rPr>
              <w:t>3</w:t>
            </w:r>
            <w:r>
              <w:rPr>
                <w:b/>
                <w:bCs/>
                <w:i/>
                <w:iCs/>
              </w:rPr>
              <w:t xml:space="preserve"> banar väg för en verklig europeisk försvarsunion, bland annat genom att föreslå att</w:t>
            </w:r>
            <w:r>
              <w:t xml:space="preserve"> medlemsstaterna </w:t>
            </w:r>
            <w:r>
              <w:rPr>
                <w:b/>
                <w:bCs/>
                <w:i/>
                <w:iCs/>
              </w:rPr>
              <w:t xml:space="preserve">ska </w:t>
            </w:r>
            <w:r>
              <w:t xml:space="preserve">göra stora investeringar i försvaret och försvarsindustrin. </w:t>
            </w:r>
            <w:r>
              <w:rPr>
                <w:b/>
                <w:bCs/>
                <w:i/>
                <w:iCs/>
              </w:rPr>
              <w:t>I detta avseende fastställs i kommissionens meddelande om kompetensunionen av den 5 mars 2025</w:t>
            </w:r>
            <w:r>
              <w:rPr>
                <w:b/>
                <w:bCs/>
                <w:i/>
                <w:iCs/>
                <w:vertAlign w:val="superscript"/>
              </w:rPr>
              <w:t>4</w:t>
            </w:r>
            <w:r>
              <w:rPr>
                <w:b/>
                <w:bCs/>
                <w:i/>
                <w:iCs/>
              </w:rPr>
              <w:t xml:space="preserve"> (meddelandet om kompetensunionen) åtgärder för att ta itu med kompetensklyftor och kompetensbrister i unionen, även genom den kompetenspakt som avses i meddelandet </w:t>
            </w:r>
            <w:r>
              <w:t>och</w:t>
            </w:r>
            <w:r>
              <w:rPr>
                <w:b/>
                <w:bCs/>
                <w:i/>
                <w:iCs/>
              </w:rPr>
              <w:t xml:space="preserve"> dess storskaliga partnerskap, varav ett som rör försvarsekosystemet</w:t>
            </w:r>
            <w:r>
              <w:t>. Det är därför lämpligt att inkludera incitament för ESF+, som inrättades genom Europaparlamentets och rådets förordning (EU) 2021/1057</w:t>
            </w:r>
            <w:r>
              <w:rPr>
                <w:vertAlign w:val="superscript"/>
              </w:rPr>
              <w:t>5</w:t>
            </w:r>
            <w:r>
              <w:t>, för att underlätta kompetensutvecklingen inom försvarsindustrin.</w:t>
            </w:r>
          </w:p>
        </w:tc>
        <w:tc>
          <w:tcPr>
            <w:tcW w:w="4876" w:type="dxa"/>
            <w:hideMark/>
          </w:tcPr>
          <w:p w:rsidR="008E4158" w:rsidRPr="00A26490" w:rsidRDefault="008E4158" w:rsidP="00BF1E0A">
            <w:pPr>
              <w:pStyle w:val="Normal6"/>
              <w:rPr>
                <w:szCs w:val="24"/>
              </w:rPr>
            </w:pPr>
            <w:r>
              <w:t>(2)</w:t>
            </w:r>
            <w:r>
              <w:tab/>
            </w:r>
            <w:r>
              <w:rPr>
                <w:b/>
                <w:bCs/>
                <w:i/>
                <w:iCs/>
              </w:rPr>
              <w:t>Den senaste tidens geopolitiska omvälvningar påminner</w:t>
            </w:r>
            <w:r>
              <w:rPr>
                <w:i/>
                <w:iCs/>
              </w:rPr>
              <w:t xml:space="preserve"> </w:t>
            </w:r>
            <w:r>
              <w:t xml:space="preserve">medlemsstaterna </w:t>
            </w:r>
            <w:r>
              <w:rPr>
                <w:b/>
                <w:bCs/>
                <w:i/>
                <w:iCs/>
              </w:rPr>
              <w:t>om nödvändigheten av att</w:t>
            </w:r>
            <w:r>
              <w:t xml:space="preserve"> göra stora </w:t>
            </w:r>
            <w:r>
              <w:rPr>
                <w:b/>
                <w:bCs/>
                <w:i/>
                <w:iCs/>
              </w:rPr>
              <w:t xml:space="preserve">och snabba </w:t>
            </w:r>
            <w:r>
              <w:t xml:space="preserve">investeringar i försvaret och försvarsindustrin. </w:t>
            </w:r>
            <w:r>
              <w:rPr>
                <w:b/>
                <w:bCs/>
                <w:i/>
                <w:iCs/>
              </w:rPr>
              <w:t>Detta område, som är ekonomiskt lönsamt för européerna och en källa till många kvalificerade arbetstillfällen, kräver utbildning av en stor arbetskraft, inte minst inom avancerad teknik.</w:t>
            </w:r>
            <w:r>
              <w:rPr>
                <w:b/>
                <w:i/>
              </w:rPr>
              <w:t xml:space="preserve"> </w:t>
            </w:r>
            <w:r>
              <w:rPr>
                <w:b/>
                <w:bCs/>
                <w:i/>
                <w:iCs/>
              </w:rPr>
              <w:t xml:space="preserve">Programmen, åtgärderna och partnerskapen måste företrädesvis syfta till att utveckla denna kompetens bland befolkningen i medlemsstaterna så att den kan dra nytta av dessa stabila arbetstillfällen </w:t>
            </w:r>
            <w:r>
              <w:t xml:space="preserve">och </w:t>
            </w:r>
            <w:r>
              <w:rPr>
                <w:b/>
                <w:bCs/>
                <w:i/>
                <w:iCs/>
              </w:rPr>
              <w:t>yrkeskvalifikationer</w:t>
            </w:r>
            <w:r>
              <w:t>. Det är därför lämpligt att inkludera incitament för ESF+, som inrättades genom Europaparlamentets och rådets förordning (EU) 2021/1057</w:t>
            </w:r>
            <w:r>
              <w:rPr>
                <w:vertAlign w:val="superscript"/>
              </w:rPr>
              <w:t>5</w:t>
            </w:r>
            <w:r>
              <w:t>, för att underlätta kompetensutvecklingen inom försvarsindustrin.</w:t>
            </w:r>
          </w:p>
        </w:tc>
      </w:tr>
      <w:tr w:rsidR="008E4158" w:rsidTr="00BF1E0A">
        <w:trPr>
          <w:jc w:val="center"/>
        </w:trPr>
        <w:tc>
          <w:tcPr>
            <w:tcW w:w="4876" w:type="dxa"/>
            <w:hideMark/>
          </w:tcPr>
          <w:p w:rsidR="008E4158" w:rsidRPr="00A26490" w:rsidRDefault="008E4158" w:rsidP="00BF1E0A">
            <w:pPr>
              <w:pStyle w:val="Normal6"/>
            </w:pPr>
            <w:r>
              <w:t>__________________</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Pr>
                <w:b/>
                <w:i/>
                <w:vertAlign w:val="superscript"/>
              </w:rPr>
              <w:t>3</w:t>
            </w:r>
            <w:r>
              <w:t xml:space="preserve"> Gemensam vitbok om europeisk försvarsberedskap 2030, JOIN(2025) 120 final, 19.3.2025.</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Pr>
                <w:b/>
                <w:i/>
                <w:vertAlign w:val="superscript"/>
              </w:rPr>
              <w:t>4</w:t>
            </w:r>
            <w:r>
              <w:t xml:space="preserve"> </w:t>
            </w:r>
            <w:r>
              <w:rPr>
                <w:b/>
                <w:i/>
              </w:rPr>
              <w:t>COM(2025) 90 final.</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Pr>
                <w:b/>
                <w:i/>
                <w:vertAlign w:val="superscript"/>
              </w:rPr>
              <w:t>5</w:t>
            </w:r>
            <w:r>
              <w:t xml:space="preserve"> </w:t>
            </w:r>
            <w:r>
              <w:rPr>
                <w:b/>
                <w:i/>
              </w:rPr>
              <w:t>Europaparlamentets och rådets förordning (EU) 2021/1057 av den 24 juni 2021 om inrättande av Europeiska socialfonden+ (ESF+) och om upphävande av förordning (EU) nr 1296/2013 (EUT L 231, 30.6.2021, s. 21, ELI: https://data.europa.eu/eli/reg/2021/1057/oj).</w:t>
            </w:r>
          </w:p>
        </w:tc>
        <w:tc>
          <w:tcPr>
            <w:tcW w:w="4876" w:type="dxa"/>
          </w:tcPr>
          <w:p w:rsidR="008E4158" w:rsidRPr="00A26490" w:rsidRDefault="008E4158" w:rsidP="00BF1E0A">
            <w:pPr>
              <w:pStyle w:val="Normal6"/>
              <w:rPr>
                <w:szCs w:val="24"/>
              </w:rPr>
            </w:pP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{FR}</w:t>
      </w:r>
      <w:r w:rsidRPr="00A26490">
        <w:rPr>
          <w:noProof w:val="0"/>
        </w:rPr>
        <w:t>fr</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18</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Vitboken om den europeiska försvarsberedskapen 2030</w:t>
            </w:r>
            <w:r>
              <w:rPr>
                <w:vertAlign w:val="superscript"/>
              </w:rPr>
              <w:t>3</w:t>
            </w:r>
            <w:r>
              <w:t xml:space="preserve"> banar väg för en verklig europeisk försvarsunion, bland annat genom att föreslå att medlemsstaterna ska göra stora investeringar i försvaret och försvarsindustrin. I detta avseende fastställs i kommissionens meddelande om kompetensunionen av den 5 mars 2025</w:t>
            </w:r>
            <w:r>
              <w:rPr>
                <w:vertAlign w:val="superscript"/>
              </w:rPr>
              <w:t>4</w:t>
            </w:r>
            <w:r>
              <w:t xml:space="preserve"> (meddelandet om kompetensunionen) åtgärder för att ta itu med kompetensklyftor och kompetensbrister i unionen, även genom den kompetenspakt som avses i meddelandet och dess storskaliga partnerskap, varav ett som rör försvarsekosystemet. </w:t>
            </w:r>
            <w:r>
              <w:rPr>
                <w:b/>
                <w:i/>
              </w:rPr>
              <w:t>Det är därför lämpligt att inkludera incitament för ESF+, som inrättades genom Europaparlamentets och rådets förordning (EU) 2021/1057</w:t>
            </w:r>
            <w:r>
              <w:rPr>
                <w:b/>
                <w:i/>
                <w:vertAlign w:val="superscript"/>
              </w:rPr>
              <w:t>5</w:t>
            </w:r>
            <w:r>
              <w:rPr>
                <w:b/>
                <w:i/>
              </w:rPr>
              <w:t>, för att underlätta kompetensutvecklingen inom försvarsindustrin.</w:t>
            </w:r>
          </w:p>
        </w:tc>
        <w:tc>
          <w:tcPr>
            <w:tcW w:w="4876" w:type="dxa"/>
            <w:hideMark/>
          </w:tcPr>
          <w:p w:rsidR="008E4158" w:rsidRPr="00A26490" w:rsidRDefault="008E4158" w:rsidP="00BF1E0A">
            <w:pPr>
              <w:pStyle w:val="Normal6"/>
              <w:rPr>
                <w:szCs w:val="24"/>
              </w:rPr>
            </w:pPr>
            <w:r>
              <w:t>(2)</w:t>
            </w:r>
            <w:r>
              <w:tab/>
            </w:r>
            <w:r>
              <w:rPr>
                <w:b/>
                <w:i/>
              </w:rPr>
              <w:t>Det är redan möjligt att stödja kompetensutvecklingen inom försvarsindustrin inom ramen för ESF+, som inrättades genom Europaparlamentets och rådets förordning (EU) 2021/1057.</w:t>
            </w:r>
            <w:r>
              <w:t xml:space="preserve"> Vitboken om den europeiska försvarsberedskapen 2030</w:t>
            </w:r>
            <w:r>
              <w:rPr>
                <w:vertAlign w:val="superscript"/>
              </w:rPr>
              <w:t>3</w:t>
            </w:r>
            <w:r>
              <w:t xml:space="preserve"> banar väg för en verklig europeisk försvarsunion, bland annat genom att föreslå att medlemsstaterna ska göra stora investeringar i försvaret och försvarsindustrin. I detta avseende fastställs i kommissionens meddelande om kompetensunionen av den 5 mars 2025</w:t>
            </w:r>
            <w:r>
              <w:rPr>
                <w:vertAlign w:val="superscript"/>
              </w:rPr>
              <w:t>4</w:t>
            </w:r>
            <w:r>
              <w:t xml:space="preserve"> (meddelandet om kompetensunionen) åtgärder för att ta itu med kompetensklyftor och kompetensbrister i unionen, även genom den kompetenspakt som avses i meddelandet och dess storskaliga partnerskap, varav ett som rör försvarsekosystemet.</w:t>
            </w:r>
          </w:p>
        </w:tc>
      </w:tr>
      <w:tr w:rsidR="008E4158" w:rsidTr="00BF1E0A">
        <w:trPr>
          <w:jc w:val="center"/>
        </w:trPr>
        <w:tc>
          <w:tcPr>
            <w:tcW w:w="4876" w:type="dxa"/>
            <w:hideMark/>
          </w:tcPr>
          <w:p w:rsidR="008E4158" w:rsidRPr="00A26490" w:rsidRDefault="008E4158" w:rsidP="00BF1E0A">
            <w:pPr>
              <w:pStyle w:val="Normal6"/>
            </w:pPr>
            <w:r>
              <w:t>__________________</w:t>
            </w:r>
          </w:p>
        </w:tc>
        <w:tc>
          <w:tcPr>
            <w:tcW w:w="4876" w:type="dxa"/>
            <w:hideMark/>
          </w:tcPr>
          <w:p w:rsidR="008E4158" w:rsidRPr="00A26490" w:rsidRDefault="008E4158" w:rsidP="00BF1E0A">
            <w:pPr>
              <w:pStyle w:val="Normal6"/>
              <w:rPr>
                <w:szCs w:val="24"/>
              </w:rPr>
            </w:pPr>
            <w:r>
              <w:t>__________________</w:t>
            </w:r>
          </w:p>
        </w:tc>
      </w:tr>
      <w:tr w:rsidR="008E4158" w:rsidTr="00BF1E0A">
        <w:trPr>
          <w:jc w:val="center"/>
        </w:trPr>
        <w:tc>
          <w:tcPr>
            <w:tcW w:w="4876" w:type="dxa"/>
            <w:hideMark/>
          </w:tcPr>
          <w:p w:rsidR="008E4158" w:rsidRPr="00A26490" w:rsidRDefault="008E4158" w:rsidP="00BF1E0A">
            <w:pPr>
              <w:pStyle w:val="Normal6"/>
            </w:pPr>
            <w:r>
              <w:rPr>
                <w:vertAlign w:val="superscript"/>
              </w:rPr>
              <w:t>3</w:t>
            </w:r>
            <w:r>
              <w:t xml:space="preserve"> Gemensam vitbok om europeisk försvarsberedskap 2030, JOIN(2025) 120 final, 19.3.2025.</w:t>
            </w:r>
          </w:p>
        </w:tc>
        <w:tc>
          <w:tcPr>
            <w:tcW w:w="4876" w:type="dxa"/>
            <w:hideMark/>
          </w:tcPr>
          <w:p w:rsidR="008E4158" w:rsidRPr="00A26490" w:rsidRDefault="008E4158" w:rsidP="00BF1E0A">
            <w:pPr>
              <w:pStyle w:val="Normal6"/>
              <w:rPr>
                <w:szCs w:val="24"/>
              </w:rPr>
            </w:pPr>
            <w:r>
              <w:rPr>
                <w:vertAlign w:val="superscript"/>
              </w:rPr>
              <w:t>3</w:t>
            </w:r>
            <w:r>
              <w:t xml:space="preserve"> Gemensam vitbok om europeisk försvarsberedskap 2030, JOIN(2025) 120 final, 19.3.2025.</w:t>
            </w:r>
          </w:p>
        </w:tc>
      </w:tr>
      <w:tr w:rsidR="008E4158" w:rsidTr="00BF1E0A">
        <w:trPr>
          <w:jc w:val="center"/>
        </w:trPr>
        <w:tc>
          <w:tcPr>
            <w:tcW w:w="4876" w:type="dxa"/>
            <w:hideMark/>
          </w:tcPr>
          <w:p w:rsidR="008E4158" w:rsidRPr="00A26490" w:rsidRDefault="008E4158" w:rsidP="00BF1E0A">
            <w:pPr>
              <w:pStyle w:val="Normal6"/>
            </w:pPr>
            <w:r>
              <w:rPr>
                <w:vertAlign w:val="superscript"/>
              </w:rPr>
              <w:t>4</w:t>
            </w:r>
            <w:r>
              <w:t xml:space="preserve"> COM (2025) 90 final.</w:t>
            </w:r>
          </w:p>
        </w:tc>
        <w:tc>
          <w:tcPr>
            <w:tcW w:w="4876" w:type="dxa"/>
            <w:hideMark/>
          </w:tcPr>
          <w:p w:rsidR="008E4158" w:rsidRPr="00A26490" w:rsidRDefault="008E4158" w:rsidP="00BF1E0A">
            <w:pPr>
              <w:pStyle w:val="Normal6"/>
              <w:rPr>
                <w:szCs w:val="24"/>
              </w:rPr>
            </w:pPr>
            <w:r>
              <w:rPr>
                <w:vertAlign w:val="superscript"/>
              </w:rPr>
              <w:t>4</w:t>
            </w:r>
            <w:r>
              <w:t xml:space="preserve"> COM (2025) 90 final.</w:t>
            </w:r>
          </w:p>
        </w:tc>
      </w:tr>
      <w:tr w:rsidR="008E4158" w:rsidTr="00BF1E0A">
        <w:trPr>
          <w:jc w:val="center"/>
        </w:trPr>
        <w:tc>
          <w:tcPr>
            <w:tcW w:w="4876" w:type="dxa"/>
            <w:hideMark/>
          </w:tcPr>
          <w:p w:rsidR="008E4158" w:rsidRPr="00A26490" w:rsidRDefault="008E4158" w:rsidP="00BF1E0A">
            <w:pPr>
              <w:pStyle w:val="Normal6"/>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c>
          <w:tcPr>
            <w:tcW w:w="4876" w:type="dxa"/>
            <w:hideMark/>
          </w:tcPr>
          <w:p w:rsidR="008E4158" w:rsidRPr="00A26490" w:rsidRDefault="008E4158" w:rsidP="00BF1E0A">
            <w:pPr>
              <w:pStyle w:val="Normal6"/>
              <w:rPr>
                <w:szCs w:val="24"/>
              </w:rPr>
            </w:pPr>
            <w:r>
              <w:rPr>
                <w:vertAlign w:val="superscript"/>
              </w:rPr>
              <w:t>5</w:t>
            </w:r>
            <w:r>
              <w:t xml:space="preserve"> Europaparlamentets och rådets förordning (EU) 2021/1057 av den 24 juni 2021 om inrättande av Europeiska socialfonden+ (ESF+) och om upphävande av förordning (EU) nr 1296/2013 (EUT L 231, 30.6.2021, s. 21, ELI: http://data.europa.eu/eli/reg/2021/1057/oj).</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lastRenderedPageBreak/>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19</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r>
            <w:r>
              <w:rPr>
                <w:b/>
                <w:i/>
              </w:rPr>
              <w:t>Vitboken om den europeiska försvarsberedskapen 2030</w:t>
            </w:r>
            <w:r>
              <w:rPr>
                <w:b/>
                <w:i/>
                <w:vertAlign w:val="superscript"/>
              </w:rPr>
              <w:t>3</w:t>
            </w:r>
            <w:r>
              <w:rPr>
                <w:b/>
                <w:i/>
              </w:rPr>
              <w:t xml:space="preserve"> banar väg</w:t>
            </w:r>
            <w:r>
              <w:t xml:space="preserve"> för </w:t>
            </w:r>
            <w:r>
              <w:rPr>
                <w:b/>
                <w:i/>
              </w:rPr>
              <w:t>en verklig europeisk försvarsunion</w:t>
            </w:r>
            <w:r>
              <w:t xml:space="preserve">, </w:t>
            </w:r>
            <w:r>
              <w:rPr>
                <w:b/>
                <w:i/>
              </w:rPr>
              <w:t>bland annat genom att föreslå att medlemsstaterna ska göra stora investeringar i försvaret</w:t>
            </w:r>
            <w:r>
              <w:t xml:space="preserve"> och </w:t>
            </w:r>
            <w:r>
              <w:rPr>
                <w:b/>
                <w:i/>
              </w:rPr>
              <w:t xml:space="preserve">försvarsindustrin. </w:t>
            </w:r>
            <w:r>
              <w:t xml:space="preserve">I </w:t>
            </w:r>
            <w:r>
              <w:rPr>
                <w:b/>
                <w:i/>
              </w:rPr>
              <w:t>detta avseende fastställs i kommissionens meddelande om kompetensunionen av den 5 mars 2025</w:t>
            </w:r>
            <w:r>
              <w:rPr>
                <w:b/>
                <w:i/>
                <w:vertAlign w:val="superscript"/>
              </w:rPr>
              <w:t>4</w:t>
            </w:r>
            <w:r>
              <w:rPr>
                <w:b/>
                <w:i/>
              </w:rPr>
              <w:t xml:space="preserve"> (meddelandet om kompetensunionen) åtgärder för att ta itu med kompetensklyftor och kompetensbrister i unionen</w:t>
            </w:r>
            <w:r>
              <w:t xml:space="preserve">, </w:t>
            </w:r>
            <w:r>
              <w:rPr>
                <w:b/>
                <w:i/>
              </w:rPr>
              <w:t>även genom den kompetenspakt som avses i meddelandet</w:t>
            </w:r>
            <w:r>
              <w:t xml:space="preserve"> och </w:t>
            </w:r>
            <w:r>
              <w:rPr>
                <w:b/>
                <w:i/>
              </w:rPr>
              <w:t>dess storskaliga partnerskap, varav ett som rör försvarsekosystemet. Det är därför lämpligt</w:t>
            </w:r>
            <w:r>
              <w:t xml:space="preserve"> att </w:t>
            </w:r>
            <w:r>
              <w:rPr>
                <w:b/>
                <w:i/>
              </w:rPr>
              <w:t>inkludera incitament för ESF+</w:t>
            </w:r>
            <w:r>
              <w:t xml:space="preserve">, </w:t>
            </w:r>
            <w:r>
              <w:rPr>
                <w:b/>
                <w:i/>
              </w:rPr>
              <w:t>som inrättades genom Europaparlamentets</w:t>
            </w:r>
            <w:r>
              <w:t xml:space="preserve"> och </w:t>
            </w:r>
            <w:r>
              <w:rPr>
                <w:b/>
                <w:i/>
              </w:rPr>
              <w:t>rådets förordning (EU) 2021/1057</w:t>
            </w:r>
            <w:r>
              <w:rPr>
                <w:b/>
                <w:i/>
                <w:vertAlign w:val="superscript"/>
              </w:rPr>
              <w:t>5</w:t>
            </w:r>
            <w:r>
              <w:rPr>
                <w:b/>
                <w:i/>
              </w:rPr>
              <w:t>, för att underlätta kompetensutvecklingen inom försvarsindustrin</w:t>
            </w:r>
            <w:r>
              <w:t>.</w:t>
            </w:r>
          </w:p>
        </w:tc>
        <w:tc>
          <w:tcPr>
            <w:tcW w:w="4876" w:type="dxa"/>
            <w:hideMark/>
          </w:tcPr>
          <w:p w:rsidR="008E4158" w:rsidRPr="00A26490" w:rsidRDefault="008E4158" w:rsidP="00BF1E0A">
            <w:pPr>
              <w:pStyle w:val="Normal6"/>
              <w:rPr>
                <w:szCs w:val="24"/>
              </w:rPr>
            </w:pPr>
            <w:r>
              <w:t>(2)</w:t>
            </w:r>
            <w:r>
              <w:tab/>
            </w:r>
            <w:r>
              <w:rPr>
                <w:b/>
                <w:i/>
              </w:rPr>
              <w:t>I linje med unionens åtagande</w:t>
            </w:r>
            <w:r>
              <w:t xml:space="preserve"> för </w:t>
            </w:r>
            <w:r>
              <w:rPr>
                <w:b/>
                <w:i/>
              </w:rPr>
              <w:t>fred</w:t>
            </w:r>
            <w:r>
              <w:t xml:space="preserve">, </w:t>
            </w:r>
            <w:r>
              <w:rPr>
                <w:b/>
                <w:i/>
              </w:rPr>
              <w:t>social inkludering och hållbar utveckling,</w:t>
            </w:r>
            <w:r>
              <w:t xml:space="preserve"> och i </w:t>
            </w:r>
            <w:r>
              <w:rPr>
                <w:b/>
                <w:i/>
              </w:rPr>
              <w:t>enlighet med målen för Europeiska socialfonden+ ska unionsfinansiering enligt denna förordning inte stödja försvarsindustrin eller någon verksamhet som rör utveckling, produktion, upphandling eller användning av militär kapacitet</w:t>
            </w:r>
            <w:r>
              <w:t xml:space="preserve">, </w:t>
            </w:r>
            <w:r>
              <w:rPr>
                <w:b/>
                <w:i/>
              </w:rPr>
              <w:t>inbegripet vapen, ammunition</w:t>
            </w:r>
            <w:r>
              <w:t xml:space="preserve"> och </w:t>
            </w:r>
            <w:r>
              <w:rPr>
                <w:b/>
                <w:i/>
              </w:rPr>
              <w:t>försvarssystem.</w:t>
            </w:r>
            <w:r>
              <w:t xml:space="preserve"> </w:t>
            </w:r>
            <w:r>
              <w:rPr>
                <w:b/>
                <w:i/>
              </w:rPr>
              <w:t>ESF+ finansiering ska vara strikt begränsad till</w:t>
            </w:r>
            <w:r>
              <w:t xml:space="preserve"> att </w:t>
            </w:r>
            <w:r>
              <w:rPr>
                <w:b/>
                <w:i/>
              </w:rPr>
              <w:t>främja social sammanhållning, sysselsättning</w:t>
            </w:r>
            <w:r>
              <w:t xml:space="preserve">, </w:t>
            </w:r>
            <w:r>
              <w:rPr>
                <w:b/>
                <w:i/>
              </w:rPr>
              <w:t>utbildning, kompetensutveckling, social innovation</w:t>
            </w:r>
            <w:r>
              <w:t xml:space="preserve"> och </w:t>
            </w:r>
            <w:r>
              <w:rPr>
                <w:b/>
                <w:i/>
              </w:rPr>
              <w:t>bekämpning av fattigdom och social utestängning</w:t>
            </w:r>
            <w:r>
              <w:t>.</w:t>
            </w:r>
          </w:p>
        </w:tc>
      </w:tr>
      <w:tr w:rsidR="008E4158" w:rsidTr="00BF1E0A">
        <w:trPr>
          <w:jc w:val="center"/>
        </w:trPr>
        <w:tc>
          <w:tcPr>
            <w:tcW w:w="4876" w:type="dxa"/>
            <w:hideMark/>
          </w:tcPr>
          <w:p w:rsidR="008E4158" w:rsidRPr="00A26490" w:rsidRDefault="008E4158" w:rsidP="00BF1E0A">
            <w:pPr>
              <w:pStyle w:val="Normal6"/>
            </w:pPr>
            <w:r>
              <w:t>__________________</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sidRPr="00BF1E0A">
              <w:rPr>
                <w:b/>
                <w:i/>
                <w:vertAlign w:val="superscript"/>
              </w:rPr>
              <w:t>3</w:t>
            </w:r>
            <w:r>
              <w:rPr>
                <w:b/>
                <w:i/>
              </w:rPr>
              <w:t xml:space="preserve"> Gemensam vitbok om europeisk försvarsberedskap 2030, JOIN(2025) 120 final, 19.3.2025.</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sidRPr="00BF1E0A">
              <w:rPr>
                <w:b/>
                <w:i/>
                <w:vertAlign w:val="superscript"/>
              </w:rPr>
              <w:t>4</w:t>
            </w:r>
            <w:r>
              <w:rPr>
                <w:b/>
                <w:i/>
              </w:rPr>
              <w:t xml:space="preserve"> COM (2025) 90 final.</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sidRPr="00BF1E0A">
              <w:rPr>
                <w:b/>
                <w:i/>
                <w:vertAlign w:val="superscript"/>
              </w:rPr>
              <w:t>5</w:t>
            </w:r>
            <w:r>
              <w:rPr>
                <w:b/>
                <w:i/>
              </w:rPr>
              <w:t xml:space="preserve"> Europaparlamentets och rådets förordning (EU) 2021/1057 av den 24 juni 2021 om inrättande av Europeiska socialfonden+ (ESF+) och om upphävande av förordning (EU) nr 1296/2013 (EUT L 231, 30.6.2021, s. 21, ELI: http://data.europa.eu/eli/reg/2021/1057/oj).</w:t>
            </w:r>
          </w:p>
        </w:tc>
        <w:tc>
          <w:tcPr>
            <w:tcW w:w="4876" w:type="dxa"/>
          </w:tcPr>
          <w:p w:rsidR="008E4158" w:rsidRPr="00A26490" w:rsidRDefault="008E4158" w:rsidP="00BF1E0A">
            <w:pPr>
              <w:pStyle w:val="Normal6"/>
              <w:rPr>
                <w:szCs w:val="24"/>
              </w:rPr>
            </w:pP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20</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(2a)</w:t>
            </w:r>
            <w:r>
              <w:rPr>
                <w:b/>
                <w:i/>
              </w:rPr>
              <w:tab/>
              <w:t>Det är viktigt att säkerställa att alla åtgärder som vidtas i samband med nödsituationer är ordentligt differentierade och inte inverkar negativt på uppnåendet av sammanhållningspolitikens strukturella och strategiska mål. Det är angeläget att regelverket innehåller skyddsåtgärder som förhindrar att sammanhållningspolitikens huvuduppgift avvecklas.</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21</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(2a)</w:t>
            </w:r>
            <w:r>
              <w:rPr>
                <w:b/>
                <w:i/>
              </w:rPr>
              <w:tab/>
              <w:t>Nuts 2-regioner som gränsar till Ryssland, Belarus eller Ukraina har drabbats oproportionerligt hårt av Rysslands anfallskrig, med förlorade arbetstillfällen, mindre ekonomisk verksamhet och social utestängning på grund av mindre direkta personkontakter.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22</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2b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(2b)</w:t>
            </w:r>
            <w:r>
              <w:rPr>
                <w:b/>
                <w:i/>
              </w:rPr>
              <w:tab/>
              <w:t>Den återkommande användningen av strukturella resurser för att hantera nödsituationer skulle kunna undergräva sammanhållningspolitikens långsiktiga hållbarhet och ändamålsenlighet genom att tränga ut investeringar som under normala förhållanden skulle syfta till att främja en balanserad utveckling mellan regionerna.</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23</w:t>
      </w:r>
      <w:r>
        <w:rPr>
          <w:rStyle w:val="HideTWBExt"/>
          <w:b w:val="0"/>
        </w:rPr>
        <w:t>&lt;/NumAm&gt;</w:t>
      </w:r>
    </w:p>
    <w:p w:rsidR="008E4158" w:rsidRPr="00A26490" w:rsidRDefault="008E4158" w:rsidP="008E4158">
      <w:pPr>
        <w:pStyle w:val="NormalBold"/>
      </w:pPr>
      <w:r>
        <w:rPr>
          <w:rStyle w:val="HideTWBExt"/>
          <w:b w:val="0"/>
        </w:rPr>
        <w:t>&lt;RepeatBlock-By&gt;&lt;Members&gt;</w:t>
      </w:r>
      <w:r>
        <w:t>Elena Donazzan, Francesco Torselli, Mariateresa Vivaldini, Chiara Gemma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(3)</w:t>
            </w:r>
            <w:r>
              <w:rPr>
                <w:b/>
                <w:i/>
              </w:rPr>
              <w:tab/>
              <w:t>Det är redan möjligt att stödja arbetstagares, företagares och företags anpassning till förändringar inom ramen för ESF+. I linje med de åtgärder för utfasning av fossila bränslen som föreslås i kommissionens meddelande Given för en ren industri: en gemensam färdplan för konkurrenskraft och fossilfrihet av den 26 februari 2025</w:t>
            </w:r>
            <w:r>
              <w:rPr>
                <w:b/>
                <w:i/>
                <w:vertAlign w:val="superscript"/>
              </w:rPr>
              <w:t>6</w:t>
            </w:r>
            <w:r>
              <w:rPr>
                <w:b/>
                <w:i/>
              </w:rPr>
              <w:t xml:space="preserve"> och för att ytterligare underlätta industrins anpassning i samband med utfasningen av fossila bränslen i produktionsprocesser och produkter, inom ramen för målet att tillhandahålla livslånga möjligheter att regelbundet fortbilda och omskola sig i enlighet med meddelandet om kompetensunionen och även genom den </w:t>
            </w:r>
            <w:r>
              <w:rPr>
                <w:b/>
                <w:i/>
              </w:rPr>
              <w:lastRenderedPageBreak/>
              <w:t>nyligen föreslagna kompetensgaranti, bör ESF+ underlätta kompetensutveckling, bibehållande av arbetstillfällen och skapande av arbetstillfällen under hela processen för att fasa ut fossila bränslen genom att tillhandahålla flexibilitet för genomförandet.</w:t>
            </w:r>
          </w:p>
        </w:tc>
        <w:tc>
          <w:tcPr>
            <w:tcW w:w="4876" w:type="dxa"/>
            <w:hideMark/>
          </w:tcPr>
          <w:p w:rsidR="008E4158" w:rsidRPr="00A26490" w:rsidRDefault="008E4158" w:rsidP="00BF1E0A">
            <w:pPr>
              <w:pStyle w:val="Normal6"/>
              <w:rPr>
                <w:szCs w:val="24"/>
              </w:rPr>
            </w:pPr>
            <w:r>
              <w:rPr>
                <w:b/>
                <w:i/>
              </w:rPr>
              <w:lastRenderedPageBreak/>
              <w:t>utgår</w:t>
            </w:r>
          </w:p>
        </w:tc>
      </w:tr>
      <w:tr w:rsidR="008E4158" w:rsidTr="00BF1E0A">
        <w:trPr>
          <w:jc w:val="center"/>
        </w:trPr>
        <w:tc>
          <w:tcPr>
            <w:tcW w:w="4876" w:type="dxa"/>
            <w:hideMark/>
          </w:tcPr>
          <w:p w:rsidR="008E4158" w:rsidRPr="00A26490" w:rsidRDefault="008E4158" w:rsidP="00BF1E0A">
            <w:pPr>
              <w:pStyle w:val="Normal6"/>
            </w:pPr>
            <w:r>
              <w:rPr>
                <w:b/>
                <w:i/>
              </w:rPr>
              <w:t>__________________</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Pr>
                <w:b/>
                <w:i/>
                <w:vertAlign w:val="superscript"/>
              </w:rPr>
              <w:t>6</w:t>
            </w:r>
            <w:r>
              <w:t xml:space="preserve"> </w:t>
            </w:r>
            <w:r>
              <w:rPr>
                <w:b/>
                <w:i/>
              </w:rPr>
              <w:t>COM (2025) 85 final.</w:t>
            </w:r>
          </w:p>
        </w:tc>
        <w:tc>
          <w:tcPr>
            <w:tcW w:w="4876" w:type="dxa"/>
          </w:tcPr>
          <w:p w:rsidR="008E4158" w:rsidRPr="00A26490" w:rsidRDefault="008E4158" w:rsidP="00BF1E0A">
            <w:pPr>
              <w:pStyle w:val="Normal6"/>
              <w:rPr>
                <w:szCs w:val="24"/>
              </w:rPr>
            </w:pP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24</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Det är redan möjligt att stödja arbetstagares, företagares och företags anpassning till förändringar inom ramen för ESF+. I linje med de åtgärder för utfasning av fossila bränslen som föreslås i kommissionens meddelande Given för en ren industri: en gemensam färdplan för konkurrenskraft och fossilfrihet av den 26 februari 2025</w:t>
            </w:r>
            <w:r>
              <w:rPr>
                <w:vertAlign w:val="superscript"/>
              </w:rPr>
              <w:t>6</w:t>
            </w:r>
            <w:r>
              <w:t xml:space="preserve"> och för att ytterligare underlätta industrins anpassning i samband med utfasningen av fossila bränslen i produktionsprocesser och produkter, inom ramen för målet att tillhandahålla livslånga möjligheter att regelbundet fortbilda och omskola sig i enlighet med meddelandet om kompetensunionen och även genom den nyligen föreslagna kompetensgaranti, bör ESF+ underlätta kompetensutveckling, bibehållande av arbetstillfällen och skapande av arbetstillfällen under hela processen för att fasa ut fossila bränslen genom att tillhandahålla flexibilitet för genomförandet.</w:t>
            </w:r>
          </w:p>
        </w:tc>
        <w:tc>
          <w:tcPr>
            <w:tcW w:w="4876" w:type="dxa"/>
            <w:hideMark/>
          </w:tcPr>
          <w:p w:rsidR="008E4158" w:rsidRPr="00A26490" w:rsidRDefault="008E4158" w:rsidP="00BF1E0A">
            <w:pPr>
              <w:pStyle w:val="Normal6"/>
              <w:rPr>
                <w:szCs w:val="24"/>
              </w:rPr>
            </w:pPr>
            <w:r>
              <w:t>(3)</w:t>
            </w:r>
            <w:r>
              <w:tab/>
              <w:t>Det är redan möjligt att stödja arbetstagares, företagares och företags anpassning till förändringar inom ramen för ESF+. I linje med de åtgärder för utfasning av fossila bränslen som föreslås i kommissionens meddelande Given för en ren industri: en gemensam färdplan för konkurrenskraft och fossilfrihet av den 26 februari 2025</w:t>
            </w:r>
            <w:r>
              <w:rPr>
                <w:vertAlign w:val="superscript"/>
              </w:rPr>
              <w:t>6</w:t>
            </w:r>
            <w:r>
              <w:t xml:space="preserve"> och för att ytterligare underlätta industrins anpassning i samband med utfasningen av fossila bränslen i produktionsprocesser och produkter, inom ramen för målet att tillhandahålla livslånga möjligheter att regelbundet fortbilda och omskola sig i enlighet med meddelandet om kompetensunionen och även genom den nyligen föreslagna kompetensgaranti, bör ESF+ underlätta kompetensutveckling, bibehållande av arbetstillfällen och skapande av arbetstillfällen under hela processen för att fasa ut fossila bränslen genom att tillhandahålla flexibilitet för genomförandet. </w:t>
            </w:r>
            <w:r>
              <w:rPr>
                <w:b/>
                <w:i/>
              </w:rPr>
              <w:t xml:space="preserve">För att säkerställa en omställning som inte bara är nödvändig </w:t>
            </w:r>
            <w:r>
              <w:rPr>
                <w:b/>
                <w:i/>
              </w:rPr>
              <w:lastRenderedPageBreak/>
              <w:t>med tanke på unionens digitala och gröna mål utan även socialt rättvis är det viktigt att processen är rättvis och inkluderande. Särskild hänsyn bör tas till mindre utvecklade regioners särskilda behov och omständigheter. Dessa regioner och deras befolkningar bör aktivt delta i och dra nytta av omställningen, så att de blir fullständigt integrerade i unionens bredare ekonomiska, sociala och miljömässiga omställning.</w:t>
            </w:r>
          </w:p>
        </w:tc>
      </w:tr>
      <w:tr w:rsidR="008E4158" w:rsidTr="00BF1E0A">
        <w:trPr>
          <w:jc w:val="center"/>
        </w:trPr>
        <w:tc>
          <w:tcPr>
            <w:tcW w:w="4876" w:type="dxa"/>
            <w:hideMark/>
          </w:tcPr>
          <w:p w:rsidR="008E4158" w:rsidRPr="00A26490" w:rsidRDefault="008E4158" w:rsidP="00BF1E0A">
            <w:pPr>
              <w:pStyle w:val="Normal6"/>
            </w:pPr>
            <w:r>
              <w:lastRenderedPageBreak/>
              <w:t>__________________</w:t>
            </w:r>
          </w:p>
        </w:tc>
        <w:tc>
          <w:tcPr>
            <w:tcW w:w="4876" w:type="dxa"/>
            <w:hideMark/>
          </w:tcPr>
          <w:p w:rsidR="008E4158" w:rsidRPr="00A26490" w:rsidRDefault="008E4158" w:rsidP="00BF1E0A">
            <w:pPr>
              <w:pStyle w:val="Normal6"/>
              <w:rPr>
                <w:szCs w:val="24"/>
              </w:rPr>
            </w:pPr>
            <w:r>
              <w:t>__________________</w:t>
            </w:r>
          </w:p>
        </w:tc>
      </w:tr>
      <w:tr w:rsidR="008E4158" w:rsidTr="00BF1E0A">
        <w:trPr>
          <w:jc w:val="center"/>
        </w:trPr>
        <w:tc>
          <w:tcPr>
            <w:tcW w:w="4876" w:type="dxa"/>
            <w:hideMark/>
          </w:tcPr>
          <w:p w:rsidR="008E4158" w:rsidRPr="00A26490" w:rsidRDefault="008E4158" w:rsidP="00BF1E0A">
            <w:pPr>
              <w:pStyle w:val="Normal6"/>
            </w:pPr>
            <w:r>
              <w:rPr>
                <w:vertAlign w:val="superscript"/>
              </w:rPr>
              <w:t>6</w:t>
            </w:r>
            <w:r>
              <w:t xml:space="preserve"> COM (2025) 85 final</w:t>
            </w:r>
          </w:p>
        </w:tc>
        <w:tc>
          <w:tcPr>
            <w:tcW w:w="4876" w:type="dxa"/>
            <w:hideMark/>
          </w:tcPr>
          <w:p w:rsidR="008E4158" w:rsidRPr="00A26490" w:rsidRDefault="008E4158" w:rsidP="00BF1E0A">
            <w:pPr>
              <w:pStyle w:val="Normal6"/>
              <w:rPr>
                <w:szCs w:val="24"/>
              </w:rPr>
            </w:pPr>
            <w:r>
              <w:rPr>
                <w:vertAlign w:val="superscript"/>
              </w:rPr>
              <w:t>6</w:t>
            </w:r>
            <w:r>
              <w:t xml:space="preserve"> COM (2025) 85 final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25</w:t>
      </w:r>
      <w:r>
        <w:rPr>
          <w:rStyle w:val="HideTWBExt"/>
          <w:b w:val="0"/>
        </w:rPr>
        <w:t>&lt;/NumAm&gt;</w:t>
      </w:r>
    </w:p>
    <w:p w:rsidR="008E4158" w:rsidRPr="00A26490" w:rsidRDefault="008E4158" w:rsidP="008E4158">
      <w:pPr>
        <w:pStyle w:val="NormalBold"/>
      </w:pPr>
      <w:r>
        <w:rPr>
          <w:rStyle w:val="HideTWBExt"/>
          <w:b w:val="0"/>
        </w:rPr>
        <w:t>&lt;RepeatBlock-By&gt;&lt;Members&gt;</w:t>
      </w:r>
      <w:r>
        <w:t>Marie Dauchy, Nikola Bartůšek</w:t>
      </w:r>
      <w:r>
        <w:rPr>
          <w:rStyle w:val="HideTWBExt"/>
          <w:b w:val="0"/>
        </w:rPr>
        <w:t>&lt;/Members&gt;</w:t>
      </w:r>
    </w:p>
    <w:p w:rsidR="008E4158" w:rsidRPr="00A26490" w:rsidRDefault="008E4158" w:rsidP="008E4158">
      <w:r>
        <w:rPr>
          <w:rStyle w:val="HideTWBExt"/>
        </w:rPr>
        <w:t>&lt;AuNomDe&gt;</w:t>
      </w:r>
      <w:r>
        <w:rPr>
          <w:rStyle w:val="HideTWBInt"/>
        </w:rPr>
        <w:t>{EMPL}</w:t>
      </w:r>
      <w:r>
        <w:t>för utskottet för sysselsättning och sociala frågor</w:t>
      </w:r>
      <w:r>
        <w:rPr>
          <w:rStyle w:val="HideTWBExt"/>
        </w:rPr>
        <w:t>&lt;/AuNomDe&gt;</w:t>
      </w:r>
    </w:p>
    <w:p w:rsidR="008E4158" w:rsidRPr="00A26490" w:rsidRDefault="008E4158" w:rsidP="008E4158">
      <w:pPr>
        <w:pStyle w:val="NormalBold"/>
      </w:pPr>
      <w:r>
        <w:rPr>
          <w:rStyle w:val="HideTWBExt"/>
          <w:b w:val="0"/>
        </w:rPr>
        <w:t>&lt;Members&gt;</w:t>
      </w:r>
      <w:r>
        <w:t>Séverine Werbrouck, Rachel Blom</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A769F2">
            <w:pPr>
              <w:pStyle w:val="Normal6"/>
            </w:pPr>
            <w:r>
              <w:t>(3)</w:t>
            </w:r>
            <w:r>
              <w:tab/>
              <w:t xml:space="preserve">Det är redan möjligt att stödja arbetstagares, företagares och företags anpassning till förändringar inom ramen för ESF+. </w:t>
            </w:r>
            <w:r>
              <w:rPr>
                <w:b/>
                <w:bCs/>
                <w:i/>
                <w:iCs/>
              </w:rPr>
              <w:t>I linje med de åtgärder för utfasning av fossila bränslen som föreslås i kommissionens meddelande Given för en ren industri:</w:t>
            </w:r>
            <w:r>
              <w:rPr>
                <w:b/>
                <w:bCs/>
              </w:rPr>
              <w:t xml:space="preserve"> </w:t>
            </w:r>
            <w:r>
              <w:rPr>
                <w:b/>
                <w:bCs/>
                <w:i/>
                <w:iCs/>
              </w:rPr>
              <w:t>en gemensam färdplan för konkurrenskraft och fossilfrihet av den 26 februari 2025</w:t>
            </w:r>
            <w:r>
              <w:rPr>
                <w:b/>
                <w:bCs/>
                <w:i/>
                <w:iCs/>
                <w:vertAlign w:val="superscript"/>
              </w:rPr>
              <w:t>6</w:t>
            </w:r>
            <w:r>
              <w:rPr>
                <w:b/>
                <w:bCs/>
                <w:i/>
                <w:iCs/>
              </w:rPr>
              <w:t xml:space="preserve"> och för att ytterligare underlätta industrins anpassning i samband med utfasningen av fossila bränslen i produktionsprocesser och produkter,</w:t>
            </w:r>
            <w:r>
              <w:t xml:space="preserve"> inom ramen för målet att tillhandahålla livslånga möjligheter att regelbundet fortbilda och omskola sig i enlighet med meddelandet om kompetensunionen och även genom den nyligen föreslagna </w:t>
            </w:r>
            <w:r>
              <w:rPr>
                <w:b/>
                <w:bCs/>
                <w:i/>
                <w:iCs/>
              </w:rPr>
              <w:t>kompetensgaranti</w:t>
            </w:r>
            <w:r>
              <w:t xml:space="preserve">, bör ESF+ underlätta kompetensutveckling, </w:t>
            </w:r>
            <w:r>
              <w:lastRenderedPageBreak/>
              <w:t xml:space="preserve">bibehållande av arbetstillfällen och skapande av arbetstillfällen </w:t>
            </w:r>
            <w:r>
              <w:rPr>
                <w:b/>
                <w:bCs/>
                <w:i/>
                <w:iCs/>
              </w:rPr>
              <w:t>under hela processen för att fasa ut fossila bränslen</w:t>
            </w:r>
            <w:r>
              <w:t xml:space="preserve"> genom att tillhandahålla flexibilitet för genomförandet.</w:t>
            </w:r>
          </w:p>
        </w:tc>
        <w:tc>
          <w:tcPr>
            <w:tcW w:w="4876" w:type="dxa"/>
            <w:hideMark/>
          </w:tcPr>
          <w:p w:rsidR="008E4158" w:rsidRPr="00A26490" w:rsidRDefault="008E4158" w:rsidP="00BF1E0A">
            <w:pPr>
              <w:pStyle w:val="Normal6"/>
              <w:rPr>
                <w:szCs w:val="24"/>
              </w:rPr>
            </w:pPr>
            <w:r>
              <w:lastRenderedPageBreak/>
              <w:t>(3)</w:t>
            </w:r>
            <w:r>
              <w:tab/>
              <w:t xml:space="preserve">Det är redan möjligt att stödja arbetstagares, företagares och företags anpassning till förändringar inom ramen för ESF+. </w:t>
            </w:r>
            <w:r>
              <w:rPr>
                <w:b/>
                <w:bCs/>
                <w:i/>
                <w:iCs/>
              </w:rPr>
              <w:t>De svårigheter som den europeiska industrin upplever kan till mycket stor del tillskrivas kommissionens politiska vägval, i synnerhet den gröna given, som tynger vår industri med ett bestraffande regelverk och ibland hotar företagens själva existens i sektorn samt tillhörande arbetstillfällen och kompetens.</w:t>
            </w:r>
            <w:r>
              <w:t xml:space="preserve"> Inom ramen för målet att tillhandahålla livslånga möjligheter att regelbundet fortbilda och omskola sig i enlighet med meddelandet om kompetensunionen</w:t>
            </w:r>
            <w:r>
              <w:rPr>
                <w:b/>
                <w:bCs/>
                <w:i/>
                <w:iCs/>
              </w:rPr>
              <w:t>,</w:t>
            </w:r>
            <w:r>
              <w:t xml:space="preserve"> och även genom den nyligen föreslagna </w:t>
            </w:r>
            <w:r>
              <w:rPr>
                <w:b/>
                <w:bCs/>
                <w:i/>
                <w:iCs/>
              </w:rPr>
              <w:t>kompetensgarantin</w:t>
            </w:r>
            <w:r>
              <w:t xml:space="preserve">, bör ESF+ underlätta kompetensutveckling, bibehållande av arbetstillfällen och skapande av </w:t>
            </w:r>
            <w:r>
              <w:lastRenderedPageBreak/>
              <w:t xml:space="preserve">arbetstillfällen </w:t>
            </w:r>
            <w:r>
              <w:rPr>
                <w:b/>
                <w:bCs/>
                <w:i/>
                <w:iCs/>
              </w:rPr>
              <w:t>i industrin, särskilt vad gäller energiproduktion på europeiskt territorium,</w:t>
            </w:r>
            <w:r>
              <w:t xml:space="preserve"> genom att tillhandahålla flexibilitet för genomförandet.</w:t>
            </w:r>
          </w:p>
        </w:tc>
      </w:tr>
      <w:tr w:rsidR="008E4158" w:rsidTr="00BF1E0A">
        <w:trPr>
          <w:jc w:val="center"/>
        </w:trPr>
        <w:tc>
          <w:tcPr>
            <w:tcW w:w="4876" w:type="dxa"/>
            <w:hideMark/>
          </w:tcPr>
          <w:p w:rsidR="008E4158" w:rsidRPr="00A26490" w:rsidRDefault="008E4158" w:rsidP="00BF1E0A">
            <w:pPr>
              <w:pStyle w:val="Normal6"/>
            </w:pPr>
            <w:r>
              <w:lastRenderedPageBreak/>
              <w:t>__________________</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Pr>
                <w:b/>
                <w:i/>
                <w:vertAlign w:val="superscript"/>
              </w:rPr>
              <w:t>6</w:t>
            </w:r>
            <w:r>
              <w:t xml:space="preserve"> </w:t>
            </w:r>
            <w:r>
              <w:rPr>
                <w:b/>
                <w:i/>
              </w:rPr>
              <w:t>COM(2025) 85 final.</w:t>
            </w:r>
          </w:p>
        </w:tc>
        <w:tc>
          <w:tcPr>
            <w:tcW w:w="4876" w:type="dxa"/>
          </w:tcPr>
          <w:p w:rsidR="008E4158" w:rsidRPr="00A26490" w:rsidRDefault="008E4158" w:rsidP="00BF1E0A">
            <w:pPr>
              <w:pStyle w:val="Normal6"/>
              <w:rPr>
                <w:szCs w:val="24"/>
              </w:rPr>
            </w:pP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{FR}</w:t>
      </w:r>
      <w:r w:rsidRPr="00A26490">
        <w:rPr>
          <w:noProof w:val="0"/>
        </w:rPr>
        <w:t>fr</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26</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Det är redan möjligt att stödja arbetstagares, företagares och företags anpassning till förändringar inom ramen för ESF+. I linje med de åtgärder för utfasning av fossila bränslen som föreslås i kommissionens meddelande Given för en ren industri: en gemensam färdplan för konkurrenskraft och fossilfrihet av den 26 februari 2025</w:t>
            </w:r>
            <w:r>
              <w:rPr>
                <w:vertAlign w:val="superscript"/>
              </w:rPr>
              <w:t>6</w:t>
            </w:r>
            <w:r>
              <w:t xml:space="preserve"> och för att ytterligare underlätta industrins anpassning i samband med utfasningen av fossila bränslen i produktionsprocesser och produkter, inom ramen för målet att tillhandahålla livslånga möjligheter att regelbundet fortbilda och omskola sig i enlighet med meddelandet om kompetensunionen och även genom den nyligen föreslagna kompetensgaranti, bör ESF+ underlätta kompetensutveckling, bibehållande av arbetstillfällen och skapande av arbetstillfällen under hela processen för att fasa ut fossila bränslen genom att tillhandahålla flexibilitet för genomförandet.</w:t>
            </w:r>
          </w:p>
        </w:tc>
        <w:tc>
          <w:tcPr>
            <w:tcW w:w="4876" w:type="dxa"/>
            <w:hideMark/>
          </w:tcPr>
          <w:p w:rsidR="008E4158" w:rsidRPr="00A26490" w:rsidRDefault="008E4158" w:rsidP="00BF1E0A">
            <w:pPr>
              <w:pStyle w:val="Normal6"/>
              <w:rPr>
                <w:szCs w:val="24"/>
              </w:rPr>
            </w:pPr>
            <w:r>
              <w:t>(3)</w:t>
            </w:r>
            <w:r>
              <w:tab/>
              <w:t>Det är redan möjligt att stödja arbetstagares, företagares och företags anpassning till förändringar inom ramen för ESF+. I linje med de åtgärder för utfasning av fossila bränslen som föreslås i kommissionens meddelande Given för en ren industri: en gemensam färdplan för konkurrenskraft och fossilfrihet av den 26 februari 2025</w:t>
            </w:r>
            <w:r>
              <w:rPr>
                <w:vertAlign w:val="superscript"/>
              </w:rPr>
              <w:t>6</w:t>
            </w:r>
            <w:r>
              <w:t xml:space="preserve"> och för att ytterligare underlätta industrins anpassning i samband med utfasningen av fossila bränslen i produktionsprocesser och produkter, inom ramen för målet att tillhandahålla livslånga möjligheter att regelbundet fortbilda och omskola sig i enlighet med meddelandet om kompetensunionen och även genom den nyligen föreslagna kompetensgaranti, bör ESF+ underlätta kompetensutveckling, bibehållande av arbetstillfällen och skapande av arbetstillfällen </w:t>
            </w:r>
            <w:r>
              <w:rPr>
                <w:b/>
                <w:i/>
              </w:rPr>
              <w:t xml:space="preserve">av god kvalitet </w:t>
            </w:r>
            <w:r>
              <w:t>under hela processen för att fasa ut fossila bränslen genom att tillhandahålla flexibilitet för genomförandet.</w:t>
            </w:r>
          </w:p>
        </w:tc>
      </w:tr>
      <w:tr w:rsidR="008E4158" w:rsidTr="00BF1E0A">
        <w:trPr>
          <w:jc w:val="center"/>
        </w:trPr>
        <w:tc>
          <w:tcPr>
            <w:tcW w:w="4876" w:type="dxa"/>
            <w:hideMark/>
          </w:tcPr>
          <w:p w:rsidR="008E4158" w:rsidRPr="00A26490" w:rsidRDefault="008E4158" w:rsidP="00BF1E0A">
            <w:pPr>
              <w:pStyle w:val="Normal6"/>
            </w:pPr>
            <w:r>
              <w:t>__________________</w:t>
            </w:r>
          </w:p>
        </w:tc>
        <w:tc>
          <w:tcPr>
            <w:tcW w:w="4876" w:type="dxa"/>
            <w:hideMark/>
          </w:tcPr>
          <w:p w:rsidR="008E4158" w:rsidRPr="00A26490" w:rsidRDefault="008E4158" w:rsidP="00BF1E0A">
            <w:pPr>
              <w:pStyle w:val="Normal6"/>
              <w:rPr>
                <w:szCs w:val="24"/>
              </w:rPr>
            </w:pPr>
            <w:r>
              <w:t>__________________</w:t>
            </w:r>
          </w:p>
        </w:tc>
      </w:tr>
      <w:tr w:rsidR="008E4158" w:rsidTr="00BF1E0A">
        <w:trPr>
          <w:jc w:val="center"/>
        </w:trPr>
        <w:tc>
          <w:tcPr>
            <w:tcW w:w="4876" w:type="dxa"/>
            <w:hideMark/>
          </w:tcPr>
          <w:p w:rsidR="008E4158" w:rsidRPr="00A26490" w:rsidRDefault="008E4158" w:rsidP="00BF1E0A">
            <w:pPr>
              <w:pStyle w:val="Normal6"/>
            </w:pPr>
            <w:r>
              <w:rPr>
                <w:vertAlign w:val="superscript"/>
              </w:rPr>
              <w:lastRenderedPageBreak/>
              <w:t>6</w:t>
            </w:r>
            <w:r>
              <w:t xml:space="preserve"> COM (2025) 85 final.</w:t>
            </w:r>
          </w:p>
        </w:tc>
        <w:tc>
          <w:tcPr>
            <w:tcW w:w="4876" w:type="dxa"/>
            <w:hideMark/>
          </w:tcPr>
          <w:p w:rsidR="008E4158" w:rsidRPr="00A26490" w:rsidRDefault="008E4158" w:rsidP="00BF1E0A">
            <w:pPr>
              <w:pStyle w:val="Normal6"/>
              <w:rPr>
                <w:szCs w:val="24"/>
              </w:rPr>
            </w:pPr>
            <w:r>
              <w:rPr>
                <w:vertAlign w:val="superscript"/>
              </w:rPr>
              <w:t>6</w:t>
            </w:r>
            <w:r>
              <w:t xml:space="preserve"> COM (2025) 85 final.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27</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(3a)</w:t>
            </w:r>
            <w:r>
              <w:rPr>
                <w:b/>
                <w:i/>
              </w:rPr>
              <w:tab/>
              <w:t>Europeiska socialfonden+ (ESF+) är en viktig pelare i sammanhållningspolitiken, vars främsta mål är att främja social inkludering, rättvisa inom sysselsättning och minskade territoriella skillnader.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28</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3b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(3b)</w:t>
            </w:r>
            <w:r>
              <w:rPr>
                <w:b/>
                <w:i/>
              </w:rPr>
              <w:tab/>
              <w:t>Trots införlivandet av nya strategiska prioriteringar på EU-nivå är det viktigt att ESF+ inte avviker från sitt sociala uppdrag, som bör förbli den grundläggande inriktningen för att tillgodose territoriernas och deras samhällens särskilda behov.</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29</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lastRenderedPageBreak/>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3c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(3c)</w:t>
            </w:r>
            <w:r>
              <w:rPr>
                <w:b/>
                <w:i/>
              </w:rPr>
              <w:tab/>
              <w:t>Vid omfördelningen av resurser inom ramen för ESF+ bör det säkerställas att anpassningsåtgärder som svar på strategiska utmaningar inte undergräver fondens territoriella och sociala inriktning, utan snarare stärker dess förmåga att bekämpa ojämlikhet och främja en balanserad utveckling.</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30</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3d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(3d)</w:t>
            </w:r>
            <w:r>
              <w:rPr>
                <w:b/>
                <w:i/>
              </w:rPr>
              <w:tab/>
              <w:t>En korrekt integrering av ytterligare åtgärder eller finansiell flexibilitet är avgörande för att skydda den sociala kärnan i ESF+ och säkerställa att investeringar i nya prioriteringar inte leder till att politikens sammanhållande roll avvecklas eller till en omfördelning av resurser till rent strategiska intressen.</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31</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(4)</w:t>
            </w:r>
            <w:r>
              <w:tab/>
              <w:t>Det är redan möjligt att inom ramen för ESF+ stödja investeringar som bidrar till målen för den europeiska plattformen för strategisk teknik (STEP), som inrättades genom Europaparlamentets och rådets förordning (EU) 2024/795</w:t>
            </w:r>
            <w:r>
              <w:rPr>
                <w:vertAlign w:val="superscript"/>
              </w:rPr>
              <w:t>7</w:t>
            </w:r>
            <w:r>
              <w:t xml:space="preserve"> och som syftar till att stärka unionens tekniska ledarskap. För att ytterligare stimulera investeringar från ESF+ på dessa kritiska områden bör man förlänga möjligheten för medlemsstaterna att få en högre förfinansiering för relaterade programändringar.</w:t>
            </w:r>
          </w:p>
        </w:tc>
        <w:tc>
          <w:tcPr>
            <w:tcW w:w="4876" w:type="dxa"/>
            <w:hideMark/>
          </w:tcPr>
          <w:p w:rsidR="008E4158" w:rsidRPr="00A26490" w:rsidRDefault="008E4158" w:rsidP="00BF1E0A">
            <w:pPr>
              <w:pStyle w:val="Normal6"/>
              <w:rPr>
                <w:szCs w:val="24"/>
              </w:rPr>
            </w:pPr>
            <w:r>
              <w:t>(4)</w:t>
            </w:r>
            <w:r>
              <w:tab/>
              <w:t>Det är redan möjligt att inom ramen för ESF+ stödja investeringar som bidrar till målen för den europeiska plattformen för strategisk teknik (STEP), som inrättades genom Europaparlamentets och rådets förordning (EU) 2024/795</w:t>
            </w:r>
            <w:r>
              <w:rPr>
                <w:vertAlign w:val="superscript"/>
              </w:rPr>
              <w:t>7</w:t>
            </w:r>
            <w:r>
              <w:t xml:space="preserve"> och som syftar till att stärka unionens tekniska ledarskap</w:t>
            </w:r>
            <w:r>
              <w:rPr>
                <w:b/>
                <w:i/>
              </w:rPr>
              <w:t xml:space="preserve"> och kompetensutveckling</w:t>
            </w:r>
            <w:r>
              <w:t>. För att ytterligare stimulera investeringar från ESF+ på dessa kritiska områden bör man förlänga möjligheten för medlemsstaterna att få en högre förfinansiering för relaterade programändringar.</w:t>
            </w:r>
          </w:p>
        </w:tc>
      </w:tr>
      <w:tr w:rsidR="008E4158" w:rsidTr="00BF1E0A">
        <w:trPr>
          <w:jc w:val="center"/>
        </w:trPr>
        <w:tc>
          <w:tcPr>
            <w:tcW w:w="4876" w:type="dxa"/>
            <w:hideMark/>
          </w:tcPr>
          <w:p w:rsidR="008E4158" w:rsidRPr="00A26490" w:rsidRDefault="008E4158" w:rsidP="00BF1E0A">
            <w:pPr>
              <w:pStyle w:val="Normal6"/>
            </w:pPr>
            <w:r>
              <w:t>__________________</w:t>
            </w:r>
          </w:p>
        </w:tc>
        <w:tc>
          <w:tcPr>
            <w:tcW w:w="4876" w:type="dxa"/>
            <w:hideMark/>
          </w:tcPr>
          <w:p w:rsidR="008E4158" w:rsidRPr="00A26490" w:rsidRDefault="008E4158" w:rsidP="00BF1E0A">
            <w:pPr>
              <w:pStyle w:val="Normal6"/>
              <w:rPr>
                <w:szCs w:val="24"/>
              </w:rPr>
            </w:pPr>
            <w:r>
              <w:t>__________________</w:t>
            </w:r>
          </w:p>
        </w:tc>
      </w:tr>
      <w:tr w:rsidR="008E4158" w:rsidTr="00BF1E0A">
        <w:trPr>
          <w:jc w:val="center"/>
        </w:trPr>
        <w:tc>
          <w:tcPr>
            <w:tcW w:w="4876" w:type="dxa"/>
            <w:hideMark/>
          </w:tcPr>
          <w:p w:rsidR="008E4158" w:rsidRPr="00A26490" w:rsidRDefault="008E4158" w:rsidP="00BF1E0A">
            <w:pPr>
              <w:pStyle w:val="Normal6"/>
            </w:pPr>
            <w:r>
              <w:rPr>
                <w:vertAlign w:val="superscript"/>
              </w:rPr>
              <w:t xml:space="preserve">7 </w:t>
            </w:r>
            <w:r>
              <w:t>Europaparlamentets och rådets förordning (EU) 2024/795 av den 29 februari 2024 om inrättande av den europeiska plattformen för strategisk teknik (STEP), och om ändring av direktiv 2003/87/EG och förordningarna (EU) 2021/1058, (EU) 2021/1056, (EU) 2021/1057, (EU) nr 1303/2013, (EU) nr 223/2014, (EU) 2021/1060, (EU) 2021/523, (EU) 2021/695, (EU) 2021/697 och (EU) 2021/241 (EUT L, 2024/795, 29.2.2024, ELI: http://data.europa.eu/eli/reg/2024/795/oj)</w:t>
            </w:r>
          </w:p>
        </w:tc>
        <w:tc>
          <w:tcPr>
            <w:tcW w:w="4876" w:type="dxa"/>
            <w:hideMark/>
          </w:tcPr>
          <w:p w:rsidR="008E4158" w:rsidRPr="00A26490" w:rsidRDefault="008E4158" w:rsidP="00BF1E0A">
            <w:pPr>
              <w:pStyle w:val="Normal6"/>
              <w:rPr>
                <w:szCs w:val="24"/>
              </w:rPr>
            </w:pPr>
            <w:r>
              <w:rPr>
                <w:vertAlign w:val="superscript"/>
              </w:rPr>
              <w:t xml:space="preserve">7 </w:t>
            </w:r>
            <w:r>
              <w:t>Europaparlamentets och rådets förordning (EU) 2024/795 av den 29 februari 2024 om inrättande av den europeiska plattformen för strategisk teknik (STEP), och om ändring av direktiv 2003/87/EG och förordningarna (EU) 2021/1058, (EU) 2021/1056, (EU) 2021/1057, (EU) nr 1303/2013, (EU) nr 223/2014, (EU) 2021/1060, (EU) 2021/523, (EU) 2021/695, (EU) 2021/697 och (EU) 2021/241 (EUT L, 2024/795, 29.2.2024, ELI: http://data.europa.eu/eli/reg/2024/795/oj)</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32</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4a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(4a)</w:t>
            </w:r>
            <w:r>
              <w:rPr>
                <w:b/>
                <w:i/>
              </w:rPr>
              <w:tab/>
              <w:t xml:space="preserve">I syfte att hantera de kritiska utmaningarna med att främja innovation och skydda kunskap för att stärka EU:s </w:t>
            </w:r>
            <w:r>
              <w:rPr>
                <w:b/>
                <w:i/>
              </w:rPr>
              <w:lastRenderedPageBreak/>
              <w:t>konkurrenskraft och resiliens bör medlemsstaterna främja samarbete mellan organisationer som arbetar med att skapa och utnyttja kompetens, såsom yrkesskolor, akademiska institutioner, forskningsinstitut och industrier. Ett sådant samarbete är avgörande för utvecklingen av ny teknik och skyddet av immateriella rättigheter, så att EU kan fortsätta att gå i bräschen för global innovation.</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33</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4a (nytt)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(4a)</w:t>
            </w:r>
            <w:r>
              <w:rPr>
                <w:b/>
                <w:i/>
              </w:rPr>
              <w:tab/>
              <w:t>I enlighet med artikel 5.1 andra stycket i förordning (EU) 2021/1060 bidrar ESF+ till det specifika målet att göra det möjligt för regioner och människor att hantera de sociala, sysselsättningsrelaterade, ekonomiska och miljömässiga effekterna av omställningen i riktning mot unionens energi- och klimatmål för 2030 och en klimatneutral ekonomi i unionen senast 2050, med utgångspunkt i Parisavtalet.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34</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(5)</w:t>
            </w:r>
            <w:r>
              <w:tab/>
              <w:t xml:space="preserve">För att göra det möjligt för medlemsstaterna att genomföra </w:t>
            </w:r>
            <w:r>
              <w:rPr>
                <w:b/>
                <w:i/>
              </w:rPr>
              <w:t>meningsfulla</w:t>
            </w:r>
            <w:r>
              <w:t xml:space="preserve"> ändringar i programplaneringen och inrikta resurserna på </w:t>
            </w:r>
            <w:r>
              <w:rPr>
                <w:b/>
                <w:i/>
              </w:rPr>
              <w:t>de</w:t>
            </w:r>
            <w:r>
              <w:t xml:space="preserve"> strategiska </w:t>
            </w:r>
            <w:r>
              <w:rPr>
                <w:b/>
                <w:i/>
              </w:rPr>
              <w:t>unionsprioriteringar</w:t>
            </w:r>
            <w:r>
              <w:t xml:space="preserve"> som anges i skälen 2, 3 och 4 utan att orsaka ytterligare förseningar i genomförandet, </w:t>
            </w:r>
            <w:r>
              <w:rPr>
                <w:b/>
                <w:i/>
              </w:rPr>
              <w:t>är</w:t>
            </w:r>
            <w:r>
              <w:t xml:space="preserve"> det </w:t>
            </w:r>
            <w:r>
              <w:rPr>
                <w:b/>
                <w:i/>
              </w:rPr>
              <w:t>lämpligt att föreskriva ytterligare</w:t>
            </w:r>
            <w:r>
              <w:t xml:space="preserve"> flexibilitet. Halvtidsöversynen </w:t>
            </w:r>
            <w:r>
              <w:rPr>
                <w:b/>
                <w:i/>
              </w:rPr>
              <w:t>bör vara</w:t>
            </w:r>
            <w:r>
              <w:t xml:space="preserve"> ett tillfälle att ta itu med nya strategiska utmaningar och nya prioriteringar, och </w:t>
            </w:r>
            <w:r>
              <w:rPr>
                <w:b/>
                <w:i/>
              </w:rPr>
              <w:t>därför bör</w:t>
            </w:r>
            <w:r>
              <w:t xml:space="preserve"> medlemsstaterna</w:t>
            </w:r>
            <w:r>
              <w:rPr>
                <w:b/>
                <w:i/>
              </w:rPr>
              <w:t xml:space="preserve"> få</w:t>
            </w:r>
            <w:r>
              <w:t xml:space="preserve"> ytterligare tid </w:t>
            </w:r>
            <w:r>
              <w:rPr>
                <w:b/>
                <w:i/>
              </w:rPr>
              <w:t xml:space="preserve">på sig </w:t>
            </w:r>
            <w:r>
              <w:t xml:space="preserve">för att slutföra bedömningen av </w:t>
            </w:r>
            <w:r>
              <w:rPr>
                <w:b/>
                <w:i/>
              </w:rPr>
              <w:t>resultatet av halvtidsöversynen</w:t>
            </w:r>
            <w:r>
              <w:t xml:space="preserve"> och lämna in </w:t>
            </w:r>
            <w:r>
              <w:rPr>
                <w:b/>
                <w:i/>
              </w:rPr>
              <w:t>relaterade</w:t>
            </w:r>
            <w:r>
              <w:t xml:space="preserve"> programändringar.</w:t>
            </w:r>
          </w:p>
        </w:tc>
        <w:tc>
          <w:tcPr>
            <w:tcW w:w="4876" w:type="dxa"/>
            <w:hideMark/>
          </w:tcPr>
          <w:p w:rsidR="008E4158" w:rsidRPr="00A26490" w:rsidRDefault="008E4158" w:rsidP="00BF1E0A">
            <w:pPr>
              <w:pStyle w:val="Normal6"/>
              <w:rPr>
                <w:szCs w:val="24"/>
              </w:rPr>
            </w:pPr>
            <w:r>
              <w:t>(5)</w:t>
            </w:r>
            <w:r>
              <w:tab/>
              <w:t xml:space="preserve">För att göra det möjligt för medlemsstaterna att genomföra </w:t>
            </w:r>
            <w:r>
              <w:rPr>
                <w:b/>
                <w:i/>
              </w:rPr>
              <w:t>betydande</w:t>
            </w:r>
            <w:r>
              <w:t xml:space="preserve"> ändringar i programplaneringen och inrikta resurserna på </w:t>
            </w:r>
            <w:r>
              <w:rPr>
                <w:b/>
                <w:i/>
              </w:rPr>
              <w:t>unionens</w:t>
            </w:r>
            <w:r>
              <w:t xml:space="preserve"> strategiska </w:t>
            </w:r>
            <w:r>
              <w:rPr>
                <w:b/>
                <w:i/>
              </w:rPr>
              <w:t>prioriteringar</w:t>
            </w:r>
            <w:r>
              <w:t xml:space="preserve"> som anges i skälen 2, 3 och 4 utan att orsaka ytterligare förseningar i genomförandet, </w:t>
            </w:r>
            <w:r>
              <w:rPr>
                <w:b/>
                <w:i/>
              </w:rPr>
              <w:t>behövs</w:t>
            </w:r>
            <w:r>
              <w:t xml:space="preserve"> det </w:t>
            </w:r>
            <w:r>
              <w:rPr>
                <w:b/>
                <w:i/>
              </w:rPr>
              <w:t>större</w:t>
            </w:r>
            <w:r>
              <w:t xml:space="preserve"> flexibilitet. Halvtidsöversynen </w:t>
            </w:r>
            <w:r>
              <w:rPr>
                <w:b/>
                <w:i/>
              </w:rPr>
              <w:t>presenteras som</w:t>
            </w:r>
            <w:r>
              <w:t xml:space="preserve"> ett tillfälle att ta itu med nya strategiska utmaningar och nya prioriteringar, och </w:t>
            </w:r>
            <w:r>
              <w:rPr>
                <w:b/>
                <w:i/>
              </w:rPr>
              <w:t>ger</w:t>
            </w:r>
            <w:r>
              <w:t xml:space="preserve"> medlemsstaterna ytterligare tid för att slutföra bedömningen av </w:t>
            </w:r>
            <w:r>
              <w:rPr>
                <w:b/>
                <w:i/>
              </w:rPr>
              <w:t>sina prestationer</w:t>
            </w:r>
            <w:r>
              <w:t xml:space="preserve"> och </w:t>
            </w:r>
            <w:r>
              <w:rPr>
                <w:b/>
                <w:i/>
              </w:rPr>
              <w:t xml:space="preserve">för att </w:t>
            </w:r>
            <w:r>
              <w:t xml:space="preserve">lämna in </w:t>
            </w:r>
            <w:r>
              <w:rPr>
                <w:b/>
                <w:i/>
              </w:rPr>
              <w:t>lämpliga</w:t>
            </w:r>
            <w:r>
              <w:t xml:space="preserve"> programändringar.</w:t>
            </w:r>
            <w:r>
              <w:rPr>
                <w:b/>
                <w:i/>
              </w:rPr>
              <w:t xml:space="preserve"> Man måste dock ställa sig frågan om inte fokuseringen på att omdefiniera prioriteringar på EU-nivå riskerar att avveckla själva kärnan i sammanhållningspolitiken, som bygger på att ta itu med territoriernas särskilda prioriteringar och behov. Att rikta uppmärksamheten mot globala strategiska utmaningar kan leda till att det primära uppdraget – att minska regionala skillnader och främja en balanserad territoriell utveckling – hamnar i bakgrunden, vilket leder till att den territoriella strategi som har präglat sammanhållningspolitiken går förlorad.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35</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(5)</w:t>
            </w:r>
            <w:r>
              <w:tab/>
              <w:t xml:space="preserve">För att göra det möjligt för medlemsstaterna att genomföra meningsfulla ändringar i </w:t>
            </w:r>
            <w:r>
              <w:lastRenderedPageBreak/>
              <w:t>programplaneringen och inrikta resurserna på de strategiska unionsprioriteringar som anges i skälen 2, 3 och 4 utan att orsaka ytterligare förseningar i genomförandet, är det lämpligt att föreskriva ytterligare flexibilitet. Halvtidsöversynen bör vara ett tillfälle att ta itu med nya strategiska utmaningar och nya prioriteringar, och därför bör medlemsstaterna få ytterligare tid på sig för att slutföra bedömningen av resultatet av halvtidsöversynen och lämna in relaterade programändringar.</w:t>
            </w:r>
          </w:p>
        </w:tc>
        <w:tc>
          <w:tcPr>
            <w:tcW w:w="4876" w:type="dxa"/>
            <w:hideMark/>
          </w:tcPr>
          <w:p w:rsidR="008E4158" w:rsidRPr="00A26490" w:rsidRDefault="008E4158" w:rsidP="00BF1E0A">
            <w:pPr>
              <w:pStyle w:val="Normal6"/>
              <w:rPr>
                <w:szCs w:val="24"/>
              </w:rPr>
            </w:pPr>
            <w:r>
              <w:lastRenderedPageBreak/>
              <w:t>(5)</w:t>
            </w:r>
            <w:r>
              <w:tab/>
              <w:t xml:space="preserve">För att göra det möjligt för medlemsstaterna att genomföra meningsfulla ändringar i </w:t>
            </w:r>
            <w:r>
              <w:lastRenderedPageBreak/>
              <w:t xml:space="preserve">programplaneringen </w:t>
            </w:r>
            <w:r>
              <w:rPr>
                <w:b/>
                <w:i/>
              </w:rPr>
              <w:t xml:space="preserve">utan att tappa fokus på fondens huvudmål </w:t>
            </w:r>
            <w:r>
              <w:t>och inrikta resurserna på de strategiska unionsprioriteringar som anges i skälen 2, 3 och 4 utan att orsaka ytterligare förseningar i genomförandet, är det lämpligt att föreskriva ytterligare flexibilitet. Halvtidsöversynen bör vara ett tillfälle att ta itu med nya strategiska utmaningar och nya prioriteringar, och därför bör medlemsstaterna få ytterligare tid på sig för att slutföra bedömningen av resultatet av halvtidsöversynen och lämna in relaterade programändringar.</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36</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(5)</w:t>
            </w:r>
            <w:r>
              <w:tab/>
              <w:t xml:space="preserve">För att göra det möjligt för medlemsstaterna att genomföra meningsfulla ändringar i programplaneringen och inrikta resurserna på de strategiska unionsprioriteringar som anges i skälen </w:t>
            </w:r>
            <w:r>
              <w:rPr>
                <w:b/>
                <w:i/>
              </w:rPr>
              <w:t xml:space="preserve">2, </w:t>
            </w:r>
            <w:r>
              <w:t>3 och 4 utan att orsaka ytterligare förseningar i genomförandet, är det lämpligt att föreskriva ytterligare flexibilitet. Halvtidsöversynen bör vara ett tillfälle att ta itu med nya strategiska utmaningar och nya prioriteringar, och därför bör medlemsstaterna få ytterligare tid på sig för att slutföra bedömningen av resultatet av halvtidsöversynen och lämna in relaterade programändringar.</w:t>
            </w:r>
          </w:p>
        </w:tc>
        <w:tc>
          <w:tcPr>
            <w:tcW w:w="4876" w:type="dxa"/>
            <w:hideMark/>
          </w:tcPr>
          <w:p w:rsidR="008E4158" w:rsidRPr="00A26490" w:rsidRDefault="008E4158" w:rsidP="00BF1E0A">
            <w:pPr>
              <w:pStyle w:val="Normal6"/>
              <w:rPr>
                <w:szCs w:val="24"/>
              </w:rPr>
            </w:pPr>
            <w:r>
              <w:t>(5)</w:t>
            </w:r>
            <w:r>
              <w:tab/>
              <w:t>För att göra det möjligt för medlemsstaterna att genomföra meningsfulla ändringar i programplaneringen och inrikta resurserna på de strategiska unionsprioriteringar som anges i skälen 3 och 4 utan att orsaka ytterligare förseningar i genomförandet, är det lämpligt att föreskriva ytterligare flexibilitet. Halvtidsöversynen bör vara ett tillfälle att ta itu med nya strategiska</w:t>
            </w:r>
            <w:r>
              <w:rPr>
                <w:b/>
                <w:i/>
              </w:rPr>
              <w:t xml:space="preserve"> och sociala</w:t>
            </w:r>
            <w:r>
              <w:t xml:space="preserve"> utmaningar och nya prioriteringar, och därför bör medlemsstaterna få ytterligare tid på sig för att slutföra bedömningen av resultatet av halvtidsöversynen och lämna in relaterade programändringar.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lastRenderedPageBreak/>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37</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(5)</w:t>
            </w:r>
            <w:r>
              <w:tab/>
              <w:t>För att göra det möjligt för medlemsstaterna att genomföra meningsfulla ändringar i programplaneringen och inrikta resurserna på de strategiska unionsprioriteringar som anges i skälen 2, 3 och 4 utan att orsaka ytterligare förseningar i genomförandet, är det lämpligt att föreskriva ytterligare flexibilitet. Halvtidsöversynen bör vara ett tillfälle att ta itu med nya strategiska utmaningar och nya prioriteringar, och därför bör medlemsstaterna få ytterligare tid på sig för att slutföra bedömningen av resultatet av halvtidsöversynen och lämna in relaterade programändringar.</w:t>
            </w:r>
          </w:p>
        </w:tc>
        <w:tc>
          <w:tcPr>
            <w:tcW w:w="4876" w:type="dxa"/>
            <w:hideMark/>
          </w:tcPr>
          <w:p w:rsidR="008E4158" w:rsidRPr="00A26490" w:rsidRDefault="008E4158" w:rsidP="00BF1E0A">
            <w:pPr>
              <w:pStyle w:val="Normal6"/>
              <w:rPr>
                <w:szCs w:val="24"/>
              </w:rPr>
            </w:pPr>
            <w:r>
              <w:t>(5)</w:t>
            </w:r>
            <w:r>
              <w:tab/>
              <w:t xml:space="preserve">För att göra det möjligt för medlemsstaterna att genomföra meningsfulla </w:t>
            </w:r>
            <w:r>
              <w:rPr>
                <w:b/>
                <w:i/>
              </w:rPr>
              <w:t xml:space="preserve">och rättvisa </w:t>
            </w:r>
            <w:r>
              <w:t>ändringar i programplaneringen och inrikta resurserna på de strategiska unionsprioriteringar som anges i skälen 2, 3 och 4 utan att orsaka ytterligare förseningar i genomförandet, är det lämpligt att föreskriva ytterligare flexibilitet. Halvtidsöversynen bör vara ett tillfälle att ta itu med nya strategiska utmaningar och nya prioriteringar, och därför bör medlemsstaterna få ytterligare tid på sig för att slutföra bedömningen av resultatet av halvtidsöversynen och lämna in relaterade programändringar.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38</w:t>
      </w:r>
      <w:r>
        <w:rPr>
          <w:rStyle w:val="HideTWBExt"/>
          <w:b w:val="0"/>
        </w:rPr>
        <w:t>&lt;/NumAm&gt;</w:t>
      </w:r>
    </w:p>
    <w:p w:rsidR="008E4158" w:rsidRPr="00A26490" w:rsidRDefault="008E4158" w:rsidP="008E4158">
      <w:pPr>
        <w:pStyle w:val="NormalBold"/>
      </w:pPr>
      <w:r>
        <w:rPr>
          <w:rStyle w:val="HideTWBExt"/>
          <w:b w:val="0"/>
        </w:rPr>
        <w:t>&lt;RepeatBlock-By&gt;&lt;Members&gt;</w:t>
      </w:r>
      <w:r>
        <w:t>Marie Dauchy, Nikola Bartůšek</w:t>
      </w:r>
      <w:r>
        <w:rPr>
          <w:rStyle w:val="HideTWBExt"/>
          <w:b w:val="0"/>
        </w:rPr>
        <w:t>&lt;/Members&gt;</w:t>
      </w:r>
    </w:p>
    <w:p w:rsidR="008E4158" w:rsidRPr="00A26490" w:rsidRDefault="008E4158" w:rsidP="008E4158">
      <w:r>
        <w:rPr>
          <w:rStyle w:val="HideTWBExt"/>
        </w:rPr>
        <w:t>&lt;AuNomDe&gt;</w:t>
      </w:r>
      <w:r>
        <w:rPr>
          <w:rStyle w:val="HideTWBInt"/>
        </w:rPr>
        <w:t>{EMPL}</w:t>
      </w:r>
      <w:r>
        <w:t>för utskottet för sysselsättning och sociala frågor</w:t>
      </w:r>
      <w:r>
        <w:rPr>
          <w:rStyle w:val="HideTWBExt"/>
        </w:rPr>
        <w:t>&lt;/AuNomDe&gt;</w:t>
      </w:r>
    </w:p>
    <w:p w:rsidR="008E4158" w:rsidRPr="00A26490" w:rsidRDefault="008E4158" w:rsidP="008E4158">
      <w:pPr>
        <w:pStyle w:val="NormalBold"/>
      </w:pPr>
      <w:r>
        <w:rPr>
          <w:rStyle w:val="HideTWBExt"/>
          <w:b w:val="0"/>
        </w:rPr>
        <w:t>&lt;Members&gt;</w:t>
      </w:r>
      <w:r>
        <w:t>Séverine Werbrouck</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(6)</w:t>
            </w:r>
            <w:r>
              <w:tab/>
              <w:t xml:space="preserve">För att påskynda genomförandet av de sammanhållningspolitiska programmen och minska trycket på de nationella budgetarna samt för att tillföra den likviditet som krävs för att genomföra viktiga investeringar bör ytterligare en förfinansiering i form av engångsutbetalning från ESF+ göras för </w:t>
            </w:r>
            <w:r>
              <w:lastRenderedPageBreak/>
              <w:t>programmen. På grund av de negativa effekterna av Rysslands angrepp mot Ukraina bör andelen förfinansiering ökas ytterligare för vissa program som omfattar en eller flera Nuts 2-regioner som gränsar till Ryssland, Belarus eller Ukraina. För att ge incitament till en omfördelning till centrala prioriteringar i samband med halvtidsöversynen bör den ytterligare förfinansieringen endast vara tillgänglig om en viss tröskel för omfördelning av finansiella resurser till särskilda viktiga prioriteringar har nåtts.</w:t>
            </w:r>
          </w:p>
        </w:tc>
        <w:tc>
          <w:tcPr>
            <w:tcW w:w="4876" w:type="dxa"/>
            <w:hideMark/>
          </w:tcPr>
          <w:p w:rsidR="008E4158" w:rsidRPr="00A26490" w:rsidRDefault="008E4158" w:rsidP="00BF1E0A">
            <w:pPr>
              <w:pStyle w:val="Normal6"/>
              <w:rPr>
                <w:szCs w:val="24"/>
              </w:rPr>
            </w:pPr>
            <w:r>
              <w:lastRenderedPageBreak/>
              <w:t>(6)</w:t>
            </w:r>
            <w:r>
              <w:tab/>
              <w:t xml:space="preserve">För att påskynda genomförandet av de sammanhållningspolitiska programmen och minska trycket på de nationella budgetarna samt för att tillföra den likviditet som krävs för att genomföra viktiga investeringar bör ytterligare en förfinansiering i form av engångsutbetalning från ESF+ göras för </w:t>
            </w:r>
            <w:r>
              <w:lastRenderedPageBreak/>
              <w:t>programmen. På grund av de negativa effekterna av Rysslands angrepp mot Ukraina</w:t>
            </w:r>
            <w:r>
              <w:rPr>
                <w:b/>
                <w:bCs/>
                <w:i/>
                <w:iCs/>
              </w:rPr>
              <w:t>, inte minst ett ökat migrationstryck,</w:t>
            </w:r>
            <w:r>
              <w:t xml:space="preserve"> bör andelen förfinansiering ökas ytterligare för vissa program som omfattar en eller flera Nuts 2-regioner som gränsar till Ryssland, Belarus eller Ukraina.</w:t>
            </w:r>
            <w:r>
              <w:rPr>
                <w:b/>
                <w:i/>
              </w:rPr>
              <w:t xml:space="preserve"> </w:t>
            </w:r>
            <w:r>
              <w:rPr>
                <w:b/>
                <w:bCs/>
                <w:i/>
                <w:iCs/>
              </w:rPr>
              <w:t>Då samma regioner på grund av sitt läge vid EU:s gränser sedan länge är porten till en olaglig massinvandring skapar denna situation också negativa effekter som förvärras.</w:t>
            </w:r>
            <w:r>
              <w:t xml:space="preserve"> För att ge incitament till en omfördelning till centrala prioriteringar i samband med halvtidsöversynen bör den ytterligare förfinansieringen endast vara tillgänglig om en viss tröskel för omfördelning av finansiella resurser till särskilda viktiga prioriteringar har nåtts.</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{FR}</w:t>
      </w:r>
      <w:r w:rsidRPr="00A26490">
        <w:rPr>
          <w:noProof w:val="0"/>
        </w:rPr>
        <w:t>fr</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39</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(6)</w:t>
            </w:r>
            <w:r>
              <w:tab/>
              <w:t xml:space="preserve">För att påskynda genomförandet av de sammanhållningspolitiska programmen och minska trycket på de nationella budgetarna samt för att tillföra den likviditet som krävs för att genomföra viktiga investeringar bör ytterligare en förfinansiering i form av engångsutbetalning från ESF+ göras för programmen. På grund av de negativa effekterna av Rysslands angrepp mot Ukraina bör andelen förfinansiering ökas ytterligare för vissa program som omfattar en eller flera Nuts 2-regioner som gränsar till Ryssland, Belarus </w:t>
            </w:r>
            <w:r>
              <w:rPr>
                <w:b/>
                <w:bCs/>
                <w:i/>
                <w:iCs/>
              </w:rPr>
              <w:t>eller</w:t>
            </w:r>
            <w:r>
              <w:t xml:space="preserve"> Ukraina. För att ge incitament till en omfördelning till centrala prioriteringar i samband med </w:t>
            </w:r>
            <w:r>
              <w:lastRenderedPageBreak/>
              <w:t>halvtidsöversynen bör den ytterligare förfinansieringen endast vara tillgänglig om en viss tröskel för omfördelning av finansiella resurser till särskilda viktiga prioriteringar har nåtts.</w:t>
            </w:r>
          </w:p>
        </w:tc>
        <w:tc>
          <w:tcPr>
            <w:tcW w:w="4876" w:type="dxa"/>
            <w:hideMark/>
          </w:tcPr>
          <w:p w:rsidR="008E4158" w:rsidRPr="00A26490" w:rsidRDefault="008E4158" w:rsidP="00BF1E0A">
            <w:pPr>
              <w:pStyle w:val="Normal6"/>
              <w:rPr>
                <w:szCs w:val="24"/>
              </w:rPr>
            </w:pPr>
            <w:r>
              <w:lastRenderedPageBreak/>
              <w:t>(6)</w:t>
            </w:r>
            <w:r>
              <w:tab/>
              <w:t>För att påskynda genomförandet av de sammanhållningspolitiska programmen och minska trycket på de nationella budgetarna samt för att tillföra den likviditet som krävs för att genomföra viktiga investeringar bör ytterligare en förfinansiering i form av engångsutbetalning från ESF+ göras för programmen. På grund av de negativa effekterna av Rysslands angrepp mot Ukraina bör andelen förfinansiering ökas ytterligare för vissa program som omfattar en eller flera Nuts 2-regioner som gränsar till Ryssland, Belarus</w:t>
            </w:r>
            <w:r>
              <w:rPr>
                <w:b/>
                <w:i/>
              </w:rPr>
              <w:t xml:space="preserve">, </w:t>
            </w:r>
            <w:r>
              <w:t xml:space="preserve">Ukraina </w:t>
            </w:r>
            <w:r>
              <w:rPr>
                <w:b/>
                <w:i/>
              </w:rPr>
              <w:t>och regioner som påverkas i betydande grad av icke-konventionella hot</w:t>
            </w:r>
            <w:r>
              <w:t xml:space="preserve"> </w:t>
            </w:r>
            <w:r>
              <w:rPr>
                <w:b/>
                <w:bCs/>
                <w:i/>
                <w:iCs/>
              </w:rPr>
              <w:t>eller</w:t>
            </w:r>
            <w:r>
              <w:t xml:space="preserve"> </w:t>
            </w:r>
            <w:r>
              <w:rPr>
                <w:b/>
                <w:i/>
              </w:rPr>
              <w:t>hybridhot</w:t>
            </w:r>
            <w:r>
              <w:t xml:space="preserve">. </w:t>
            </w:r>
            <w:r>
              <w:lastRenderedPageBreak/>
              <w:t>För att ge incitament till en omfördelning till centrala prioriteringar i samband med halvtidsöversynen bör den ytterligare förfinansieringen endast vara tillgänglig om en viss tröskel för omfördelning av finansiella resurser till särskilda viktiga prioriteringar har nåtts.</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40</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(6)</w:t>
            </w:r>
            <w:r>
              <w:tab/>
              <w:t xml:space="preserve">För att påskynda genomförandet av de sammanhållningspolitiska programmen och minska trycket på de nationella budgetarna samt för att tillföra den likviditet som krävs för att genomföra viktiga investeringar bör ytterligare en förfinansiering i form av engångsutbetalning från ESF+ göras för programmen. </w:t>
            </w:r>
            <w:r>
              <w:rPr>
                <w:b/>
                <w:i/>
              </w:rPr>
              <w:t>På grund av de negativa effekterna av Rysslands angrepp mot Ukraina bör andelen förfinansiering ökas ytterligare för vissa program som omfattar en eller flera Nuts 2-regioner som gränsar till Ryssland, Belarus eller Ukraina.</w:t>
            </w:r>
            <w:r>
              <w:t xml:space="preserve"> För att ge incitament till en omfördelning till centrala prioriteringar i samband med halvtidsöversynen bör den ytterligare förfinansieringen endast vara tillgänglig om en viss tröskel för omfördelning av finansiella resurser till särskilda viktiga prioriteringar har nåtts.</w:t>
            </w:r>
          </w:p>
        </w:tc>
        <w:tc>
          <w:tcPr>
            <w:tcW w:w="4876" w:type="dxa"/>
            <w:hideMark/>
          </w:tcPr>
          <w:p w:rsidR="008E4158" w:rsidRPr="00A26490" w:rsidRDefault="008E4158" w:rsidP="00BF1E0A">
            <w:pPr>
              <w:pStyle w:val="Normal6"/>
              <w:rPr>
                <w:szCs w:val="24"/>
              </w:rPr>
            </w:pPr>
            <w:r>
              <w:t>(6)</w:t>
            </w:r>
            <w:r>
              <w:tab/>
              <w:t xml:space="preserve">För att påskynda genomförandet av de sammanhållningspolitiska programmen och minska trycket på de nationella budgetarna samt för att tillföra den likviditet som krävs för att genomföra viktiga investeringar bör ytterligare en förfinansiering i form av engångsutbetalning från ESF+ göras för programmen. För att ge incitament till en omfördelning till centrala prioriteringar i samband med halvtidsöversynen bör den ytterligare förfinansieringen endast vara tillgänglig om en viss tröskel för omfördelning av finansiella resurser till särskilda viktiga prioriteringar har nåtts. </w:t>
            </w:r>
            <w:r>
              <w:rPr>
                <w:b/>
                <w:i/>
              </w:rPr>
              <w:t>På grund av de negativa effekterna av Rysslands angrepp mot Ukraina bör andelen förfinansiering ökas ytterligare för vissa program som omfattar en eller flera Nuts 2-regioner som gränsar till Ryssland, Belarus eller Ukraina, utan några specifika villkor att omfördela programmets finansiella resurser till särskilda prioriteringar.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lastRenderedPageBreak/>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41</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7</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(7)</w:t>
            </w:r>
            <w:r>
              <w:tab/>
              <w:t xml:space="preserve">För att </w:t>
            </w:r>
            <w:r>
              <w:rPr>
                <w:b/>
                <w:i/>
              </w:rPr>
              <w:t>ta hänsyn till den tid</w:t>
            </w:r>
            <w:r>
              <w:t xml:space="preserve"> som </w:t>
            </w:r>
            <w:r>
              <w:rPr>
                <w:b/>
                <w:i/>
              </w:rPr>
              <w:t>krävs</w:t>
            </w:r>
            <w:r>
              <w:t xml:space="preserve"> för att </w:t>
            </w:r>
            <w:r>
              <w:rPr>
                <w:b/>
                <w:i/>
              </w:rPr>
              <w:t>omorientera investeringarna och möjliggöra bästa möjliga användning av tillgängliga resurser bör dessutom tidsfristerna för utgifternas stödberättigande samt reglerna</w:t>
            </w:r>
            <w:r>
              <w:t xml:space="preserve"> för </w:t>
            </w:r>
            <w:r>
              <w:rPr>
                <w:b/>
                <w:i/>
              </w:rPr>
              <w:t>tillbakadragande anpassas för program som omfördelar resurser till strategiska prioriteringar</w:t>
            </w:r>
            <w:r>
              <w:t>.</w:t>
            </w:r>
          </w:p>
        </w:tc>
        <w:tc>
          <w:tcPr>
            <w:tcW w:w="4876" w:type="dxa"/>
            <w:hideMark/>
          </w:tcPr>
          <w:p w:rsidR="008E4158" w:rsidRPr="00A26490" w:rsidRDefault="008E4158" w:rsidP="00BF1E0A">
            <w:pPr>
              <w:pStyle w:val="Normal6"/>
              <w:rPr>
                <w:szCs w:val="24"/>
              </w:rPr>
            </w:pPr>
            <w:r>
              <w:t>(7)</w:t>
            </w:r>
            <w:r>
              <w:tab/>
              <w:t xml:space="preserve">För att </w:t>
            </w:r>
            <w:r>
              <w:rPr>
                <w:b/>
                <w:i/>
              </w:rPr>
              <w:t>halvtidsöversynen ska få en verklig inverkan och fungera</w:t>
            </w:r>
            <w:r>
              <w:t xml:space="preserve"> som </w:t>
            </w:r>
            <w:r>
              <w:rPr>
                <w:b/>
                <w:i/>
              </w:rPr>
              <w:t>ett effektivt incitament</w:t>
            </w:r>
            <w:r>
              <w:t xml:space="preserve"> för</w:t>
            </w:r>
            <w:r>
              <w:rPr>
                <w:b/>
                <w:i/>
              </w:rPr>
              <w:t xml:space="preserve"> medlemsstaterna</w:t>
            </w:r>
            <w:r>
              <w:t xml:space="preserve"> att </w:t>
            </w:r>
            <w:r>
              <w:rPr>
                <w:b/>
                <w:i/>
              </w:rPr>
              <w:t>omdirigera sina program till de nya strategiska prioriteringarna bör investeringar på dessa områden prioriteras inom de befintliga tidsfristerna</w:t>
            </w:r>
            <w:r>
              <w:t xml:space="preserve"> för </w:t>
            </w:r>
            <w:r>
              <w:rPr>
                <w:b/>
                <w:i/>
              </w:rPr>
              <w:t>stödberättigande och tillbakadragande, utan att de nuvarande tidsfristerna förlängs</w:t>
            </w:r>
            <w:r>
              <w: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42</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(8)</w:t>
            </w:r>
            <w:r>
              <w:tab/>
              <w:t xml:space="preserve">Det bör också vara möjligt att tillämpa en högsta medfinansieringsgrad på upp till </w:t>
            </w:r>
            <w:r>
              <w:rPr>
                <w:b/>
                <w:i/>
              </w:rPr>
              <w:t>100</w:t>
            </w:r>
            <w:r>
              <w:t xml:space="preserve"> % för prioriteringar i program som omfattar en eller flera Nuts 2-regioner som gränsar till Ryssland, Belarus </w:t>
            </w:r>
            <w:r>
              <w:rPr>
                <w:b/>
                <w:bCs/>
                <w:i/>
                <w:iCs/>
              </w:rPr>
              <w:t>eller</w:t>
            </w:r>
            <w:r>
              <w:t xml:space="preserve"> Ukraina, med tanke på de negativa effekterna på dessa regioner av Rysslands angrepp mot Ukraina.</w:t>
            </w:r>
          </w:p>
        </w:tc>
        <w:tc>
          <w:tcPr>
            <w:tcW w:w="4876" w:type="dxa"/>
            <w:hideMark/>
          </w:tcPr>
          <w:p w:rsidR="008E4158" w:rsidRPr="00A26490" w:rsidRDefault="008E4158" w:rsidP="00BF1E0A">
            <w:pPr>
              <w:pStyle w:val="Normal6"/>
              <w:rPr>
                <w:szCs w:val="24"/>
              </w:rPr>
            </w:pPr>
            <w:r>
              <w:t>(8)</w:t>
            </w:r>
            <w:r>
              <w:tab/>
              <w:t xml:space="preserve">Det bör också vara möjligt att tillämpa en högsta medfinansieringsgrad på upp till </w:t>
            </w:r>
            <w:r>
              <w:rPr>
                <w:b/>
                <w:i/>
              </w:rPr>
              <w:t>95</w:t>
            </w:r>
            <w:r>
              <w:t xml:space="preserve"> % för prioriteringar i program som omfattar en eller flera Nuts 2-regioner som gränsar till Ryssland, Belarus</w:t>
            </w:r>
            <w:r>
              <w:rPr>
                <w:b/>
                <w:i/>
              </w:rPr>
              <w:t xml:space="preserve">, </w:t>
            </w:r>
            <w:r>
              <w:t>Ukraina</w:t>
            </w:r>
            <w:r>
              <w:rPr>
                <w:b/>
                <w:i/>
              </w:rPr>
              <w:t xml:space="preserve"> och regioner som påverkas i betydande grad av icke-konventionella hot</w:t>
            </w:r>
            <w:r>
              <w:t xml:space="preserve"> </w:t>
            </w:r>
            <w:r>
              <w:rPr>
                <w:b/>
                <w:bCs/>
                <w:i/>
                <w:iCs/>
              </w:rPr>
              <w:t>eller</w:t>
            </w:r>
            <w:r>
              <w:t xml:space="preserve"> </w:t>
            </w:r>
            <w:r>
              <w:rPr>
                <w:b/>
                <w:i/>
              </w:rPr>
              <w:t>hybridhot</w:t>
            </w:r>
            <w:r>
              <w:t>, med tanke på de negativa effekterna på dessa regioner av Rysslands angrepp mot Ukraina.</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43</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(8)</w:t>
            </w:r>
            <w:r>
              <w:tab/>
              <w:t>Det bör också vara möjligt att tillämpa en högsta medfinansieringsgrad på upp till 100 % för prioriteringar i program som omfattar en eller flera Nuts 2-regioner som gränsar till Ryssland, Belarus eller Ukraina, med tanke på de negativa effekterna på dessa regioner av Rysslands angrepp mot Ukraina.</w:t>
            </w:r>
          </w:p>
        </w:tc>
        <w:tc>
          <w:tcPr>
            <w:tcW w:w="4876" w:type="dxa"/>
            <w:hideMark/>
          </w:tcPr>
          <w:p w:rsidR="008E4158" w:rsidRPr="00A26490" w:rsidRDefault="008E4158" w:rsidP="00BF1E0A">
            <w:pPr>
              <w:pStyle w:val="Normal6"/>
              <w:rPr>
                <w:szCs w:val="24"/>
              </w:rPr>
            </w:pPr>
            <w:r>
              <w:t>(8)</w:t>
            </w:r>
            <w:r>
              <w:tab/>
              <w:t>Det bör också vara möjligt</w:t>
            </w:r>
            <w:r>
              <w:rPr>
                <w:b/>
                <w:i/>
              </w:rPr>
              <w:t>, samtidigt som differentieringen mellan regionkategorierna behålls,</w:t>
            </w:r>
            <w:r>
              <w:t xml:space="preserve"> att tillämpa en högsta medfinansieringsgrad på upp till 100 % för prioriteringar i program som omfattar en eller flera Nuts 2-regioner som gränsar till Ryssland, Belarus eller Ukraina, med tanke på de negativa effekterna på dessa regioner av Rysslands angrepp mot Ukraina.</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44</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8</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(8)</w:t>
            </w:r>
            <w:r>
              <w:tab/>
              <w:t xml:space="preserve">Det bör också vara möjligt att tillämpa en högsta medfinansieringsgrad på upp till 100 % </w:t>
            </w:r>
            <w:r>
              <w:rPr>
                <w:b/>
                <w:i/>
              </w:rPr>
              <w:t xml:space="preserve">för prioriteringar </w:t>
            </w:r>
            <w:r>
              <w:t>i program som omfattar en eller flera Nuts 2-regioner som gränsar till Ryssland, Belarus eller Ukraina, med tanke på de negativa effekterna på dessa regioner av Rysslands angrepp mot Ukraina.</w:t>
            </w:r>
          </w:p>
        </w:tc>
        <w:tc>
          <w:tcPr>
            <w:tcW w:w="4876" w:type="dxa"/>
            <w:hideMark/>
          </w:tcPr>
          <w:p w:rsidR="008E4158" w:rsidRPr="00A26490" w:rsidRDefault="008E4158" w:rsidP="00BF1E0A">
            <w:pPr>
              <w:pStyle w:val="Normal6"/>
              <w:rPr>
                <w:szCs w:val="24"/>
              </w:rPr>
            </w:pPr>
            <w:r>
              <w:t>(8)</w:t>
            </w:r>
            <w:r>
              <w:tab/>
              <w:t>Det bör också vara möjligt att tillämpa en högsta medfinansieringsgrad på upp till 100 % i program som omfattar en eller flera Nuts 2-regioner som gränsar till Ryssland, Belarus eller Ukraina, med tanke på de negativa effekterna på dessa regioner av Rysslands angrepp mot Ukraina.</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45</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lastRenderedPageBreak/>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9</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(9)</w:t>
            </w:r>
            <w:r>
              <w:tab/>
              <w:t>Eftersom målen för denna förordning, nämligen att hantera strategiska utmaningar, omorientera investeringar till kritiska nya prioriteringar och påskynda genomförandet av politiken, inte i tillräcklig utsträckning kan uppnås av medlemsstaterna själva utan snarare kan uppnås bättre på unionsnivå, kan unionen vidta åtgärder i enlighet med subsidiaritetsprincipen i artikel 5 i fördraget om Europeiska unionen. I enlighet med proportionalitetsprincipen i samma artikel går denna förordning inte utöver vad som är nödvändigt för att uppnå detta mål.</w:t>
            </w:r>
          </w:p>
        </w:tc>
        <w:tc>
          <w:tcPr>
            <w:tcW w:w="4876" w:type="dxa"/>
            <w:hideMark/>
          </w:tcPr>
          <w:p w:rsidR="008E4158" w:rsidRPr="00A26490" w:rsidRDefault="008E4158" w:rsidP="00BF1E0A">
            <w:pPr>
              <w:pStyle w:val="Normal6"/>
              <w:rPr>
                <w:szCs w:val="24"/>
              </w:rPr>
            </w:pPr>
            <w:r>
              <w:t>(9)</w:t>
            </w:r>
            <w:r>
              <w:tab/>
              <w:t xml:space="preserve">Eftersom målen för denna förordning, nämligen att hantera strategiska </w:t>
            </w:r>
            <w:r>
              <w:rPr>
                <w:b/>
                <w:i/>
              </w:rPr>
              <w:t xml:space="preserve">och sociala </w:t>
            </w:r>
            <w:r>
              <w:t>utmaningar, omorientera investeringar till kritiska nya prioriteringar och påskynda genomförandet av politiken, inte i tillräcklig utsträckning kan uppnås av medlemsstaterna själva utan snarare kan uppnås bättre på unionsnivå, kan unionen vidta åtgärder i enlighet med subsidiaritetsprincipen i artikel 5 i fördraget om Europeiska unionen. I enlighet med proportionalitetsprincipen i samma artikel går denna förordning inte utöver vad som är nödvändigt för att uppnå detta mål.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46</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9</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(9)</w:t>
            </w:r>
            <w:r>
              <w:tab/>
              <w:t xml:space="preserve">Eftersom målen för denna förordning, nämligen att hantera strategiska utmaningar, omorientera investeringar till kritiska nya prioriteringar och påskynda genomförandet av politiken, inte i tillräcklig utsträckning kan uppnås av medlemsstaterna själva utan snarare kan uppnås bättre på unionsnivå, kan unionen vidta åtgärder i enlighet med subsidiaritetsprincipen i artikel 5 i fördraget om Europeiska unionen. I enlighet med proportionalitetsprincipen i </w:t>
            </w:r>
            <w:r>
              <w:lastRenderedPageBreak/>
              <w:t>samma artikel går denna förordning inte utöver vad som är nödvändigt för att uppnå detta mål.</w:t>
            </w:r>
          </w:p>
        </w:tc>
        <w:tc>
          <w:tcPr>
            <w:tcW w:w="4876" w:type="dxa"/>
            <w:hideMark/>
          </w:tcPr>
          <w:p w:rsidR="008E4158" w:rsidRPr="00A26490" w:rsidRDefault="008E4158" w:rsidP="00BF1E0A">
            <w:pPr>
              <w:pStyle w:val="Normal6"/>
              <w:rPr>
                <w:szCs w:val="24"/>
              </w:rPr>
            </w:pPr>
            <w:r>
              <w:lastRenderedPageBreak/>
              <w:t>(9)</w:t>
            </w:r>
            <w:r>
              <w:tab/>
              <w:t xml:space="preserve">Eftersom målen för denna förordning, nämligen att hantera strategiska </w:t>
            </w:r>
            <w:r>
              <w:rPr>
                <w:b/>
                <w:i/>
              </w:rPr>
              <w:t xml:space="preserve">och sociala </w:t>
            </w:r>
            <w:r>
              <w:t xml:space="preserve">utmaningar, omorientera investeringar till kritiska nya prioriteringar och påskynda genomförandet av politiken, inte i tillräcklig utsträckning kan uppnås av medlemsstaterna själva utan snarare kan uppnås bättre på unionsnivå, kan unionen vidta åtgärder i enlighet med subsidiaritetsprincipen i artikel 5 i fördraget om Europeiska unionen. I enlighet med proportionalitetsprincipen i </w:t>
            </w:r>
            <w:r>
              <w:lastRenderedPageBreak/>
              <w:t>samma artikel går denna förordning inte utöver vad som är nödvändigt för att uppnå detta mål.</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47</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(11)</w:t>
            </w:r>
            <w:r>
              <w:tab/>
              <w:t xml:space="preserve">[Med tanke på </w:t>
            </w:r>
            <w:r>
              <w:rPr>
                <w:b/>
                <w:i/>
              </w:rPr>
              <w:t xml:space="preserve">att </w:t>
            </w:r>
            <w:r>
              <w:t xml:space="preserve">det </w:t>
            </w:r>
            <w:r>
              <w:rPr>
                <w:b/>
                <w:i/>
              </w:rPr>
              <w:t>är brådskande</w:t>
            </w:r>
            <w:r>
              <w:t xml:space="preserve"> att möjliggöra avgörande investeringar i kompetens i </w:t>
            </w:r>
            <w:r>
              <w:rPr>
                <w:b/>
                <w:i/>
              </w:rPr>
              <w:t>försvarsindustrin</w:t>
            </w:r>
            <w:r>
              <w:t xml:space="preserve"> samt i anpassningen till förändringar i samband med utfasningen av fossila bränslen, mot bakgrund av akuta geopolitiska utmaningar, bör denna förordning träda i kraft dagen efter det att den har offentliggjorts i Europeiska unionens officiella tidning.]</w:t>
            </w:r>
          </w:p>
        </w:tc>
        <w:tc>
          <w:tcPr>
            <w:tcW w:w="4876" w:type="dxa"/>
            <w:hideMark/>
          </w:tcPr>
          <w:p w:rsidR="008E4158" w:rsidRPr="00A26490" w:rsidRDefault="008E4158" w:rsidP="00BF1E0A">
            <w:pPr>
              <w:pStyle w:val="Normal6"/>
              <w:rPr>
                <w:szCs w:val="24"/>
              </w:rPr>
            </w:pPr>
            <w:r>
              <w:t>(11)</w:t>
            </w:r>
            <w:r>
              <w:tab/>
              <w:t xml:space="preserve">[Med tanke på det </w:t>
            </w:r>
            <w:r>
              <w:rPr>
                <w:b/>
                <w:i/>
              </w:rPr>
              <w:t>ökade behovet av</w:t>
            </w:r>
            <w:r>
              <w:t xml:space="preserve"> att möjliggöra avgörande investeringar i </w:t>
            </w:r>
            <w:r>
              <w:rPr>
                <w:b/>
                <w:i/>
              </w:rPr>
              <w:t xml:space="preserve">viss </w:t>
            </w:r>
            <w:r>
              <w:t xml:space="preserve">kompetens i </w:t>
            </w:r>
            <w:r>
              <w:rPr>
                <w:b/>
                <w:i/>
              </w:rPr>
              <w:t>kritiska industrier</w:t>
            </w:r>
            <w:r>
              <w:t xml:space="preserve"> samt i anpassningen till förändringar i samband med utfasningen av fossila bränslen, mot bakgrund av akuta geopolitiska utmaningar, bör denna förordning träda i kraft dagen efter det att den har offentliggjorts i Europeiska unionens officiella tidning.]</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48</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Skäl 11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(11)</w:t>
            </w:r>
            <w:r>
              <w:tab/>
              <w:t xml:space="preserve">[Med tanke på att det är brådskande att möjliggöra avgörande investeringar i kompetens i </w:t>
            </w:r>
            <w:r>
              <w:rPr>
                <w:b/>
                <w:i/>
              </w:rPr>
              <w:t>försvarsindustrin</w:t>
            </w:r>
            <w:r>
              <w:t xml:space="preserve"> samt i anpassningen till förändringar i samband med utfasningen av fossila bränslen, mot bakgrund av akuta geopolitiska utmaningar, bör denna förordning träda i </w:t>
            </w:r>
            <w:r>
              <w:lastRenderedPageBreak/>
              <w:t>kraft dagen efter det att den har offentliggjorts i Europeiska unionens officiella tidning.]</w:t>
            </w:r>
          </w:p>
        </w:tc>
        <w:tc>
          <w:tcPr>
            <w:tcW w:w="4876" w:type="dxa"/>
            <w:hideMark/>
          </w:tcPr>
          <w:p w:rsidR="008E4158" w:rsidRPr="00A26490" w:rsidRDefault="008E4158" w:rsidP="00BF1E0A">
            <w:pPr>
              <w:pStyle w:val="Normal6"/>
              <w:rPr>
                <w:szCs w:val="24"/>
              </w:rPr>
            </w:pPr>
            <w:r>
              <w:lastRenderedPageBreak/>
              <w:t>(11)</w:t>
            </w:r>
            <w:r>
              <w:tab/>
              <w:t xml:space="preserve">[Med tanke på att det är brådskande att möjliggöra avgörande investeringar i kompetens i </w:t>
            </w:r>
            <w:r>
              <w:rPr>
                <w:b/>
                <w:i/>
              </w:rPr>
              <w:t>teknisk industri</w:t>
            </w:r>
            <w:r>
              <w:t xml:space="preserve"> samt i anpassningen till förändringar i samband med utfasningen av fossila bränslen, mot bakgrund av akuta geopolitiska utmaningar, bör denna förordning träda i </w:t>
            </w:r>
            <w:r>
              <w:lastRenderedPageBreak/>
              <w:t>kraft dagen efter det att den har offentliggjorts i Europeiska unionens officiella tidning.]</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49</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1 – första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 xml:space="preserve">Under 2026 ska kommissionen betala ut 4,5 % av det totala stödet från ESF+ enligt beslutet om godkännande av programändringen som ytterligare förfinansiering i form av en engångsutbetalning. Andelen förfinansiering i form av engångsbelopp under 2026 ska ökas till 9,5 % för program som omfattar en eller flera Nuts 2-regioner som gränsar till Ryssland, Belarus </w:t>
            </w:r>
            <w:r>
              <w:rPr>
                <w:b/>
                <w:bCs/>
                <w:i/>
                <w:iCs/>
              </w:rPr>
              <w:t>eller</w:t>
            </w:r>
            <w:r>
              <w:t xml:space="preserve"> Ukraina, förutsatt att programmet inte täcker medlemsstatens hela territorium. Om det i en medlemsstat finns Nuts 2-regioner som gränsar till Ryssland, Belarus </w:t>
            </w:r>
            <w:r>
              <w:rPr>
                <w:b/>
                <w:bCs/>
                <w:i/>
                <w:iCs/>
              </w:rPr>
              <w:t xml:space="preserve">eller </w:t>
            </w:r>
            <w:r>
              <w:t>Ukraina och som uteslutande ingår i program som omfattar hela den medlemsstatens territorium, ska den ökade förfinansiering som anges i denna punkt tillämpas på dessa program.</w:t>
            </w:r>
          </w:p>
        </w:tc>
        <w:tc>
          <w:tcPr>
            <w:tcW w:w="4876" w:type="dxa"/>
            <w:hideMark/>
          </w:tcPr>
          <w:p w:rsidR="008E4158" w:rsidRPr="00A26490" w:rsidRDefault="008E4158" w:rsidP="00BF1E0A">
            <w:pPr>
              <w:pStyle w:val="Normal6"/>
              <w:rPr>
                <w:szCs w:val="24"/>
              </w:rPr>
            </w:pPr>
            <w:r>
              <w:t>Under 2026 ska kommissionen betala ut 4,5 % av det totala stödet från ESF+ enligt beslutet om godkännande av programändringen som ytterligare förfinansiering i form av en engångsutbetalning. Andelen förfinansiering i form av engångsbelopp under 2026 ska ökas till 9,5 % för program som omfattar en eller flera Nuts 2-regioner som gränsar till Ryssland, Belarus</w:t>
            </w:r>
            <w:r>
              <w:rPr>
                <w:b/>
                <w:bCs/>
                <w:i/>
                <w:iCs/>
              </w:rPr>
              <w:t>,</w:t>
            </w:r>
            <w:r>
              <w:t xml:space="preserve"> Ukraina </w:t>
            </w:r>
            <w:r>
              <w:rPr>
                <w:b/>
                <w:bCs/>
                <w:i/>
                <w:iCs/>
              </w:rPr>
              <w:t>och regioner som påverkas i betydande grad av icke-konventionella hot eller hybridhot</w:t>
            </w:r>
            <w:r>
              <w:t>, förutsatt att programmet inte täcker medlemsstatens hela territorium. Om det i en medlemsstat finns Nuts 2-regioner som gränsar till Ryssland, Belarus</w:t>
            </w:r>
            <w:r>
              <w:rPr>
                <w:b/>
                <w:bCs/>
                <w:i/>
                <w:iCs/>
              </w:rPr>
              <w:t>,</w:t>
            </w:r>
            <w:r>
              <w:t xml:space="preserve"> Ukraina </w:t>
            </w:r>
            <w:r>
              <w:rPr>
                <w:b/>
                <w:bCs/>
                <w:i/>
                <w:iCs/>
              </w:rPr>
              <w:t>och regioner som påverkas i betydande grad av icke-konventionella hot eller hybridhot</w:t>
            </w:r>
            <w:r>
              <w:t xml:space="preserve"> och som uteslutande ingår i program som omfattar hela den medlemsstatens territorium, ska den ökade förfinansiering som anges i denna punkt tillämpas på dessa program. </w:t>
            </w:r>
            <w:r>
              <w:rPr>
                <w:b/>
                <w:i/>
              </w:rPr>
              <w:t xml:space="preserve">Genomförandet av särskild förfinansiering, särskilt sådan som tilldelas i en enda utbetalning på 30 % av anslaget, ska dock föregås av en bedömning av de ekonomiska konsekvenserna för de årliga anslagen i EU:s budget. Om betydande tryck </w:t>
            </w:r>
            <w:r>
              <w:rPr>
                <w:b/>
                <w:i/>
              </w:rPr>
              <w:lastRenderedPageBreak/>
              <w:t>identifieras ska en kompensationsmekanism aktiveras för att möjliggöra en tillfällig justering av förfinansieringsgraden.</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pPr>
        <w:pStyle w:val="CrossRef"/>
      </w:pPr>
      <w:r>
        <w:t>(Punkterna 30–31 i revisionsrättens yttrande 02/2025)</w:t>
      </w:r>
    </w:p>
    <w:p w:rsidR="008E4158" w:rsidRPr="00A26490" w:rsidRDefault="008E4158" w:rsidP="008E4158">
      <w:pPr>
        <w:pStyle w:val="JustificationTitle"/>
        <w:rPr>
          <w:noProof w:val="0"/>
        </w:rPr>
      </w:pPr>
      <w:r>
        <w:rPr>
          <w:rStyle w:val="HideTWBExt"/>
          <w:i w:val="0"/>
        </w:rPr>
        <w:t>&lt;TitreJust&gt;</w:t>
      </w:r>
      <w:r>
        <w:t>Motivering</w:t>
      </w:r>
      <w:r>
        <w:rPr>
          <w:rStyle w:val="HideTWBExt"/>
          <w:i w:val="0"/>
        </w:rPr>
        <w:t>&lt;/TitreJust&gt;</w:t>
      </w:r>
    </w:p>
    <w:p w:rsidR="008E4158" w:rsidRPr="00A26490" w:rsidRDefault="008E4158" w:rsidP="008E4158">
      <w:pPr>
        <w:pStyle w:val="Normal12Italic"/>
        <w:rPr>
          <w:noProof w:val="0"/>
        </w:rPr>
      </w:pPr>
      <w:r>
        <w:t>På grund av den press som denna särskilda förfinansiering – i vissa fall upp till 30 % – skulle kunna ha på EU:s årliga budget rekommenderas det att en sådan åtgärd motiveras fullt ut och att mekanismer för justering införs.</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50</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1 – första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 xml:space="preserve">Under 2026 ska kommissionen betala ut 4,5 % av det totala stödet från ESF+ enligt beslutet om godkännande av programändringen som ytterligare förfinansiering i form av en engångsutbetalning. Andelen förfinansiering i form av engångsbelopp under 2026 ska ökas till 9,5 % för program som omfattar en eller flera Nuts 2-regioner som gränsar till Ryssland, Belarus eller Ukraina, förutsatt att programmet inte täcker medlemsstatens hela territorium. Om det i en medlemsstat finns Nuts 2-regioner som gränsar till Ryssland, Belarus eller Ukraina och som uteslutande ingår i program som omfattar hela den </w:t>
            </w:r>
            <w:r>
              <w:lastRenderedPageBreak/>
              <w:t>medlemsstatens territorium, ska den ökade förfinansiering som anges i denna punkt tillämpas på dessa program.</w:t>
            </w:r>
          </w:p>
        </w:tc>
        <w:tc>
          <w:tcPr>
            <w:tcW w:w="4876" w:type="dxa"/>
            <w:hideMark/>
          </w:tcPr>
          <w:p w:rsidR="008E4158" w:rsidRPr="00A26490" w:rsidRDefault="008E4158" w:rsidP="00BF1E0A">
            <w:pPr>
              <w:pStyle w:val="Normal6"/>
              <w:rPr>
                <w:szCs w:val="24"/>
              </w:rPr>
            </w:pPr>
            <w:r>
              <w:lastRenderedPageBreak/>
              <w:t xml:space="preserve">Under 2026 ska kommissionen betala ut 4,5 % av det totala stödet från ESF+ enligt beslutet om godkännande av programändringen som ytterligare förfinansiering i form av en engångsutbetalning. </w:t>
            </w:r>
            <w:r>
              <w:rPr>
                <w:b/>
                <w:bCs/>
                <w:i/>
                <w:iCs/>
              </w:rPr>
              <w:t>Den ytterligare förfinansieringen ska endast tillämpas när omfördelningar på minst 5 % av programmets finansiella medel till en eller flera särskilda prioriteringar som fastställts i enlighet med artiklarna 12a och 12d har godkänts och förutsatt att interventionerna riktas till mindre mottagare och att begäran om en programändring lämnas in senast den 31 december 2025.</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t xml:space="preserve">Andelen förfinansiering i form av engångsbelopp under 2026 ska ökas till 9,5 % för </w:t>
            </w:r>
            <w:r>
              <w:rPr>
                <w:b/>
                <w:bCs/>
                <w:i/>
                <w:iCs/>
              </w:rPr>
              <w:t xml:space="preserve">alla </w:t>
            </w:r>
            <w:r>
              <w:t>program som omfattar en eller flera Nuts 2-regioner som gränsar till Ryssland, Belarus eller Ukraina, förutsatt att programmet inte täcker medlemsstatens hela territorium. Om det i en medlemsstat finns Nuts 2-regioner som gränsar till Ryssland, Belarus eller Ukraina och som uteslutande ingår i program som omfattar hela den medlemsstatens territorium, ska den ökade förfinansiering som anges i denna punkt tillämpas på dessa program.</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51</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1 – andra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Den ytterligare förfinansiering som avses i första stycket i denna punkt ska endast tillämpas om omfördelningar av minst 15 % av programmets finansiella medel till en eller flera särskilda prioriteringar som fastställts i enlighet med artiklarna 12a, 12c och 12d har godkänts, förutsatt att ansökan om programändring lämnas in senast den 31 december 2025.</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52</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1 – andra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Den ytterligare förfinansiering som avses i första stycket i denna punkt ska endast tillämpas om omfördelningar av minst 15 % av programmets finansiella medel till en eller flera särskilda prioriteringar som fastställts i enlighet med artiklarna 12a, 12c och 12d har godkänts, förutsatt att ansökan om programändring lämnas in senast den 31 december 2025.</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53</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1 – andra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Den ytterligare</w:t>
            </w:r>
            <w:r>
              <w:t xml:space="preserve"> förfinansiering </w:t>
            </w:r>
            <w:r>
              <w:rPr>
                <w:b/>
                <w:i/>
              </w:rPr>
              <w:t>som avses i första stycket</w:t>
            </w:r>
            <w:r>
              <w:t xml:space="preserve"> i </w:t>
            </w:r>
            <w:r>
              <w:rPr>
                <w:b/>
                <w:i/>
              </w:rPr>
              <w:t>denna punkt</w:t>
            </w:r>
            <w:r>
              <w:t xml:space="preserve"> ska </w:t>
            </w:r>
            <w:r>
              <w:rPr>
                <w:b/>
                <w:i/>
              </w:rPr>
              <w:t>endast</w:t>
            </w:r>
            <w:r>
              <w:t xml:space="preserve"> tillämpas </w:t>
            </w:r>
            <w:r>
              <w:rPr>
                <w:b/>
                <w:i/>
              </w:rPr>
              <w:t>om omfördelningar av minst 15</w:t>
            </w:r>
            <w:r>
              <w:t xml:space="preserve"> % </w:t>
            </w:r>
            <w:r>
              <w:rPr>
                <w:b/>
                <w:i/>
              </w:rPr>
              <w:t>av programmets</w:t>
            </w:r>
            <w:r>
              <w:t xml:space="preserve"> finansiella medel</w:t>
            </w:r>
            <w:r>
              <w:rPr>
                <w:b/>
                <w:i/>
              </w:rPr>
              <w:t xml:space="preserve"> till</w:t>
            </w:r>
            <w:r>
              <w:t xml:space="preserve"> en </w:t>
            </w:r>
            <w:r>
              <w:rPr>
                <w:b/>
                <w:i/>
              </w:rPr>
              <w:t>eller flera särskilda</w:t>
            </w:r>
            <w:r>
              <w:t xml:space="preserve"> prioriteringar som </w:t>
            </w:r>
            <w:r>
              <w:rPr>
                <w:b/>
                <w:i/>
              </w:rPr>
              <w:t>fastställts i enlighet med artiklarna 12a</w:t>
            </w:r>
            <w:r>
              <w:t xml:space="preserve">, </w:t>
            </w:r>
            <w:r>
              <w:rPr>
                <w:b/>
                <w:i/>
              </w:rPr>
              <w:t>12c och 12d har godkänts</w:t>
            </w:r>
            <w:r>
              <w:t xml:space="preserve">, förutsatt att </w:t>
            </w:r>
            <w:r>
              <w:rPr>
                <w:b/>
                <w:i/>
              </w:rPr>
              <w:t>ansökan om programändring lämnas in senast den 31 december 2025</w:t>
            </w:r>
            <w:r>
              <w:t>.</w:t>
            </w:r>
          </w:p>
        </w:tc>
        <w:tc>
          <w:tcPr>
            <w:tcW w:w="4876" w:type="dxa"/>
            <w:hideMark/>
          </w:tcPr>
          <w:p w:rsidR="008E4158" w:rsidRPr="00A26490" w:rsidRDefault="008E4158" w:rsidP="00BF1E0A">
            <w:pPr>
              <w:pStyle w:val="Normal6"/>
              <w:rPr>
                <w:szCs w:val="24"/>
              </w:rPr>
            </w:pPr>
            <w:r>
              <w:rPr>
                <w:b/>
                <w:i/>
              </w:rPr>
              <w:t>Särskild</w:t>
            </w:r>
            <w:r>
              <w:t xml:space="preserve"> förfinansiering </w:t>
            </w:r>
            <w:r>
              <w:rPr>
                <w:b/>
                <w:i/>
              </w:rPr>
              <w:t>(4,5 % eller 9,5 % för program</w:t>
            </w:r>
            <w:r>
              <w:t xml:space="preserve"> i </w:t>
            </w:r>
            <w:r>
              <w:rPr>
                <w:b/>
                <w:i/>
              </w:rPr>
              <w:t>angränsande Nuts 2-regioner)</w:t>
            </w:r>
            <w:r>
              <w:t xml:space="preserve"> ska </w:t>
            </w:r>
            <w:r>
              <w:rPr>
                <w:b/>
                <w:i/>
              </w:rPr>
              <w:t>inte</w:t>
            </w:r>
            <w:r>
              <w:t xml:space="preserve"> tillämpas </w:t>
            </w:r>
            <w:r>
              <w:rPr>
                <w:b/>
                <w:i/>
              </w:rPr>
              <w:t>automatiskt utöver tröskelvärdet på 12,5</w:t>
            </w:r>
            <w:r>
              <w:t xml:space="preserve"> % </w:t>
            </w:r>
            <w:r>
              <w:rPr>
                <w:b/>
                <w:i/>
              </w:rPr>
              <w:t>för omfördelning av</w:t>
            </w:r>
            <w:r>
              <w:t xml:space="preserve"> finansiella medel</w:t>
            </w:r>
            <w:r>
              <w:rPr>
                <w:b/>
                <w:i/>
              </w:rPr>
              <w:t>. Kommissionen ska i samordning med medlemsstaterna gemensamt och med hjälp av</w:t>
            </w:r>
            <w:r>
              <w:t xml:space="preserve"> en </w:t>
            </w:r>
            <w:r>
              <w:rPr>
                <w:b/>
                <w:i/>
              </w:rPr>
              <w:t>jämförande analys, inklusive kvalitativa och kvantitativa aspekter, bedöma om den omfördelning som genomförts faktiskt motsvarar de strategiska</w:t>
            </w:r>
            <w:r>
              <w:t xml:space="preserve"> prioriteringar som </w:t>
            </w:r>
            <w:r>
              <w:rPr>
                <w:b/>
                <w:i/>
              </w:rPr>
              <w:t xml:space="preserve">identifierats. Denna analys kan leda till att de </w:t>
            </w:r>
            <w:r>
              <w:rPr>
                <w:b/>
                <w:i/>
              </w:rPr>
              <w:lastRenderedPageBreak/>
              <w:t>ytterligare finansiella åtgärderna genomförs</w:t>
            </w:r>
            <w:r>
              <w:t xml:space="preserve">, </w:t>
            </w:r>
            <w:r>
              <w:rPr>
                <w:b/>
                <w:i/>
              </w:rPr>
              <w:t>även då omfördelningsgraden inte når upp till 12,5 %</w:t>
            </w:r>
            <w:r>
              <w:t xml:space="preserve">, förutsatt att </w:t>
            </w:r>
            <w:r>
              <w:rPr>
                <w:b/>
                <w:i/>
              </w:rPr>
              <w:t>det strategiska behovet av anpassning är väl motiverat</w:t>
            </w:r>
            <w:r>
              <w:t>.</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pPr>
        <w:pStyle w:val="CrossRef"/>
      </w:pPr>
      <w:r>
        <w:t>(Se revisionsrättens yttrande 02/2025, punkterna 30–31)</w:t>
      </w:r>
    </w:p>
    <w:p w:rsidR="008E4158" w:rsidRPr="00A26490" w:rsidRDefault="008E4158" w:rsidP="008E4158">
      <w:pPr>
        <w:pStyle w:val="JustificationTitle"/>
        <w:rPr>
          <w:noProof w:val="0"/>
        </w:rPr>
      </w:pPr>
      <w:r>
        <w:rPr>
          <w:rStyle w:val="HideTWBExt"/>
          <w:i w:val="0"/>
        </w:rPr>
        <w:t>&lt;TitreJust&gt;</w:t>
      </w:r>
      <w:r>
        <w:t>Motivering</w:t>
      </w:r>
      <w:r>
        <w:rPr>
          <w:rStyle w:val="HideTWBExt"/>
          <w:i w:val="0"/>
        </w:rPr>
        <w:t>&lt;/TitreJust&gt;</w:t>
      </w:r>
    </w:p>
    <w:p w:rsidR="008E4158" w:rsidRPr="00A26490" w:rsidRDefault="008E4158" w:rsidP="008E4158">
      <w:pPr>
        <w:pStyle w:val="Normal12Italic"/>
        <w:rPr>
          <w:noProof w:val="0"/>
        </w:rPr>
      </w:pPr>
      <w:r>
        <w:t>Det föreslås att motsvarande punkt i artikel 5a ändras så att man i stället för att automatiskt tillämpa åtgärderna när tröskelvärdet på 15 % överskrids, anammar ett blandat tillvägagångssätt som också tar hänsyn till den kvalitativa motiveringen för omfördelning.</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54</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1 – andra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 xml:space="preserve">Den ytterligare förfinansiering som avses i första stycket i denna punkt ska endast tillämpas om omfördelningar av minst </w:t>
            </w:r>
            <w:r>
              <w:rPr>
                <w:b/>
                <w:i/>
              </w:rPr>
              <w:t>15</w:t>
            </w:r>
            <w:r>
              <w:t xml:space="preserve"> % av </w:t>
            </w:r>
            <w:r>
              <w:rPr>
                <w:b/>
                <w:i/>
              </w:rPr>
              <w:t>programmets</w:t>
            </w:r>
            <w:r>
              <w:t xml:space="preserve"> finansiella medel till en eller flera särskilda prioriteringar som fastställts i enlighet med artiklarna 12a, 12c och 12d har godkänts, förutsatt att ansökan om programändring lämnas in senast den 31 december 2025.</w:t>
            </w:r>
          </w:p>
        </w:tc>
        <w:tc>
          <w:tcPr>
            <w:tcW w:w="4876" w:type="dxa"/>
            <w:hideMark/>
          </w:tcPr>
          <w:p w:rsidR="008E4158" w:rsidRPr="00A26490" w:rsidRDefault="008E4158" w:rsidP="00BF1E0A">
            <w:pPr>
              <w:pStyle w:val="Normal6"/>
              <w:rPr>
                <w:szCs w:val="24"/>
              </w:rPr>
            </w:pPr>
            <w:r>
              <w:t xml:space="preserve">Den ytterligare förfinansiering som avses i första stycket i denna punkt ska endast tillämpas om </w:t>
            </w:r>
            <w:r>
              <w:rPr>
                <w:b/>
                <w:i/>
              </w:rPr>
              <w:t xml:space="preserve">nödvändiga och motiverade </w:t>
            </w:r>
            <w:r>
              <w:t xml:space="preserve">omfördelningar av minst </w:t>
            </w:r>
            <w:r>
              <w:rPr>
                <w:b/>
                <w:i/>
              </w:rPr>
              <w:t>10</w:t>
            </w:r>
            <w:r>
              <w:t xml:space="preserve"> % av </w:t>
            </w:r>
            <w:r>
              <w:rPr>
                <w:b/>
                <w:i/>
              </w:rPr>
              <w:t>fondens</w:t>
            </w:r>
            <w:r>
              <w:t xml:space="preserve"> finansiella medel till en eller flera särskilda prioriteringar som fastställts i enlighet med artiklarna 12a, 12c och 12d har godkänts, förutsatt att ansökan om programändring lämnas in senast den 31 december 2025.</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55</w:t>
      </w:r>
      <w:r>
        <w:rPr>
          <w:rStyle w:val="HideTWBExt"/>
          <w:b w:val="0"/>
        </w:rPr>
        <w:t>&lt;/NumAm&gt;</w:t>
      </w:r>
    </w:p>
    <w:p w:rsidR="008E4158" w:rsidRPr="00A26490" w:rsidRDefault="008E4158" w:rsidP="008E4158">
      <w:pPr>
        <w:pStyle w:val="NormalBold"/>
      </w:pPr>
      <w:r>
        <w:rPr>
          <w:rStyle w:val="HideTWBExt"/>
          <w:b w:val="0"/>
        </w:rPr>
        <w:t>&lt;RepeatBlock-By&gt;&lt;Members&gt;</w:t>
      </w:r>
      <w:r>
        <w:t>Elena Donazzan, Francesco Torselli, Mariateresa Vivaldini, Chiara Gemma</w:t>
      </w:r>
      <w:r>
        <w:rPr>
          <w:rStyle w:val="HideTWBExt"/>
          <w:b w:val="0"/>
        </w:rPr>
        <w:t>&lt;/Members&gt;</w:t>
      </w:r>
    </w:p>
    <w:p w:rsidR="008E4158" w:rsidRPr="00A26490" w:rsidRDefault="008E4158" w:rsidP="008E4158">
      <w:r>
        <w:rPr>
          <w:rStyle w:val="HideTWBExt"/>
        </w:rPr>
        <w:lastRenderedPageBreak/>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1 – andra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Den ytterligare förfinansiering som avses i första stycket i denna punkt ska endast tillämpas om omfördelningar av minst 15 % av programmets finansiella medel till en eller flera särskilda prioriteringar som fastställts i enlighet med artiklarna 12a</w:t>
            </w:r>
            <w:r>
              <w:rPr>
                <w:b/>
                <w:bCs/>
                <w:i/>
                <w:iCs/>
              </w:rPr>
              <w:t xml:space="preserve">, </w:t>
            </w:r>
            <w:r>
              <w:t xml:space="preserve">12c </w:t>
            </w:r>
            <w:r>
              <w:rPr>
                <w:b/>
                <w:bCs/>
                <w:i/>
                <w:iCs/>
              </w:rPr>
              <w:t xml:space="preserve">och 12d </w:t>
            </w:r>
            <w:r>
              <w:t>har godkänts, förutsatt att ansökan om programändring lämnas in senast den 31 december 2025.</w:t>
            </w:r>
          </w:p>
        </w:tc>
        <w:tc>
          <w:tcPr>
            <w:tcW w:w="4876" w:type="dxa"/>
            <w:hideMark/>
          </w:tcPr>
          <w:p w:rsidR="008E4158" w:rsidRPr="00A26490" w:rsidRDefault="008E4158" w:rsidP="00BF1E0A">
            <w:pPr>
              <w:pStyle w:val="Normal6"/>
              <w:rPr>
                <w:szCs w:val="24"/>
              </w:rPr>
            </w:pPr>
            <w:r>
              <w:t xml:space="preserve">Den ytterligare förfinansiering som avses i första stycket i denna punkt ska endast tillämpas om omfördelningar av minst 15 % av programmets finansiella medel till en eller flera särskilda prioriteringar som fastställts i enlighet med artiklarna 12a </w:t>
            </w:r>
            <w:r>
              <w:rPr>
                <w:b/>
                <w:bCs/>
                <w:i/>
                <w:iCs/>
              </w:rPr>
              <w:t>och</w:t>
            </w:r>
            <w:r>
              <w:t xml:space="preserve"> 12c har godkänts, förutsatt att ansökan om programändring lämnas in senast den 31 december 2025.</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56</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 xml:space="preserve">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i/>
              </w:rPr>
              <w:t>15</w:t>
            </w:r>
            <w:r>
              <w:t> % av programmets finansiella medel till en eller flera särskilda prioriteringar som fastställts i enlighet med artiklarna 12a, 12c och 12d i den här förordningen har godkänts.</w:t>
            </w:r>
          </w:p>
        </w:tc>
        <w:tc>
          <w:tcPr>
            <w:tcW w:w="4876" w:type="dxa"/>
            <w:hideMark/>
          </w:tcPr>
          <w:p w:rsidR="008E4158" w:rsidRPr="00A26490" w:rsidRDefault="008E4158" w:rsidP="00BF1E0A">
            <w:pPr>
              <w:pStyle w:val="Normal6"/>
              <w:rPr>
                <w:szCs w:val="24"/>
              </w:rPr>
            </w:pPr>
            <w:r>
              <w:t>(2)</w:t>
            </w:r>
            <w:r>
              <w:tab/>
              <w:t xml:space="preserve">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i/>
              </w:rPr>
              <w:t>12,5</w:t>
            </w:r>
            <w:r>
              <w:t> % av programmets finansiella medel till en eller flera särskilda prioriteringar som fastställts i enlighet med artiklarna 12a, 12c och 12d i den här förordningen har godkänts.</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57</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 xml:space="preserve">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bCs/>
                <w:i/>
                <w:iCs/>
              </w:rPr>
              <w:t>15 %</w:t>
            </w:r>
            <w:r>
              <w:t xml:space="preserve"> av programmets finansiella medel till en eller flera särskilda prioriteringar som fastställts i enlighet med artiklarna 12a, 12c och 12d i den här förordningen har godkänts.</w:t>
            </w:r>
          </w:p>
        </w:tc>
        <w:tc>
          <w:tcPr>
            <w:tcW w:w="4876" w:type="dxa"/>
            <w:hideMark/>
          </w:tcPr>
          <w:p w:rsidR="008E4158" w:rsidRPr="00A26490" w:rsidRDefault="008E4158" w:rsidP="00BF1E0A">
            <w:pPr>
              <w:pStyle w:val="Normal6"/>
              <w:rPr>
                <w:szCs w:val="24"/>
              </w:rPr>
            </w:pPr>
            <w:r>
              <w:t>(2)</w:t>
            </w:r>
            <w:r>
              <w:tab/>
              <w:t xml:space="preserve">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bCs/>
                <w:i/>
                <w:iCs/>
              </w:rPr>
              <w:t>5 %</w:t>
            </w:r>
            <w:r>
              <w:t xml:space="preserve"> av programmets finansiella medel till en eller flera särskilda prioriteringar som fastställts i enlighet med artiklarna 12a, 12c och 12d i den här förordningen har godkänts.</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58</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 xml:space="preserve">Genom undantag från artiklarna 63.2 och 105.2 i förordning (EU) </w:t>
            </w:r>
            <w:r>
              <w:lastRenderedPageBreak/>
              <w:t xml:space="preserve">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i/>
              </w:rPr>
              <w:t>15</w:t>
            </w:r>
            <w:r>
              <w:t xml:space="preserve"> % av </w:t>
            </w:r>
            <w:r>
              <w:rPr>
                <w:b/>
                <w:i/>
              </w:rPr>
              <w:t>programmets</w:t>
            </w:r>
            <w:r>
              <w:t xml:space="preserve"> finansiella medel till en eller flera särskilda prioriteringar som fastställts i enlighet med artiklarna 12a, 12c och 12d i den här förordningen har godkänts.</w:t>
            </w:r>
          </w:p>
        </w:tc>
        <w:tc>
          <w:tcPr>
            <w:tcW w:w="4876" w:type="dxa"/>
            <w:hideMark/>
          </w:tcPr>
          <w:p w:rsidR="008E4158" w:rsidRPr="00A26490" w:rsidRDefault="008E4158" w:rsidP="00BF1E0A">
            <w:pPr>
              <w:pStyle w:val="Normal6"/>
              <w:rPr>
                <w:szCs w:val="24"/>
              </w:rPr>
            </w:pPr>
            <w:r>
              <w:lastRenderedPageBreak/>
              <w:t>(2)</w:t>
            </w:r>
            <w:r>
              <w:tab/>
              <w:t xml:space="preserve">Genom undantag från artiklarna 63.2 och 105.2 i förordning (EU) </w:t>
            </w:r>
            <w:r>
              <w:lastRenderedPageBreak/>
              <w:t xml:space="preserve">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i/>
              </w:rPr>
              <w:t>10</w:t>
            </w:r>
            <w:r>
              <w:t xml:space="preserve"> % av </w:t>
            </w:r>
            <w:r>
              <w:rPr>
                <w:b/>
                <w:i/>
              </w:rPr>
              <w:t>fondens</w:t>
            </w:r>
            <w:r>
              <w:t xml:space="preserve"> finansiella medel till en eller flera särskilda prioriteringar som fastställts i enlighet med artiklarna 12a, 12c och 12d i den här förordningen har godkänts.</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59</w:t>
      </w:r>
      <w:r>
        <w:rPr>
          <w:rStyle w:val="HideTWBExt"/>
          <w:b w:val="0"/>
        </w:rPr>
        <w:t>&lt;/NumAm&gt;</w:t>
      </w:r>
    </w:p>
    <w:p w:rsidR="008E4158" w:rsidRPr="00A26490" w:rsidRDefault="008E4158" w:rsidP="008E4158">
      <w:pPr>
        <w:pStyle w:val="NormalBold"/>
      </w:pPr>
      <w:r>
        <w:rPr>
          <w:rStyle w:val="HideTWBExt"/>
          <w:b w:val="0"/>
        </w:rPr>
        <w:t>&lt;RepeatBlock-By&gt;&lt;Members&gt;</w:t>
      </w:r>
      <w:r>
        <w:t>Elena Donazzan, Francesco Torselli, Mariateresa Vivaldini, Chiara Gemma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15 % av programmets finansiella medel till en eller flera särskilda prioriteringar som fastställts i enlighet med artiklarna 12a</w:t>
            </w:r>
            <w:r>
              <w:rPr>
                <w:b/>
                <w:bCs/>
                <w:i/>
                <w:iCs/>
              </w:rPr>
              <w:t xml:space="preserve">, </w:t>
            </w:r>
            <w:r>
              <w:t xml:space="preserve">12c </w:t>
            </w:r>
            <w:r>
              <w:rPr>
                <w:b/>
                <w:bCs/>
                <w:i/>
                <w:iCs/>
              </w:rPr>
              <w:t>och 12d</w:t>
            </w:r>
            <w:r>
              <w:t xml:space="preserve"> i den här förordningen har godkänts.</w:t>
            </w:r>
          </w:p>
        </w:tc>
        <w:tc>
          <w:tcPr>
            <w:tcW w:w="4876" w:type="dxa"/>
            <w:hideMark/>
          </w:tcPr>
          <w:p w:rsidR="008E4158" w:rsidRPr="00A26490" w:rsidRDefault="008E4158" w:rsidP="00BF1E0A">
            <w:pPr>
              <w:pStyle w:val="Normal6"/>
              <w:rPr>
                <w:szCs w:val="24"/>
              </w:rPr>
            </w:pPr>
            <w:r>
              <w:t>(2)</w:t>
            </w:r>
            <w:r>
              <w:tab/>
              <w:t xml:space="preserve">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15 % av programmets finansiella medel till en eller flera särskilda prioriteringar som fastställts i enlighet med artiklarna 12a </w:t>
            </w:r>
            <w:r>
              <w:rPr>
                <w:b/>
                <w:bCs/>
                <w:i/>
                <w:iCs/>
              </w:rPr>
              <w:t>och</w:t>
            </w:r>
            <w:r>
              <w:t xml:space="preserve"> 12c i den här förordningen har godkänts.</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60</w:t>
      </w:r>
      <w:r>
        <w:rPr>
          <w:rStyle w:val="HideTWBExt"/>
          <w:b w:val="0"/>
        </w:rPr>
        <w:t>&lt;/NumAm&gt;</w:t>
      </w:r>
    </w:p>
    <w:p w:rsidR="008E4158" w:rsidRPr="00A26490" w:rsidRDefault="008E4158" w:rsidP="008E4158">
      <w:pPr>
        <w:pStyle w:val="NormalBold"/>
      </w:pPr>
      <w:r>
        <w:rPr>
          <w:rStyle w:val="HideTWBExt"/>
          <w:b w:val="0"/>
        </w:rPr>
        <w:t>&lt;RepeatBlock-By&gt;&lt;Members&gt;</w:t>
      </w:r>
      <w:r>
        <w:t xml:space="preserve">Marit Maij, Estelle Ceulemans, Gabriele Bischoff, Alicia Homs Ginel, Evelyn Regner, Marc Angel, Idoia Mendia, Vilija Blinkevičiūtė, Aodhán Ó </w:t>
      </w:r>
      <w:r>
        <w:lastRenderedPageBreak/>
        <w:t>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 xml:space="preserve">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bCs/>
                <w:i/>
                <w:iCs/>
              </w:rPr>
              <w:t xml:space="preserve">15 % </w:t>
            </w:r>
            <w:r>
              <w:t>av programmets finansiella medel till en eller flera särskilda prioriteringar som fastställts i enlighet med artiklarna 12a</w:t>
            </w:r>
            <w:r>
              <w:rPr>
                <w:b/>
                <w:bCs/>
                <w:i/>
                <w:iCs/>
              </w:rPr>
              <w:t>,</w:t>
            </w:r>
            <w:r>
              <w:t xml:space="preserve"> </w:t>
            </w:r>
            <w:r>
              <w:rPr>
                <w:b/>
                <w:bCs/>
                <w:i/>
                <w:iCs/>
              </w:rPr>
              <w:t>12c</w:t>
            </w:r>
            <w:r>
              <w:t xml:space="preserve"> och 12d i den här förordningen har godkänts.</w:t>
            </w:r>
          </w:p>
        </w:tc>
        <w:tc>
          <w:tcPr>
            <w:tcW w:w="4876" w:type="dxa"/>
            <w:hideMark/>
          </w:tcPr>
          <w:p w:rsidR="008E4158" w:rsidRPr="00A26490" w:rsidRDefault="008E4158" w:rsidP="00BF1E0A">
            <w:pPr>
              <w:pStyle w:val="Normal6"/>
              <w:rPr>
                <w:szCs w:val="24"/>
              </w:rPr>
            </w:pPr>
            <w:r>
              <w:t>(2)</w:t>
            </w:r>
            <w:r>
              <w:tab/>
              <w:t xml:space="preserve">Genom undantag från artiklarna 63.2 och 105.2 i förordning (EU) 2021/1060 ska tidsfristen för utgifternas stödberättigande, ersättning av kostnader samt tillbakadragande vara den 31 december 2030. Undantaget ska endast tillämpas när programändringar som innebär en omfördelning i samband med halvtidsöversynen av minst </w:t>
            </w:r>
            <w:r>
              <w:rPr>
                <w:b/>
                <w:bCs/>
                <w:i/>
                <w:iCs/>
              </w:rPr>
              <w:t>5 %</w:t>
            </w:r>
            <w:r>
              <w:t xml:space="preserve"> av programmets finansiella medel till en eller flera särskilda prioriteringar som fastställts i enlighet med artiklarna 12a och 12d i den här förordningen har godkänts.</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61</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2a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(2a)</w:t>
            </w:r>
            <w:r>
              <w:rPr>
                <w:b/>
                <w:i/>
              </w:rPr>
              <w:tab/>
              <w:t xml:space="preserve">Vid ändringar av programmen ska medlemsstaterna, med arbetsmarknadsparternas aktiva och meningsfulla deltagande, när det gäller de särskilda prioriteringarna, inkludera skyldigheter för mottagarna att respektera </w:t>
            </w:r>
            <w:r>
              <w:rPr>
                <w:b/>
                <w:i/>
              </w:rPr>
              <w:lastRenderedPageBreak/>
              <w:t>arbets- och anställningsvillkoren enligt gällande unionsrätt och nationell rätt, ILO-konventioner och kollektivavtal.</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62</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2a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(2a)</w:t>
            </w:r>
            <w:r>
              <w:rPr>
                <w:b/>
                <w:i/>
              </w:rPr>
              <w:tab/>
              <w:t>Medlemsstaterna ska ha ett nära samarbete med arbetsmarknadsparterna vid ändringar i programplaneringen och respektera arbets- och anställningsvillkoren enligt gällande ILO-konventioner, unionsrätt och nationell rätt samt kollektivavtal.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63</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3</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 xml:space="preserve">Genom undantag från artikel 112 i förordning (EU) 2021/1060 ska den maximala medfinansieringsgraden för prioriteringar i program som omfattar en eller flera Nuts 2-regioner som gränsar till Ryssland, Belarus eller Ukraina vara </w:t>
            </w:r>
            <w:r>
              <w:lastRenderedPageBreak/>
              <w:t xml:space="preserve">100 %. Den högre medfinansieringsgraden ska inte tillämpas på program som omfattar hela den berörda medlemsstatens territorium, såvida inte dessa regioner endast ingår i program som omfattar hela den medlemsstatens territorium. </w:t>
            </w:r>
            <w:r>
              <w:rPr>
                <w:b/>
                <w:i/>
              </w:rPr>
              <w:t>Undantaget ska endast tillämpas när omfördelningar i samband med halvtidsöversynen av minst 15 % av programmets finansiella medel till en eller flera särskilda prioriteringar som fastställts i enlighet med artiklarna 12a, 12c och 12d i den här förordningen har godkänts, förutsatt att programändringen lämnas in senast den 31 december 2025.</w:t>
            </w:r>
          </w:p>
        </w:tc>
        <w:tc>
          <w:tcPr>
            <w:tcW w:w="4876" w:type="dxa"/>
            <w:hideMark/>
          </w:tcPr>
          <w:p w:rsidR="008E4158" w:rsidRPr="00A26490" w:rsidRDefault="008E4158" w:rsidP="00BF1E0A">
            <w:pPr>
              <w:pStyle w:val="Normal6"/>
              <w:rPr>
                <w:szCs w:val="24"/>
              </w:rPr>
            </w:pPr>
            <w:r>
              <w:lastRenderedPageBreak/>
              <w:t>(3)</w:t>
            </w:r>
            <w:r>
              <w:tab/>
              <w:t xml:space="preserve">Genom undantag från artikel 112 i förordning (EU) 2021/1060 ska den maximala medfinansieringsgraden för prioriteringar i program som omfattar en eller flera Nuts 2-regioner som gränsar till Ryssland, Belarus eller Ukraina vara </w:t>
            </w:r>
            <w:r>
              <w:lastRenderedPageBreak/>
              <w:t>100 %. Den högre medfinansieringsgraden ska inte tillämpas på program som omfattar hela den berörda medlemsstatens territorium, såvida inte dessa regioner endast ingår i program som omfattar hela den medlemsstatens territorium.</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64</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3</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 xml:space="preserve">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hela den berörda medlemsstatens territorium, såvida inte dessa regioner endast ingår i program som omfattar hela den medlemsstatens territorium. </w:t>
            </w:r>
            <w:r>
              <w:rPr>
                <w:b/>
                <w:i/>
              </w:rPr>
              <w:t xml:space="preserve">Undantaget ska endast tillämpas när omfördelningar i samband med halvtidsöversynen av minst 15 % av programmets finansiella medel till en eller flera särskilda prioriteringar som </w:t>
            </w:r>
            <w:r>
              <w:rPr>
                <w:b/>
                <w:i/>
              </w:rPr>
              <w:lastRenderedPageBreak/>
              <w:t>fastställts i enlighet med artiklarna 12a, 12c och 12d i den här förordningen har godkänts, förutsatt att programändringen lämnas in senast den 31 december 2025.</w:t>
            </w:r>
          </w:p>
        </w:tc>
        <w:tc>
          <w:tcPr>
            <w:tcW w:w="4876" w:type="dxa"/>
            <w:hideMark/>
          </w:tcPr>
          <w:p w:rsidR="008E4158" w:rsidRPr="00A26490" w:rsidRDefault="008E4158" w:rsidP="00BF1E0A">
            <w:pPr>
              <w:pStyle w:val="Normal6"/>
              <w:rPr>
                <w:szCs w:val="24"/>
              </w:rPr>
            </w:pPr>
            <w:r>
              <w:lastRenderedPageBreak/>
              <w:t>(3)</w:t>
            </w:r>
            <w:r>
              <w:tab/>
              <w:t>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hela den berörda medlemsstatens territorium, såvida inte dessa regioner endast ingår i program som omfattar hela den medlemsstatens territorium.</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65</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3</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 xml:space="preserve">Genom undantag från artikel 112 i förordning (EU) 2021/1060 ska den maximala medfinansieringsgraden för prioriteringar i program som omfattar en eller flera Nuts 2-regioner som gränsar till Ryssland, Belarus </w:t>
            </w:r>
            <w:r>
              <w:rPr>
                <w:b/>
                <w:bCs/>
                <w:i/>
                <w:iCs/>
              </w:rPr>
              <w:t>eller</w:t>
            </w:r>
            <w:r>
              <w:t xml:space="preserve"> Ukraina vara </w:t>
            </w:r>
            <w:r>
              <w:rPr>
                <w:b/>
                <w:bCs/>
                <w:i/>
                <w:iCs/>
              </w:rPr>
              <w:t>100 %</w:t>
            </w:r>
            <w:r>
              <w:t xml:space="preserve">. Den högre medfinansieringsgraden ska inte tillämpas på program som omfattar hela den berörda medlemsstatens territorium, såvida inte dessa regioner endast ingår i program som omfattar hela den medlemsstatens territorium. Undantaget ska endast tillämpas när omfördelningar i samband med halvtidsöversynen av minst </w:t>
            </w:r>
            <w:r>
              <w:rPr>
                <w:b/>
                <w:bCs/>
                <w:i/>
                <w:iCs/>
              </w:rPr>
              <w:t>15 %</w:t>
            </w:r>
            <w:r>
              <w:t xml:space="preserve"> av programmets finansiella medel till en eller flera särskilda prioriteringar som fastställts i enlighet med artiklarna 12a, 12c och 12d i den här förordningen har godkänts, förutsatt att programändringen lämnas in senast den 31 december 2025.</w:t>
            </w:r>
          </w:p>
        </w:tc>
        <w:tc>
          <w:tcPr>
            <w:tcW w:w="4876" w:type="dxa"/>
            <w:hideMark/>
          </w:tcPr>
          <w:p w:rsidR="008E4158" w:rsidRPr="00A26490" w:rsidRDefault="008E4158" w:rsidP="00BF1E0A">
            <w:pPr>
              <w:pStyle w:val="Normal6"/>
              <w:rPr>
                <w:szCs w:val="24"/>
              </w:rPr>
            </w:pPr>
            <w:r>
              <w:t>(3)</w:t>
            </w:r>
            <w:r>
              <w:tab/>
              <w:t>Genom undantag från artikel 112 i förordning (EU) 2021/1060 ska den maximala medfinansieringsgraden för prioriteringar i program som omfattar en eller flera Nuts 2-regioner som gränsar till Ryssland, Belarus</w:t>
            </w:r>
            <w:r>
              <w:rPr>
                <w:b/>
                <w:bCs/>
                <w:i/>
                <w:iCs/>
              </w:rPr>
              <w:t>,</w:t>
            </w:r>
            <w:r>
              <w:t xml:space="preserve"> Ukraina </w:t>
            </w:r>
            <w:r>
              <w:rPr>
                <w:b/>
                <w:bCs/>
                <w:i/>
                <w:iCs/>
              </w:rPr>
              <w:t>och regioner som påverkas i betydande grad av icke-konventionella hot eller hybridhot</w:t>
            </w:r>
            <w:r>
              <w:t xml:space="preserve"> vara </w:t>
            </w:r>
            <w:r>
              <w:rPr>
                <w:b/>
                <w:bCs/>
                <w:i/>
                <w:iCs/>
              </w:rPr>
              <w:t>95 %</w:t>
            </w:r>
            <w:r>
              <w:t xml:space="preserve">. Den högre medfinansieringsgraden ska inte tillämpas på program som omfattar hela den berörda medlemsstatens territorium, såvida inte dessa regioner endast ingår i program som omfattar hela den medlemsstatens territorium. Undantaget ska endast tillämpas när omfördelningar i samband med halvtidsöversynen av minst </w:t>
            </w:r>
            <w:r>
              <w:rPr>
                <w:b/>
                <w:bCs/>
                <w:i/>
                <w:iCs/>
              </w:rPr>
              <w:t>12,5 %</w:t>
            </w:r>
            <w:r>
              <w:t xml:space="preserve"> av programmets finansiella medel till en eller flera särskilda prioriteringar som fastställts i enlighet med artiklarna 12a, 12c och 12d i den här förordningen har godkänts, förutsatt att programändringen lämnas in senast den 31 december 2025.</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lastRenderedPageBreak/>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66</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3</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hela den berörda medlemsstatens territorium, såvida inte dessa regioner endast ingår i program som omfattar hela den medlemsstatens territorium. Undantaget ska endast tillämpas när omfördelningar i samband med halvtidsöversynen av minst 15 % av programmets finansiella medel till en eller flera särskilda prioriteringar som fastställts i enlighet med artiklarna 12a</w:t>
            </w:r>
            <w:r>
              <w:rPr>
                <w:b/>
                <w:bCs/>
                <w:i/>
                <w:iCs/>
              </w:rPr>
              <w:t>, 12c</w:t>
            </w:r>
            <w:r>
              <w:t xml:space="preserve"> och 12d i den här förordningen har godkänts, förutsatt att programändringen lämnas in senast den 31 december 2025.</w:t>
            </w:r>
          </w:p>
        </w:tc>
        <w:tc>
          <w:tcPr>
            <w:tcW w:w="4876" w:type="dxa"/>
            <w:hideMark/>
          </w:tcPr>
          <w:p w:rsidR="008E4158" w:rsidRPr="00A26490" w:rsidRDefault="008E4158" w:rsidP="00BF1E0A">
            <w:pPr>
              <w:pStyle w:val="Normal6"/>
              <w:rPr>
                <w:szCs w:val="24"/>
              </w:rPr>
            </w:pPr>
            <w:r>
              <w:t>(3)</w:t>
            </w:r>
            <w:r>
              <w:tab/>
              <w:t>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hela den berörda medlemsstatens territorium, såvida inte dessa regioner endast ingår i program som omfattar hela den medlemsstatens territorium. Undantaget ska endast tillämpas när omfördelningar i samband med halvtidsöversynen av minst 15 % av programmets finansiella medel till en eller flera särskilda prioriteringar som fastställts i enlighet med artiklarna 12a och 12d i den här förordningen har godkänts, förutsatt att programändringen lämnas in senast den 31 december 2025.</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67</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3</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 xml:space="preserve">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hela den berörda medlemsstatens territorium, såvida inte dessa regioner endast ingår i program som omfattar hela den medlemsstatens territorium. Undantaget ska endast tillämpas när omfördelningar i samband med halvtidsöversynen av minst </w:t>
            </w:r>
            <w:r>
              <w:rPr>
                <w:b/>
                <w:i/>
              </w:rPr>
              <w:t>15</w:t>
            </w:r>
            <w:r>
              <w:t xml:space="preserve"> % av </w:t>
            </w:r>
            <w:r>
              <w:rPr>
                <w:b/>
                <w:i/>
              </w:rPr>
              <w:t>programmets</w:t>
            </w:r>
            <w:r>
              <w:t xml:space="preserve"> finansiella medel till en eller flera särskilda prioriteringar som fastställts i enlighet med artiklarna 12a, 12c och 12d i den här förordningen har godkänts, förutsatt att programändringen lämnas in senast den 31 december 2025.</w:t>
            </w:r>
          </w:p>
        </w:tc>
        <w:tc>
          <w:tcPr>
            <w:tcW w:w="4876" w:type="dxa"/>
            <w:hideMark/>
          </w:tcPr>
          <w:p w:rsidR="008E4158" w:rsidRPr="00A26490" w:rsidRDefault="008E4158" w:rsidP="00BF1E0A">
            <w:pPr>
              <w:pStyle w:val="Normal6"/>
              <w:rPr>
                <w:szCs w:val="24"/>
              </w:rPr>
            </w:pPr>
            <w:r>
              <w:t>(3)</w:t>
            </w:r>
            <w:r>
              <w:tab/>
              <w:t xml:space="preserve">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hela den berörda medlemsstatens territorium, såvida inte dessa regioner endast ingår i program som omfattar hela den medlemsstatens territorium. Undantaget ska endast tillämpas när omfördelningar i samband med halvtidsöversynen av minst </w:t>
            </w:r>
            <w:r>
              <w:rPr>
                <w:b/>
                <w:i/>
              </w:rPr>
              <w:t>10</w:t>
            </w:r>
            <w:r>
              <w:t xml:space="preserve"> % av </w:t>
            </w:r>
            <w:r>
              <w:rPr>
                <w:b/>
                <w:i/>
              </w:rPr>
              <w:t>fondens</w:t>
            </w:r>
            <w:r>
              <w:t xml:space="preserve"> finansiella medel till en eller flera särskilda prioriteringar som fastställts i enlighet med artiklarna 12a, 12c och 12d i den här förordningen har godkänts, förutsatt att programändringen lämnas in senast den 31 december 2025.</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68</w:t>
      </w:r>
      <w:r>
        <w:rPr>
          <w:rStyle w:val="HideTWBExt"/>
          <w:b w:val="0"/>
        </w:rPr>
        <w:t>&lt;/NumAm&gt;</w:t>
      </w:r>
    </w:p>
    <w:p w:rsidR="008E4158" w:rsidRPr="00A26490" w:rsidRDefault="008E4158" w:rsidP="008E4158">
      <w:pPr>
        <w:pStyle w:val="NormalBold"/>
      </w:pPr>
      <w:r>
        <w:rPr>
          <w:rStyle w:val="HideTWBExt"/>
          <w:b w:val="0"/>
        </w:rPr>
        <w:t>&lt;RepeatBlock-By&gt;&lt;Members&gt;</w:t>
      </w:r>
      <w:r>
        <w:t>Elena Donazzan, Francesco Torselli, Mariateresa Vivaldini, Chiara Gemma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3</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 xml:space="preserve">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w:t>
            </w:r>
            <w:r>
              <w:lastRenderedPageBreak/>
              <w:t>hela den berörda medlemsstatens territorium, såvida inte dessa regioner endast ingår i program som omfattar hela den medlemsstatens territorium. Undantaget ska endast tillämpas när omfördelningar i samband med halvtidsöversynen av minst 15 % av programmets finansiella medel till en eller flera särskilda prioriteringar som fastställts i enlighet med artiklarna 12a</w:t>
            </w:r>
            <w:r>
              <w:rPr>
                <w:b/>
                <w:bCs/>
                <w:i/>
                <w:iCs/>
              </w:rPr>
              <w:t>,</w:t>
            </w:r>
            <w:r>
              <w:t xml:space="preserve"> 12c </w:t>
            </w:r>
            <w:r>
              <w:rPr>
                <w:b/>
                <w:bCs/>
                <w:i/>
                <w:iCs/>
              </w:rPr>
              <w:t>och 12d</w:t>
            </w:r>
            <w:r>
              <w:t xml:space="preserve"> i den här förordningen har godkänts, förutsatt att programändringen lämnas in senast den 31 december 2025.</w:t>
            </w:r>
          </w:p>
        </w:tc>
        <w:tc>
          <w:tcPr>
            <w:tcW w:w="4876" w:type="dxa"/>
            <w:hideMark/>
          </w:tcPr>
          <w:p w:rsidR="008E4158" w:rsidRPr="00A26490" w:rsidRDefault="008E4158" w:rsidP="00BF1E0A">
            <w:pPr>
              <w:pStyle w:val="Normal6"/>
              <w:rPr>
                <w:szCs w:val="24"/>
              </w:rPr>
            </w:pPr>
            <w:r>
              <w:lastRenderedPageBreak/>
              <w:t>(3)</w:t>
            </w:r>
            <w:r>
              <w:tab/>
              <w:t xml:space="preserve">Genom undantag från artikel 112 i förordning (EU) 2021/1060 ska den maximala medfinansieringsgraden för prioriteringar i program som omfattar en eller flera Nuts 2-regioner som gränsar till Ryssland, Belarus eller Ukraina vara 100 %. Den högre medfinansieringsgraden ska inte tillämpas på program som omfattar </w:t>
            </w:r>
            <w:r>
              <w:lastRenderedPageBreak/>
              <w:t xml:space="preserve">hela den berörda medlemsstatens territorium, såvida inte dessa regioner endast ingår i program som omfattar hela den medlemsstatens territorium. Undantaget ska endast tillämpas när omfördelningar i samband med halvtidsöversynen av minst 15 % av programmets finansiella medel till en eller flera särskilda prioriteringar som fastställts i enlighet med artiklarna 12a </w:t>
            </w:r>
            <w:r>
              <w:rPr>
                <w:b/>
                <w:bCs/>
                <w:i/>
                <w:iCs/>
              </w:rPr>
              <w:t>och</w:t>
            </w:r>
            <w:r>
              <w:t xml:space="preserve"> 12c i den här förordningen har godkänts, förutsatt att programändringen lämnas in senast den 31 december 2025.</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69</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(4)</w:t>
            </w:r>
            <w:r>
              <w:tab/>
              <w:t xml:space="preserve">Utöver bedömningen för varje program av resultatet av den halvtidsöversyn som ska lämnas in i enlighet med artikel 18.2 i förordning (EU) 2021/1060 får medlemsstaterna på nytt lämna in en kompletterande bedömning och tillhörande ansökningar om programändringar, med beaktande av möjligheten till särskilda prioriteringar enligt artiklarna 12a, 12c och 12d </w:t>
            </w:r>
            <w:r>
              <w:rPr>
                <w:b/>
                <w:i/>
              </w:rPr>
              <w:t>inom två månader efter ikraftträdandet av förordning (EU) XXXX/XXXX [den här förordningen]</w:t>
            </w:r>
            <w:r>
              <w:t>. Tidsfristerna i artikel 18.3 i förordning (EU) 2021/1060 ska tillämpas.</w:t>
            </w:r>
          </w:p>
        </w:tc>
        <w:tc>
          <w:tcPr>
            <w:tcW w:w="4876" w:type="dxa"/>
            <w:hideMark/>
          </w:tcPr>
          <w:p w:rsidR="008E4158" w:rsidRPr="00A26490" w:rsidRDefault="008E4158" w:rsidP="00BF1E0A">
            <w:pPr>
              <w:pStyle w:val="Normal6"/>
              <w:rPr>
                <w:szCs w:val="24"/>
              </w:rPr>
            </w:pPr>
            <w:r>
              <w:t>(4)</w:t>
            </w:r>
            <w:r>
              <w:tab/>
              <w:t xml:space="preserve">Utöver bedömningen för varje program av resultatet av den halvtidsöversyn som ska lämnas in i enlighet med artikel 18.2 i förordning (EU) 2021/1060 får medlemsstaterna på nytt lämna in en kompletterande bedömning och tillhörande ansökningar om programändringar, med beaktande av möjligheten till särskilda prioriteringar enligt artiklarna 12a, 12c och 12d </w:t>
            </w:r>
            <w:r>
              <w:rPr>
                <w:b/>
                <w:i/>
              </w:rPr>
              <w:t>senast den 31 december 2025</w:t>
            </w:r>
            <w:r>
              <w:t>. Tidsfristerna i artikel 18.3 i förordning (EU) 2021/1060 ska tillämpas.</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70</w:t>
      </w:r>
      <w:r>
        <w:rPr>
          <w:rStyle w:val="HideTWBExt"/>
          <w:b w:val="0"/>
        </w:rPr>
        <w:t>&lt;/NumAm&gt;</w:t>
      </w:r>
    </w:p>
    <w:p w:rsidR="008E4158" w:rsidRPr="00A26490" w:rsidRDefault="008E4158" w:rsidP="008E4158">
      <w:pPr>
        <w:pStyle w:val="NormalBold"/>
      </w:pPr>
      <w:r>
        <w:rPr>
          <w:rStyle w:val="HideTWBExt"/>
          <w:b w:val="0"/>
        </w:rPr>
        <w:t>&lt;RepeatBlock-By&gt;&lt;Members&gt;</w:t>
      </w:r>
      <w:r>
        <w:t>Elena Donazzan, Francesco Torselli, Mariateresa Vivaldini, Chiara Gemma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(4)</w:t>
            </w:r>
            <w:r>
              <w:tab/>
              <w:t>Utöver bedömningen för varje program av resultatet av den halvtidsöversyn som ska lämnas in i enlighet med artikel 18.2 i förordning (EU) 2021/1060 får medlemsstaterna på nytt lämna in en kompletterande bedömning och tillhörande ansökningar om programändringar, med beaktande av möjligheten till särskilda prioriteringar enligt artiklarna 12a</w:t>
            </w:r>
            <w:r>
              <w:rPr>
                <w:b/>
                <w:bCs/>
                <w:i/>
                <w:iCs/>
              </w:rPr>
              <w:t>,</w:t>
            </w:r>
            <w:r>
              <w:t xml:space="preserve"> 12c </w:t>
            </w:r>
            <w:r>
              <w:rPr>
                <w:b/>
                <w:bCs/>
                <w:i/>
                <w:iCs/>
              </w:rPr>
              <w:t>och 12d</w:t>
            </w:r>
            <w:r>
              <w:t xml:space="preserve"> inom två månader efter ikraftträdandet av förordning (EU) XXXX/XXXX [den här förordningen]. Tidsfristerna i artikel 18.3 i förordning (EU) 2021/1060 ska tillämpas.</w:t>
            </w:r>
          </w:p>
        </w:tc>
        <w:tc>
          <w:tcPr>
            <w:tcW w:w="4876" w:type="dxa"/>
            <w:hideMark/>
          </w:tcPr>
          <w:p w:rsidR="008E4158" w:rsidRPr="00A26490" w:rsidRDefault="008E4158" w:rsidP="00BF1E0A">
            <w:pPr>
              <w:pStyle w:val="Normal6"/>
              <w:rPr>
                <w:szCs w:val="24"/>
              </w:rPr>
            </w:pPr>
            <w:r>
              <w:t>(4)</w:t>
            </w:r>
            <w:r>
              <w:tab/>
              <w:t xml:space="preserve">Utöver bedömningen för varje program av resultatet av den halvtidsöversyn som ska lämnas in i enlighet med artikel 18.2 i förordning (EU) 2021/1060 får medlemsstaterna på nytt lämna in en kompletterande bedömning och tillhörande ansökningar om programändringar, med beaktande av möjligheten till särskilda prioriteringar enligt artiklarna 12a </w:t>
            </w:r>
            <w:r>
              <w:rPr>
                <w:b/>
                <w:bCs/>
                <w:i/>
                <w:iCs/>
              </w:rPr>
              <w:t xml:space="preserve">och </w:t>
            </w:r>
            <w:r>
              <w:t>12c inom två månader efter ikraftträdandet av förordning (EU) XXXX/XXXX [den här förordningen]. Tidsfristerna i artikel 18.3 i förordning (EU) 2021/1060 ska tillämpas.</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71</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(4)</w:t>
            </w:r>
            <w:r>
              <w:tab/>
              <w:t xml:space="preserve">Utöver bedömningen för varje program av resultatet av den halvtidsöversyn som ska lämnas in i enlighet med artikel 18.2 i förordning (EU) 2021/1060 får medlemsstaterna på nytt lämna in en kompletterande bedömning </w:t>
            </w:r>
            <w:r>
              <w:lastRenderedPageBreak/>
              <w:t>och tillhörande ansökningar om programändringar, med beaktande av möjligheten till särskilda prioriteringar enligt artiklarna 12a</w:t>
            </w:r>
            <w:r>
              <w:rPr>
                <w:b/>
                <w:bCs/>
                <w:i/>
                <w:iCs/>
              </w:rPr>
              <w:t>, 12c</w:t>
            </w:r>
            <w:r>
              <w:t xml:space="preserve"> och 12d inom två månader efter ikraftträdandet av förordning (EU) XXXX/XXXX [den här förordningen]. Tidsfristerna i artikel 18.3 i förordning (EU) 2021/1060 ska tillämpas.</w:t>
            </w:r>
          </w:p>
        </w:tc>
        <w:tc>
          <w:tcPr>
            <w:tcW w:w="4876" w:type="dxa"/>
            <w:hideMark/>
          </w:tcPr>
          <w:p w:rsidR="008E4158" w:rsidRPr="00A26490" w:rsidRDefault="008E4158" w:rsidP="00BF1E0A">
            <w:pPr>
              <w:pStyle w:val="Normal6"/>
              <w:rPr>
                <w:szCs w:val="24"/>
              </w:rPr>
            </w:pPr>
            <w:r>
              <w:lastRenderedPageBreak/>
              <w:t>(4)</w:t>
            </w:r>
            <w:r>
              <w:tab/>
              <w:t xml:space="preserve">Utöver bedömningen för varje program av resultatet av den halvtidsöversyn som ska lämnas in i enlighet med artikel 18.2 i förordning (EU) 2021/1060 får medlemsstaterna på nytt lämna in en kompletterande bedömning </w:t>
            </w:r>
            <w:r>
              <w:lastRenderedPageBreak/>
              <w:t>och tillhörande ansökningar om programändringar, med beaktande av möjligheten till särskilda prioriteringar enligt artiklarna 12a och 12d inom två månader efter ikraftträdandet av förordning (EU) XXXX/XXXX [den här förordningen]. Tidsfristerna i artikel 18.3 i förordning (EU) 2021/1060 ska tillämpas.</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72</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1</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5a – punkt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(4)</w:t>
            </w:r>
            <w:r>
              <w:tab/>
              <w:t>Utöver bedömningen för varje program av resultatet av den halvtidsöversyn som ska lämnas in i enlighet med artikel 18.2 i förordning (EU) 2021/1060 får medlemsstaterna på nytt lämna in en kompletterande bedömning och tillhörande ansökningar om programändringar, med beaktande av möjligheten till särskilda prioriteringar enligt artiklarna 12a</w:t>
            </w:r>
            <w:r>
              <w:rPr>
                <w:b/>
                <w:i/>
              </w:rPr>
              <w:t>, 12c</w:t>
            </w:r>
            <w:r>
              <w:t xml:space="preserve"> och 12d inom två månader efter ikraftträdandet av förordning (EU) XXXX/XXXX [den här förordningen]. Tidsfristerna i artikel 18.3 i förordning (EU) 2021/1060 ska tillämpas.</w:t>
            </w:r>
          </w:p>
        </w:tc>
        <w:tc>
          <w:tcPr>
            <w:tcW w:w="4876" w:type="dxa"/>
            <w:hideMark/>
          </w:tcPr>
          <w:p w:rsidR="008E4158" w:rsidRPr="00A26490" w:rsidRDefault="008E4158" w:rsidP="00BF1E0A">
            <w:pPr>
              <w:pStyle w:val="Normal6"/>
              <w:rPr>
                <w:szCs w:val="24"/>
              </w:rPr>
            </w:pPr>
            <w:r>
              <w:t>(4)</w:t>
            </w:r>
            <w:r>
              <w:tab/>
              <w:t>Utöver bedömningen för varje program av resultatet av den halvtidsöversyn som ska lämnas in i enlighet med artikel 18.2 i förordning (EU) 2021/1060 får medlemsstaterna på nytt lämna in en kompletterande bedömning och tillhörande ansökningar om programändringar, med beaktande av möjligheten till särskilda prioriteringar enligt artiklarna 12a och 12d inom två månader efter ikraftträdandet av förordning (EU) XXXX/XXXX [den här förordningen]. Tidsfristerna i artikel 18.3 i förordning (EU) 2021/1060 ska tillämpas.</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73</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lastRenderedPageBreak/>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2</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12a – första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Utöver förfinansieringen för programmet enligt artikel 90.1 och 90.2 i förordning (EU) 2021/1060 ska kommissionen, om den godkänner en ändring av ett program som inbegriper en eller flera prioriteringar som är specifika för verksamheter som stöds av ESF+ och som bidrar till de STEP-mål som avses i artikel 2 i förordning (EU) 2024/795, betala ut en särskild förfinansiering på 30 % på grundval av anslagen till de prioriteringarna, under förutsättning att programändringen lämnas in till kommissionen senast den 31 december 2025. Denna särskilda förfinansiering ska betalas ut inom 60 dagar från antagandet av kommissionens beslut om godkännande av programändringen.</w:t>
            </w:r>
          </w:p>
        </w:tc>
        <w:tc>
          <w:tcPr>
            <w:tcW w:w="4876" w:type="dxa"/>
            <w:hideMark/>
          </w:tcPr>
          <w:p w:rsidR="008E4158" w:rsidRPr="00A26490" w:rsidRDefault="008E4158" w:rsidP="00BF1E0A">
            <w:pPr>
              <w:pStyle w:val="Normal6"/>
              <w:rPr>
                <w:szCs w:val="24"/>
              </w:rPr>
            </w:pPr>
            <w:r>
              <w:t xml:space="preserve">Utöver förfinansieringen för programmet enligt artikel 90.1 och 90.2 i förordning (EU) 2021/1060 ska kommissionen, om den godkänner en ändring av ett program som inbegriper en eller flera prioriteringar som är specifika för verksamheter som stöds av ESF+ och som bidrar till de STEP-mål som avses i artikel 2 i förordning (EU) 2024/795, betala ut en särskild förfinansiering på 30 % på grundval av anslagen till de prioriteringarna, under förutsättning att </w:t>
            </w:r>
            <w:r>
              <w:rPr>
                <w:b/>
                <w:i/>
              </w:rPr>
              <w:t xml:space="preserve">mindre mottagare har prioriterad tillgång till finansiering och att </w:t>
            </w:r>
            <w:r>
              <w:t>programändringen lämnas in till kommissionen senast den 31 december 2025. Denna särskilda förfinansiering ska betalas ut inom 60 dagar från antagandet av kommissionens beslut om godkännande av programändringen.</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74</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 – inledningen</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(3)</w:t>
            </w:r>
            <w:r>
              <w:tab/>
              <w:t xml:space="preserve">Följande </w:t>
            </w:r>
            <w:r>
              <w:rPr>
                <w:b/>
                <w:i/>
              </w:rPr>
              <w:t>artiklar</w:t>
            </w:r>
            <w:r>
              <w:t xml:space="preserve"> ska införas som </w:t>
            </w:r>
            <w:r>
              <w:rPr>
                <w:b/>
                <w:i/>
              </w:rPr>
              <w:t>artiklarna 12c och</w:t>
            </w:r>
            <w:r>
              <w:t xml:space="preserve"> 12d:</w:t>
            </w:r>
          </w:p>
        </w:tc>
        <w:tc>
          <w:tcPr>
            <w:tcW w:w="4876" w:type="dxa"/>
            <w:hideMark/>
          </w:tcPr>
          <w:p w:rsidR="008E4158" w:rsidRPr="00A26490" w:rsidRDefault="008E4158" w:rsidP="00BF1E0A">
            <w:pPr>
              <w:pStyle w:val="Normal6"/>
              <w:rPr>
                <w:szCs w:val="24"/>
              </w:rPr>
            </w:pPr>
            <w:r>
              <w:t>(3)</w:t>
            </w:r>
            <w:r>
              <w:tab/>
              <w:t xml:space="preserve">Följande </w:t>
            </w:r>
            <w:r>
              <w:rPr>
                <w:b/>
                <w:i/>
              </w:rPr>
              <w:t>artikel</w:t>
            </w:r>
            <w:r>
              <w:t xml:space="preserve"> ska införas som </w:t>
            </w:r>
            <w:r>
              <w:rPr>
                <w:b/>
                <w:i/>
              </w:rPr>
              <w:t>artikel</w:t>
            </w:r>
            <w:r>
              <w:t xml:space="preserve"> 12d: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75</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3a (nytt)</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12e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(3a)</w:t>
            </w:r>
            <w:r>
              <w:rPr>
                <w:b/>
                <w:i/>
              </w:rPr>
              <w:tab/>
              <w:t>Vägledning och administrativ förenkling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Kommissionen ska senast 60 dagar efter denna förordnings ikraftträdande offentliggöra ett antal detaljerade riktlinjer, åtföljda av ett system med frågor och svar, vars syfte är att klargöra de tekniska, rättsliga och förfarandemässiga konsekvenserna av de åtgärder som antas i artiklarna 5a, 12c och 12d. Riktlinjerna ska hjälpa de förvaltande myndigheterna med en enhetlig tillämpning av förordningen, minska den administrativa bördan och göra det lättare att i ett tidigt skede reda ut eventuella tveksamheter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76</w:t>
      </w:r>
      <w:r>
        <w:rPr>
          <w:rStyle w:val="HideTWBExt"/>
          <w:b w:val="0"/>
        </w:rPr>
        <w:t>&lt;/NumAm&gt;</w:t>
      </w:r>
    </w:p>
    <w:p w:rsidR="008E4158" w:rsidRPr="00A26490" w:rsidRDefault="008E4158" w:rsidP="008E4158">
      <w:pPr>
        <w:pStyle w:val="NormalBold"/>
      </w:pPr>
      <w:r>
        <w:rPr>
          <w:rStyle w:val="HideTWBExt"/>
          <w:b w:val="0"/>
        </w:rPr>
        <w:t>&lt;RepeatBlock-By&gt;&lt;Members&gt;</w:t>
      </w:r>
      <w:r>
        <w:t>Villy Søvndal</w:t>
      </w:r>
      <w:r>
        <w:rPr>
          <w:rStyle w:val="HideTWBExt"/>
          <w:b w:val="0"/>
        </w:rPr>
        <w:t>&lt;/Members&gt;</w:t>
      </w:r>
    </w:p>
    <w:p w:rsidR="008E4158" w:rsidRPr="00A26490" w:rsidRDefault="008E4158" w:rsidP="008E4158">
      <w:r>
        <w:rPr>
          <w:rStyle w:val="HideTWBExt"/>
        </w:rPr>
        <w:t>&lt;AuNomDe&gt;</w:t>
      </w:r>
      <w:r>
        <w:rPr>
          <w:rStyle w:val="HideTWBInt"/>
        </w:rPr>
        <w:t>{Greens/EFA}</w:t>
      </w:r>
      <w:r>
        <w:t>för Verts/ALE-gruppen</w:t>
      </w:r>
      <w:r>
        <w:rPr>
          <w:rStyle w:val="HideTWBExt"/>
        </w:rPr>
        <w:t>&lt;/AuNomDe&gt;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Artikel 12c</w:t>
            </w:r>
          </w:p>
        </w:tc>
        <w:tc>
          <w:tcPr>
            <w:tcW w:w="4876" w:type="dxa"/>
            <w:hideMark/>
          </w:tcPr>
          <w:p w:rsidR="008E4158" w:rsidRPr="00A26490" w:rsidRDefault="008E4158" w:rsidP="00BF1E0A">
            <w:pPr>
              <w:pStyle w:val="Normal6"/>
              <w:rPr>
                <w:szCs w:val="24"/>
              </w:rPr>
            </w:pPr>
            <w:r>
              <w:rPr>
                <w:b/>
                <w:i/>
              </w:rPr>
              <w:t>utgår</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(artikel 12c 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77</w:t>
      </w:r>
      <w:r>
        <w:rPr>
          <w:rStyle w:val="HideTWBExt"/>
          <w:b w:val="0"/>
        </w:rPr>
        <w:t>&lt;/NumAm&gt;</w:t>
      </w:r>
    </w:p>
    <w:p w:rsidR="008E4158" w:rsidRPr="00A26490" w:rsidRDefault="008E4158" w:rsidP="008E4158">
      <w:pPr>
        <w:pStyle w:val="NormalBold"/>
      </w:pPr>
      <w:r>
        <w:rPr>
          <w:rStyle w:val="HideTWBExt"/>
          <w:b w:val="0"/>
        </w:rPr>
        <w:t>&lt;RepeatBlock-By&gt;&lt;Members&gt;</w:t>
      </w:r>
      <w:r>
        <w:t>Branislav Ondruš</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Artikel 12c</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78</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Artikel 12c</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79</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rubriken</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Stöd till försvarsindustrin</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lastRenderedPageBreak/>
        <w:t>&lt;Amend&gt;</w:t>
      </w:r>
      <w:r>
        <w:t>Ändringsförslag</w:t>
      </w:r>
      <w:r>
        <w:tab/>
      </w:r>
      <w:r>
        <w:tab/>
      </w:r>
      <w:r>
        <w:rPr>
          <w:rStyle w:val="HideTWBExt"/>
          <w:b w:val="0"/>
        </w:rPr>
        <w:t>&lt;NumAm&gt;</w:t>
      </w:r>
      <w:r>
        <w:t>80</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(1)</w:t>
            </w:r>
            <w:r>
              <w:rPr>
                <w:b/>
                <w:i/>
              </w:rPr>
              <w:tab/>
              <w:t>Medlemsstaterna får besluta att planera stöd till kompetensutveckling i försvarsindustrin inom ramen för särskilda prioriteringar. Sådan</w:t>
            </w:r>
            <w:r w:rsidR="009B4EE9">
              <w:rPr>
                <w:b/>
                <w:i/>
              </w:rPr>
              <w:t>a</w:t>
            </w:r>
            <w:r>
              <w:rPr>
                <w:b/>
                <w:i/>
              </w:rPr>
              <w:t xml:space="preserve"> särskilda prioriteringar får stödja något av de specifika mål som anges i artikel 4.1 a–l.</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81</w:t>
      </w:r>
      <w:r>
        <w:rPr>
          <w:rStyle w:val="HideTWBExt"/>
          <w:b w:val="0"/>
        </w:rPr>
        <w:t>&lt;/NumAm&gt;</w:t>
      </w:r>
    </w:p>
    <w:p w:rsidR="008E4158" w:rsidRPr="00A26490" w:rsidRDefault="008E4158" w:rsidP="008E4158">
      <w:pPr>
        <w:pStyle w:val="NormalBold"/>
      </w:pPr>
      <w:r>
        <w:rPr>
          <w:rStyle w:val="HideTWBExt"/>
          <w:b w:val="0"/>
        </w:rPr>
        <w:t>&lt;RepeatBlock-By&gt;&lt;Members&gt;</w:t>
      </w:r>
      <w:r>
        <w:t>Branislav Ondruš</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(1)</w:t>
            </w:r>
            <w:r>
              <w:rPr>
                <w:b/>
                <w:i/>
              </w:rPr>
              <w:tab/>
              <w:t>Medlemsstaterna får besluta att planera stöd till kompetensutveckling i försvarsindustrin inom ramen för särskilda prioriteringar. Sådan</w:t>
            </w:r>
            <w:r w:rsidR="009B4EE9">
              <w:rPr>
                <w:b/>
                <w:i/>
              </w:rPr>
              <w:t>a</w:t>
            </w:r>
            <w:r>
              <w:rPr>
                <w:b/>
                <w:i/>
              </w:rPr>
              <w:t xml:space="preserve"> särskilda prioriteringar får stödja något av de specifika mål som anges i artikel 4.1 a–l.</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82</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lastRenderedPageBreak/>
        <w:t>&lt;DocAmend2&gt;</w:t>
      </w:r>
      <w:r>
        <w:t>Förordning (EU) 2021/1057</w:t>
      </w:r>
      <w:r>
        <w:rPr>
          <w:rStyle w:val="HideTWBExt"/>
        </w:rPr>
        <w:t>&lt;/DocAmend2&gt;</w:t>
      </w:r>
    </w:p>
    <w:p w:rsidR="008E4158" w:rsidRPr="00A26490" w:rsidRDefault="008E4158" w:rsidP="008E4158">
      <w:r>
        <w:rPr>
          <w:rStyle w:val="HideTWBExt"/>
        </w:rPr>
        <w:t>&lt;Article2&gt;</w:t>
      </w:r>
      <w:r>
        <w:t>Artikel 12c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(1)</w:t>
            </w:r>
            <w:r>
              <w:rPr>
                <w:b/>
                <w:i/>
              </w:rPr>
              <w:tab/>
              <w:t>Medlemsstaterna får besluta att planera stöd till kompetensutveckling i försvarsindustrin inom ramen för särskilda prioriteringar. Sådan</w:t>
            </w:r>
            <w:r w:rsidR="009B4EE9">
              <w:rPr>
                <w:b/>
                <w:i/>
              </w:rPr>
              <w:t>a</w:t>
            </w:r>
            <w:r>
              <w:rPr>
                <w:b/>
                <w:i/>
              </w:rPr>
              <w:t xml:space="preserve"> särskilda prioriteringar får stödja något av de specifika mål som anges i artikel 4.1 a–l.</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83</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Medlemsstaterna får besluta att planera stöd till kompetensutveckling i försvarsindustrin inom ramen för särskilda prioriteringar. Sådan</w:t>
            </w:r>
            <w:r w:rsidR="009B4EE9">
              <w:t>a</w:t>
            </w:r>
            <w:r>
              <w:t xml:space="preserve"> särskilda prioriteringar </w:t>
            </w:r>
            <w:r>
              <w:rPr>
                <w:b/>
                <w:i/>
              </w:rPr>
              <w:t>får</w:t>
            </w:r>
            <w:r>
              <w:t xml:space="preserve"> stödja något av de specifika mål som anges i artikel 4.1</w:t>
            </w:r>
            <w:r>
              <w:rPr>
                <w:b/>
                <w:i/>
              </w:rPr>
              <w:t xml:space="preserve"> a–l</w:t>
            </w:r>
            <w:r>
              <w:t>.</w:t>
            </w:r>
          </w:p>
        </w:tc>
        <w:tc>
          <w:tcPr>
            <w:tcW w:w="4876" w:type="dxa"/>
            <w:hideMark/>
          </w:tcPr>
          <w:p w:rsidR="008E4158" w:rsidRPr="00A26490" w:rsidRDefault="008E4158" w:rsidP="00BF1E0A">
            <w:pPr>
              <w:pStyle w:val="Normal6"/>
              <w:rPr>
                <w:szCs w:val="24"/>
              </w:rPr>
            </w:pPr>
            <w:r>
              <w:t>(1)</w:t>
            </w:r>
            <w:r>
              <w:tab/>
              <w:t xml:space="preserve">Medlemsstaterna får besluta att planera stöd till kompetensutveckling </w:t>
            </w:r>
            <w:r>
              <w:rPr>
                <w:b/>
                <w:i/>
              </w:rPr>
              <w:t xml:space="preserve">och utbildning såväl som forskning, utveckling och innovation </w:t>
            </w:r>
            <w:r>
              <w:t>i försvarsindustrin inom ramen för särskilda prioriteringar. Sådan</w:t>
            </w:r>
            <w:r w:rsidR="009B4EE9">
              <w:t>a</w:t>
            </w:r>
            <w:r>
              <w:t xml:space="preserve"> särskilda prioriteringar </w:t>
            </w:r>
            <w:r>
              <w:rPr>
                <w:b/>
                <w:i/>
              </w:rPr>
              <w:t>ska</w:t>
            </w:r>
            <w:r>
              <w:t xml:space="preserve"> stödja något av de specifika mål som anges i artikel 4.1.</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84</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Medlemsstaterna får besluta att planera stöd till kompetensutveckling i försvarsindustrin inom ramen för särskilda prioriteringar. Sådan</w:t>
            </w:r>
            <w:r w:rsidR="009B4EE9">
              <w:t>a</w:t>
            </w:r>
            <w:r>
              <w:t xml:space="preserve"> särskilda prioriteringar </w:t>
            </w:r>
            <w:r>
              <w:rPr>
                <w:b/>
                <w:i/>
              </w:rPr>
              <w:t>får</w:t>
            </w:r>
            <w:r>
              <w:t xml:space="preserve"> stödja </w:t>
            </w:r>
            <w:r>
              <w:rPr>
                <w:b/>
                <w:i/>
              </w:rPr>
              <w:t>något</w:t>
            </w:r>
            <w:r>
              <w:t xml:space="preserve"> av de specifika mål som anges i artikel 4.1 a–l.</w:t>
            </w:r>
          </w:p>
        </w:tc>
        <w:tc>
          <w:tcPr>
            <w:tcW w:w="4876" w:type="dxa"/>
            <w:hideMark/>
          </w:tcPr>
          <w:p w:rsidR="008E4158" w:rsidRPr="00A26490" w:rsidRDefault="008E4158" w:rsidP="00BF1E0A">
            <w:pPr>
              <w:pStyle w:val="Normal6"/>
              <w:rPr>
                <w:szCs w:val="24"/>
              </w:rPr>
            </w:pPr>
            <w:r>
              <w:t>(1)</w:t>
            </w:r>
            <w:r>
              <w:tab/>
              <w:t>Medlemsstaterna får besluta att planera stöd till kompetensutveckling i försvarsindustrin inom ramen för särskilda prioriteringar. Sådan</w:t>
            </w:r>
            <w:r w:rsidR="009B4EE9">
              <w:t>a</w:t>
            </w:r>
            <w:r>
              <w:t xml:space="preserve"> särskilda prioriteringar </w:t>
            </w:r>
            <w:r>
              <w:rPr>
                <w:b/>
                <w:i/>
              </w:rPr>
              <w:t>ska</w:t>
            </w:r>
            <w:r>
              <w:t xml:space="preserve"> stödja </w:t>
            </w:r>
            <w:r>
              <w:rPr>
                <w:b/>
                <w:i/>
              </w:rPr>
              <w:t>ett eller flera</w:t>
            </w:r>
            <w:r>
              <w:t xml:space="preserve"> av de specifika mål som anges i artikel 4.1 a–l.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85</w:t>
      </w:r>
      <w:r>
        <w:rPr>
          <w:rStyle w:val="HideTWBExt"/>
          <w:b w:val="0"/>
        </w:rPr>
        <w:t>&lt;/NumAm&gt;</w:t>
      </w:r>
    </w:p>
    <w:p w:rsidR="008E4158" w:rsidRPr="00A26490" w:rsidRDefault="008E4158" w:rsidP="008E4158">
      <w:pPr>
        <w:pStyle w:val="NormalBold"/>
      </w:pPr>
      <w:r>
        <w:rPr>
          <w:rStyle w:val="HideTWBExt"/>
          <w:b w:val="0"/>
        </w:rPr>
        <w:t>&lt;RepeatBlock-By&gt;&lt;Members&gt;</w:t>
      </w:r>
      <w:r>
        <w:t>Grégory Allione, Brigitte van den Berg, Marie-Pierre Vedrenne</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1a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(1a)</w:t>
            </w:r>
            <w:r>
              <w:rPr>
                <w:b/>
                <w:i/>
              </w:rPr>
              <w:tab/>
              <w:t>Ändamålsenliga strategier avseende kompetens och utbildning för kritiska funktioner, vilket understryks i kompetensunionen, är avgörande för att säkerställa att arbetstagare har rätt kompetens och kan mobiliseras i hela EU under kristider. Medlemsstaterna ska därför främja utbildning, kompetens, samhällsengagemang och utveckling av rörlighet inom försvar och civilskydd för att förse yrkesverksamma och volontärer med nödvändig sakkunskap och rätt kompetens i olika medlemsstater och inom olika sektorer.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86</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lastRenderedPageBreak/>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1a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(1a)</w:t>
            </w:r>
            <w:r>
              <w:rPr>
                <w:b/>
                <w:i/>
              </w:rPr>
              <w:tab/>
              <w:t>I denna artikel avses med investeringar i försvarsindustrin investeringar som bevisligen bidrar till unionens strategiska försvarskapacitet och är i linje med strategin för europeisk försvarsindustri (Edip). Sådana investeringar ska i möjligaste mån vara förenliga med principen om att inte orsaka betydande skada och syfta till att gynna de mottagare som är baserade i medlemsstater eller associerade länder, i enlighet med EU:s rättsliga ram.</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pPr>
        <w:pStyle w:val="CrossRef"/>
      </w:pPr>
      <w:r>
        <w:t>(Se formuleringen i punkterna 12–19 i revisionsrättens yttrande 02/2025)</w:t>
      </w:r>
    </w:p>
    <w:p w:rsidR="008E4158" w:rsidRPr="00A26490" w:rsidRDefault="008E4158" w:rsidP="008E4158">
      <w:pPr>
        <w:pStyle w:val="JustificationTitle"/>
        <w:rPr>
          <w:noProof w:val="0"/>
        </w:rPr>
      </w:pPr>
      <w:r>
        <w:rPr>
          <w:rStyle w:val="HideTWBExt"/>
          <w:i w:val="0"/>
        </w:rPr>
        <w:t>&lt;TitreJust&gt;</w:t>
      </w:r>
      <w:r>
        <w:t>Motivering</w:t>
      </w:r>
      <w:r>
        <w:rPr>
          <w:rStyle w:val="HideTWBExt"/>
          <w:i w:val="0"/>
        </w:rPr>
        <w:t>&lt;/TitreJust&gt;</w:t>
      </w:r>
    </w:p>
    <w:p w:rsidR="008E4158" w:rsidRPr="00A26490" w:rsidRDefault="008E4158" w:rsidP="008E4158">
      <w:pPr>
        <w:pStyle w:val="Normal12Italic"/>
        <w:rPr>
          <w:noProof w:val="0"/>
        </w:rPr>
      </w:pPr>
      <w:r>
        <w:t>Försvarsinvesteringar kan visserligen ha en positiv ekonomisk effekt, men de måste anpassas till europeiska strategier och respektera principen om att inte orsaka betydande skada och kriterierna för territoriell samstämmighet.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87</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2021/1060</w:t>
      </w:r>
      <w:r>
        <w:rPr>
          <w:rStyle w:val="HideTWBExt"/>
        </w:rPr>
        <w:t>&lt;/DocAmend2&gt;</w:t>
      </w:r>
    </w:p>
    <w:p w:rsidR="008E4158" w:rsidRPr="00A26490" w:rsidRDefault="008E4158" w:rsidP="008E4158">
      <w:r>
        <w:rPr>
          <w:rStyle w:val="HideTWBExt"/>
        </w:rPr>
        <w:t>&lt;Article2&gt;</w:t>
      </w:r>
      <w:r>
        <w:t>Artikel 12c – punkt 1b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(1b)</w:t>
            </w:r>
            <w:r>
              <w:rPr>
                <w:b/>
                <w:i/>
              </w:rPr>
              <w:tab/>
              <w:t xml:space="preserve">Göra det möjligt för medlemsstaterna att anslå resurser för att locka unga talanger och entreprenörer till </w:t>
            </w:r>
            <w:r>
              <w:rPr>
                <w:b/>
                <w:i/>
              </w:rPr>
              <w:lastRenderedPageBreak/>
              <w:t>regioner, särskilt landsbygdsområden, genom incitament och riktad utbildning. Det skulle kunna handla om att inrätta specialiserade utbildningscentrum med fokus på strategiska sektorer såsom försvar, cyberresiliens eller teknik med dubbla användningsområden, som stöder utvecklingen av kompetens som är anpassad till unionens strategiska oberoende och samtidigt stärker den regionala sammanhållningen.</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 Om ändringen antas ska hela texten anpassas i överensstämmelse härmed.)</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88</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(2)</w:t>
            </w:r>
            <w:r>
              <w:rPr>
                <w:b/>
                <w:i/>
              </w:rPr>
              <w:tab/>
              <w:t>Medel som tilldelats den särskilda prioritering som avses i punkt 1 ska inte beaktas när man säkerställer efterlevnad av kraven på tematisk koncentration enligt artikel 7 i den här förordningen.</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89</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(2)</w:t>
            </w:r>
            <w:r>
              <w:rPr>
                <w:b/>
                <w:i/>
              </w:rPr>
              <w:tab/>
              <w:t>Medel som tilldelats den särskilda prioritering som avses i punkt 1 ska inte beaktas när man säkerställer efterlevnad av kraven på tematisk koncentration enligt artikel 7 i den här förordningen.</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90</w:t>
      </w:r>
      <w:r>
        <w:rPr>
          <w:rStyle w:val="HideTWBExt"/>
          <w:b w:val="0"/>
        </w:rPr>
        <w:t>&lt;/NumAm&gt;</w:t>
      </w:r>
    </w:p>
    <w:p w:rsidR="008E4158" w:rsidRPr="00A26490" w:rsidRDefault="008E4158" w:rsidP="008E4158">
      <w:pPr>
        <w:pStyle w:val="NormalBold"/>
      </w:pPr>
      <w:r>
        <w:rPr>
          <w:rStyle w:val="HideTWBExt"/>
          <w:b w:val="0"/>
        </w:rPr>
        <w:t>&lt;RepeatBlock-By&gt;&lt;Members&gt;</w:t>
      </w:r>
      <w:r>
        <w:t>Branislav Ondruš</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(2)</w:t>
            </w:r>
            <w:r>
              <w:rPr>
                <w:b/>
                <w:i/>
              </w:rPr>
              <w:tab/>
              <w:t>Medel som tilldelats den särskilda prioritering som avses i punkt 1 ska inte beaktas när man säkerställer efterlevnad av kraven på tematisk koncentration enligt artikel 7 i den här förordningen.</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91</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2</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(2)</w:t>
            </w:r>
            <w:r>
              <w:tab/>
              <w:t xml:space="preserve">Medel som tilldelats den särskilda prioritering som avses i punkt 1 ska </w:t>
            </w:r>
            <w:r>
              <w:rPr>
                <w:b/>
                <w:i/>
              </w:rPr>
              <w:t xml:space="preserve">inte </w:t>
            </w:r>
            <w:r>
              <w:t>beaktas när man säkerställer efterlevnad av kraven på tematisk koncentration enligt artikel 7 i den här förordningen.</w:t>
            </w:r>
          </w:p>
        </w:tc>
        <w:tc>
          <w:tcPr>
            <w:tcW w:w="4876" w:type="dxa"/>
            <w:hideMark/>
          </w:tcPr>
          <w:p w:rsidR="008E4158" w:rsidRPr="00A26490" w:rsidRDefault="008E4158" w:rsidP="00BF1E0A">
            <w:pPr>
              <w:pStyle w:val="Normal6"/>
              <w:rPr>
                <w:szCs w:val="24"/>
              </w:rPr>
            </w:pPr>
            <w:r>
              <w:t>(2)</w:t>
            </w:r>
            <w:r>
              <w:tab/>
              <w:t>Medel som tilldelats den särskilda prioritering som avses i punkt 1 ska beaktas när man säkerställer efterlevnad av kraven på tematisk koncentration enligt artikel 7 i den här förordningen.</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92</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3</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(3)</w:t>
            </w:r>
            <w:r>
              <w:rPr>
                <w:b/>
                <w:i/>
              </w:rPr>
              <w:tab/>
              <w:t>Utöver den årliga förfinansiering för programmet som föreskrivs i artikel 90.1 och 90.2 i förordning (EU) 2021/1060 ska kommissionen betala 30 % av anslaget till de särskilda prioriteringar som avses i punkt 1 i den här artikeln enligt beslutet om godkännande av programändringen som en särskild förfinansiering i form av en engångsutbetalning.</w:t>
            </w:r>
          </w:p>
        </w:tc>
        <w:tc>
          <w:tcPr>
            <w:tcW w:w="4876" w:type="dxa"/>
            <w:hideMark/>
          </w:tcPr>
          <w:p w:rsidR="008E4158" w:rsidRPr="00A26490" w:rsidRDefault="008E4158" w:rsidP="00BF1E0A">
            <w:pPr>
              <w:pStyle w:val="Normal6"/>
              <w:rPr>
                <w:szCs w:val="24"/>
              </w:rPr>
            </w:pPr>
            <w:r>
              <w:rPr>
                <w:b/>
                <w:i/>
              </w:rPr>
              <w:t>utgår</w:t>
            </w:r>
          </w:p>
        </w:tc>
      </w:tr>
      <w:tr w:rsidR="008E4158" w:rsidTr="00BF1E0A">
        <w:trPr>
          <w:jc w:val="center"/>
        </w:trPr>
        <w:tc>
          <w:tcPr>
            <w:tcW w:w="4876" w:type="dxa"/>
            <w:hideMark/>
          </w:tcPr>
          <w:p w:rsidR="008E4158" w:rsidRPr="00A26490" w:rsidRDefault="008E4158" w:rsidP="00BF1E0A">
            <w:pPr>
              <w:pStyle w:val="Normal6"/>
            </w:pPr>
            <w:r>
              <w:rPr>
                <w:b/>
                <w:i/>
              </w:rPr>
              <w:t>Denna särskilda förfinansiering ska betalas ut inom 60 dagar från antagandet av kommissionens beslut om godkännande av programändringen i enlighet med artikel 24 i förordning (EU) 2021/1060.</w:t>
            </w:r>
          </w:p>
        </w:tc>
        <w:tc>
          <w:tcPr>
            <w:tcW w:w="4876" w:type="dxa"/>
          </w:tcPr>
          <w:p w:rsidR="008E4158" w:rsidRPr="00A26490" w:rsidRDefault="008E4158" w:rsidP="00BF1E0A">
            <w:pPr>
              <w:pStyle w:val="Normal6"/>
              <w:rPr>
                <w:szCs w:val="24"/>
              </w:rPr>
            </w:pP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93</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3 – första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 xml:space="preserve">Utöver den årliga förfinansiering för </w:t>
            </w:r>
            <w:r>
              <w:rPr>
                <w:b/>
                <w:i/>
              </w:rPr>
              <w:lastRenderedPageBreak/>
              <w:t>programmet som föreskrivs i artikel 90.1 och 90.2 i förordning (EU) 2021/1060 ska kommissionen betala 30 % av anslaget till de särskilda prioriteringar som avses i punkt 1 i den här artikeln enligt beslutet om godkännande av programändringen som en särskild förfinansiering i form av en engångsutbetalning.</w:t>
            </w:r>
          </w:p>
        </w:tc>
        <w:tc>
          <w:tcPr>
            <w:tcW w:w="4876" w:type="dxa"/>
            <w:hideMark/>
          </w:tcPr>
          <w:p w:rsidR="008E4158" w:rsidRPr="00A26490" w:rsidRDefault="008E4158" w:rsidP="00BF1E0A">
            <w:pPr>
              <w:pStyle w:val="Normal6"/>
              <w:rPr>
                <w:szCs w:val="24"/>
              </w:rPr>
            </w:pPr>
            <w:r>
              <w:rPr>
                <w:b/>
                <w:i/>
              </w:rPr>
              <w:lastRenderedPageBreak/>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94</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3 – andra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Denna särskilda förfinansiering ska betalas ut inom 60 dagar från antagandet av kommissionens beslut om godkännande av programändringen i enlighet med artikel 24 i förordning (EU) 2021/1060.</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95</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(4)</w:t>
            </w:r>
            <w:r>
              <w:rPr>
                <w:b/>
                <w:i/>
              </w:rPr>
              <w:tab/>
              <w:t xml:space="preserve">I enlighet med artikel 90.5 i förordning (EU) 2021/1060 ska det belopp som betalats ut som särskild </w:t>
            </w:r>
            <w:r>
              <w:rPr>
                <w:b/>
                <w:i/>
              </w:rPr>
              <w:lastRenderedPageBreak/>
              <w:t>förfinansiering räknas av i kommissionens räkenskaper senast under det sista räkenskapsåret.</w:t>
            </w:r>
          </w:p>
        </w:tc>
        <w:tc>
          <w:tcPr>
            <w:tcW w:w="4876" w:type="dxa"/>
            <w:hideMark/>
          </w:tcPr>
          <w:p w:rsidR="008E4158" w:rsidRPr="00A26490" w:rsidRDefault="008E4158" w:rsidP="00BF1E0A">
            <w:pPr>
              <w:pStyle w:val="Normal6"/>
              <w:rPr>
                <w:szCs w:val="24"/>
              </w:rPr>
            </w:pPr>
            <w:r>
              <w:rPr>
                <w:b/>
                <w:i/>
              </w:rPr>
              <w:lastRenderedPageBreak/>
              <w:t>utgår</w:t>
            </w:r>
          </w:p>
        </w:tc>
      </w:tr>
      <w:tr w:rsidR="008E4158" w:rsidTr="00BF1E0A">
        <w:trPr>
          <w:jc w:val="center"/>
        </w:trPr>
        <w:tc>
          <w:tcPr>
            <w:tcW w:w="4876" w:type="dxa"/>
            <w:hideMark/>
          </w:tcPr>
          <w:p w:rsidR="008E4158" w:rsidRPr="00A26490" w:rsidRDefault="008E4158" w:rsidP="00BF1E0A">
            <w:pPr>
              <w:pStyle w:val="Normal6"/>
            </w:pPr>
            <w:r>
              <w:rPr>
                <w:b/>
                <w:i/>
              </w:rPr>
              <w:t>I enlighet med artikel 90.6 i förordning (EU) 2021/1060 gäller att om den särskilda förfinansieringen genererar ränta ska denna användas för det berörda programmet på samma sätt som gäller för ESF+ och tas med i redovisningen för det sista räkenskapsåret.</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Pr>
                <w:b/>
                <w:i/>
              </w:rPr>
              <w:t>I enlighet med artikel 97.1 i förordning (EU) 2021/1060 får den särskilda förfinansieringen inte hållas inne.</w:t>
            </w:r>
          </w:p>
        </w:tc>
        <w:tc>
          <w:tcPr>
            <w:tcW w:w="4876" w:type="dxa"/>
          </w:tcPr>
          <w:p w:rsidR="008E4158" w:rsidRPr="00A26490" w:rsidRDefault="008E4158" w:rsidP="00BF1E0A">
            <w:pPr>
              <w:pStyle w:val="Normal6"/>
              <w:rPr>
                <w:szCs w:val="24"/>
              </w:rPr>
            </w:pPr>
          </w:p>
        </w:tc>
      </w:tr>
      <w:tr w:rsidR="008E4158" w:rsidTr="00BF1E0A">
        <w:trPr>
          <w:jc w:val="center"/>
        </w:trPr>
        <w:tc>
          <w:tcPr>
            <w:tcW w:w="4876" w:type="dxa"/>
            <w:hideMark/>
          </w:tcPr>
          <w:p w:rsidR="008E4158" w:rsidRPr="00A26490" w:rsidRDefault="008E4158" w:rsidP="00BF1E0A">
            <w:pPr>
              <w:pStyle w:val="Normal6"/>
            </w:pPr>
            <w:r>
              <w:rPr>
                <w:b/>
                <w:i/>
              </w:rPr>
              <w:t>I enlighet med artikel 105.1 i förordning (EU) 2021/1060 ska den förfinansiering som beaktas vid beräkningen av belopp som ska dras tillbaka inbegripa den särskilda förfinansiering som betalats ut.</w:t>
            </w:r>
          </w:p>
        </w:tc>
        <w:tc>
          <w:tcPr>
            <w:tcW w:w="4876" w:type="dxa"/>
          </w:tcPr>
          <w:p w:rsidR="008E4158" w:rsidRPr="00A26490" w:rsidRDefault="008E4158" w:rsidP="00BF1E0A">
            <w:pPr>
              <w:pStyle w:val="Normal6"/>
              <w:rPr>
                <w:szCs w:val="24"/>
              </w:rPr>
            </w:pP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96</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4 – första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I enlighet med artikel 90.5 i förordning (EU) 2021/1060 ska det belopp som betalats ut som särskild förfinansiering räknas av i kommissionens räkenskaper senast under det sista räkenskapsåret.</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97</w:t>
      </w:r>
      <w:r>
        <w:rPr>
          <w:rStyle w:val="HideTWBExt"/>
          <w:b w:val="0"/>
        </w:rPr>
        <w:t>&lt;/NumAm&gt;</w:t>
      </w:r>
    </w:p>
    <w:p w:rsidR="008E4158" w:rsidRPr="00A26490" w:rsidRDefault="008E4158" w:rsidP="008E4158">
      <w:pPr>
        <w:pStyle w:val="NormalBold"/>
      </w:pPr>
      <w:r>
        <w:rPr>
          <w:rStyle w:val="HideTWBExt"/>
          <w:b w:val="0"/>
        </w:rPr>
        <w:t>&lt;RepeatBlock-By&gt;&lt;Members&gt;</w:t>
      </w:r>
      <w:r>
        <w:t xml:space="preserve">Marit Maij, Estelle Ceulemans, Gabriele Bischoff, Alicia </w:t>
      </w:r>
      <w:r>
        <w:lastRenderedPageBreak/>
        <w:t>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4 – andra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I enlighet med artikel 90.6 i förordning (EU) 2021/1060 gäller att om den särskilda förfinansieringen genererar ränta ska denna användas för det berörda programmet på samma sätt som gäller för ESF+ och tas med i redovisningen för det sista räkenskapsåret.</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98</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4 – tredje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I enlighet med artikel 97.1 i förordning (EU) 2021/1060 får den särskilda förfinansieringen inte hållas inne.</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99</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lastRenderedPageBreak/>
        <w:t>&lt;DocAmend2&gt;</w:t>
      </w:r>
      <w:r>
        <w:t>Förordning (EU) 2021/1057</w:t>
      </w:r>
      <w:r>
        <w:rPr>
          <w:rStyle w:val="HideTWBExt"/>
        </w:rPr>
        <w:t>&lt;/DocAmend2&gt;</w:t>
      </w:r>
    </w:p>
    <w:p w:rsidR="008E4158" w:rsidRPr="00A26490" w:rsidRDefault="008E4158" w:rsidP="008E4158">
      <w:r>
        <w:rPr>
          <w:rStyle w:val="HideTWBExt"/>
        </w:rPr>
        <w:t>&lt;Article2&gt;</w:t>
      </w:r>
      <w:r>
        <w:t>Artikel 12c – punkt 4 – fjärde stycket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I enlighet med artikel 105.1 i förordning (EU) 2021/1060 ska den förfinansiering som beaktas vid beräkningen av belopp som ska dras tillbaka inbegripa den särskilda förfinansiering som betalats ut.</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100</w:t>
      </w:r>
      <w:r>
        <w:rPr>
          <w:rStyle w:val="HideTWBExt"/>
          <w:b w:val="0"/>
        </w:rPr>
        <w:t>&lt;/NumAm&gt;</w:t>
      </w:r>
    </w:p>
    <w:p w:rsidR="008E4158" w:rsidRPr="00A26490" w:rsidRDefault="008E4158" w:rsidP="008E4158">
      <w:pPr>
        <w:pStyle w:val="NormalBold"/>
      </w:pPr>
      <w:r>
        <w:rPr>
          <w:rStyle w:val="HideTWBExt"/>
          <w:b w:val="0"/>
        </w:rPr>
        <w:t>&lt;RepeatBlock-By&gt;&lt;Members&gt;</w:t>
      </w:r>
      <w:r>
        <w:t>Maria Zacharia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5</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(5)</w:t>
            </w:r>
            <w:r>
              <w:rPr>
                <w:b/>
                <w:i/>
              </w:rPr>
              <w:tab/>
              <w:t>Med avvikelse från artikel 112 i förordning (EU) 2021/1060 ska den maximala medfinansieringsgraden för särskilda prioriteringar som avses i punkt 1 i den här artikeln vara 100 %.</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101</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5</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(5)</w:t>
            </w:r>
            <w:r>
              <w:rPr>
                <w:b/>
                <w:i/>
              </w:rPr>
              <w:tab/>
              <w:t xml:space="preserve">Med avvikelse från artikel 112 i förordning (EU) 2021/1060 ska den </w:t>
            </w:r>
            <w:r>
              <w:rPr>
                <w:b/>
                <w:i/>
              </w:rPr>
              <w:lastRenderedPageBreak/>
              <w:t>maximala medfinansieringsgraden för särskilda prioriteringar som avses i punkt 1 i den här artikeln vara 100 %.</w:t>
            </w:r>
          </w:p>
        </w:tc>
        <w:tc>
          <w:tcPr>
            <w:tcW w:w="4876" w:type="dxa"/>
            <w:hideMark/>
          </w:tcPr>
          <w:p w:rsidR="008E4158" w:rsidRPr="00A26490" w:rsidRDefault="008E4158" w:rsidP="00BF1E0A">
            <w:pPr>
              <w:pStyle w:val="Normal6"/>
              <w:rPr>
                <w:szCs w:val="24"/>
              </w:rPr>
            </w:pPr>
            <w:r>
              <w:rPr>
                <w:b/>
                <w:i/>
              </w:rPr>
              <w:lastRenderedPageBreak/>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102</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5</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(5)</w:t>
            </w:r>
            <w:r>
              <w:tab/>
              <w:t xml:space="preserve">Med avvikelse från artikel 112 i förordning (EU) 2021/1060 </w:t>
            </w:r>
            <w:r>
              <w:rPr>
                <w:b/>
                <w:i/>
              </w:rPr>
              <w:t>ska</w:t>
            </w:r>
            <w:r>
              <w:t xml:space="preserve"> den maximala medfinansieringsgraden för </w:t>
            </w:r>
            <w:r>
              <w:rPr>
                <w:b/>
                <w:i/>
              </w:rPr>
              <w:t>särskilda prioriteringar</w:t>
            </w:r>
            <w:r>
              <w:t xml:space="preserve"> som </w:t>
            </w:r>
            <w:r>
              <w:rPr>
                <w:b/>
                <w:i/>
              </w:rPr>
              <w:t>avses i punkt 1 i den här artikeln vara 100 %</w:t>
            </w:r>
            <w:r>
              <w:t>.</w:t>
            </w:r>
          </w:p>
        </w:tc>
        <w:tc>
          <w:tcPr>
            <w:tcW w:w="4876" w:type="dxa"/>
            <w:hideMark/>
          </w:tcPr>
          <w:p w:rsidR="008E4158" w:rsidRPr="00A26490" w:rsidRDefault="008E4158" w:rsidP="00BF1E0A">
            <w:pPr>
              <w:pStyle w:val="Normal6"/>
              <w:rPr>
                <w:szCs w:val="24"/>
              </w:rPr>
            </w:pPr>
            <w:r>
              <w:t>(5)</w:t>
            </w:r>
            <w:r>
              <w:tab/>
              <w:t xml:space="preserve">Med avvikelse från artikel 112 i förordning (EU) 2021/1060 </w:t>
            </w:r>
            <w:r>
              <w:rPr>
                <w:b/>
                <w:i/>
              </w:rPr>
              <w:t>får</w:t>
            </w:r>
            <w:r>
              <w:t xml:space="preserve"> den maximala medfinansieringsgraden för </w:t>
            </w:r>
            <w:r>
              <w:rPr>
                <w:b/>
                <w:i/>
              </w:rPr>
              <w:t>de specifika prioriteringarna på försvarsområdet fastställas till 95 % endast om ett behov av total finansiering kan påvisas och utan att det hindrar medlemsstaternas proportionella bidrag. Detta undantag ska föregås av ett godkännande genom jämförande analys av huruvida investeringen är rättvis och hållbar, för att undvika obalanser</w:t>
            </w:r>
            <w:r>
              <w:t xml:space="preserve"> som </w:t>
            </w:r>
            <w:r>
              <w:rPr>
                <w:b/>
                <w:i/>
              </w:rPr>
              <w:t>på ett oproportionerligt sätt skulle kunna gynna de mer utvecklade regionerna</w:t>
            </w:r>
            <w:r>
              <w:t>.</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(Denna ändring berör hela texten)</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pPr>
        <w:pStyle w:val="CrossRef"/>
      </w:pPr>
      <w:r>
        <w:t>(Se punkterna 32–35 i revisionsrättens yttrande 02/2025)</w:t>
      </w:r>
    </w:p>
    <w:p w:rsidR="008E4158" w:rsidRPr="00A26490" w:rsidRDefault="008E4158" w:rsidP="008E4158">
      <w:pPr>
        <w:pStyle w:val="JustificationTitle"/>
        <w:rPr>
          <w:noProof w:val="0"/>
        </w:rPr>
      </w:pPr>
      <w:r>
        <w:rPr>
          <w:rStyle w:val="HideTWBExt"/>
          <w:i w:val="0"/>
        </w:rPr>
        <w:t>&lt;TitreJust&gt;</w:t>
      </w:r>
      <w:r>
        <w:t>Motivering</w:t>
      </w:r>
      <w:r>
        <w:rPr>
          <w:rStyle w:val="HideTWBExt"/>
          <w:i w:val="0"/>
        </w:rPr>
        <w:t>&lt;/TitreJust&gt;</w:t>
      </w:r>
    </w:p>
    <w:p w:rsidR="008E4158" w:rsidRPr="00A26490" w:rsidRDefault="008E4158" w:rsidP="008E4158">
      <w:pPr>
        <w:pStyle w:val="Normal12Italic"/>
        <w:rPr>
          <w:noProof w:val="0"/>
        </w:rPr>
      </w:pPr>
      <w:r>
        <w:t>Full finansiering utan åtskillnad (100 % samfinansiering) kan gynna de mer utvecklade regionerna och försvaga medfinansieringens hävstångseffekt. Det rekommenderas därför att denna åtgärd är strikt villkorad.</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103</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lastRenderedPageBreak/>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5</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(5)</w:t>
            </w:r>
            <w:r>
              <w:tab/>
              <w:t>Med avvikelse från artikel 112 i förordning (EU) 2021/1060 ska den maximala medfinansieringsgraden för särskilda prioriteringar som avses i punkt 1 i den här artikeln vara 100 %.</w:t>
            </w:r>
          </w:p>
        </w:tc>
        <w:tc>
          <w:tcPr>
            <w:tcW w:w="4876" w:type="dxa"/>
            <w:hideMark/>
          </w:tcPr>
          <w:p w:rsidR="008E4158" w:rsidRPr="00A26490" w:rsidRDefault="008E4158" w:rsidP="00BF1E0A">
            <w:pPr>
              <w:pStyle w:val="Normal6"/>
              <w:rPr>
                <w:szCs w:val="24"/>
              </w:rPr>
            </w:pPr>
            <w:r>
              <w:t>(5)</w:t>
            </w:r>
            <w:r>
              <w:tab/>
              <w:t>Med avvikelse från artikel 112 i förordning (EU) 2021/1060 ska den maximala medfinansieringsgraden för särskilda prioriteringar som avses i punkt 1 i den här artikeln vara 100 %</w:t>
            </w:r>
            <w:r>
              <w:rPr>
                <w:b/>
                <w:i/>
              </w:rPr>
              <w:t>, samtidigt som den nuvarande differentieringen mellan regionkategorierna behålls</w:t>
            </w:r>
            <w:r>
              <w: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104</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12c – punkt 5a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(5a)</w:t>
            </w:r>
            <w:r>
              <w:rPr>
                <w:b/>
                <w:i/>
              </w:rPr>
              <w:tab/>
              <w:t>Medlemsstaterna ska främja samarbete mellan organisationer som arbetar med att skapa och utnyttja kompetens, såsom yrkesskolor, akademiska institutioner, forskningsinstitut och industrier, för att främja innovation och stödja forskningsprogram inom Europeiska unionen. Detta ska omfatta åtgärder som stödjer utvecklingen av ny teknik och skyddet av immateriella rättigheter.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105</w:t>
      </w:r>
      <w:r>
        <w:rPr>
          <w:rStyle w:val="HideTWBExt"/>
          <w:b w:val="0"/>
        </w:rPr>
        <w:t>&lt;/NumAm&gt;</w:t>
      </w:r>
    </w:p>
    <w:p w:rsidR="008E4158" w:rsidRPr="00A26490" w:rsidRDefault="008E4158" w:rsidP="008E4158">
      <w:pPr>
        <w:pStyle w:val="NormalBold"/>
      </w:pPr>
      <w:r>
        <w:rPr>
          <w:rStyle w:val="HideTWBExt"/>
          <w:b w:val="0"/>
        </w:rPr>
        <w:t>&lt;RepeatBlock-By&gt;&lt;Members&gt;</w:t>
      </w:r>
      <w:r>
        <w:t xml:space="preserve">Elena Donazzan, Francesco Torselli, Mariateresa Vivaldini, </w:t>
      </w:r>
      <w:r>
        <w:lastRenderedPageBreak/>
        <w:t>Chiara Gemma</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rPr>
                <w:b/>
                <w:i/>
              </w:rPr>
              <w:t>Artikel 12d</w:t>
            </w:r>
          </w:p>
        </w:tc>
        <w:tc>
          <w:tcPr>
            <w:tcW w:w="4876" w:type="dxa"/>
            <w:hideMark/>
          </w:tcPr>
          <w:p w:rsidR="008E4158" w:rsidRPr="00A26490" w:rsidRDefault="008E4158" w:rsidP="00BF1E0A">
            <w:pPr>
              <w:pStyle w:val="Normal6"/>
              <w:rPr>
                <w:szCs w:val="24"/>
              </w:rPr>
            </w:pPr>
            <w:r>
              <w:rPr>
                <w:b/>
                <w:i/>
              </w:rPr>
              <w:t>utgår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pPr>
        <w:pStyle w:val="JustificationTitle"/>
        <w:rPr>
          <w:noProof w:val="0"/>
        </w:rPr>
      </w:pPr>
      <w:r>
        <w:rPr>
          <w:rStyle w:val="HideTWBExt"/>
          <w:i w:val="0"/>
        </w:rPr>
        <w:t>&lt;TitreJust&gt;</w:t>
      </w:r>
      <w:r>
        <w:t>Motivering</w:t>
      </w:r>
      <w:r>
        <w:rPr>
          <w:rStyle w:val="HideTWBExt"/>
          <w:i w:val="0"/>
        </w:rPr>
        <w:t>&lt;/TitreJust&gt;</w:t>
      </w:r>
    </w:p>
    <w:p w:rsidR="008E4158" w:rsidRPr="00A26490" w:rsidRDefault="008E4158" w:rsidP="008E4158">
      <w:pPr>
        <w:pStyle w:val="Normal12Italic"/>
        <w:rPr>
          <w:noProof w:val="0"/>
        </w:rPr>
      </w:pPr>
      <w:r>
        <w:t>Konkurrenskraft och ambitiösa klimatmål kan inte gå hand i hand. Europeiska socialfonden+ bör fokusera på sociala mål och inte fungera som ytterligare ett instrument för att genomföra miljöpolitiken.</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106</w:t>
      </w:r>
      <w:r>
        <w:rPr>
          <w:rStyle w:val="HideTWBExt"/>
          <w:b w:val="0"/>
        </w:rPr>
        <w:t>&lt;/NumAm&gt;</w:t>
      </w:r>
    </w:p>
    <w:p w:rsidR="008E4158" w:rsidRPr="00A26490" w:rsidRDefault="008E4158" w:rsidP="008E4158">
      <w:pPr>
        <w:pStyle w:val="NormalBold"/>
      </w:pPr>
      <w:r>
        <w:rPr>
          <w:rStyle w:val="HideTWBExt"/>
          <w:b w:val="0"/>
        </w:rPr>
        <w:t>&lt;RepeatBlock-By&gt;&lt;Members&gt;</w:t>
      </w:r>
      <w:r>
        <w:t>Maravillas Abadía Jover, 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 xml:space="preserve">Medlemsstaterna får </w:t>
            </w:r>
            <w:r>
              <w:rPr>
                <w:b/>
                <w:i/>
              </w:rPr>
              <w:t>besluta att planera</w:t>
            </w:r>
            <w:r>
              <w:t xml:space="preserve"> stöd till kompetensutveckling, kompetenshöjning och omskolning </w:t>
            </w:r>
            <w:r>
              <w:rPr>
                <w:b/>
                <w:i/>
              </w:rPr>
              <w:t>i syfte</w:t>
            </w:r>
            <w:r>
              <w:t xml:space="preserve"> att </w:t>
            </w:r>
            <w:r>
              <w:rPr>
                <w:b/>
                <w:i/>
              </w:rPr>
              <w:t>främja arbetstagares</w:t>
            </w:r>
            <w:r>
              <w:t xml:space="preserve">, </w:t>
            </w:r>
            <w:r>
              <w:rPr>
                <w:b/>
                <w:i/>
              </w:rPr>
              <w:t>företags</w:t>
            </w:r>
            <w:r>
              <w:t xml:space="preserve"> och </w:t>
            </w:r>
            <w:r>
              <w:rPr>
                <w:b/>
                <w:i/>
              </w:rPr>
              <w:t>företagares anpassning</w:t>
            </w:r>
            <w:r>
              <w:t xml:space="preserve"> till förändringar som </w:t>
            </w:r>
            <w:r>
              <w:rPr>
                <w:b/>
                <w:i/>
              </w:rPr>
              <w:t>bidrar</w:t>
            </w:r>
            <w:r>
              <w:t xml:space="preserve"> till utfasningen av fossila bränslen i produktionskapaciteten</w:t>
            </w:r>
            <w:r>
              <w:rPr>
                <w:b/>
                <w:i/>
              </w:rPr>
              <w:t xml:space="preserve"> inom ramen för</w:t>
            </w:r>
            <w:r>
              <w:t xml:space="preserve"> särskilda prioriteringar</w:t>
            </w:r>
            <w:r>
              <w:rPr>
                <w:b/>
                <w:i/>
              </w:rPr>
              <w:t>. Sådan</w:t>
            </w:r>
            <w:r w:rsidR="00A769F2">
              <w:rPr>
                <w:b/>
                <w:i/>
              </w:rPr>
              <w:t>a</w:t>
            </w:r>
            <w:r>
              <w:rPr>
                <w:b/>
                <w:i/>
              </w:rPr>
              <w:t xml:space="preserve"> särskilda</w:t>
            </w:r>
            <w:r>
              <w:t xml:space="preserve"> prioriteringar får </w:t>
            </w:r>
            <w:r>
              <w:rPr>
                <w:b/>
                <w:i/>
              </w:rPr>
              <w:t>stödja</w:t>
            </w:r>
            <w:r>
              <w:t xml:space="preserve"> något av de specifika mål som </w:t>
            </w:r>
            <w:r>
              <w:rPr>
                <w:b/>
                <w:i/>
              </w:rPr>
              <w:t>anges</w:t>
            </w:r>
            <w:r>
              <w:t xml:space="preserve"> i artikel 4.1 a–l.</w:t>
            </w:r>
          </w:p>
        </w:tc>
        <w:tc>
          <w:tcPr>
            <w:tcW w:w="4876" w:type="dxa"/>
            <w:hideMark/>
          </w:tcPr>
          <w:p w:rsidR="008E4158" w:rsidRPr="00A26490" w:rsidRDefault="008E4158" w:rsidP="00BF1E0A">
            <w:pPr>
              <w:pStyle w:val="Normal6"/>
              <w:rPr>
                <w:szCs w:val="24"/>
              </w:rPr>
            </w:pPr>
            <w:r>
              <w:t>(1)</w:t>
            </w:r>
            <w:r>
              <w:tab/>
              <w:t xml:space="preserve">Medlemsstaterna får </w:t>
            </w:r>
            <w:r>
              <w:rPr>
                <w:b/>
                <w:i/>
              </w:rPr>
              <w:t>riktat</w:t>
            </w:r>
            <w:r>
              <w:t xml:space="preserve"> stöd till </w:t>
            </w:r>
            <w:r>
              <w:rPr>
                <w:b/>
                <w:i/>
              </w:rPr>
              <w:t xml:space="preserve">åtgärder för </w:t>
            </w:r>
            <w:r>
              <w:t xml:space="preserve">kompetensutveckling, kompetenshöjning och omskolning </w:t>
            </w:r>
            <w:r>
              <w:rPr>
                <w:b/>
                <w:i/>
              </w:rPr>
              <w:t>för</w:t>
            </w:r>
            <w:r>
              <w:t xml:space="preserve"> att </w:t>
            </w:r>
            <w:r>
              <w:rPr>
                <w:b/>
                <w:i/>
              </w:rPr>
              <w:t>hjälpa arbetstagare</w:t>
            </w:r>
            <w:r>
              <w:t xml:space="preserve">, </w:t>
            </w:r>
            <w:r>
              <w:rPr>
                <w:b/>
                <w:i/>
              </w:rPr>
              <w:t>företag – särskilt små</w:t>
            </w:r>
            <w:r>
              <w:t xml:space="preserve"> och </w:t>
            </w:r>
            <w:r>
              <w:rPr>
                <w:b/>
                <w:i/>
              </w:rPr>
              <w:t>medelstora företag – att anpassa sig</w:t>
            </w:r>
            <w:r>
              <w:t xml:space="preserve"> till</w:t>
            </w:r>
            <w:r>
              <w:rPr>
                <w:b/>
                <w:i/>
              </w:rPr>
              <w:t xml:space="preserve"> strukturella</w:t>
            </w:r>
            <w:r>
              <w:t xml:space="preserve"> förändringar som </w:t>
            </w:r>
            <w:r>
              <w:rPr>
                <w:b/>
                <w:i/>
              </w:rPr>
              <w:t>är kopplade</w:t>
            </w:r>
            <w:r>
              <w:t xml:space="preserve"> till utfasningen av fossila bränslen i produktionskapaciteten</w:t>
            </w:r>
            <w:r>
              <w:rPr>
                <w:b/>
                <w:i/>
              </w:rPr>
              <w:t>. Dessa</w:t>
            </w:r>
            <w:r>
              <w:t xml:space="preserve"> särskilda prioriteringar</w:t>
            </w:r>
            <w:r>
              <w:rPr>
                <w:b/>
                <w:i/>
              </w:rPr>
              <w:t xml:space="preserve"> bör stärka små och medelstora företags kapacitet att förbli konkurrenskraftiga, hållbara och innovativa i den gröna omställningen. Sådana</w:t>
            </w:r>
            <w:r>
              <w:t xml:space="preserve"> prioriteringar får </w:t>
            </w:r>
            <w:r>
              <w:rPr>
                <w:b/>
                <w:i/>
              </w:rPr>
              <w:t>bidra till</w:t>
            </w:r>
            <w:r>
              <w:t xml:space="preserve"> något av de specifika mål som </w:t>
            </w:r>
            <w:r>
              <w:rPr>
                <w:b/>
                <w:i/>
              </w:rPr>
              <w:t>förtecknas</w:t>
            </w:r>
            <w:r>
              <w:t xml:space="preserve"> i artikel 4.1 a–l.</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i/>
              </w:rPr>
              <w:t xml:space="preserve">(Denna ändring berör hela texten. Om ändringen antas ska hela texten anpassas i </w:t>
            </w:r>
            <w:r>
              <w:rPr>
                <w:i/>
              </w:rPr>
              <w:lastRenderedPageBreak/>
              <w:t>överensstämmelse härmed.)</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107</w:t>
      </w:r>
      <w:r>
        <w:rPr>
          <w:rStyle w:val="HideTWBExt"/>
          <w:b w:val="0"/>
        </w:rPr>
        <w:t>&lt;/NumAm&gt;</w:t>
      </w:r>
    </w:p>
    <w:p w:rsidR="008E4158" w:rsidRPr="00A26490" w:rsidRDefault="008E4158" w:rsidP="008E4158">
      <w:pPr>
        <w:pStyle w:val="NormalBold"/>
      </w:pPr>
      <w:r>
        <w:rPr>
          <w:rStyle w:val="HideTWBExt"/>
          <w:b w:val="0"/>
        </w:rPr>
        <w:t>&lt;RepeatBlock-By&gt;&lt;Members&gt;</w:t>
      </w:r>
      <w:r>
        <w:t>Marie Dauchy, Nikola Bartůšek, Pál Szekeres</w:t>
      </w:r>
      <w:r>
        <w:rPr>
          <w:rStyle w:val="HideTWBExt"/>
          <w:b w:val="0"/>
        </w:rPr>
        <w:t>&lt;/Members&gt;</w:t>
      </w:r>
    </w:p>
    <w:p w:rsidR="008E4158" w:rsidRPr="00A26490" w:rsidRDefault="008E4158" w:rsidP="008E4158">
      <w:r>
        <w:rPr>
          <w:rStyle w:val="HideTWBExt"/>
        </w:rPr>
        <w:t>&lt;AuNomDe&gt;</w:t>
      </w:r>
      <w:r>
        <w:rPr>
          <w:rStyle w:val="HideTWBInt"/>
        </w:rPr>
        <w:t>{EMPL}</w:t>
      </w:r>
      <w:r>
        <w:t>för utskottet för sysselsättning och sociala frågor</w:t>
      </w:r>
      <w:r>
        <w:rPr>
          <w:rStyle w:val="HideTWBExt"/>
        </w:rPr>
        <w:t>&lt;/AuNomDe&gt;</w:t>
      </w:r>
    </w:p>
    <w:p w:rsidR="008E4158" w:rsidRPr="00A26490" w:rsidRDefault="008E4158" w:rsidP="008E4158">
      <w:pPr>
        <w:pStyle w:val="NormalBold"/>
      </w:pPr>
      <w:r>
        <w:rPr>
          <w:rStyle w:val="HideTWBExt"/>
          <w:b w:val="0"/>
        </w:rPr>
        <w:t>&lt;Members&gt;</w:t>
      </w:r>
      <w:r>
        <w:t>Séverine Werbrouck, Rachel Blom</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 xml:space="preserve">Medlemsstaterna får besluta att planera stöd till kompetensutveckling, kompetenshöjning och omskolning i syfte att främja arbetstagares, företags och företagares anpassning </w:t>
            </w:r>
            <w:r>
              <w:rPr>
                <w:b/>
                <w:bCs/>
                <w:i/>
                <w:iCs/>
              </w:rPr>
              <w:t>till förändringar</w:t>
            </w:r>
            <w:r>
              <w:t xml:space="preserve"> som bidrar till </w:t>
            </w:r>
            <w:r>
              <w:rPr>
                <w:b/>
                <w:bCs/>
                <w:i/>
                <w:iCs/>
              </w:rPr>
              <w:t>utfasningen av fossila bränslen i</w:t>
            </w:r>
            <w:r>
              <w:t xml:space="preserve"> produktionskapaciteten inom ramen för särskilda prioriteringar. </w:t>
            </w:r>
            <w:r>
              <w:rPr>
                <w:b/>
                <w:bCs/>
                <w:i/>
                <w:iCs/>
              </w:rPr>
              <w:t>Sådan</w:t>
            </w:r>
            <w:r w:rsidR="00A769F2">
              <w:rPr>
                <w:b/>
                <w:bCs/>
                <w:i/>
                <w:iCs/>
              </w:rPr>
              <w:t>a</w:t>
            </w:r>
            <w:r>
              <w:t xml:space="preserve"> särskilda prioriteringar får stödja något av de specifika mål som anges i artikel 4.1 a–l.</w:t>
            </w:r>
          </w:p>
        </w:tc>
        <w:tc>
          <w:tcPr>
            <w:tcW w:w="4876" w:type="dxa"/>
            <w:hideMark/>
          </w:tcPr>
          <w:p w:rsidR="008E4158" w:rsidRPr="00A26490" w:rsidRDefault="008E4158" w:rsidP="00BF1E0A">
            <w:pPr>
              <w:pStyle w:val="Normal6"/>
              <w:rPr>
                <w:szCs w:val="24"/>
              </w:rPr>
            </w:pPr>
            <w:r>
              <w:t>(1)</w:t>
            </w:r>
            <w:r>
              <w:tab/>
              <w:t>Medlemsstaterna får besluta att planera stöd till kompetensutveckling, kompetenshöjning och omskolning i syfte att främja arbetstagares, företags och företagares anpassning</w:t>
            </w:r>
            <w:r>
              <w:rPr>
                <w:b/>
                <w:bCs/>
                <w:i/>
                <w:iCs/>
              </w:rPr>
              <w:t>,</w:t>
            </w:r>
            <w:r>
              <w:t xml:space="preserve"> som bidrar till </w:t>
            </w:r>
            <w:r>
              <w:rPr>
                <w:b/>
                <w:bCs/>
                <w:i/>
                <w:iCs/>
              </w:rPr>
              <w:t xml:space="preserve">att stärka den industriella </w:t>
            </w:r>
            <w:r>
              <w:t xml:space="preserve">produktionskapaciteten </w:t>
            </w:r>
            <w:r>
              <w:rPr>
                <w:b/>
                <w:bCs/>
                <w:i/>
                <w:iCs/>
              </w:rPr>
              <w:t xml:space="preserve">och produktionsmedlen, däribland produktionen av kärnenergi, </w:t>
            </w:r>
            <w:r>
              <w:t xml:space="preserve">inom ramen för särskilda prioriteringar. </w:t>
            </w:r>
            <w:r>
              <w:rPr>
                <w:b/>
                <w:bCs/>
                <w:i/>
                <w:iCs/>
              </w:rPr>
              <w:t>Sådana</w:t>
            </w:r>
            <w:r>
              <w:t xml:space="preserve"> särskilda prioriteringar får stödja något av de specifika mål som anges i artikel 4.1 a–l.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{FR}</w:t>
      </w:r>
      <w:r w:rsidRPr="00A26490">
        <w:rPr>
          <w:noProof w:val="0"/>
        </w:rPr>
        <w:t>fr</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108</w:t>
      </w:r>
      <w:r>
        <w:rPr>
          <w:rStyle w:val="HideTWBExt"/>
          <w:b w:val="0"/>
        </w:rPr>
        <w:t>&lt;/NumAm&gt;</w:t>
      </w:r>
    </w:p>
    <w:p w:rsidR="008E4158" w:rsidRPr="00A26490" w:rsidRDefault="008E4158" w:rsidP="008E4158">
      <w:pPr>
        <w:pStyle w:val="NormalBold"/>
      </w:pPr>
      <w:r>
        <w:rPr>
          <w:rStyle w:val="HideTWBExt"/>
          <w:b w:val="0"/>
        </w:rPr>
        <w:t>&lt;RepeatBlock-By&gt;&lt;Members&gt;</w:t>
      </w:r>
      <w:r>
        <w:t>Marit Maij, Estelle Ceulemans, Gabriele Bischoff, Alicia Homs Ginel, Evelyn Regner, Marc Angel, Idoia Mendia, Vilija Blinkevičiūtė, Aodhán Ó Ríordáin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 xml:space="preserve">Medlemsstaterna får besluta att </w:t>
            </w:r>
            <w:r>
              <w:lastRenderedPageBreak/>
              <w:t>planera stöd till kompetensutveckling, kompetenshöjning och omskolning i syfte att främja arbetstagares, företags och företagares anpassning till förändringar som bidrar till utfasningen av fossila bränslen i produktionskapaciteten inom ramen för särskilda prioriteringar. Sådan</w:t>
            </w:r>
            <w:r w:rsidR="009B4EE9">
              <w:t>a</w:t>
            </w:r>
            <w:r>
              <w:t xml:space="preserve"> särskilda prioriteringar får stödja något av de specifika mål som anges i artikel 4.1 </w:t>
            </w:r>
            <w:r>
              <w:rPr>
                <w:b/>
                <w:i/>
              </w:rPr>
              <w:t>a–l</w:t>
            </w:r>
            <w:r>
              <w:t>.</w:t>
            </w:r>
          </w:p>
        </w:tc>
        <w:tc>
          <w:tcPr>
            <w:tcW w:w="4876" w:type="dxa"/>
            <w:hideMark/>
          </w:tcPr>
          <w:p w:rsidR="008E4158" w:rsidRPr="00A26490" w:rsidRDefault="008E4158" w:rsidP="00BF1E0A">
            <w:pPr>
              <w:pStyle w:val="Normal6"/>
              <w:rPr>
                <w:szCs w:val="24"/>
              </w:rPr>
            </w:pPr>
            <w:r>
              <w:lastRenderedPageBreak/>
              <w:t>(1)</w:t>
            </w:r>
            <w:r>
              <w:tab/>
              <w:t>Medlemsstaterna får besluta</w:t>
            </w:r>
            <w:r>
              <w:rPr>
                <w:b/>
                <w:i/>
              </w:rPr>
              <w:t xml:space="preserve">, efter </w:t>
            </w:r>
            <w:r>
              <w:rPr>
                <w:b/>
                <w:i/>
              </w:rPr>
              <w:lastRenderedPageBreak/>
              <w:t>samråd med arbetsmarknadsparterna på nationell nivå,</w:t>
            </w:r>
            <w:r>
              <w:t xml:space="preserve"> att planera stöd till kompetensutveckling, kompetenshöjning och omskolning i syfte att främja arbetstagares, företags och företagares anpassning till förändringar som bidrar till utfasningen av fossila bränslen i produktionskapaciteten inom ramen för särskilda prioriteringar. Sådan</w:t>
            </w:r>
            <w:r w:rsidR="009B4EE9">
              <w:t>a</w:t>
            </w:r>
            <w:r>
              <w:t xml:space="preserve"> särskilda prioriteringar får stödja något av de specifika mål som anges i artikel 4.1 </w:t>
            </w:r>
            <w:r>
              <w:rPr>
                <w:b/>
                <w:i/>
              </w:rPr>
              <w:t>a–g</w:t>
            </w:r>
            <w:r>
              <w:t>.</w:t>
            </w:r>
          </w:p>
        </w:tc>
      </w:tr>
    </w:tbl>
    <w:p w:rsidR="008E4158" w:rsidRPr="00A26490" w:rsidRDefault="008E4158" w:rsidP="008E4158">
      <w:pPr>
        <w:pStyle w:val="Olang"/>
      </w:pPr>
      <w:r w:rsidRPr="00A26490">
        <w:rPr>
          <w:noProof w:val="0"/>
        </w:rPr>
        <w:lastRenderedPageBreak/>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109</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Jana Toom,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 xml:space="preserve">Medlemsstaterna får besluta att planera stöd till kompetensutveckling, kompetenshöjning </w:t>
            </w:r>
            <w:r>
              <w:rPr>
                <w:b/>
                <w:bCs/>
                <w:i/>
                <w:iCs/>
              </w:rPr>
              <w:t xml:space="preserve">och </w:t>
            </w:r>
            <w:r>
              <w:t>omskolning i syfte att främja arbetstagares, företags och företagares anpassning till förändringar som bidrar till utfasningen av fossila bränslen i produktionskapaciteten inom ramen för särskilda prioriteringar. Sådan</w:t>
            </w:r>
            <w:r w:rsidR="009B4EE9">
              <w:t>a</w:t>
            </w:r>
            <w:r>
              <w:t xml:space="preserve"> särskilda prioriteringar </w:t>
            </w:r>
            <w:r>
              <w:rPr>
                <w:b/>
                <w:bCs/>
                <w:i/>
                <w:iCs/>
              </w:rPr>
              <w:t>får</w:t>
            </w:r>
            <w:r>
              <w:t xml:space="preserve"> stödja något av de specifika mål som anges i artikel 4.1 </w:t>
            </w:r>
            <w:r>
              <w:rPr>
                <w:b/>
                <w:bCs/>
                <w:i/>
                <w:iCs/>
              </w:rPr>
              <w:t>a–l</w:t>
            </w:r>
            <w:r>
              <w:t>.</w:t>
            </w:r>
          </w:p>
        </w:tc>
        <w:tc>
          <w:tcPr>
            <w:tcW w:w="4876" w:type="dxa"/>
            <w:hideMark/>
          </w:tcPr>
          <w:p w:rsidR="008E4158" w:rsidRPr="00A26490" w:rsidRDefault="008E4158" w:rsidP="00BF1E0A">
            <w:pPr>
              <w:pStyle w:val="Normal6"/>
              <w:rPr>
                <w:szCs w:val="24"/>
              </w:rPr>
            </w:pPr>
            <w:r>
              <w:t>(1)</w:t>
            </w:r>
            <w:r>
              <w:tab/>
              <w:t>Medlemsstaterna får besluta att planera stöd till kompetensutveckling, kompetenshöjning</w:t>
            </w:r>
            <w:r>
              <w:rPr>
                <w:b/>
                <w:bCs/>
                <w:i/>
                <w:iCs/>
              </w:rPr>
              <w:t>,</w:t>
            </w:r>
            <w:r>
              <w:t xml:space="preserve"> omskolning </w:t>
            </w:r>
            <w:r>
              <w:rPr>
                <w:b/>
                <w:bCs/>
                <w:i/>
                <w:iCs/>
              </w:rPr>
              <w:t>och utbildning såväl som forskning, utveckling och innovation</w:t>
            </w:r>
            <w:r>
              <w:t xml:space="preserve"> i syfte att främja arbetstagares, företags och företagares anpassning till förändringar som bidrar till utfasningen av fossila bränslen i produktionskapaciteten inom ramen för särskilda prioriteringar. Sådan</w:t>
            </w:r>
            <w:r w:rsidR="009B4EE9">
              <w:t>a</w:t>
            </w:r>
            <w:r>
              <w:t xml:space="preserve"> särskilda prioriteringar </w:t>
            </w:r>
            <w:r>
              <w:rPr>
                <w:b/>
                <w:bCs/>
                <w:i/>
                <w:iCs/>
              </w:rPr>
              <w:t xml:space="preserve">ska </w:t>
            </w:r>
            <w:r>
              <w:t>stödja något av de specifika mål som anges i artikel 4.1.</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110</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lastRenderedPageBreak/>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 – punkt 1</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(1)</w:t>
            </w:r>
            <w:r>
              <w:tab/>
              <w:t>Medlemsstaterna får besluta att planera stöd till kompetensutveckling, kompetenshöjning och omskolning i syfte att främja arbetstagares, företags och företagares anpassning till förändringar som bidrar till utfasningen av fossila bränslen i produktionskapaciteten inom ramen för särskilda prioriteringar. Sådan</w:t>
            </w:r>
            <w:r w:rsidR="009B4EE9">
              <w:t>a</w:t>
            </w:r>
            <w:r>
              <w:t xml:space="preserve"> särskilda prioriteringar </w:t>
            </w:r>
            <w:r>
              <w:rPr>
                <w:b/>
                <w:i/>
              </w:rPr>
              <w:t>får</w:t>
            </w:r>
            <w:r>
              <w:t xml:space="preserve"> stödja </w:t>
            </w:r>
            <w:r>
              <w:rPr>
                <w:b/>
                <w:i/>
              </w:rPr>
              <w:t>något</w:t>
            </w:r>
            <w:r>
              <w:t xml:space="preserve"> av de specifika mål som anges i artikel 4.1 a–l.</w:t>
            </w:r>
          </w:p>
        </w:tc>
        <w:tc>
          <w:tcPr>
            <w:tcW w:w="4876" w:type="dxa"/>
            <w:hideMark/>
          </w:tcPr>
          <w:p w:rsidR="008E4158" w:rsidRPr="00A26490" w:rsidRDefault="008E4158" w:rsidP="00BF1E0A">
            <w:pPr>
              <w:pStyle w:val="Normal6"/>
              <w:rPr>
                <w:szCs w:val="24"/>
              </w:rPr>
            </w:pPr>
            <w:r>
              <w:t>(1)</w:t>
            </w:r>
            <w:r>
              <w:tab/>
              <w:t>Medlemsstaterna får besluta att planera stöd till kompetensutveckling, kompetenshöjning och omskolning i syfte att främja arbetstagares, företags och företagares anpassning till förändringar som bidrar till utfasningen av fossila bränslen i produktionskapaciteten inom ramen för särskilda prioriteringar. Sådan</w:t>
            </w:r>
            <w:r w:rsidR="009B4EE9">
              <w:t>a</w:t>
            </w:r>
            <w:r>
              <w:t xml:space="preserve"> särskilda prioriteringar </w:t>
            </w:r>
            <w:r>
              <w:rPr>
                <w:b/>
                <w:i/>
              </w:rPr>
              <w:t>ska</w:t>
            </w:r>
            <w:r>
              <w:t xml:space="preserve"> stödja </w:t>
            </w:r>
            <w:r>
              <w:rPr>
                <w:b/>
                <w:i/>
              </w:rPr>
              <w:t>ett eller flera</w:t>
            </w:r>
            <w:r>
              <w:t xml:space="preserve"> av de specifika mål som anges i artikel 4.1 a–l.</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111</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 – punkt 1a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(1a)</w:t>
            </w:r>
            <w:r>
              <w:rPr>
                <w:b/>
                <w:i/>
              </w:rPr>
              <w:tab/>
              <w:t>Medel som tilldelats den särskilda prioritering som avses i punkt 1 ska beaktas när man säkerställer efterlevnad av kraven på tematisk koncentration enligt artikel 7 i den här förordningen.</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112</w:t>
      </w:r>
      <w:r>
        <w:rPr>
          <w:rStyle w:val="HideTWBExt"/>
          <w:b w:val="0"/>
        </w:rPr>
        <w:t>&lt;/NumAm&gt;</w:t>
      </w:r>
    </w:p>
    <w:p w:rsidR="008E4158" w:rsidRPr="00A26490" w:rsidRDefault="008E4158" w:rsidP="008E4158">
      <w:pPr>
        <w:pStyle w:val="NormalBold"/>
      </w:pPr>
      <w:r>
        <w:rPr>
          <w:rStyle w:val="HideTWBExt"/>
          <w:b w:val="0"/>
        </w:rPr>
        <w:t>&lt;RepeatBlock-By&gt;&lt;Members&gt;</w:t>
      </w:r>
      <w:r>
        <w:t>Miriam Lexmann</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lastRenderedPageBreak/>
        <w:t>&lt;DocAmend2&gt;</w:t>
      </w:r>
      <w:r>
        <w:t>Förordning (EU) 2021/1057</w:t>
      </w:r>
      <w:r>
        <w:rPr>
          <w:rStyle w:val="HideTWBExt"/>
        </w:rPr>
        <w:t>&lt;/DocAmend2&gt;</w:t>
      </w:r>
    </w:p>
    <w:p w:rsidR="008E4158" w:rsidRPr="00A26490" w:rsidRDefault="008E4158" w:rsidP="008E4158">
      <w:r>
        <w:rPr>
          <w:rStyle w:val="HideTWBExt"/>
        </w:rPr>
        <w:t>&lt;Article2&gt;</w:t>
      </w:r>
      <w:r>
        <w:t>Artikel 12d – punkt 5</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hideMark/>
          </w:tcPr>
          <w:p w:rsidR="008E4158" w:rsidRPr="00A26490" w:rsidRDefault="008E4158" w:rsidP="00BF1E0A">
            <w:pPr>
              <w:pStyle w:val="Normal6"/>
            </w:pPr>
            <w:r>
              <w:t>(5)</w:t>
            </w:r>
            <w:r>
              <w:tab/>
              <w:t>Med avvikelse från artikel 112 i förordning (EU) 2021/1060 ska den maximala medfinansieringsgraden för särskilda prioriteringar som avses i punkt 1 i den här artikeln vara 100 %.</w:t>
            </w:r>
          </w:p>
        </w:tc>
        <w:tc>
          <w:tcPr>
            <w:tcW w:w="4876" w:type="dxa"/>
            <w:hideMark/>
          </w:tcPr>
          <w:p w:rsidR="008E4158" w:rsidRPr="00A26490" w:rsidRDefault="008E4158" w:rsidP="00BF1E0A">
            <w:pPr>
              <w:pStyle w:val="Normal6"/>
              <w:rPr>
                <w:szCs w:val="24"/>
              </w:rPr>
            </w:pPr>
            <w:r>
              <w:t>(5)</w:t>
            </w:r>
            <w:r>
              <w:tab/>
              <w:t>Med avvikelse från artikel 112 i förordning (EU) 2021/1060 ska den maximala medfinansieringsgraden för särskilda prioriteringar som avses i punkt 1 i den här artikeln vara 100 %</w:t>
            </w:r>
            <w:r>
              <w:rPr>
                <w:b/>
                <w:i/>
              </w:rPr>
              <w:t>, samtidigt som den nuvarande differentieringen mellan regionkategorierna behålls</w:t>
            </w:r>
            <w:r>
              <w:t>.</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Pr="00A26490" w:rsidRDefault="008E4158" w:rsidP="008E4158">
      <w:pPr>
        <w:pStyle w:val="JustificationTitle"/>
        <w:rPr>
          <w:noProof w:val="0"/>
        </w:rPr>
      </w:pPr>
      <w:r>
        <w:rPr>
          <w:rStyle w:val="HideTWBExt"/>
          <w:i w:val="0"/>
        </w:rPr>
        <w:t>&lt;TitreJust&gt;</w:t>
      </w:r>
      <w:r>
        <w:t>Motivering</w:t>
      </w:r>
      <w:r>
        <w:rPr>
          <w:rStyle w:val="HideTWBExt"/>
          <w:i w:val="0"/>
        </w:rPr>
        <w:t>&lt;/TitreJust&gt;</w:t>
      </w:r>
    </w:p>
    <w:p w:rsidR="008E4158" w:rsidRPr="00A26490" w:rsidRDefault="008E4158" w:rsidP="008E4158">
      <w:pPr>
        <w:pStyle w:val="Normal12Italic"/>
        <w:rPr>
          <w:noProof w:val="0"/>
        </w:rPr>
      </w:pPr>
      <w:r>
        <w:t>Behövs för att behålla den nuvarande differentieringen av medfinansieringsgrad mellan regionkategorier.</w:t>
      </w:r>
    </w:p>
    <w:p w:rsidR="008E4158" w:rsidRPr="00A26490" w:rsidRDefault="008E4158" w:rsidP="008E4158">
      <w:r>
        <w:rPr>
          <w:rStyle w:val="HideTWBExt"/>
        </w:rPr>
        <w:t>&lt;/Amend&gt;</w:t>
      </w:r>
    </w:p>
    <w:p w:rsidR="008E4158" w:rsidRPr="00A26490" w:rsidRDefault="008E4158" w:rsidP="008E4158">
      <w:pPr>
        <w:pStyle w:val="AMNumberTabs0"/>
        <w:keepNext/>
      </w:pPr>
      <w:r>
        <w:rPr>
          <w:rStyle w:val="HideTWBExt"/>
          <w:b w:val="0"/>
        </w:rPr>
        <w:t>&lt;Amend&gt;</w:t>
      </w:r>
      <w:r>
        <w:t>Ändringsförslag</w:t>
      </w:r>
      <w:r>
        <w:tab/>
      </w:r>
      <w:r>
        <w:tab/>
      </w:r>
      <w:r>
        <w:rPr>
          <w:rStyle w:val="HideTWBExt"/>
          <w:b w:val="0"/>
        </w:rPr>
        <w:t>&lt;NumAm&gt;</w:t>
      </w:r>
      <w:r>
        <w:t>113</w:t>
      </w:r>
      <w:r>
        <w:rPr>
          <w:rStyle w:val="HideTWBExt"/>
          <w:b w:val="0"/>
        </w:rPr>
        <w:t>&lt;/NumAm&gt;</w:t>
      </w:r>
    </w:p>
    <w:p w:rsidR="008E4158" w:rsidRPr="00A26490" w:rsidRDefault="008E4158" w:rsidP="008E4158">
      <w:pPr>
        <w:pStyle w:val="NormalBold"/>
      </w:pPr>
      <w:r>
        <w:rPr>
          <w:rStyle w:val="HideTWBExt"/>
          <w:b w:val="0"/>
        </w:rPr>
        <w:t>&lt;RepeatBlock-By&gt;&lt;Members&gt;</w:t>
      </w:r>
      <w:r>
        <w:t>Brigitte van den Berg, Hristo Petrov, Grégory Allione, Eugen Tomac</w:t>
      </w:r>
      <w:r>
        <w:rPr>
          <w:rStyle w:val="HideTWBExt"/>
          <w:b w:val="0"/>
        </w:rPr>
        <w:t>&lt;/Members&gt;</w:t>
      </w:r>
    </w:p>
    <w:p w:rsidR="008E4158" w:rsidRPr="00A26490" w:rsidRDefault="008E4158" w:rsidP="008E4158">
      <w:r>
        <w:rPr>
          <w:rStyle w:val="HideTWBExt"/>
        </w:rPr>
        <w:t>&lt;/RepeatBlock-By&gt;</w:t>
      </w:r>
    </w:p>
    <w:p w:rsidR="008E4158" w:rsidRPr="00A26490" w:rsidRDefault="008E4158" w:rsidP="008E4158">
      <w:pPr>
        <w:pStyle w:val="NormalBold"/>
        <w:keepNext/>
      </w:pPr>
      <w:r>
        <w:rPr>
          <w:rStyle w:val="HideTWBExt"/>
          <w:b w:val="0"/>
        </w:rPr>
        <w:t>&lt;DocAmend&gt;</w:t>
      </w:r>
      <w:r>
        <w:t>Förslag till förordning</w:t>
      </w:r>
      <w:r>
        <w:rPr>
          <w:rStyle w:val="HideTWBExt"/>
          <w:b w:val="0"/>
        </w:rPr>
        <w:t>&lt;/DocAmend&gt;</w:t>
      </w:r>
    </w:p>
    <w:p w:rsidR="008E4158" w:rsidRPr="00A26490" w:rsidRDefault="008E4158" w:rsidP="008E4158">
      <w:pPr>
        <w:pStyle w:val="NormalBold"/>
      </w:pPr>
      <w:r>
        <w:rPr>
          <w:rStyle w:val="HideTWBExt"/>
          <w:b w:val="0"/>
        </w:rPr>
        <w:t>&lt;Article&gt;</w:t>
      </w:r>
      <w:r>
        <w:t>Artikel 1 – stycke 1 – led 3</w:t>
      </w:r>
      <w:r>
        <w:rPr>
          <w:rStyle w:val="HideTWBExt"/>
          <w:b w:val="0"/>
        </w:rPr>
        <w:t>&lt;/Article&gt;</w:t>
      </w:r>
    </w:p>
    <w:p w:rsidR="008E4158" w:rsidRPr="00A26490" w:rsidRDefault="008E4158" w:rsidP="008E4158">
      <w:pPr>
        <w:keepNext/>
      </w:pPr>
      <w:r>
        <w:rPr>
          <w:rStyle w:val="HideTWBExt"/>
        </w:rPr>
        <w:t>&lt;DocAmend2&gt;</w:t>
      </w:r>
      <w:r>
        <w:t>Förordning (EU) 2021/1057</w:t>
      </w:r>
      <w:r>
        <w:rPr>
          <w:rStyle w:val="HideTWBExt"/>
        </w:rPr>
        <w:t>&lt;/DocAmend2&gt;</w:t>
      </w:r>
    </w:p>
    <w:p w:rsidR="008E4158" w:rsidRPr="00A26490" w:rsidRDefault="008E4158" w:rsidP="008E4158">
      <w:r>
        <w:rPr>
          <w:rStyle w:val="HideTWBExt"/>
        </w:rPr>
        <w:t>&lt;Article2&gt;</w:t>
      </w:r>
      <w:r>
        <w:t>Artikel 12d – punkt 5a (ny)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E4158" w:rsidTr="00BF1E0A">
        <w:trPr>
          <w:jc w:val="center"/>
        </w:trPr>
        <w:tc>
          <w:tcPr>
            <w:tcW w:w="9752" w:type="dxa"/>
            <w:gridSpan w:val="2"/>
          </w:tcPr>
          <w:p w:rsidR="008E4158" w:rsidRPr="00A26490" w:rsidRDefault="008E4158" w:rsidP="00BF1E0A">
            <w:pPr>
              <w:keepNext/>
            </w:pPr>
          </w:p>
        </w:tc>
      </w:tr>
      <w:tr w:rsidR="008E4158" w:rsidTr="00BF1E0A">
        <w:trPr>
          <w:jc w:val="center"/>
        </w:trPr>
        <w:tc>
          <w:tcPr>
            <w:tcW w:w="4876" w:type="dxa"/>
            <w:hideMark/>
          </w:tcPr>
          <w:p w:rsidR="008E4158" w:rsidRPr="00A26490" w:rsidRDefault="008E4158" w:rsidP="00BF1E0A">
            <w:pPr>
              <w:pStyle w:val="ColumnHeading"/>
              <w:keepNext/>
            </w:pPr>
            <w:r>
              <w:t>Kommissionens förslag</w:t>
            </w:r>
          </w:p>
        </w:tc>
        <w:tc>
          <w:tcPr>
            <w:tcW w:w="4876" w:type="dxa"/>
            <w:hideMark/>
          </w:tcPr>
          <w:p w:rsidR="008E4158" w:rsidRPr="00A26490" w:rsidRDefault="008E4158" w:rsidP="00BF1E0A">
            <w:pPr>
              <w:pStyle w:val="ColumnHeading"/>
              <w:keepNext/>
            </w:pPr>
            <w:r>
              <w:t>Ändringsförslag</w:t>
            </w:r>
          </w:p>
        </w:tc>
      </w:tr>
      <w:tr w:rsidR="008E4158" w:rsidTr="00BF1E0A">
        <w:trPr>
          <w:jc w:val="center"/>
        </w:trPr>
        <w:tc>
          <w:tcPr>
            <w:tcW w:w="4876" w:type="dxa"/>
          </w:tcPr>
          <w:p w:rsidR="008E4158" w:rsidRPr="00A26490" w:rsidRDefault="008E4158" w:rsidP="00BF1E0A">
            <w:pPr>
              <w:pStyle w:val="Normal6"/>
            </w:pPr>
          </w:p>
        </w:tc>
        <w:tc>
          <w:tcPr>
            <w:tcW w:w="4876" w:type="dxa"/>
            <w:hideMark/>
          </w:tcPr>
          <w:p w:rsidR="008E4158" w:rsidRPr="00A26490" w:rsidRDefault="008E4158" w:rsidP="00BF1E0A">
            <w:pPr>
              <w:pStyle w:val="Normal6"/>
              <w:rPr>
                <w:szCs w:val="24"/>
              </w:rPr>
            </w:pPr>
            <w:r>
              <w:rPr>
                <w:b/>
                <w:i/>
              </w:rPr>
              <w:t>(5a)</w:t>
            </w:r>
            <w:r>
              <w:rPr>
                <w:b/>
                <w:i/>
              </w:rPr>
              <w:tab/>
              <w:t>Medlemsstaterna ska främja samarbete mellan organisationer som arbetar med att skapa och utnyttja kompetens, såsom yrkesskolor, akademiska institutioner, forskningsinstitut och industrier, för att främja innovation och stödja forskningsprogram inom Europeiska unionen. Detta ska omfatta åtgärder som stödjer utvecklingen av ny teknik och skyddet av immateriella rättigheter.</w:t>
            </w:r>
          </w:p>
        </w:tc>
      </w:tr>
    </w:tbl>
    <w:p w:rsidR="008E4158" w:rsidRPr="00A26490" w:rsidRDefault="008E4158" w:rsidP="008E4158">
      <w:pPr>
        <w:pStyle w:val="Olang"/>
      </w:pPr>
      <w:r w:rsidRPr="00A26490">
        <w:rPr>
          <w:noProof w:val="0"/>
        </w:rPr>
        <w:t xml:space="preserve">Or. </w:t>
      </w:r>
      <w:r w:rsidRPr="00A26490">
        <w:rPr>
          <w:rStyle w:val="HideTWBExt"/>
          <w:noProof w:val="0"/>
        </w:rPr>
        <w:t>&lt;Original&gt;</w:t>
      </w:r>
      <w:r w:rsidRPr="00A26490">
        <w:rPr>
          <w:rStyle w:val="HideTWBInt"/>
          <w:rFonts w:eastAsiaTheme="majorEastAsia"/>
          <w:noProof w:val="0"/>
        </w:rPr>
        <w:t>{EN}</w:t>
      </w:r>
      <w:r w:rsidRPr="00A26490">
        <w:rPr>
          <w:noProof w:val="0"/>
        </w:rPr>
        <w:t>en</w:t>
      </w:r>
      <w:r w:rsidRPr="00A26490">
        <w:rPr>
          <w:rStyle w:val="HideTWBExt"/>
          <w:noProof w:val="0"/>
        </w:rPr>
        <w:t>&lt;/Original&gt;</w:t>
      </w:r>
    </w:p>
    <w:p w:rsidR="008E4158" w:rsidRDefault="008E4158" w:rsidP="008E4158">
      <w:r>
        <w:rPr>
          <w:rStyle w:val="HideTWBExt"/>
        </w:rPr>
        <w:t>&lt;/Amend&gt;</w:t>
      </w:r>
      <w:r w:rsidRPr="008E4158">
        <w:rPr>
          <w:rStyle w:val="HideTWBExt"/>
        </w:rPr>
        <w:t>&lt;/RepeatBlock-Amend&gt;</w:t>
      </w:r>
    </w:p>
    <w:p w:rsidR="008363E4" w:rsidRPr="00A26490" w:rsidRDefault="008363E4" w:rsidP="008E4158"/>
    <w:sectPr w:rsidR="008363E4" w:rsidRPr="00A26490" w:rsidSect="008E415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E0A" w:rsidRPr="00A26490" w:rsidRDefault="00BF1E0A">
      <w:r w:rsidRPr="00A26490">
        <w:separator/>
      </w:r>
    </w:p>
  </w:endnote>
  <w:endnote w:type="continuationSeparator" w:id="0">
    <w:p w:rsidR="00BF1E0A" w:rsidRPr="00A26490" w:rsidRDefault="00BF1E0A">
      <w:r w:rsidRPr="00A264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0A" w:rsidRDefault="00BF1E0A" w:rsidP="008E4158">
    <w:pPr>
      <w:pStyle w:val="EPFooter"/>
    </w:pPr>
    <w:r>
      <w:t>PE</w:t>
    </w:r>
    <w:r w:rsidRPr="008E4158">
      <w:rPr>
        <w:rStyle w:val="HideTWBExt"/>
      </w:rPr>
      <w:t>&lt;NoPE&gt;</w:t>
    </w:r>
    <w:r>
      <w:t>773.390</w:t>
    </w:r>
    <w:r w:rsidRPr="008E4158">
      <w:rPr>
        <w:rStyle w:val="HideTWBExt"/>
      </w:rPr>
      <w:t>&lt;/NoPE&gt;&lt;Version&gt;</w:t>
    </w:r>
    <w:r>
      <w:t>v01-00</w:t>
    </w:r>
    <w:r w:rsidRPr="008E4158">
      <w:rPr>
        <w:rStyle w:val="HideTWBExt"/>
      </w:rPr>
      <w:t>&lt;/Version&gt;</w:t>
    </w:r>
    <w:r>
      <w:tab/>
    </w:r>
    <w:r>
      <w:fldChar w:fldCharType="begin"/>
    </w:r>
    <w:r>
      <w:instrText xml:space="preserve"> PAGE  \* MERGEFORMAT </w:instrText>
    </w:r>
    <w:r>
      <w:fldChar w:fldCharType="separate"/>
    </w:r>
    <w:r w:rsidR="00A769F2">
      <w:rPr>
        <w:noProof/>
      </w:rPr>
      <w:t>2</w:t>
    </w:r>
    <w:r>
      <w:fldChar w:fldCharType="end"/>
    </w:r>
    <w:r>
      <w:t>/</w:t>
    </w:r>
    <w:fldSimple w:instr=" NUMPAGES  \* MERGEFORMAT ">
      <w:r w:rsidR="00A769F2">
        <w:rPr>
          <w:noProof/>
        </w:rPr>
        <w:t>72</w:t>
      </w:r>
    </w:fldSimple>
    <w:r>
      <w:tab/>
    </w:r>
    <w:r w:rsidRPr="008E4158">
      <w:rPr>
        <w:rStyle w:val="HideTWBExt"/>
      </w:rPr>
      <w:t>&lt;PathFdR&gt;</w:t>
    </w:r>
    <w:r>
      <w:t>AM\1321470SV.docx</w:t>
    </w:r>
    <w:r w:rsidRPr="008E4158">
      <w:rPr>
        <w:rStyle w:val="HideTWBExt"/>
      </w:rPr>
      <w:t>&lt;/PathFdR&gt;</w:t>
    </w:r>
  </w:p>
  <w:p w:rsidR="00BF1E0A" w:rsidRPr="00A26490" w:rsidRDefault="00BF1E0A" w:rsidP="008E4158">
    <w:pPr>
      <w:pStyle w:val="EPFooter2"/>
    </w:pPr>
    <w:r>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0A" w:rsidRDefault="00BF1E0A" w:rsidP="008E4158">
    <w:pPr>
      <w:pStyle w:val="EPFooter"/>
    </w:pPr>
    <w:r w:rsidRPr="008E4158">
      <w:rPr>
        <w:rStyle w:val="HideTWBExt"/>
      </w:rPr>
      <w:t>&lt;PathFdR&gt;</w:t>
    </w:r>
    <w:r>
      <w:t>AM\1321470SV.docx</w:t>
    </w:r>
    <w:r w:rsidRPr="008E4158">
      <w:rPr>
        <w:rStyle w:val="HideTWBExt"/>
      </w:rPr>
      <w:t>&lt;/PathFdR&gt;</w:t>
    </w:r>
    <w:r>
      <w:tab/>
    </w:r>
    <w:r>
      <w:fldChar w:fldCharType="begin"/>
    </w:r>
    <w:r>
      <w:instrText xml:space="preserve"> PAGE  \* MERGEFORMAT </w:instrText>
    </w:r>
    <w:r>
      <w:fldChar w:fldCharType="separate"/>
    </w:r>
    <w:r w:rsidR="00A769F2">
      <w:rPr>
        <w:noProof/>
      </w:rPr>
      <w:t>71</w:t>
    </w:r>
    <w:r>
      <w:fldChar w:fldCharType="end"/>
    </w:r>
    <w:r>
      <w:t>/</w:t>
    </w:r>
    <w:fldSimple w:instr=" NUMPAGES  \* MERGEFORMAT ">
      <w:r w:rsidR="00A769F2">
        <w:rPr>
          <w:noProof/>
        </w:rPr>
        <w:t>72</w:t>
      </w:r>
    </w:fldSimple>
    <w:r>
      <w:tab/>
      <w:t>PE</w:t>
    </w:r>
    <w:r w:rsidRPr="008E4158">
      <w:rPr>
        <w:rStyle w:val="HideTWBExt"/>
      </w:rPr>
      <w:t>&lt;NoPE&gt;</w:t>
    </w:r>
    <w:r>
      <w:t>773.390</w:t>
    </w:r>
    <w:r w:rsidRPr="008E4158">
      <w:rPr>
        <w:rStyle w:val="HideTWBExt"/>
      </w:rPr>
      <w:t>&lt;/NoPE&gt;&lt;Version&gt;</w:t>
    </w:r>
    <w:r>
      <w:t>v01-00</w:t>
    </w:r>
    <w:r w:rsidRPr="008E4158">
      <w:rPr>
        <w:rStyle w:val="HideTWBExt"/>
      </w:rPr>
      <w:t>&lt;/Version&gt;</w:t>
    </w:r>
  </w:p>
  <w:p w:rsidR="00BF1E0A" w:rsidRPr="00A26490" w:rsidRDefault="00BF1E0A" w:rsidP="008E4158">
    <w:pPr>
      <w:pStyle w:val="EPFooter2"/>
    </w:pPr>
    <w:r>
      <w:tab/>
    </w:r>
    <w:r>
      <w:tab/>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E0A" w:rsidRDefault="00BF1E0A" w:rsidP="008E4158">
    <w:pPr>
      <w:pStyle w:val="EPFooter"/>
    </w:pPr>
    <w:r w:rsidRPr="008E4158">
      <w:rPr>
        <w:rStyle w:val="HideTWBExt"/>
      </w:rPr>
      <w:t>&lt;PathFdR&gt;</w:t>
    </w:r>
    <w:r>
      <w:t>AM\1321470SV.docx</w:t>
    </w:r>
    <w:r w:rsidRPr="008E4158">
      <w:rPr>
        <w:rStyle w:val="HideTWBExt"/>
      </w:rPr>
      <w:t>&lt;/PathFdR&gt;</w:t>
    </w:r>
    <w:r>
      <w:tab/>
    </w:r>
    <w:r>
      <w:tab/>
      <w:t>PE</w:t>
    </w:r>
    <w:r w:rsidRPr="008E4158">
      <w:rPr>
        <w:rStyle w:val="HideTWBExt"/>
      </w:rPr>
      <w:t>&lt;NoPE&gt;</w:t>
    </w:r>
    <w:r>
      <w:t>773.390</w:t>
    </w:r>
    <w:r w:rsidRPr="008E4158">
      <w:rPr>
        <w:rStyle w:val="HideTWBExt"/>
      </w:rPr>
      <w:t>&lt;/NoPE&gt;&lt;Version&gt;</w:t>
    </w:r>
    <w:r>
      <w:t>v01-00</w:t>
    </w:r>
    <w:r w:rsidRPr="008E4158">
      <w:rPr>
        <w:rStyle w:val="HideTWBExt"/>
      </w:rPr>
      <w:t>&lt;/Version&gt;</w:t>
    </w:r>
  </w:p>
  <w:p w:rsidR="00BF1E0A" w:rsidRPr="00A26490" w:rsidRDefault="00BF1E0A" w:rsidP="008E4158">
    <w:pPr>
      <w:pStyle w:val="EPFooter2"/>
    </w:pPr>
    <w:r>
      <w:t>SV</w:t>
    </w:r>
    <w:r>
      <w:tab/>
    </w:r>
    <w:r w:rsidRPr="008E4158">
      <w:rPr>
        <w:b w:val="0"/>
        <w:i/>
        <w:color w:val="C0C0C0"/>
        <w:sz w:val="22"/>
      </w:rPr>
      <w:t>Förenade i mångfalden</w:t>
    </w:r>
    <w:r>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E0A" w:rsidRPr="00A26490" w:rsidRDefault="00BF1E0A">
      <w:r w:rsidRPr="00A26490">
        <w:separator/>
      </w:r>
    </w:p>
  </w:footnote>
  <w:footnote w:type="continuationSeparator" w:id="0">
    <w:p w:rsidR="00BF1E0A" w:rsidRPr="00A26490" w:rsidRDefault="00BF1E0A">
      <w:r w:rsidRPr="00A264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9F2" w:rsidRDefault="00A769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9F2" w:rsidRDefault="00A769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9F2" w:rsidRDefault="00A76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EMPL"/>
    <w:docVar w:name="CVA" w:val="2"/>
    <w:docVar w:name="DOCCODMNU" w:val=" 1"/>
    <w:docVar w:name="DOCDT" w:val="20/05/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641481 HideTWBInt;}}{\*\rsidtbl \rsid24658\rsid223860\rsid735077\rsid1718133\rsid2892074\rsid3565327_x000d__x000a_\rsid4666813\rsid5641481\rsid6641733\rsid7823322\rsid9636012\rsid10377208\rsid11215221\rsid11549030\rsid12154954\rsid14224502\rsid14382809\rsid14424199\rsid15204470\rsid15285974\rsid15950462\rsid16324206\rsid16662270}{\mmathPr\mmathFont34\mbrkBin0_x000d__x000a_\mbrkBinSub0\msmallFrac0\mdispDef1\mlMargin0\mrMargin0\mdefJc1\mwrapIndent1440\mintLim0\mnaryLim1}{\info{\author NOTARIDOU Aikaterini}{\operator Aikaterini NOTARIDOU}{\creatim\yr2025\mo5\dy20\hr11\min44}{\revtim\yr2025\mo5\dy20\hr11\min44}{\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641481\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4224502 \chftnsep _x000d__x000a_\par }}{\*\ftnsepc \ltrpar \pard\plain \ltrpar\ql \li0\ri0\widctlpar\wrapdefault\aspalpha\aspnum\faauto\adjustright\rin0\lin0\itap0 \rtlch\fcs1 \af0\afs20\alang1025 \ltrch\fcs0 \fs24\lang2057\langfe2057\cgrid\langnp2057\langfenp2057 {\rtlch\fcs1 \af0 _x000d__x000a_\ltrch\fcs0 \insrsid14224502 \chftnsepc _x000d__x000a_\par }}{\*\aftnsep \ltrpar \pard\plain \ltrpar\ql \li0\ri0\widctlpar\wrapdefault\aspalpha\aspnum\faauto\adjustright\rin0\lin0\itap0 \rtlch\fcs1 \af0\afs20\alang1025 \ltrch\fcs0 \fs24\lang2057\langfe2057\cgrid\langnp2057\langfenp2057 {\rtlch\fcs1 \af0 _x000d__x000a_\ltrch\fcs0 \insrsid14224502 \chftnsep _x000d__x000a_\par }}{\*\aftnsepc \ltrpar \pard\plain \ltrpar\ql \li0\ri0\widctlpar\wrapdefault\aspalpha\aspnum\faauto\adjustright\rin0\lin0\itap0 \rtlch\fcs1 \af0\afs20\alang1025 \ltrch\fcs0 \fs24\lang2057\langfe2057\cgrid\langnp2057\langfenp2057 {\rtlch\fcs1 \af0 _x000d__x000a_\ltrch\fcs0 \insrsid1422450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641481\charrsid15009709 {\*\bkmkstart ReplaceBookmark}#}{\rtlch\fcs1 \af1 \ltrch\fcs0 _x000d__x000a_\cs17\v\f1\fs20\cf15\insrsid5641481\charrsid15009709 &gt;&gt;&gt;CVAR@@AmendA}{\rtlch\fcs1 \af0 \ltrch\fcs0 \insrsid5641481\charrsid1500970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a_x000d__x000a_c3c4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188753 HideTWBExt;}{\*\cs18 \additive \v\f1\fs20\cf15 _x000d__x000a_\spriority0 \styrsid13188753 HideTWBInt;}{\s19\ql \li0\ri0\sa120\nowidctlpar\wrapdefault\aspalpha\aspnum\faauto\adjustright\rin0\lin0\itap0 \rtlch\fcs1 \af0\afs20\alang1025 \ltrch\fcs0 \fs24\lang2057\langfe2057\cgrid\langnp2057\langfenp2057 _x000d__x000a_\sbasedon0 \snext19 \spriority0 \styrsid13188753 Normal6a;}{\s20\ql \li0\ri0\nowidctlpar\wrapdefault\aspalpha\aspnum\faauto\adjustright\rin0\lin0\itap0 \rtlch\fcs1 \af0\afs20\alang1025 \ltrch\fcs0 \b\fs24\lang2057\langfe2057\cgrid\langnp2057\langfenp2057 _x000d__x000a_\sbasedon0 \snext20 \spriority0 \styrsid13188753 NormalBold;}{\s21\qr \li0\ri0\sb240\sa240\nowidctlpar\wrapdefault\aspalpha\aspnum\faauto\adjustright\rin0\lin0\itap0 \rtlch\fcs1 \af0\afs20\alang1025 \ltrch\fcs0 _x000d__x000a_\fs24\lang2057\langfe2057\cgrid\langnp2057\langfenp2057 \sbasedon0 \snext21 \spriority0 \styrsid13188753 AmOrLang;}{\s22\qc \li0\ri0\sa240\nowidctlpar\wrapdefault\aspalpha\aspnum\faauto\adjustright\rin0\lin0\itap0 \rtlch\fcs1 \af0\afs20\alang1025 _x000d__x000a_\ltrch\fcs0 \i\fs24\lang2057\langfe2057\cgrid\langnp2057\langfenp2057 \sbasedon0 \snext22 \spriority0 \styrsid1318875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188753 AmNumberTabs;}}{\*\rsidtbl \rsid24658\rsid223860\rsid735077\rsid1718133\rsid2892074\rsid3565327\rsid4666813\rsid6641733\rsid7823322_x000d__x000a_\rsid9636012\rsid10369668\rsid10377208\rsid11215221\rsid11549030\rsid12154954\rsid13188753\rsid14382809\rsid14424199\rsid15204470\rsid15285974\rsid15950462\rsid16324206\rsid16662270}{\mmathPr\mmathFont34\mbrkBin0\mbrkBinSub0\msmallFrac0\mdispDef1_x000d__x000a_\mlMargin0\mrMargin0\mdefJc1\mwrapIndent1440\mintLim0\mnaryLim1}{\info{\author NOTARIDOU Aikaterini}{\operator Aikaterini NOTARIDOU}{\creatim\yr2025\mo5\dy20\hr11\min38}{\revtim\yr2025\mo5\dy20\hr11\min38}{\version1}{\edmins0}{\nofpages1}{\nofwords70}_x000d__x000a_{\nofchars404}{\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188753\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0369668 \chftnsep _x000d__x000a_\par }}{\*\ftnsepc \ltrpar \pard\plain \ltrpar\ql \li0\ri0\widctlpar\wrapdefault\aspalpha\aspnum\faauto\adjustright\rin0\lin0\itap0 \rtlch\fcs1 \af0\afs20\alang1025 \ltrch\fcs0 \fs24\lang2057\langfe2057\cgrid\langnp2057\langfenp2057 {\rtlch\fcs1 \af0 _x000d__x000a_\ltrch\fcs0 \insrsid10369668 \chftnsepc _x000d__x000a_\par }}{\*\aftnsep \ltrpar \pard\plain \ltrpar\ql \li0\ri0\widctlpar\wrapdefault\aspalpha\aspnum\faauto\adjustright\rin0\lin0\itap0 \rtlch\fcs1 \af0\afs20\alang1025 \ltrch\fcs0 \fs24\lang2057\langfe2057\cgrid\langnp2057\langfenp2057 {\rtlch\fcs1 \af0 _x000d__x000a_\ltrch\fcs0 \insrsid10369668 \chftnsep _x000d__x000a_\par }}{\*\aftnsepc \ltrpar \pard\plain \ltrpar\ql \li0\ri0\widctlpar\wrapdefault\aspalpha\aspnum\faauto\adjustright\rin0\lin0\itap0 \rtlch\fcs1 \af0\afs20\alang1025 \ltrch\fcs0 \fs24\lang2057\langfe2057\cgrid\langnp2057\langfenp2057 {\rtlch\fcs1 \af0 _x000d__x000a_\ltrch\fcs0 \insrsid1036966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188753 \rtlch\fcs1 _x000d__x000a_\af0\afs20\alang1025 \ltrch\fcs0 \b\fs24\lang2057\langfe2057\cgrid\langnp2057\langfenp2057 {\rtlch\fcs1 \af0 \ltrch\fcs0 \cs17\b0\v\fs20\cf9\lang1024\langfe1024\loch\af1\hich\af1\dbch\af31501\noproof\insrsid13188753\charrsid15009709 {\*\bkmkstart restartA_x000d__x000a_}\hich\af1\dbch\af31501\loch\f1 &lt;AmendA&gt;}{\rtlch\fcs1 \af0 \ltrch\fcs0 \insrsid13188753\charrsid15009709 Amendment\tab \tab }{\rtlch\fcs1 \af0 \ltrch\fcs0 _x000d__x000a_\cs17\b0\v\fs20\cf9\lang1024\langfe1024\loch\af1\hich\af1\dbch\af31501\noproof\insrsid13188753\charrsid15009709 \hich\af1\dbch\af31501\loch\f1 &lt;NumAmA&gt;}{\rtlch\fcs1 \af0 \ltrch\fcs0 \insrsid13188753\charrsid15009709 #}{\rtlch\fcs1 \af1 \ltrch\fcs0 _x000d__x000a_\cs18\v\f1\fs20\cf15\insrsid13188753\charrsid15009709 ENMIENDA@NRAM@}{\rtlch\fcs1 \af0 \ltrch\fcs0 \insrsid13188753\charrsid15009709 #}{\rtlch\fcs1 \af0 \ltrch\fcs0 _x000d__x000a_\cs17\b0\v\fs20\cf9\lang1024\langfe1024\loch\af1\hich\af1\dbch\af31501\noproof\insrsid13188753\charrsid15009709 \hich\af1\dbch\af31501\loch\f1 &lt;/NumAmA&gt;}{\rtlch\fcs1 \af0 \ltrch\fcs0 \insrsid13188753\charrsid15009709 _x000d__x000a_\par }\pard\plain \ltrpar\s20\ql \li0\ri0\nowidctlpar\wrapdefault\aspalpha\aspnum\faauto\adjustright\rin0\lin0\itap0\pararsid13188753 \rtlch\fcs1 \af0\afs20\alang1025 \ltrch\fcs0 \b\fs24\lang2057\langfe2057\cgrid\langnp2057\langfenp2057 {\rtlch\fcs1 \af0 _x000d__x000a_\ltrch\fcs0 \cs17\b0\v\fs20\cf9\lang1024\langfe1024\loch\af1\hich\af1\dbch\af31501\noproof\insrsid13188753\charrsid15009709 \hich\af1\dbch\af31501\loch\f1 &lt;RepeatBlock-By&gt;}{\rtlch\fcs1 \af0 \ltrch\fcs0 \insrsid13188753\charrsid15009709 #}{\rtlch\fcs1 _x000d__x000a_\af1 \ltrch\fcs0 \cs18\v\f1\fs20\cf15\insrsid13188753\charrsid15009709 (MOD@InsideLoop()}{\rtlch\fcs1 \af0 \ltrch\fcs0 \insrsid13188753\charrsid15009709 ##}{\rtlch\fcs1 \af1 \ltrch\fcs0 \cs18\v\f1\fs20\cf15\insrsid13188753\charrsid15009709 _x000d__x000a_&gt;&gt;&gt;@[ZMEMBERSMSG]@}{\rtlch\fcs1 \af0 \ltrch\fcs0 \insrsid13188753\charrsid15009709 #}{\rtlch\fcs1 \af0 \ltrch\fcs0 \cs17\b0\v\fs20\cf9\lang1024\langfe1024\loch\af1\hich\af1\dbch\af31501\noproof\insrsid13188753\charrsid15009709 _x000d__x000a_\hich\af1\dbch\af31501\loch\f1 &lt;Members&gt;}{\rtlch\fcs1 \af0 \ltrch\fcs0 \insrsid13188753\charrsid15009709 #}{\rtlch\fcs1 \af1 \ltrch\fcs0 \cs18\v\f1\fs20\cf15\insrsid13188753\charrsid15009709 (MOD@InsideLoop(\'a7)}{\rtlch\fcs1 \af0 \ltrch\fcs0 _x000d__x000a_\insrsid13188753\charrsid15009709 #}{\rtlch\fcs1 \af0 \ltrch\fcs0 \cf10\insrsid13188753\charrsid15009709 \u9668\'3f}{\rtlch\fcs1 \af0 \ltrch\fcs0 \insrsid13188753\charrsid15009709 #}{\rtlch\fcs1 \af1 \ltrch\fcs0 _x000d__x000a_\cs18\v\f1\fs20\cf15\insrsid13188753\charrsid15009709 TVTMEMBERS\'a7@MEMBERS@}{\rtlch\fcs1 \af0 \ltrch\fcs0 \insrsid13188753\charrsid15009709 #}{\rtlch\fcs1 \af0 \ltrch\fcs0 \cf10\insrsid13188753\charrsid15009709 \u9658\'3f}{\rtlch\fcs1 \af0 \ltrch\fcs0 _x000d__x000a_\cs17\b0\v\fs20\cf9\lang1024\langfe1024\loch\af1\hich\af1\dbch\af31501\noproof\insrsid13188753\charrsid15009709 \hich\af1\dbch\af31501\loch\f1 &lt;/Members&gt;}{\rtlch\fcs1 \af0 \ltrch\fcs0 \insrsid13188753\charrsid15009709 _x000d__x000a_\par }\pard\plain \ltrpar\ql \li0\ri0\widctlpar\wrapdefault\aspalpha\aspnum\faauto\adjustright\rin0\lin0\itap0\pararsid13188753 \rtlch\fcs1 \af0\afs20\alang1025 \ltrch\fcs0 \fs24\lang2057\langfe2057\cgrid\langnp2057\langfenp2057 {\rtlch\fcs1 \af0 \ltrch\fcs0 _x000d__x000a_\cs17\v\fs20\cf9\lang1024\langfe1024\loch\af1\hich\af1\dbch\af31501\noproof\insrsid13188753\charrsid15009709 \hich\af1\dbch\af31501\loch\f1 &lt;AuNomDe&gt;&lt;OptDel&gt;}{\rtlch\fcs1 \af0 \ltrch\fcs0 \insrsid13188753\charrsid15009709 #}{\rtlch\fcs1 \af1 \ltrch\fcs0 _x000d__x000a_\cs18\v\f1\fs20\cf15\insrsid13188753\charrsid15009709 MNU[ONBEHALFYES][NOTAPP]@CHOICE@}{\rtlch\fcs1 \af0 \ltrch\fcs0 \insrsid13188753\charrsid15009709 #}{\rtlch\fcs1 \af0 \ltrch\fcs0 _x000d__x000a_\cs17\v\fs20\cf9\lang1024\langfe1024\loch\af1\hich\af1\dbch\af31501\noproof\insrsid13188753\charrsid15009709 \hich\af1\dbch\af31501\loch\f1 &lt;/OptDel&gt;&lt;/AuNomDe&gt;}{\rtlch\fcs1 \af0 \ltrch\fcs0 \insrsid13188753\charrsid15009709 _x000d__x000a_\par &lt;&lt;&lt;}{\rtlch\fcs1 \af0 \ltrch\fcs0 \cs17\v\fs20\cf9\lang1024\langfe1024\loch\af1\hich\af1\dbch\af31501\noproof\insrsid13188753\charrsid15009709 \hich\af1\dbch\af31501\loch\f1 &lt;/RepeatBlock-By&gt;}{\rtlch\fcs1 \af0 \ltrch\fcs0 _x000d__x000a_\insrsid13188753\charrsid15009709 _x000d__x000a_\par }\pard\plain \ltrpar\s20\ql \li0\ri0\nowidctlpar\wrapdefault\aspalpha\aspnum\faauto\adjustright\rin0\lin0\itap0\pararsid13188753 \rtlch\fcs1 \af0\afs20\alang1025 \ltrch\fcs0 \b\fs24\lang2057\langfe2057\cgrid\langnp2057\langfenp2057 {\rtlch\fcs1 \af0 _x000d__x000a_\ltrch\fcs0 \cs17\b0\v\fs20\cf9\lang1024\langfe1024\loch\af1\hich\af1\dbch\af31501\noproof\insrsid13188753\charrsid15009709 \hich\af1\dbch\af31501\loch\f1 &lt;DocAmend&gt;}{\rtlch\fcs1 \af0 \ltrch\fcs0 \insrsid13188753\charrsid15009709 _x000d__x000a_Draft legislative resolution}{\rtlch\fcs1 \af0 \ltrch\fcs0 \cs17\b0\v\fs20\cf9\lang1024\langfe1024\loch\af1\hich\af1\dbch\af31501\noproof\insrsid13188753\charrsid15009709 \hich\af1\dbch\af31501\loch\f1 &lt;/DocAmend&gt;}{\rtlch\fcs1 \af0 \ltrch\fcs0 _x000d__x000a_\insrsid13188753\charrsid15009709 _x000d__x000a_\par }{\rtlch\fcs1 \af0 \ltrch\fcs0 \cs17\b0\v\fs20\cf9\lang1024\langfe1024\loch\af1\hich\af1\dbch\af31501\noproof\insrsid13188753\charrsid15009709 \hich\af1\dbch\af31501\loch\f1 &lt;Article&gt;}{\rtlch\fcs1 \af0 \ltrch\fcs0 \cf10\insrsid13188753\charrsid15009709 _x000d__x000a_\u9668\'3f}{\rtlch\fcs1 \af0 \ltrch\fcs0 \insrsid13188753\charrsid15009709 #}{\rtlch\fcs1 \af1 \ltrch\fcs0 \cs18\v\f1\fs20\cf15\insrsid13188753\charrsid15009709 TVTRESPART@RESPART@}{\rtlch\fcs1 \af0 \ltrch\fcs0 \insrsid13188753\charrsid15009709 #}{_x000d__x000a_\rtlch\fcs1 \af0 \ltrch\fcs0 \cf10\insrsid13188753\charrsid15009709 \u9658\'3f}{\rtlch\fcs1 \af0 \ltrch\fcs0 \cs17\b0\v\fs20\cf9\lang1024\langfe1024\loch\af1\hich\af1\dbch\af31501\noproof\insrsid13188753\charrsid15009709 \hich\af1\dbch\af31501\loch\f1 _x000d__x000a_&lt;/Article&gt;}{\rtlch\fcs1 \af0 \ltrch\fcs0 \insrsid13188753\charrsid1500970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188753\charrsid15009709 \cell }\pard\plain \ltrpar\ql \li0\ri0\widctlpar\intbl\wrapdefault\aspalpha\aspnum\faauto\adjustright\rin0\lin0 \rtlch\fcs1 _x000d__x000a_\af0\afs20\alang1025 \ltrch\fcs0 \fs24\lang2057\langfe2057\cgrid\langnp2057\langfenp2057 {\rtlch\fcs1 \af0 \ltrch\fcs0 \insrsid13188753\charrsid1500970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188753\charrsid15009709 Draft legislative resolution\cell Amendment\cell }\pard\plain \ltrpar\ql \li0\ri0\widctlpar\intbl\wrapdefault\aspalpha\aspnum\faauto\adjustright\rin0\lin0 \rtlch\fcs1 \af0\afs20\alang1025 _x000d__x000a_\ltrch\fcs0 \fs24\lang2057\langfe2057\cgrid\langnp2057\langfenp2057 {\rtlch\fcs1 \af0 \ltrch\fcs0 \insrsid13188753\charrsid1500970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188753\charrsid15009709 ##\cell ##}{\rtlch\fcs1 \af0\afs24 \ltrch\fcs0 \insrsid13188753\charrsid15009709 \cell }\pard\plain \ltrpar\ql \li0\ri0\widctlpar\intbl\wrapdefault\aspalpha\aspnum\faauto\adjustright\rin0\lin0 \rtlch\fcs1 _x000d__x000a_\af0\afs20\alang1025 \ltrch\fcs0 \fs24\lang2057\langfe2057\cgrid\langnp2057\langfenp2057 {\rtlch\fcs1 \af0 \ltrch\fcs0 \insrsid13188753\charrsid1500970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188753 \rtlch\fcs1 \af0\afs20\alang1025 \ltrch\fcs0 \fs24\lang2057\langfe2057\cgrid\langnp2057\langfenp2057 {\rtlch\fcs1 \af0 \ltrch\fcs0 _x000d__x000a_\insrsid13188753\charrsid15009709 Or. }{\rtlch\fcs1 \af0 \ltrch\fcs0 \cs17\v\fs20\cf9\lang1024\langfe1024\loch\af1\hich\af1\dbch\af31501\noproof\insrsid13188753\charrsid15009709 \hich\af1\dbch\af31501\loch\f1 &lt;Original&gt;}{\rtlch\fcs1 \af0 \ltrch\fcs0 _x000d__x000a_\insrsid13188753\charrsid15009709 #}{\rtlch\fcs1 \af1 \ltrch\fcs0 \cs18\v\f1\fs20\cf15\insrsid13188753\charrsid15009709 KEY(MAIN/LANGMIN)sh@ORLANGMSG@}{\rtlch\fcs1 \af0 \ltrch\fcs0 \insrsid13188753\charrsid15009709 #}{\rtlch\fcs1 \af0 \ltrch\fcs0 _x000d__x000a_\cs17\v\fs20\cf9\lang1024\langfe1024\loch\af1\hich\af1\dbch\af31501\noproof\insrsid13188753\charrsid15009709 \hich\af1\dbch\af31501\loch\f1 &lt;/Original&gt;}{\rtlch\fcs1 \af0 \ltrch\fcs0 \insrsid13188753\charrsid15009709 _x000d__x000a_\par }\pard\plain \ltrpar\ql \li0\ri0\widctlpar\wrapdefault\aspalpha\aspnum\faauto\adjustright\rin0\lin0\itap0\pararsid13188753 \rtlch\fcs1 \af0\afs20\alang1025 \ltrch\fcs0 \fs24\lang2057\langfe2057\cgrid\langnp2057\langfenp2057 {\rtlch\fcs1 \af0 \ltrch\fcs0 _x000d__x000a_\cs17\v\fs20\cf9\lang1024\langfe1024\loch\af1\hich\af1\dbch\af31501\noproof\insrsid13188753\charrsid1500970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7a_x000d__x000a_aff0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90073 HideTWBExt;}{\*\cs18 \additive \v\f1\fs20\cf15 _x000d__x000a_\spriority0 \styrsid990073 HideTWBInt;}{\s19\ql \li0\ri0\sa120\nowidctlpar\wrapdefault\aspalpha\aspnum\faauto\adjustright\rin0\lin0\itap0 \rtlch\fcs1 \af0\afs20\alang1025 \ltrch\fcs0 \fs24\lang2057\langfe2057\cgrid\langnp2057\langfenp2057 _x000d__x000a_\sbasedon0 \snext19 \spriority0 \styrsid990073 Normal6a;}{\s20\ql \li0\ri0\nowidctlpar\wrapdefault\aspalpha\aspnum\faauto\adjustright\rin0\lin0\itap0 \rtlch\fcs1 \af0\afs20\alang1025 \ltrch\fcs0 \b\fs24\lang2057\langfe2057\cgrid\langnp2057\langfenp2057 _x000d__x000a_\sbasedon0 \snext20 \spriority0 \styrsid990073 NormalBold;}{\s21\ql \li0\ri0\sa240\nowidctlpar\wrapdefault\aspalpha\aspnum\faauto\adjustright\rin0\lin0\itap0 \rtlch\fcs1 \af0\afs20\alang1025 \ltrch\fcs0 _x000d__x000a_\i\fs24\lang2057\langfe2057\cgrid\langnp2057\langfenp2057 \sbasedon0 \snext21 \spriority0 \styrsid990073 AmJustText;}{\s22\qc \li0\ri0\sb240\sa240\nowidctlpar\wrapdefault\aspalpha\aspnum\faauto\adjustright\rin0\lin0\itap0 \rtlch\fcs1 \af0\afs20\alang1025 _x000d__x000a_\ltrch\fcs0 \i\fs24\lang2057\langfe2057\cgrid\langnp2057\langfenp2057 \sbasedon0 \snext22 \spriority0 \styrsid990073 AmCrossRef;}{\s23\qc \li0\ri0\sb240\sa240\keepn\nowidctlpar\wrapdefault\aspalpha\aspnum\faauto\adjustright\rin0\lin0\itap0 \rtlch\fcs1 _x000d__x000a_\af0\afs20\alang1025 \ltrch\fcs0 \i\fs24\lang2057\langfe2057\cgrid\langnp2057\langfenp2057 \sbasedon0 \snext21 \spriority0 \styrsid990073 AmJustTitle;}{_x000d__x000a_\s24\qr \li0\ri0\sb240\sa240\nowidctlpar\wrapdefault\aspalpha\aspnum\faauto\adjustright\rin0\lin0\itap0 \rtlch\fcs1 \af0\afs20\alang1025 \ltrch\fcs0 \fs24\lang2057\langfe2057\cgrid\langnp2057\langfenp2057 \sbasedon0 \snext24 \spriority0 \styrsid990073 _x000d__x000a_AmOrLang;}{\s25\qc \li0\ri0\sa240\nowidctlpar\wrapdefault\aspalpha\aspnum\faauto\adjustright\rin0\lin0\itap0 \rtlch\fcs1 \af0\afs20\alang1025 \ltrch\fcs0 \i\fs24\lang2057\langfe2057\cgrid\langnp2057\langfenp2057 _x000d__x000a_\sbasedon0 \snext25 \spriority0 \styrsid99007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90073 AmNumberTabs;}}{\*\rsidtbl \rsid24658\rsid223860\rsid735077\rsid990073\rsid1718133\rsid2892074\rsid3565327\rsid4666813\rsid6641733_x000d__x000a_\rsid7823322\rsid9182298\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NOTARIDOU Aikaterini}{\operator Aikaterini NOTARIDOU}{\creatim\yr2025\mo5\dy20\hr11\min38}{\revtim\yr2025\mo5\dy20\hr11\min38}{\version1}{\edmins0}{\nofpages1}{\nofwords131}_x000d__x000a_{\nofchars748}{\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90073\newtblstyruls\nogrowautofit\usenormstyforlist\noindnmbrts\felnbrelev\nocxsptable\indrlsweleven\noafcnsttbl\afelev\utinl\hwelev\spltpgpar\notcvasp\notbrkcnstfrctbl\notvatxbx\krnprsnet\cachedcolbal \nouicompat \fet0_x000d__x000a_{\*\wgrffmtfilter 013f}\nofeaturethrottle1\ilfomacatclnup0{\*\template C:\\Users\\ANOTAR~1.EP\\AppData\\Local\\Temp\\Blank1.dotx}{\*\ftnsep \ltrpar \pard\plain \ltrpar\ql \li0\ri0\widctlpar\wrapdefault\aspalpha\aspnum\faauto\adjustright\rin0\lin0\itap0 _x000d__x000a_\rtlch\fcs1 \af0\afs20\alang1025 \ltrch\fcs0 \fs24\lang2057\langfe2057\cgrid\langnp2057\langfenp2057 {\rtlch\fcs1 \af0 \ltrch\fcs0 \insrsid9182298 \chftnsep _x000d__x000a_\par }}{\*\ftnsepc \ltrpar \pard\plain \ltrpar\ql \li0\ri0\widctlpar\wrapdefault\aspalpha\aspnum\faauto\adjustright\rin0\lin0\itap0 \rtlch\fcs1 \af0\afs20\alang1025 \ltrch\fcs0 \fs24\lang2057\langfe2057\cgrid\langnp2057\langfenp2057 {\rtlch\fcs1 \af0 _x000d__x000a_\ltrch\fcs0 \insrsid9182298 \chftnsepc _x000d__x000a_\par }}{\*\aftnsep \ltrpar \pard\plain \ltrpar\ql \li0\ri0\widctlpar\wrapdefault\aspalpha\aspnum\faauto\adjustright\rin0\lin0\itap0 \rtlch\fcs1 \af0\afs20\alang1025 \ltrch\fcs0 \fs24\lang2057\langfe2057\cgrid\langnp2057\langfenp2057 {\rtlch\fcs1 \af0 _x000d__x000a_\ltrch\fcs0 \insrsid9182298 \chftnsep _x000d__x000a_\par }}{\*\aftnsepc \ltrpar \pard\plain \ltrpar\ql \li0\ri0\widctlpar\wrapdefault\aspalpha\aspnum\faauto\adjustright\rin0\lin0\itap0 \rtlch\fcs1 \af0\afs20\alang1025 \ltrch\fcs0 \fs24\lang2057\langfe2057\cgrid\langnp2057\langfenp2057 {\rtlch\fcs1 \af0 _x000d__x000a_\ltrch\fcs0 \insrsid91822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90073 \rtlch\fcs1 _x000d__x000a_\af0\afs20\alang1025 \ltrch\fcs0 \b\fs24\lang2057\langfe2057\cgrid\langnp2057\langfenp2057 {\rtlch\fcs1 \af0 \ltrch\fcs0 \cs17\b0\v\fs20\cf9\lang1024\langfe1024\loch\af1\hich\af1\dbch\af31501\noproof\insrsid990073\charrsid15009709 {\*\bkmkstart restartB}_x000d__x000a_\hich\af1\dbch\af31501\loch\f1 &lt;AmendB&gt;}{\rtlch\fcs1 \af0 \ltrch\fcs0 \insrsid990073\charrsid15009709 Amendment\tab \tab }{\rtlch\fcs1 \af0 \ltrch\fcs0 _x000d__x000a_\cs17\b0\v\fs20\cf9\lang1024\langfe1024\loch\af1\hich\af1\dbch\af31501\noproof\insrsid990073\charrsid15009709 \hich\af1\dbch\af31501\loch\f1 &lt;NumAmB&gt;}{\rtlch\fcs1 \af0 \ltrch\fcs0 \insrsid990073\charrsid15009709 #}{\rtlch\fcs1 \af1 \ltrch\fcs0 _x000d__x000a_\cs18\v\f1\fs20\cf15\insrsid990073\charrsid15009709 ENMIENDA@NRAM@}{\rtlch\fcs1 \af0 \ltrch\fcs0 \insrsid990073\charrsid15009709 #}{\rtlch\fcs1 \af0 \ltrch\fcs0 _x000d__x000a_\cs17\b0\v\fs20\cf9\lang1024\langfe1024\loch\af1\hich\af1\dbch\af31501\noproof\insrsid990073\charrsid15009709 \hich\af1\dbch\af31501\loch\f1 &lt;/NumAmB&gt;}{\rtlch\fcs1 \af0 \ltrch\fcs0 \insrsid990073\charrsid15009709 _x000d__x000a_\par }\pard\plain \ltrpar\s20\ql \li0\ri0\nowidctlpar\wrapdefault\aspalpha\aspnum\faauto\adjustright\rin0\lin0\itap0\pararsid990073 \rtlch\fcs1 \af0\afs20\alang1025 \ltrch\fcs0 \b\fs24\lang2057\langfe2057\cgrid\langnp2057\langfenp2057 {\rtlch\fcs1 \af0 _x000d__x000a_\ltrch\fcs0 \cs17\b0\v\fs20\cf9\lang1024\langfe1024\loch\af1\hich\af1\dbch\af31501\noproof\insrsid990073\charrsid15009709 \hich\af1\dbch\af31501\loch\f1 &lt;RepeatBlock-By&gt;}{\rtlch\fcs1 \af0 \ltrch\fcs0 \insrsid990073\charrsid15009709 #}{\rtlch\fcs1 \af1 _x000d__x000a_\ltrch\fcs0 \cs18\v\f1\fs20\cf15\insrsid990073\charrsid15009709 (MOD@InsideLoop()}{\rtlch\fcs1 \af0 \ltrch\fcs0 \insrsid990073\charrsid15009709 ##}{\rtlch\fcs1 \af1 \ltrch\fcs0 \cs18\v\f1\fs20\cf15\insrsid990073\charrsid15009709 &gt;&gt;&gt;@[ZMEMBERSMSG]@}{_x000d__x000a_\rtlch\fcs1 \af0 \ltrch\fcs0 \insrsid990073\charrsid15009709 #}{\rtlch\fcs1 \af0 \ltrch\fcs0 \cs17\b0\v\fs20\cf9\lang1024\langfe1024\loch\af1\hich\af1\dbch\af31501\noproof\insrsid990073\charrsid15009709 \hich\af1\dbch\af31501\loch\f1 &lt;Members&gt;}{_x000d__x000a_\rtlch\fcs1 \af0 \ltrch\fcs0 \insrsid990073\charrsid15009709 #}{\rtlch\fcs1 \af1 \ltrch\fcs0 \cs18\v\f1\fs20\cf15\insrsid990073\charrsid15009709 (MOD@InsideLoop(\'a7)}{\rtlch\fcs1 \af0 \ltrch\fcs0 \insrsid990073\charrsid15009709 #}{\rtlch\fcs1 \af0 _x000d__x000a_\ltrch\fcs0 \cf10\insrsid990073\charrsid15009709 \u9668\'3f}{\rtlch\fcs1 \af0 \ltrch\fcs0 \insrsid990073\charrsid15009709 #}{\rtlch\fcs1 \af1 \ltrch\fcs0 \cs18\v\f1\fs20\cf15\insrsid990073\charrsid15009709 TVTMEMBERS\'a7@MEMBERS@}{\rtlch\fcs1 \af0 _x000d__x000a_\ltrch\fcs0 \insrsid990073\charrsid15009709 #}{\rtlch\fcs1 \af0 \ltrch\fcs0 \cf10\insrsid990073\charrsid15009709 \u9658\'3f}{\rtlch\fcs1 \af0 \ltrch\fcs0 _x000d__x000a_\cs17\b0\v\fs20\cf9\lang1024\langfe1024\loch\af1\hich\af1\dbch\af31501\noproof\insrsid990073\charrsid15009709 \hich\af1\dbch\af31501\loch\f1 &lt;/Members&gt;}{\rtlch\fcs1 \af0 \ltrch\fcs0 \insrsid990073\charrsid15009709 _x000d__x000a_\par }\pard\plain \ltrpar\ql \li0\ri0\widctlpar\wrapdefault\aspalpha\aspnum\faauto\adjustright\rin0\lin0\itap0\pararsid990073 \rtlch\fcs1 \af0\afs20\alang1025 \ltrch\fcs0 \fs24\lang2057\langfe2057\cgrid\langnp2057\langfenp2057 {\rtlch\fcs1 \af0 \ltrch\fcs0 _x000d__x000a_\cs17\v\fs20\cf9\lang1024\langfe1024\loch\af1\hich\af1\dbch\af31501\noproof\insrsid990073\charrsid15009709 \hich\af1\dbch\af31501\loch\f1 &lt;AuNomDe&gt;&lt;OptDel&gt;}{\rtlch\fcs1 \af0 \ltrch\fcs0 \insrsid990073\charrsid15009709 #}{\rtlch\fcs1 \af1 \ltrch\fcs0 _x000d__x000a_\cs18\v\f1\fs20\cf15\insrsid990073\charrsid15009709 MNU[ONBEHALFYES][NOTAPP]@CHOICE@}{\rtlch\fcs1 \af0 \ltrch\fcs0 \insrsid990073\charrsid15009709 #}{\rtlch\fcs1 \af0 \ltrch\fcs0 _x000d__x000a_\cs17\v\fs20\cf9\lang1024\langfe1024\loch\af1\hich\af1\dbch\af31501\noproof\insrsid990073\charrsid15009709 \hich\af1\dbch\af31501\loch\f1 &lt;/OptDel&gt;&lt;/AuNomDe&gt;}{\rtlch\fcs1 \af0 \ltrch\fcs0 \insrsid990073\charrsid15009709 _x000d__x000a_\par &lt;&lt;&lt;}{\rtlch\fcs1 \af0 \ltrch\fcs0 \cs17\v\fs20\cf9\lang1024\langfe1024\loch\af1\hich\af1\dbch\af31501\noproof\insrsid990073\charrsid15009709 \hich\af1\dbch\af31501\loch\f1 &lt;/RepeatBlock-By&gt;}{\rtlch\fcs1 \af0 \ltrch\fcs0 \insrsid990073\charrsid15009709 _x000d__x000a__x000d__x000a_\par }\pard\plain \ltrpar\s20\ql \li0\ri0\nowidctlpar\wrapdefault\aspalpha\aspnum\faauto\adjustright\rin0\lin0\itap0\pararsid990073 \rtlch\fcs1 \af0\afs20\alang1025 \ltrch\fcs0 \b\fs24\lang2057\langfe2057\cgrid\langnp2057\langfenp2057 {\rtlch\fcs1 \af0 _x000d__x000a_\ltrch\fcs0 \cs17\b0\v\fs20\cf9\lang1024\langfe1024\loch\af1\hich\af1\dbch\af31501\noproof\insrsid990073\charrsid15009709 \hich\af1\dbch\af31501\loch\f1 &lt;DocAmend&gt;}{\rtlch\fcs1 \af0 \ltrch\fcs0 \insrsid990073\charrsid15009709 #}{\rtlch\fcs1 \af1 _x000d__x000a_\ltrch\fcs0 \cs18\v\f1\fs20\cf15\insrsid990073\charrsid15009709 MNU[OPTPROPOSALCOD][OPTPROPOSALCNS][OPTPROPOSALNLE]@CHOICE@CODEMNU}{\rtlch\fcs1 \af0 \ltrch\fcs0 \insrsid990073\charrsid15009709 #}{\rtlch\fcs1 \af0 \ltrch\fcs0 _x000d__x000a_\cs17\b0\v\fs20\cf9\lang1024\langfe1024\loch\af1\hich\af1\dbch\af31501\noproof\insrsid990073\charrsid15009709 \hich\af1\dbch\af31501\loch\f1 &lt;/DocAmend&gt;}{\rtlch\fcs1 \af0 \ltrch\fcs0 \insrsid990073\charrsid15009709 _x000d__x000a_\par }\pard \ltrpar\s20\ql \li0\ri0\keepn\nowidctlpar\wrapdefault\aspalpha\aspnum\faauto\adjustright\rin0\lin0\itap0\pararsid990073 {\rtlch\fcs1 \af0 \ltrch\fcs0 _x000d__x000a_\cs17\b0\v\fs20\cf9\lang1024\langfe1024\loch\af1\hich\af1\dbch\af31501\noproof\insrsid990073\charrsid15009709 \hich\af1\dbch\af31501\loch\f1 &lt;Article&gt;}{\rtlch\fcs1 \af0 \ltrch\fcs0 \insrsid990073\charrsid15009709 #}{\rtlch\fcs1 \af1 \ltrch\fcs0 _x000d__x000a_\cs18\v\f1\fs20\cf15\insrsid990073\charrsid15009709 MNU[AMACTPARTYES][AMACTPARTNO]@CHOICE@AMACTMNU}{\rtlch\fcs1 \af0 \ltrch\fcs0 \insrsid990073\charrsid15009709 #}{\rtlch\fcs1 \af0 \ltrch\fcs0 _x000d__x000a_\cs17\b0\v\fs20\cf9\lang1024\langfe1024\loch\af1\hich\af1\dbch\af31501\noproof\insrsid990073\charrsid15009709 \hich\af1\dbch\af31501\loch\f1 &lt;/Article&gt;}{\rtlch\fcs1 \af0 \ltrch\fcs0 \insrsid990073\charrsid15009709 _x000d__x000a_\par }\pard\plain \ltrpar\ql \li0\ri0\keepn\widctlpar\wrapdefault\aspalpha\aspnum\faauto\adjustright\rin0\lin0\itap0\pararsid990073 \rtlch\fcs1 \af0\afs20\alang1025 \ltrch\fcs0 \fs24\lang2057\langfe2057\cgrid\langnp2057\langfenp2057 {\rtlch\fcs1 \af0 _x000d__x000a_\ltrch\fcs0 \cs17\v\fs20\cf9\lang1024\langfe1024\loch\af1\hich\af1\dbch\af31501\noproof\insrsid990073\charrsid15009709 \hich\af1\dbch\af31501\loch\f1 &lt;DocAmend2&gt;&lt;OptDel&gt;}{\rtlch\fcs1 \af0 \ltrch\fcs0 \insrsid990073\charrsid15009709 #}{\rtlch\fcs1 \af1 _x000d__x000a_\ltrch\fcs0 \cs18\v\f1\fs20\cf15\insrsid990073\charrsid15009709 MNU[OPTNRACTYES][NOTAPP]@CHOICE@AMACTMNU}{\rtlch\fcs1 \af0 \ltrch\fcs0 \insrsid990073\charrsid15009709 #}{\rtlch\fcs1 \af0 \ltrch\fcs0 _x000d__x000a_\cs17\v\fs20\cf9\lang1024\langfe1024\loch\af1\hich\af1\dbch\af31501\noproof\insrsid990073\charrsid15009709 \hich\af1\dbch\af31501\loch\f1 &lt;/OptDel&gt;&lt;/DocAmend2&gt;}{\rtlch\fcs1 \af0 \ltrch\fcs0 \insrsid990073\charrsid15009709 _x000d__x000a_\par }\pard \ltrpar\ql \li0\ri0\widctlpar\wrapdefault\aspalpha\aspnum\faauto\adjustright\rin0\lin0\itap0\pararsid990073 {\rtlch\fcs1 \af0 \ltrch\fcs0 \cs17\v\fs20\cf9\lang1024\langfe1024\loch\af1\hich\af1\dbch\af31501\noproof\insrsid990073\charrsid15009709 _x000d__x000a_\hich\af1\dbch\af31501\loch\f1 &lt;Article2&gt;&lt;OptDel&gt;}{\rtlch\fcs1 \af0 \ltrch\fcs0 \insrsid990073\charrsid15009709 #}{\rtlch\fcs1 \af1 \ltrch\fcs0 \cs18\v\f1\fs20\cf15\insrsid990073\charrsid15009709 MNU[OPTACTPARTYES][NOTAPP]@CHOICE@AMACTMNU}{\rtlch\fcs1 _x000d__x000a_\af0 \ltrch\fcs0 \insrsid990073\charrsid15009709 #}{\rtlch\fcs1 \af0 \ltrch\fcs0 \cs17\v\fs20\cf9\lang1024\langfe1024\loch\af1\hich\af1\dbch\af31501\noproof\insrsid990073\charrsid15009709 \hich\af1\dbch\af31501\loch\f1 &lt;/OptDel&gt;&lt;/Article2&gt;}{\rtlch\fcs1 _x000d__x000a_\af0 \ltrch\fcs0 \insrsid990073\charrsid1500970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90073\charrsid15009709 \cell }\pard\plain \ltrpar\ql \li0\ri0\widctlpar\intbl\wrapdefault\aspalpha\aspnum\faauto\adjustright\rin0\lin0 \rtlch\fcs1 _x000d__x000a_\af0\afs20\alang1025 \ltrch\fcs0 \fs24\lang2057\langfe2057\cgrid\langnp2057\langfenp2057 {\rtlch\fcs1 \af0 \ltrch\fcs0 \insrsid990073\charrsid1500970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990073\charrsid15009709 #}{\rtlch\fcs1 \af1 \ltrch\fcs0 \cs18\v\f1\fs20\cf15\insrsid990073\charrsid15009709 MNU[OPTLEFTAMACT][LEFTPROP]@CHOICE@AMACTMNU}{_x000d__x000a_\rtlch\fcs1 \af0 \ltrch\fcs0 \insrsid990073\charrsid15009709 #\cell Amendment\cell }\pard\plain \ltrpar\ql \li0\ri0\widctlpar\intbl\wrapdefault\aspalpha\aspnum\faauto\adjustright\rin0\lin0 \rtlch\fcs1 \af0\afs20\alang1025 \ltrch\fcs0 _x000d__x000a_\fs24\lang2057\langfe2057\cgrid\langnp2057\langfenp2057 {\rtlch\fcs1 \af0 \ltrch\fcs0 \insrsid990073\charrsid1500970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90073\charrsid15009709 ##\cell ##}{\rtlch\fcs1 \af0\afs24 \ltrch\fcs0 \insrsid990073\charrsid15009709 \cell }\pard\plain \ltrpar\ql \li0\ri0\widctlpar\intbl\wrapdefault\aspalpha\aspnum\faauto\adjustright\rin0\lin0 \rtlch\fcs1 _x000d__x000a_\af0\afs20\alang1025 \ltrch\fcs0 \fs24\lang2057\langfe2057\cgrid\langnp2057\langfenp2057 {\rtlch\fcs1 \af0 \ltrch\fcs0 \insrsid990073\charrsid1500970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990073 \rtlch\fcs1 \af0\afs20\alang1025 \ltrch\fcs0 \fs24\lang2057\langfe2057\cgrid\langnp2057\langfenp2057 {\rtlch\fcs1 \af0 \ltrch\fcs0 _x000d__x000a_\insrsid990073\charrsid15009709 Or. }{\rtlch\fcs1 \af0 \ltrch\fcs0 \cs17\v\fs20\cf9\lang1024\langfe1024\loch\af1\hich\af1\dbch\af31501\noproof\insrsid990073\charrsid15009709 \hich\af1\dbch\af31501\loch\f1 &lt;Original&gt;}{\rtlch\fcs1 \af0 \ltrch\fcs0 _x000d__x000a_\insrsid990073\charrsid15009709 #}{\rtlch\fcs1 \af1 \ltrch\fcs0 \cs18\v\f1\fs20\cf15\insrsid990073\charrsid15009709 KEY(MAIN/LANGMIN)sh@ORLANGMSG@}{\rtlch\fcs1 \af0 \ltrch\fcs0 \insrsid990073\charrsid15009709 #}{\rtlch\fcs1 \af0 \ltrch\fcs0 _x000d__x000a_\cs17\v\fs20\cf9\lang1024\langfe1024\loch\af1\hich\af1\dbch\af31501\noproof\insrsid990073\charrsid15009709 \hich\af1\dbch\af31501\loch\f1 &lt;/Original&gt;}{\rtlch\fcs1 \af0 \ltrch\fcs0 \insrsid990073\charrsid15009709 _x000d__x000a_\par }\pard\plain \ltrpar\s22\qc \li0\ri0\sb240\sa240\nowidctlpar\wrapdefault\aspalpha\aspnum\faauto\adjustright\rin0\lin0\itap0\pararsid990073 \rtlch\fcs1 \af0\afs20\alang1025 \ltrch\fcs0 \i\fs24\lang2057\langfe2057\cgrid\langnp2057\langfenp2057 {\rtlch\fcs1 _x000d__x000a_\af0 \ltrch\fcs0 \cs17\i0\v\fs20\cf9\lang1024\langfe1024\loch\af1\hich\af1\dbch\af31501\noproof\insrsid990073\charrsid15009709 \hich\af1\dbch\af31501\loch\f1 &lt;OptDel&gt;}{\rtlch\fcs1 \af0 \ltrch\fcs0 \insrsid990073\charrsid15009709 #}{\rtlch\fcs1 \af1 _x000d__x000a_\ltrch\fcs0 \cs18\v\f1\fs20\cf15\insrsid990073\charrsid15009709 MNU[CROSSREFNO][CROSSREFYES]@CHOICE@}{\rtlch\fcs1 \af0 \ltrch\fcs0 \insrsid990073\charrsid15009709 #}{\rtlch\fcs1 \af0 \ltrch\fcs0 _x000d__x000a_\cs17\i0\v\fs20\cf9\lang1024\langfe1024\loch\af1\hich\af1\dbch\af31501\noproof\insrsid990073\charrsid15009709 \hich\af1\dbch\af31501\loch\f1 &lt;/OptDel&gt;}{\rtlch\fcs1 \af0 \ltrch\fcs0 \insrsid990073\charrsid15009709 _x000d__x000a_\par }\pard\plain \ltrpar\s23\qc \li0\ri0\sb240\sa240\keepn\nowidctlpar\wrapdefault\aspalpha\aspnum\faauto\adjustright\rin0\lin0\itap0\pararsid990073 \rtlch\fcs1 \af0\afs20\alang1025 \ltrch\fcs0 \i\fs24\lang2057\langfe2057\cgrid\langnp2057\langfenp2057 {_x000d__x000a_\rtlch\fcs1 \af0 \ltrch\fcs0 \cs17\i0\v\fs20\cf9\lang1024\langfe1024\loch\af1\hich\af1\dbch\af31501\noproof\insrsid990073\charrsid15009709 \hich\af1\dbch\af31501\loch\f1 &lt;TitreJust&gt;}{\rtlch\fcs1 \af0 \ltrch\fcs0 \insrsid990073\charrsid15009709 _x000d__x000a_Justification}{\rtlch\fcs1 \af0 \ltrch\fcs0 \cs17\i0\v\fs20\cf9\lang1024\langfe1024\loch\af1\hich\af1\dbch\af31501\noproof\insrsid990073\charrsid15009709 \hich\af1\dbch\af31501\loch\f1 &lt;/TitreJust&gt;}{\rtlch\fcs1 \af0 \ltrch\fcs0 _x000d__x000a_\insrsid990073\charrsid15009709 _x000d__x000a_\par }\pard\plain \ltrpar\s21\ql \li0\ri0\sa240\nowidctlpar\wrapdefault\aspalpha\aspnum\faauto\adjustright\rin0\lin0\itap0\pararsid990073 \rtlch\fcs1 \af0\afs20\alang1025 \ltrch\fcs0 \i\fs24\lang2057\langfe2057\cgrid\langnp2057\langfenp2057 {\rtlch\fcs1 \af0 _x000d__x000a_\ltrch\fcs0 \cs17\i0\v\fs20\cf9\lang1024\langfe1024\loch\af1\hich\af1\dbch\af31501\noproof\insrsid990073\charrsid15009709 \hich\af1\dbch\af31501\loch\f1 &lt;OptDelPrev&gt;}{\rtlch\fcs1 \af0 \ltrch\fcs0 \insrsid990073\charrsid15009709 #}{\rtlch\fcs1 \af1 _x000d__x000a_\ltrch\fcs0 \cs18\v\f1\fs20\cf15\insrsid990073\charrsid15009709 MNU[TEXTJUSTYES][TEXTJUSTNO]@CHOICE@}{\rtlch\fcs1 \af0 \ltrch\fcs0 \insrsid990073\charrsid15009709 #}{\rtlch\fcs1 \af0 \ltrch\fcs0 _x000d__x000a_\cs17\i0\v\fs20\cf9\lang1024\langfe1024\loch\af1\hich\af1\dbch\af31501\noproof\insrsid990073\charrsid15009709 \hich\af1\dbch\af31501\loch\f1 &lt;/OptDelPrev&gt;}{\rtlch\fcs1 \af0 \ltrch\fcs0 \insrsid990073\charrsid15009709 _x000d__x000a_\par }\pard\plain \ltrpar\ql \li0\ri0\widctlpar\wrapdefault\aspalpha\aspnum\faauto\adjustright\rin0\lin0\itap0\pararsid990073 \rtlch\fcs1 \af0\afs20\alang1025 \ltrch\fcs0 \fs24\lang2057\langfe2057\cgrid\langnp2057\langfenp2057 {\rtlch\fcs1 \af0 \ltrch\fcs0 _x000d__x000a_\cs17\v\fs20\cf9\lang1024\langfe1024\loch\af1\hich\af1\dbch\af31501\noproof\insrsid990073\charrsid1500970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7f_x000d__x000a_06f26a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533502 HideTWBExt;}{\*\cs18 \additive \v\f1\fs20\cf15 _x000d__x000a_\spriority0 \styrsid5533502 HideTWBInt;}{\s19\ql \li0\ri0\sa120\nowidctlpar\wrapdefault\aspalpha\aspnum\faauto\adjustright\rin0\lin0\itap0 \rtlch\fcs1 \af0\afs20\alang1025 \ltrch\fcs0 \fs24\lang2057\langfe2057\cgrid\langnp2057\langfenp2057 _x000d__x000a_\sbasedon0 \snext19 \spriority0 \styrsid5533502 Normal6a;}{\s20\ql \li0\ri0\nowidctlpar\wrapdefault\aspalpha\aspnum\faauto\adjustright\rin0\lin0\itap0 \rtlch\fcs1 \af0\afs20\alang1025 \ltrch\fcs0 \b\fs24\lang2057\langfe2057\cgrid\langnp2057\langfenp2057 _x000d__x000a_\sbasedon0 \snext20 \spriority0 \styrsid5533502 NormalBold;}{\s21\ql \li0\ri0\sa240\nowidctlpar\wrapdefault\aspalpha\aspnum\faauto\adjustright\rin0\lin0\itap0 \rtlch\fcs1 \af0\afs20\alang1025 \ltrch\fcs0 _x000d__x000a_\i\fs24\lang2057\langfe2057\cgrid\langnp2057\langfenp2057 \sbasedon0 \snext21 \spriority0 \styrsid5533502 AmJustText;}{\s22\qc \li0\ri0\sb240\sa240\nowidctlpar\wrapdefault\aspalpha\aspnum\faauto\adjustright\rin0\lin0\itap0 \rtlch\fcs1 _x000d__x000a_\af0\afs20\alang1025 \ltrch\fcs0 \i\fs24\lang2057\langfe2057\cgrid\langnp2057\langfenp2057 \sbasedon0 \snext22 \spriority0 \styrsid5533502 AmCrossRef;}{_x000d__x000a_\s23\qc \li0\ri0\sb240\sa240\keepn\nowidctlpar\wrapdefault\aspalpha\aspnum\faauto\adjustright\rin0\lin0\itap0 \rtlch\fcs1 \af0\afs20\alang1025 \ltrch\fcs0 \i\fs24\lang2057\langfe2057\cgrid\langnp2057\langfenp2057 _x000d__x000a_\sbasedon0 \snext21 \spriority0 \styrsid5533502 AmJustTitle;}{\s24\qr \li0\ri0\sb240\sa240\nowidctlpar\wrapdefault\aspalpha\aspnum\faauto\adjustright\rin0\lin0\itap0 \rtlch\fcs1 \af0\afs20\alang1025 \ltrch\fcs0 _x000d__x000a_\fs24\lang2057\langfe2057\cgrid\langnp2057\langfenp2057 \sbasedon0 \snext24 \spriority0 \styrsid5533502 AmOrLang;}{\s25\qc \li0\ri0\sa240\nowidctlpar\wrapdefault\aspalpha\aspnum\faauto\adjustright\rin0\lin0\itap0 \rtlch\fcs1 \af0\afs20\alang1025 _x000d__x000a_\ltrch\fcs0 \i\fs24\lang2057\langfe2057\cgrid\langnp2057\langfenp2057 \sbasedon0 \snext25 \spriority0 \styrsid553350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533502 AmNumberTabs;}}{\*\rsidtbl \rsid24658\rsid223860\rsid735077\rsid1718133\rsid2892074\rsid3565327\rsid4666813\rsid5533502\rsid6641733_x000d__x000a_\rsid7823322\rsid9636012\rsid10377208\rsid11215221\rsid11549030\rsid12154954\rsid14382809\rsid14424199\rsid15204470\rsid15285974\rsid15735936\rsid15950462\rsid16324206\rsid16662270}{\mmathPr\mmathFont34\mbrkBin0\mbrkBinSub0\msmallFrac0\mdispDef1\mlMargin0_x000d__x000a_\mrMargin0\mdefJc1\mwrapIndent1440\mintLim0\mnaryLim1}{\info{\author NOTARIDOU Aikaterini}{\operator Aikaterini NOTARIDOU}{\creatim\yr2025\mo5\dy20\hr11\min44}{\revtim\yr2025\mo5\dy20\hr11\min44}{\version1}{\edmins0}{\nofpages1}{\nofwords130}_x000d__x000a_{\nofchars745}{\nofcharsws87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533502\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EP\\AppData\\Local\\Temp\\Blank1.dotx}{\*\ftnsep \ltrpar \pard\plain \ltrpar_x000d__x000a_\ql \li0\ri0\widctlpar\wrapdefault\aspalpha\aspnum\faauto\adjustright\rin0\lin0\itap0 \rtlch\fcs1 \af0\afs20\alang1025 \ltrch\fcs0 \fs24\lang2057\langfe2057\cgrid\langnp2057\langfenp2057 {\rtlch\fcs1 \af0 \ltrch\fcs0 \insrsid15735936 \chftnsep _x000d__x000a_\par }}{\*\ftnsepc \ltrpar \pard\plain \ltrpar\ql \li0\ri0\widctlpar\wrapdefault\aspalpha\aspnum\faauto\adjustright\rin0\lin0\itap0 \rtlch\fcs1 \af0\afs20\alang1025 \ltrch\fcs0 \fs24\lang2057\langfe2057\cgrid\langnp2057\langfenp2057 {\rtlch\fcs1 \af0 _x000d__x000a_\ltrch\fcs0 \insrsid15735936 \chftnsepc _x000d__x000a_\par }}{\*\aftnsep \ltrpar \pard\plain \ltrpar\ql \li0\ri0\widctlpar\wrapdefault\aspalpha\aspnum\faauto\adjustright\rin0\lin0\itap0 \rtlch\fcs1 \af0\afs20\alang1025 \ltrch\fcs0 \fs24\lang2057\langfe2057\cgrid\langnp2057\langfenp2057 {\rtlch\fcs1 \af0 _x000d__x000a_\ltrch\fcs0 \insrsid15735936 \chftnsep _x000d__x000a_\par }}{\*\aftnsepc \ltrpar \pard\plain \ltrpar\ql \li0\ri0\widctlpar\wrapdefault\aspalpha\aspnum\faauto\adjustright\rin0\lin0\itap0 \rtlch\fcs1 \af0\afs20\alang1025 \ltrch\fcs0 \fs24\lang2057\langfe2057\cgrid\langnp2057\langfenp2057 {\rtlch\fcs1 \af0 _x000d__x000a_\ltrch\fcs0 \insrsid1573593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533502 \rtlch\fcs1 _x000d__x000a_\af0\afs20\alang1025 \ltrch\fcs0 \b\fs24\lang2057\langfe2057\cgrid\langnp2057\langfenp2057 {\rtlch\fcs1 \af0 \ltrch\fcs0 \cs17\b0\v\fs20\cf9\lang1024\langfe1024\loch\af1\hich\af1\dbch\af31501\noproof\insrsid5533502\charrsid15009709 {\*\bkmkstart restart}_x000d__x000a_\hich\af1\dbch\af31501\loch\f1 &lt;}{\rtlch\fcs1 \af0 \ltrch\fcs0 \cs17\b0\v\fs20\cf9\lang1024\langfe1024\loch\af1\hich\af1\dbch\af31501\noproof\insrsid5533502 \hich\af1\dbch\af31501\loch\f1 Amend}{\rtlch\fcs1 \af0 \ltrch\fcs0 _x000d__x000a_\cs17\b0\v\fs20\cf9\lang1024\langfe1024\loch\af1\hich\af1\dbch\af31501\noproof\insrsid5533502\charrsid15009709 \hich\af1\dbch\af31501\loch\f1 &gt;}{\rtlch\fcs1 \af0 \ltrch\fcs0 \insrsid5533502\charrsid15009709 Amendment\tab \tab }{\rtlch\fcs1 \af0 _x000d__x000a_\ltrch\fcs0 \cs17\b0\v\fs20\cf9\lang1024\langfe1024\loch\af1\hich\af1\dbch\af31501\noproof\insrsid5533502\charrsid15009709 \hich\af1\dbch\af31501\loch\f1 &lt;}{\rtlch\fcs1 \af0 \ltrch\fcs0 _x000d__x000a_\cs17\b0\v\fs20\cf9\lang1024\langfe1024\loch\af1\hich\af1\dbch\af31501\noproof\insrsid5533502 \hich\af1\dbch\af31501\loch\f1 NumAm&gt;}{\rtlch\fcs1 \af0 \ltrch\fcs0 \insrsid5533502\charrsid15009709 #}{\rtlch\fcs1 \af1 \ltrch\fcs0 _x000d__x000a_\cs18\v\f1\fs20\cf15\insrsid5533502\charrsid15009709 ENMIENDA@NRAM@}{\rtlch\fcs1 \af0 \ltrch\fcs0 \insrsid5533502\charrsid15009709 #}{\rtlch\fcs1 \af0 \ltrch\fcs0 _x000d__x000a_\cs17\b0\v\fs20\cf9\lang1024\langfe1024\loch\af1\hich\af1\dbch\af31501\noproof\insrsid5533502\charrsid15009709 \hich\af1\dbch\af31501\loch\f1 &lt;/}{\rtlch\fcs1 \af0 \ltrch\fcs0 _x000d__x000a_\cs17\b0\v\fs20\cf9\lang1024\langfe1024\loch\af1\hich\af1\dbch\af31501\noproof\insrsid5533502 \hich\af1\dbch\af31501\loch\f1 NumAm&gt;}{\rtlch\fcs1 \af0 \ltrch\fcs0 \insrsid5533502\charrsid15009709 _x000d__x000a_\par }\pard\plain \ltrpar\s20\ql \li0\ri0\nowidctlpar\wrapdefault\aspalpha\aspnum\faauto\adjustright\rin0\lin0\itap0\pararsid5533502 \rtlch\fcs1 \af0\afs20\alang1025 \ltrch\fcs0 \b\fs24\lang2057\langfe2057\cgrid\langnp2057\langfenp2057 {\rtlch\fcs1 \af0 _x000d__x000a_\ltrch\fcs0 \cs17\b0\v\fs20\cf9\lang1024\langfe1024\loch\af1\hich\af1\dbch\af31501\noproof\insrsid5533502\charrsid15009709 \hich\af1\dbch\af31501\loch\f1 &lt;\hich\af1\dbch\af31501\loch\f1 RepeatBlock-By&gt;}{\rtlch\fcs1 \af0 \ltrch\fcs0 _x000d__x000a_\insrsid5533502\charrsid15009709 #}{\rtlch\fcs1 \af1 \ltrch\fcs0 \cs18\v\f1\fs20\cf15\insrsid5533502\charrsid15009709 (MOD@InsideLoop()}{\rtlch\fcs1 \af0 \ltrch\fcs0 \insrsid5533502\charrsid15009709 ##}{\rtlch\fcs1 \af1 \ltrch\fcs0 _x000d__x000a_\cs18\v\f1\fs20\cf15\insrsid5533502\charrsid15009709 &gt;&gt;&gt;@[ZMEMBERSMSG]@}{\rtlch\fcs1 \af0 \ltrch\fcs0 \insrsid5533502\charrsid15009709 #}{\rtlch\fcs1 \af0 \ltrch\fcs0 _x000d__x000a_\cs17\b0\v\fs20\cf9\lang1024\langfe1024\loch\af1\hich\af1\dbch\af31501\noproof\insrsid5533502\charrsid15009709 \hich\af1\dbch\af31501\loch\f1 &lt;Members&gt;}{\rtlch\fcs1 \af0 \ltrch\fcs0 \insrsid5533502\charrsid15009709 #}{\rtlch\fcs1 \af1 \ltrch\fcs0 _x000d__x000a_\cs18\v\f1\fs20\cf15\insrsid5533502\charrsid15009709 (MOD@InsideLoop(\'a7)}{\rtlch\fcs1 \af0 \ltrch\fcs0 \insrsid5533502\charrsid15009709 #}{\rtlch\fcs1 \af0 \ltrch\fcs0 \cf10\insrsid5533502\charrsid3047116 \u9668\'3f}{\rtlch\fcs1 \af0 \ltrch\fcs0 _x000d__x000a_\insrsid5533502\charrsid15009709 #}{\rtlch\fcs1 \af1 \ltrch\fcs0 \cs18\v\f1\fs20\cf15\insrsid5533502\charrsid15009709 TVTMEMBERS\'a7@MEMBERS@}{\rtlch\fcs1 \af0 \ltrch\fcs0 \insrsid5533502\charrsid15009709 #}{\rtlch\fcs1 \af0 \ltrch\fcs0 _x000d__x000a_\cf10\insrsid5533502\charrsid3047116 \u9658\'3f}{\rtlch\fcs1 \af0 \ltrch\fcs0 \cs17\b0\v\fs20\cf9\lang1024\langfe1024\loch\af1\hich\af1\dbch\af31501\noproof\insrsid5533502\charrsid15009709 \hich\af1\dbch\af31501\loch\f1 &lt;/Members&gt;}{\rtlch\fcs1 \af0 _x000d__x000a_\ltrch\fcs0 \insrsid5533502\charrsid15009709 _x000d__x000a_\par }\pard\plain \ltrpar\ql \li0\ri0\widctlpar\wrapdefault\aspalpha\aspnum\faauto\adjustright\rin0\lin0\itap0\pararsid5533502 \rtlch\fcs1 \af0\afs20\alang1025 \ltrch\fcs0 \fs24\lang2057\langfe2057\cgrid\langnp2057\langfenp2057 {\rtlch\fcs1 \af0 \ltrch\fcs0 _x000d__x000a_\cs17\v\fs20\cf9\lang1024\langfe1024\loch\af1\hich\af1\dbch\af31501\noproof\insrsid5533502\charrsid15009709 \hich\af1\dbch\af31501\loch\f1 &lt;AuNomDe&gt;&lt;OptDel&gt;}{\rtlch\fcs1 \af0 \ltrch\fcs0 \insrsid5533502\charrsid15009709 #}{\rtlch\fcs1 \af1 \ltrch\fcs0 _x000d__x000a_\cs18\v\f1\fs20\cf15\insrsid5533502\charrsid15009709 MNU[ONBEHALFYES][NOTAPP]@CHOICE@}{\rtlch\fcs1 \af0 \ltrch\fcs0 \insrsid5533502\charrsid15009709 #}{\rtlch\fcs1 \af0 \ltrch\fcs0 _x000d__x000a_\cs17\v\fs20\cf9\lang1024\langfe1024\loch\af1\hich\af1\dbch\af31501\noproof\insrsid5533502\charrsid15009709 \hich\af1\dbch\af31501\loch\f1 &lt;/OptDel&gt;&lt;/AuNomDe&gt;}{\rtlch\fcs1 \af0 \ltrch\fcs0 \insrsid5533502\charrsid15009709 _x000d__x000a_\par &lt;&lt;&lt;}{\rtlch\fcs1 \af0 \ltrch\fcs0 \cs17\v\fs20\cf9\lang1024\langfe1024\loch\af1\hich\af1\dbch\af31501\noproof\insrsid5533502\charrsid15009709 \hich\af1\dbch\af31501\loch\f1 &lt;/RepeatBlock-By&gt;}{\rtlch\fcs1 \af0 \ltrch\fcs0 \insrsid5533502\charrsid15009709 _x000d__x000a__x000d__x000a_\par }\pard\plain \ltrpar\s20\ql \li0\ri0\nowidctlpar\wrapdefault\aspalpha\aspnum\faauto\adjustright\rin0\lin0\itap0\pararsid5533502 \rtlch\fcs1 \af0\afs20\alang1025 \ltrch\fcs0 \b\fs24\lang2057\langfe2057\cgrid\langnp2057\langfenp2057 {\rtlch\fcs1 \af0 _x000d__x000a_\ltrch\fcs0 \cs17\b0\v\fs20\cf9\lang1024\langfe1024\loch\af1\hich\af1\dbch\af31501\noproof\insrsid5533502\charrsid15009709 \hich\af1\dbch\af31501\loch\f1 &lt;DocAmend&gt;}{\rtlch\fcs1 \af0 \ltrch\fcs0 \insrsid5533502\charrsid15009709 #}{\rtlch\fcs1 \af1 _x000d__x000a_\ltrch\fcs0 \cs18\v\f1\fs20\cf15\insrsid5533502\charrsid15009709 MNU[OPTPROPOSALCOD][OPTPROPOSALCNS][OPTPROPOSALNLE]@CHOICE@CODEMNU}{\rtlch\fcs1 \af0 \ltrch\fcs0 \insrsid5533502\charrsid15009709 #}{\rtlch\fcs1 \af0 \ltrch\fcs0 _x000d__x000a_\cs17\b0\v\fs20\cf9\lang1024\langfe1024\loch\af1\hich\af1\dbch\af31501\noproof\insrsid5533502\charrsid15009709 \hich\af1\dbch\af31501\loch\f1 &lt;/DocAmend&gt;}{\rtlch\fcs1 \af0 \ltrch\fcs0 \insrsid5533502\charrsid15009709 _x000d__x000a_\par }\pard \ltrpar\s20\ql \li0\ri0\keepn\nowidctlpar\wrapdefault\aspalpha\aspnum\faauto\adjustright\rin0\lin0\itap0\pararsid5533502 {\rtlch\fcs1 \af0 \ltrch\fcs0 _x000d__x000a_\cs17\b0\v\fs20\cf9\lang1024\langfe1024\loch\af1\hich\af1\dbch\af31501\noproof\insrsid5533502\charrsid15009709 \hich\af1\dbch\af31501\loch\f1 &lt;Article&gt;}{\rtlch\fcs1 \af0 \ltrch\fcs0 \insrsid5533502\charrsid15009709 #}{\rtlch\fcs1 \af1 \ltrch\fcs0 _x000d__x000a_\cs18\v\f1\fs20\cf15\insrsid5533502\charrsid15009709 MNU[AMACTPARTYES][AMACTPARTNO]@CHOICE@AMACTMNU}{\rtlch\fcs1 \af0 \ltrch\fcs0 \insrsid5533502\charrsid15009709 #}{\rtlch\fcs1 \af0 \ltrch\fcs0 _x000d__x000a_\cs17\b0\v\fs20\cf9\lang1024\langfe1024\loch\af1\hich\af1\dbch\af31501\noproof\insrsid5533502\charrsid15009709 \hich\af1\dbch\af31501\loch\f1 &lt;/Article&gt;}{\rtlch\fcs1 \af0 \ltrch\fcs0 \insrsid5533502\charrsid15009709 _x000d__x000a_\par }\pard\plain \ltrpar\ql \li0\ri0\keepn\widctlpar\wrapdefault\aspalpha\aspnum\faauto\adjustright\rin0\lin0\itap0\pararsid5533502 \rtlch\fcs1 \af0\afs20\alang1025 \ltrch\fcs0 \fs24\lang2057\langfe2057\cgrid\langnp2057\langfenp2057 {\rtlch\fcs1 \af0 _x000d__x000a_\ltrch\fcs0 \cs17\v\fs20\cf9\lang1024\langfe1024\loch\af1\hich\af1\dbch\af31501\noproof\insrsid5533502\charrsid15009709 \hich\af1\dbch\af31501\loch\f1 &lt;DocAmend2&gt;&lt;OptDel&gt;}{\rtlch\fcs1 \af0 \ltrch\fcs0 \insrsid5533502\charrsid15009709 #}{\rtlch\fcs1 \af1 _x000d__x000a_\ltrch\fcs0 \cs18\v\f1\fs20\cf15\insrsid5533502\charrsid15009709 MNU[OPTNRACTYES][NOTAPP]@CHOICE@AMACTMNU}{\rtlch\fcs1 \af0 \ltrch\fcs0 \insrsid5533502\charrsid15009709 #}{\rtlch\fcs1 \af0 \ltrch\fcs0 _x000d__x000a_\cs17\v\fs20\cf9\lang1024\langfe1024\loch\af1\hich\af1\dbch\af31501\noproof\insrsid5533502\charrsid15009709 \hich\af1\dbch\af31501\loch\f1 &lt;/OptDel&gt;&lt;/DocAmend2&gt;}{\rtlch\fcs1 \af0 \ltrch\fcs0 \insrsid5533502\charrsid15009709 _x000d__x000a_\par }\pard \ltrpar\ql \li0\ri0\widctlpar\wrapdefault\aspalpha\aspnum\faauto\adjustright\rin0\lin0\itap0\pararsid5533502 {\rtlch\fcs1 \af0 \ltrch\fcs0 \cs17\v\fs20\cf9\lang1024\langfe1024\loch\af1\hich\af1\dbch\af31501\noproof\insrsid5533502\charrsid15009709 _x000d__x000a_\hich\af1\dbch\af31501\loch\f1 &lt;Article2&gt;&lt;OptDel&gt;}{\rtlch\fcs1 \af0 \ltrch\fcs0 \insrsid5533502\charrsid15009709 #}{\rtlch\fcs1 \af1 \ltrch\fcs0 \cs18\v\f1\fs20\cf15\insrsid5533502\charrsid15009709 MNU[OPTACTPARTYES][NOTAPP]@CHOICE@AMACTMNU}{\rtlch\fcs1 _x000d__x000a_\af0 \ltrch\fcs0 \insrsid5533502\charrsid15009709 #}{\rtlch\fcs1 \af0 \ltrch\fcs0 \cs17\v\fs20\cf9\lang1024\langfe1024\loch\af1\hich\af1\dbch\af31501\noproof\insrsid5533502\charrsid15009709 \hich\af1\dbch\af31501\loch\f1 &lt;/OptDel&gt;&lt;/Article2&gt;}{\rtlch\fcs1 _x000d__x000a_\af0 \ltrch\fcs0 \insrsid5533502\charrsid1500970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5533502\charrsid15009709 \cell }\pard\plain \ltrpar\ql \li0\ri0\widctlpar\intbl\wrapdefault\aspalpha\aspnum\faauto\adjustright\rin0\lin0 \rtlch\fcs1 _x000d__x000a_\af0\afs20\alang1025 \ltrch\fcs0 \fs24\lang2057\langfe2057\cgrid\langnp2057\langfenp2057 {\rtlch\fcs1 \af0 \ltrch\fcs0 \insrsid5533502\charrsid1500970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5533502\charrsid15009709 #}{\rtlch\fcs1 \af1 \ltrch\fcs0 \cs18\v\f1\fs20\cf15\insrsid5533502\charrsid15009709 MNU[OPTLEFTAMACT][LEFTPROP]@CHOICE@AMACTMNU}{_x000d__x000a_\rtlch\fcs1 \af0 \ltrch\fcs0 \insrsid5533502\charrsid15009709 #\cell Amendment\cell }\pard\plain \ltrpar\ql \li0\ri0\widctlpar\intbl\wrapdefault\aspalpha\aspnum\faauto\adjustright\rin0\lin0 \rtlch\fcs1 \af0\afs20\alang1025 \ltrch\fcs0 _x000d__x000a_\fs24\lang2057\langfe2057\cgrid\langnp2057\langfenp2057 {\rtlch\fcs1 \af0 \ltrch\fcs0 \insrsid5533502\charrsid1500970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5533502\charrsid15009709 ##\cell ##}{\rtlch\fcs1 \af0\afs24 \ltrch\fcs0 \insrsid5533502\charrsid15009709 \cell }\pard\plain \ltrpar\ql \li0\ri0\widctlpar\intbl\wrapdefault\aspalpha\aspnum\faauto\adjustright\rin0\lin0 \rtlch\fcs1 _x000d__x000a_\af0\afs20\alang1025 \ltrch\fcs0 \fs24\lang2057\langfe2057\cgrid\langnp2057\langfenp2057 {\rtlch\fcs1 \af0 \ltrch\fcs0 \insrsid5533502\charrsid1500970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5533502 \rtlch\fcs1 \af0\afs20\alang1025 \ltrch\fcs0 \fs24\lang2057\langfe2057\cgrid\langnp2057\langfenp2057 {\rtlch\fcs1 \af0 \ltrch\fcs0 _x000d__x000a_\insrsid5533502\charrsid15009709 Or. }{\rtlch\fcs1 \af0 \ltrch\fcs0 \cs17\v\fs20\cf9\lang1024\langfe1024\loch\af1\hich\af1\dbch\af31501\noproof\insrsid5533502\charrsid15009709 \hich\af1\dbch\af31501\loch\f1 &lt;Original&gt;}{\rtlch\fcs1 \af0 \ltrch\fcs0 _x000d__x000a_\insrsid5533502\charrsid15009709 #}{\rtlch\fcs1 \af1 \ltrch\fcs0 \cs18\v\f1\fs20\cf15\insrsid5533502\charrsid15009709 KEY(MAIN/LANGMIN)sh@ORLANGMSG@}{\rtlch\fcs1 \af0 \ltrch\fcs0 \insrsid5533502\charrsid15009709 #}{\rtlch\fcs1 \af0 \ltrch\fcs0 _x000d__x000a_\cs17\v\fs20\cf9\lang1024\langfe1024\loch\af1\hich\af1\dbch\af31501\noproof\insrsid5533502\charrsid15009709 \hich\af1\dbch\af31501\loch\f1 &lt;/Original&gt;}{\rtlch\fcs1 \af0 \ltrch\fcs0 \insrsid5533502\charrsid15009709 _x000d__x000a_\par }\pard\plain \ltrpar\s22\qc \li0\ri0\sb240\sa240\nowidctlpar\wrapdefault\aspalpha\aspnum\faauto\adjustright\rin0\lin0\itap0\pararsid5533502 \rtlch\fcs1 \af0\afs20\alang1025 \ltrch\fcs0 \i\fs24\lang2057\langfe2057\cgrid\langnp2057\langfenp2057 {_x000d__x000a_\rtlch\fcs1 \af0 \ltrch\fcs0 \cs17\i0\v\fs20\cf9\lang1024\langfe1024\loch\af1\hich\af1\dbch\af31501\noproof\insrsid5533502\charrsid15009709 \hich\af1\dbch\af31501\loch\f1 &lt;OptDel&gt;}{\rtlch\fcs1 \af0 \ltrch\fcs0 \insrsid5533502\charrsid15009709 #}{_x000d__x000a_\rtlch\fcs1 \af1 \ltrch\fcs0 \cs18\v\f1\fs20\cf15\insrsid5533502\charrsid15009709 MNU[CROSSREFNO][CROSSREFYES]@CHOICE@}{\rtlch\fcs1 \af0 \ltrch\fcs0 \insrsid5533502\charrsid15009709 #}{\rtlch\fcs1 \af0 \ltrch\fcs0 _x000d__x000a_\cs17\i0\v\fs20\cf9\lang1024\langfe1024\loch\af1\hich\af1\dbch\af31501\noproof\insrsid5533502\charrsid15009709 \hich\af1\dbch\af31501\loch\f1 &lt;/OptDel&gt;}{\rtlch\fcs1 \af0 \ltrch\fcs0 \insrsid5533502\charrsid15009709 _x000d__x000a_\par }\pard\plain \ltrpar\s23\qc \li0\ri0\sb240\sa240\keepn\nowidctlpar\wrapdefault\aspalpha\aspnum\faauto\adjustright\rin0\lin0\itap0\pararsid5533502 \rtlch\fcs1 \af0\afs20\alang1025 \ltrch\fcs0 \i\fs24\lang2057\langfe2057\cgrid\langnp2057\langfenp2057 {_x000d__x000a_\rtlch\fcs1 \af0 \ltrch\fcs0 \cs17\i0\v\fs20\cf9\lang1024\langfe1024\loch\af1\hich\af1\dbch\af31501\noproof\insrsid5533502\charrsid15009709 \hich\af1\dbch\af31501\loch\f1 &lt;TitreJust&gt;}{\rtlch\fcs1 \af0 \ltrch\fcs0 \insrsid5533502\charrsid15009709 _x000d__x000a_Justification}{\rtlch\fcs1 \af0 \ltrch\fcs0 \cs17\i0\v\fs20\cf9\lang1024\langfe1024\loch\af1\hich\af1\dbch\af31501\noproof\insrsid5533502\charrsid15009709 \hich\af1\dbch\af31501\loch\f1 &lt;/TitreJust&gt;}{\rtlch\fcs1 \af0 \ltrch\fcs0 _x000d__x000a_\insrsid5533502\charrsid15009709 _x000d__x000a_\par }\pard\plain \ltrpar\s21\ql \li0\ri0\sa240\nowidctlpar\wrapdefault\aspalpha\aspnum\faauto\adjustright\rin0\lin0\itap0\pararsid5533502 \rtlch\fcs1 \af0\afs20\alang1025 \ltrch\fcs0 \i\fs24\lang2057\langfe2057\cgrid\langnp2057\langfenp2057 {\rtlch\fcs1 \af0 _x000d__x000a_\ltrch\fcs0 \cs17\i0\v\fs20\cf9\lang1024\langfe1024\loch\af1\hich\af1\dbch\af31501\noproof\insrsid5533502\charrsid15009709 \hich\af1\dbch\af31501\loch\f1 &lt;OptDelPrev&gt;}{\rtlch\fcs1 \af0 \ltrch\fcs0 \insrsid5533502\charrsid15009709 #}{\rtlch\fcs1 \af1 _x000d__x000a_\ltrch\fcs0 \cs18\v\f1\fs20\cf15\insrsid5533502\charrsid15009709 MNU[TEXTJUSTYES][TEXTJUSTNO]@CHOICE@}{\rtlch\fcs1 \af0 \ltrch\fcs0 \insrsid5533502\charrsid15009709 #}{\rtlch\fcs1 \af0 \ltrch\fcs0 _x000d__x000a_\cs17\i0\v\fs20\cf9\lang1024\langfe1024\loch\af1\hich\af1\dbch\af31501\noproof\insrsid5533502\charrsid15009709 \hich\af1\dbch\af31501\loch\f1 &lt;/OptDelPrev&gt;}{\rtlch\fcs1 \af0 \ltrch\fcs0 \insrsid5533502\charrsid15009709 _x000d__x000a_\par }\pard\plain \ltrpar\ql \li0\ri0\widctlpar\wrapdefault\aspalpha\aspnum\faauto\adjustright\rin0\lin0\itap0\pararsid5533502 \rtlch\fcs1 \af0\afs20\alang1025 \ltrch\fcs0 \fs24\lang2057\langfe2057\cgrid\langnp2057\langfenp2057 {\rtlch\fcs1 \af0 \ltrch\fcs0 _x000d__x000a_\cs17\v\fs20\cf9\lang1024\langfe1024\loch\af1\hich\af1\dbch\af31501\noproof\insrsid5533502\charrsid15009709 \hich\af1\dbch\af31501\loch\f1 &lt;/}{\rtlch\fcs1 \af0 \ltrch\fcs0 _x000d__x000a_\cs17\v\fs20\cf9\lang1024\langfe1024\loch\af1\hich\af1\dbch\af31501\noproof\insrsid5533502 \hich\af1\dbch\af31501\loch\f1 Amend}{\rtlch\fcs1 \af0 \ltrch\fcs0 _x000d__x000a_\cs17\v\fs20\cf9\lang1024\langfe1024\loch\af1\hich\af1\dbch\af31501\noproof\insrsid5533502\charrsid1500970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5_x000d__x000a_efc56bc9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1"/>
    <w:docVar w:name="TVTACTPART" w:val="xx"/>
    <w:docVar w:name="TVTAMACTPART" w:val="xx"/>
    <w:docVar w:name="TVTMEMBERS1" w:val="xx"/>
    <w:docVar w:name="TXTAUTHOR" w:val="Marit Maij"/>
    <w:docVar w:name="TXTLANGUE" w:val="SV"/>
    <w:docVar w:name="TXTLANGUEMIN" w:val="sv"/>
    <w:docVar w:name="TXTNRC" w:val="0064/2025"/>
    <w:docVar w:name="TXTNRCOM" w:val="(2025)0164"/>
    <w:docVar w:name="TXTNRFIRSTAM" w:val="1"/>
    <w:docVar w:name="TXTNRLASTAM" w:val="113"/>
    <w:docVar w:name="TXTNRPE" w:val="773.390"/>
    <w:docVar w:name="TXTNRPROC" w:val="2025/0085"/>
    <w:docVar w:name="TXTNRREG" w:val="xx"/>
    <w:docVar w:name="TXTPEorAP" w:val="PE"/>
    <w:docVar w:name="TXTROUTE" w:val="AM\1321470SV.docx"/>
    <w:docVar w:name="TXTTITLE" w:val="Amending Regulation (EU) 2021/1057 establishing the European Social Fund + (ESF+) as regards specific measures to address strategic challenges"/>
    <w:docVar w:name="TXTVERSION" w:val="01-00"/>
  </w:docVars>
  <w:rsids>
    <w:rsidRoot w:val="00E507AD"/>
    <w:rsid w:val="000111BD"/>
    <w:rsid w:val="00073830"/>
    <w:rsid w:val="00075DB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E3F68"/>
    <w:rsid w:val="002E4311"/>
    <w:rsid w:val="002E7ECC"/>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46D8"/>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97A90"/>
    <w:rsid w:val="006A2838"/>
    <w:rsid w:val="006B4B58"/>
    <w:rsid w:val="006B6438"/>
    <w:rsid w:val="006D6B15"/>
    <w:rsid w:val="006F3F81"/>
    <w:rsid w:val="006F4B73"/>
    <w:rsid w:val="00702F62"/>
    <w:rsid w:val="0070486D"/>
    <w:rsid w:val="007059E9"/>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E4158"/>
    <w:rsid w:val="008F0DDD"/>
    <w:rsid w:val="00900CAE"/>
    <w:rsid w:val="00904AD5"/>
    <w:rsid w:val="00907CCA"/>
    <w:rsid w:val="009154FF"/>
    <w:rsid w:val="00917A85"/>
    <w:rsid w:val="00966038"/>
    <w:rsid w:val="009A65D8"/>
    <w:rsid w:val="009B0305"/>
    <w:rsid w:val="009B4EE9"/>
    <w:rsid w:val="009F230F"/>
    <w:rsid w:val="00A15973"/>
    <w:rsid w:val="00A233E9"/>
    <w:rsid w:val="00A26490"/>
    <w:rsid w:val="00A46736"/>
    <w:rsid w:val="00A507FC"/>
    <w:rsid w:val="00A5426B"/>
    <w:rsid w:val="00A769F2"/>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77A45"/>
    <w:rsid w:val="00B8066A"/>
    <w:rsid w:val="00B81A9B"/>
    <w:rsid w:val="00B85286"/>
    <w:rsid w:val="00B90B7F"/>
    <w:rsid w:val="00B9188F"/>
    <w:rsid w:val="00BA48D2"/>
    <w:rsid w:val="00BC1B1F"/>
    <w:rsid w:val="00BE0C84"/>
    <w:rsid w:val="00BE2EAC"/>
    <w:rsid w:val="00BE5062"/>
    <w:rsid w:val="00BF1E0A"/>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07AD"/>
    <w:rsid w:val="00E57F50"/>
    <w:rsid w:val="00E660E2"/>
    <w:rsid w:val="00E9391D"/>
    <w:rsid w:val="00EA25AE"/>
    <w:rsid w:val="00EB3A71"/>
    <w:rsid w:val="00EE011D"/>
    <w:rsid w:val="00EE3E0D"/>
    <w:rsid w:val="00EF03A3"/>
    <w:rsid w:val="00EF11AD"/>
    <w:rsid w:val="00F27170"/>
    <w:rsid w:val="00F459F7"/>
    <w:rsid w:val="00F655B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C7F6D1"/>
  <w15:chartTrackingRefBased/>
  <w15:docId w15:val="{6E5EAC94-954B-4B49-98E9-1DFF5F7F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B81A9B"/>
    <w:pPr>
      <w:widowControl/>
      <w:spacing w:before="100" w:beforeAutospacing="1" w:after="100" w:afterAutospacing="1"/>
    </w:pPr>
    <w:rPr>
      <w:szCs w:val="24"/>
    </w:rPr>
  </w:style>
  <w:style w:type="paragraph" w:styleId="Footer">
    <w:name w:val="footer"/>
    <w:link w:val="FooterChar"/>
    <w:semiHidden/>
    <w:unhideWhenUsed/>
    <w:rsid w:val="00B81A9B"/>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B81A9B"/>
    <w:rPr>
      <w:sz w:val="22"/>
    </w:rPr>
  </w:style>
  <w:style w:type="character" w:customStyle="1" w:styleId="Normal12Char">
    <w:name w:val="Normal12 Char"/>
    <w:basedOn w:val="DefaultParagraphFont"/>
    <w:link w:val="Normal12"/>
    <w:locked/>
    <w:rsid w:val="00B81A9B"/>
    <w:rPr>
      <w:noProof/>
      <w:sz w:val="24"/>
    </w:rPr>
  </w:style>
  <w:style w:type="paragraph" w:customStyle="1" w:styleId="Normal12">
    <w:name w:val="Normal12"/>
    <w:basedOn w:val="Normal"/>
    <w:link w:val="Normal12Char"/>
    <w:rsid w:val="00B81A9B"/>
    <w:pPr>
      <w:spacing w:after="240"/>
    </w:pPr>
    <w:rPr>
      <w:noProof/>
    </w:rPr>
  </w:style>
  <w:style w:type="paragraph" w:customStyle="1" w:styleId="CommitteeAM">
    <w:name w:val="CommitteeAM"/>
    <w:basedOn w:val="Normal"/>
    <w:rsid w:val="00B81A9B"/>
    <w:pPr>
      <w:spacing w:before="240" w:after="600"/>
      <w:jc w:val="center"/>
    </w:pPr>
    <w:rPr>
      <w:i/>
    </w:rPr>
  </w:style>
  <w:style w:type="paragraph" w:customStyle="1" w:styleId="ZDateAM">
    <w:name w:val="ZDateAM"/>
    <w:basedOn w:val="Normal"/>
    <w:rsid w:val="00B81A9B"/>
    <w:pPr>
      <w:tabs>
        <w:tab w:val="right" w:pos="9356"/>
      </w:tabs>
      <w:spacing w:after="480"/>
    </w:pPr>
    <w:rPr>
      <w:noProof/>
    </w:rPr>
  </w:style>
  <w:style w:type="paragraph" w:customStyle="1" w:styleId="ProjRap">
    <w:name w:val="ProjRap"/>
    <w:basedOn w:val="Normal"/>
    <w:rsid w:val="00B81A9B"/>
    <w:pPr>
      <w:tabs>
        <w:tab w:val="right" w:pos="9356"/>
      </w:tabs>
    </w:pPr>
    <w:rPr>
      <w:b/>
      <w:noProof/>
    </w:rPr>
  </w:style>
  <w:style w:type="paragraph" w:customStyle="1" w:styleId="PELeft">
    <w:name w:val="PELeft"/>
    <w:basedOn w:val="Normal"/>
    <w:rsid w:val="00B81A9B"/>
    <w:pPr>
      <w:spacing w:before="40" w:after="40"/>
    </w:pPr>
    <w:rPr>
      <w:rFonts w:ascii="Arial" w:hAnsi="Arial" w:cs="Arial"/>
      <w:sz w:val="22"/>
      <w:szCs w:val="22"/>
    </w:rPr>
  </w:style>
  <w:style w:type="paragraph" w:customStyle="1" w:styleId="PERight">
    <w:name w:val="PERight"/>
    <w:basedOn w:val="Normal"/>
    <w:next w:val="Normal"/>
    <w:rsid w:val="00B81A9B"/>
    <w:pPr>
      <w:jc w:val="right"/>
    </w:pPr>
    <w:rPr>
      <w:rFonts w:ascii="Arial" w:hAnsi="Arial" w:cs="Arial"/>
      <w:sz w:val="22"/>
      <w:szCs w:val="22"/>
    </w:rPr>
  </w:style>
  <w:style w:type="character" w:customStyle="1" w:styleId="Normal6Char">
    <w:name w:val="Normal6 Char"/>
    <w:basedOn w:val="DefaultParagraphFont"/>
    <w:link w:val="Normal6"/>
    <w:locked/>
    <w:rsid w:val="00B81A9B"/>
    <w:rPr>
      <w:sz w:val="24"/>
      <w:lang w:val="sv-SE"/>
    </w:rPr>
  </w:style>
  <w:style w:type="paragraph" w:customStyle="1" w:styleId="Normal6">
    <w:name w:val="Normal6"/>
    <w:basedOn w:val="Normal"/>
    <w:link w:val="Normal6Char"/>
    <w:rsid w:val="00B81A9B"/>
    <w:pPr>
      <w:spacing w:after="120"/>
    </w:pPr>
  </w:style>
  <w:style w:type="character" w:customStyle="1" w:styleId="NormalBoldChar">
    <w:name w:val="NormalBold Char"/>
    <w:basedOn w:val="DefaultParagraphFont"/>
    <w:link w:val="NormalBold"/>
    <w:locked/>
    <w:rsid w:val="00B81A9B"/>
    <w:rPr>
      <w:b/>
      <w:sz w:val="24"/>
    </w:rPr>
  </w:style>
  <w:style w:type="paragraph" w:customStyle="1" w:styleId="Normal12Italic">
    <w:name w:val="Normal12Italic"/>
    <w:basedOn w:val="Normal12"/>
    <w:rsid w:val="00B81A9B"/>
    <w:rPr>
      <w:i/>
    </w:rPr>
  </w:style>
  <w:style w:type="paragraph" w:customStyle="1" w:styleId="JustificationTitle">
    <w:name w:val="JustificationTitle"/>
    <w:basedOn w:val="Normal"/>
    <w:next w:val="Normal12"/>
    <w:rsid w:val="00B81A9B"/>
    <w:pPr>
      <w:keepNext/>
      <w:spacing w:before="240" w:after="240"/>
      <w:jc w:val="center"/>
    </w:pPr>
    <w:rPr>
      <w:i/>
      <w:noProof/>
    </w:rPr>
  </w:style>
  <w:style w:type="paragraph" w:customStyle="1" w:styleId="Olang">
    <w:name w:val="Olang"/>
    <w:basedOn w:val="Normal"/>
    <w:rsid w:val="00B81A9B"/>
    <w:pPr>
      <w:spacing w:before="240" w:after="240"/>
      <w:jc w:val="right"/>
    </w:pPr>
    <w:rPr>
      <w:noProof/>
      <w:szCs w:val="24"/>
    </w:rPr>
  </w:style>
  <w:style w:type="paragraph" w:customStyle="1" w:styleId="ColumnHeading">
    <w:name w:val="ColumnHeading"/>
    <w:basedOn w:val="Normal"/>
    <w:rsid w:val="00B81A9B"/>
    <w:pPr>
      <w:spacing w:after="240"/>
      <w:jc w:val="center"/>
    </w:pPr>
    <w:rPr>
      <w:i/>
    </w:rPr>
  </w:style>
  <w:style w:type="paragraph" w:customStyle="1" w:styleId="AMNumberTabs0">
    <w:name w:val="AMNumberTabs"/>
    <w:basedOn w:val="Normal"/>
    <w:rsid w:val="00B81A9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B81A9B"/>
    <w:pPr>
      <w:spacing w:before="240"/>
    </w:pPr>
    <w:rPr>
      <w:b/>
    </w:rPr>
  </w:style>
  <w:style w:type="paragraph" w:customStyle="1" w:styleId="CrossRef">
    <w:name w:val="CrossRef"/>
    <w:basedOn w:val="Normal"/>
    <w:rsid w:val="00B81A9B"/>
    <w:pPr>
      <w:spacing w:before="240"/>
      <w:jc w:val="center"/>
    </w:pPr>
    <w:rPr>
      <w:i/>
    </w:rPr>
  </w:style>
  <w:style w:type="paragraph" w:customStyle="1" w:styleId="Footer2">
    <w:name w:val="Footer2"/>
    <w:basedOn w:val="Normal12"/>
    <w:rsid w:val="00B81A9B"/>
    <w:pPr>
      <w:tabs>
        <w:tab w:val="center" w:pos="4535"/>
        <w:tab w:val="right" w:pos="9923"/>
      </w:tabs>
      <w:spacing w:line="480" w:lineRule="auto"/>
      <w:ind w:left="-851"/>
    </w:pPr>
    <w:rPr>
      <w:rFonts w:ascii="Arial" w:cs="Arial"/>
      <w:b/>
      <w:sz w:val="48"/>
    </w:rPr>
  </w:style>
  <w:style w:type="character" w:customStyle="1" w:styleId="Footer2Middle">
    <w:name w:val="Footer2Middle"/>
    <w:rsid w:val="00B81A9B"/>
    <w:rPr>
      <w:rFonts w:ascii="Arial" w:hAnsi="Arial" w:cs="Arial" w:hint="default"/>
      <w:b w:val="0"/>
      <w:bCs w:val="0"/>
      <w:i/>
      <w:iCs w:val="0"/>
      <w:color w:val="C0C0C0"/>
      <w:sz w:val="22"/>
    </w:rPr>
  </w:style>
  <w:style w:type="paragraph" w:customStyle="1" w:styleId="EntPE">
    <w:name w:val="EntPE"/>
    <w:basedOn w:val="Normal12"/>
    <w:rsid w:val="00B81A9B"/>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929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72</Pages>
  <Words>16375</Words>
  <Characters>103175</Characters>
  <Application>Microsoft Office Word</Application>
  <DocSecurity>0</DocSecurity>
  <Lines>4008</Lines>
  <Paragraphs>1249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2025-05-28T08:10:00Z</dcterms:created>
  <dcterms:modified xsi:type="dcterms:W3CDTF">2025-05-28T08:10:00Z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Created with">
    <vt:lpwstr>10.1.0 Build [20250401]</vt:lpwstr>
  </property>
  <property fmtid="{D5CDD505-2E9C-101B-9397-08002B2CF9AE}" pid="4" name="LastEdited with">
    <vt:lpwstr>10.1.1 Build [20250421]</vt:lpwstr>
  </property>
  <property fmtid="{D5CDD505-2E9C-101B-9397-08002B2CF9AE}" pid="5" name="&lt;FdR&gt;">
    <vt:lpwstr>1321470</vt:lpwstr>
  </property>
  <property fmtid="{D5CDD505-2E9C-101B-9397-08002B2CF9AE}" pid="6" name="&lt;Type&gt;">
    <vt:lpwstr>AM</vt:lpwstr>
  </property>
  <property fmtid="{D5CDD505-2E9C-101B-9397-08002B2CF9AE}" pid="7" name="&lt;ModelCod&gt;">
    <vt:lpwstr>\\eiciBRUpr1\pdocep$\DocEP\DOCS\General\AM\AM_Leg\AM_Com_Leg\AM_Com_LegReport.dotx(17/04/2020 19:26:13)</vt:lpwstr>
  </property>
  <property fmtid="{D5CDD505-2E9C-101B-9397-08002B2CF9AE}" pid="8" name="&lt;ModelTra&gt;">
    <vt:lpwstr>\\eiciBRUpr1\pdocep$\DocEP\TRANSFIL\EN\AM_Com_LegReport.EN(16/08/2024 16:58:03)</vt:lpwstr>
  </property>
  <property fmtid="{D5CDD505-2E9C-101B-9397-08002B2CF9AE}" pid="9" name="&lt;Model&gt;">
    <vt:lpwstr>AM_Com_LegReport</vt:lpwstr>
  </property>
  <property fmtid="{D5CDD505-2E9C-101B-9397-08002B2CF9AE}" pid="10" name="FooterPath">
    <vt:lpwstr>AM\1321470SV.docx</vt:lpwstr>
  </property>
  <property fmtid="{D5CDD505-2E9C-101B-9397-08002B2CF9AE}" pid="11" name="PE number">
    <vt:lpwstr>773.390</vt:lpwstr>
  </property>
  <property fmtid="{D5CDD505-2E9C-101B-9397-08002B2CF9AE}" pid="12" name="SendToEpades">
    <vt:lpwstr>OK(AMNUM) - 2025/05/20 17:49</vt:lpwstr>
  </property>
  <property fmtid="{D5CDD505-2E9C-101B-9397-08002B2CF9AE}" pid="13" name="OriLang">
    <vt:lpwstr>EN</vt:lpwstr>
  </property>
  <property fmtid="{D5CDD505-2E9C-101B-9397-08002B2CF9AE}" pid="14" name="SDLStudio">
    <vt:lpwstr/>
  </property>
  <property fmtid="{D5CDD505-2E9C-101B-9397-08002B2CF9AE}" pid="15" name="Bookout">
    <vt:lpwstr>OK - 2025/05/28 10:06</vt:lpwstr>
  </property>
</Properties>
</file>