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720ECA" w:rsidTr="007D2614">
        <w:trPr>
          <w:trHeight w:hRule="exact" w:val="1418"/>
        </w:trPr>
        <w:tc>
          <w:tcPr>
            <w:tcW w:w="6804" w:type="dxa"/>
            <w:shd w:val="clear" w:color="auto" w:fill="auto"/>
            <w:vAlign w:val="center"/>
          </w:tcPr>
          <w:p w:rsidR="005C092D" w:rsidRPr="00720ECA" w:rsidRDefault="00164691" w:rsidP="007D2614">
            <w:pPr>
              <w:pStyle w:val="EPName"/>
            </w:pPr>
            <w:r w:rsidRPr="00720ECA">
              <w:t>Eu</w:t>
            </w:r>
            <w:bookmarkStart w:id="0" w:name="_GoBack"/>
            <w:bookmarkEnd w:id="0"/>
            <w:r w:rsidRPr="00720ECA">
              <w:t>ropean Parliament</w:t>
            </w:r>
          </w:p>
          <w:p w:rsidR="005C092D" w:rsidRPr="00720ECA" w:rsidRDefault="009E338F" w:rsidP="009E338F">
            <w:pPr>
              <w:pStyle w:val="EPTerm"/>
            </w:pPr>
            <w:r w:rsidRPr="00720ECA">
              <w:t>2024-2029</w:t>
            </w:r>
          </w:p>
        </w:tc>
        <w:tc>
          <w:tcPr>
            <w:tcW w:w="2268" w:type="dxa"/>
            <w:shd w:val="clear" w:color="auto" w:fill="auto"/>
          </w:tcPr>
          <w:p w:rsidR="005C092D" w:rsidRPr="00720ECA" w:rsidRDefault="005C092D" w:rsidP="007D2614">
            <w:pPr>
              <w:pStyle w:val="EPLogo"/>
            </w:pPr>
            <w:r w:rsidRPr="00720ECA">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31206" w:rsidRPr="00720ECA" w:rsidRDefault="00C31206" w:rsidP="00C31206">
      <w:pPr>
        <w:pStyle w:val="LineTop"/>
      </w:pPr>
    </w:p>
    <w:p w:rsidR="00C31206" w:rsidRPr="00720ECA" w:rsidRDefault="00C31206" w:rsidP="00C31206">
      <w:pPr>
        <w:pStyle w:val="EPBody"/>
      </w:pPr>
      <w:r w:rsidRPr="00720ECA">
        <w:rPr>
          <w:rStyle w:val="HideTWBExt"/>
          <w:noProof w:val="0"/>
        </w:rPr>
        <w:t>&lt;</w:t>
      </w:r>
      <w:r w:rsidRPr="00720ECA">
        <w:rPr>
          <w:rStyle w:val="HideTWBExt"/>
          <w:i w:val="0"/>
          <w:noProof w:val="0"/>
        </w:rPr>
        <w:t>Commission</w:t>
      </w:r>
      <w:r w:rsidRPr="00720ECA">
        <w:rPr>
          <w:rStyle w:val="HideTWBExt"/>
          <w:noProof w:val="0"/>
        </w:rPr>
        <w:t>&gt;</w:t>
      </w:r>
      <w:r w:rsidR="009E338F" w:rsidRPr="00720ECA">
        <w:rPr>
          <w:rStyle w:val="HideTWBInt"/>
        </w:rPr>
        <w:t>{EMPL}</w:t>
      </w:r>
      <w:r w:rsidR="009E338F" w:rsidRPr="00720ECA">
        <w:t>Committee on Employment and Social Affairs</w:t>
      </w:r>
      <w:r w:rsidRPr="00720ECA">
        <w:rPr>
          <w:rStyle w:val="HideTWBExt"/>
          <w:noProof w:val="0"/>
        </w:rPr>
        <w:t>&lt;/</w:t>
      </w:r>
      <w:r w:rsidRPr="00720ECA">
        <w:rPr>
          <w:rStyle w:val="HideTWBExt"/>
          <w:i w:val="0"/>
          <w:noProof w:val="0"/>
        </w:rPr>
        <w:t>Commission</w:t>
      </w:r>
      <w:r w:rsidRPr="00720ECA">
        <w:rPr>
          <w:rStyle w:val="HideTWBExt"/>
          <w:noProof w:val="0"/>
        </w:rPr>
        <w:t>&gt;</w:t>
      </w:r>
    </w:p>
    <w:p w:rsidR="00C31206" w:rsidRPr="00720ECA" w:rsidRDefault="00C31206" w:rsidP="00C31206">
      <w:pPr>
        <w:pStyle w:val="LineBottom"/>
      </w:pPr>
    </w:p>
    <w:p w:rsidR="00B85286" w:rsidRPr="00720ECA" w:rsidRDefault="00B85286">
      <w:pPr>
        <w:pStyle w:val="CoverReference"/>
      </w:pPr>
      <w:r w:rsidRPr="00720ECA">
        <w:rPr>
          <w:rStyle w:val="HideTWBExt"/>
          <w:b w:val="0"/>
          <w:noProof w:val="0"/>
        </w:rPr>
        <w:t>&lt;RefProc&gt;</w:t>
      </w:r>
      <w:r w:rsidR="00965D50" w:rsidRPr="00720ECA">
        <w:t>2025/0084</w:t>
      </w:r>
      <w:r w:rsidRPr="00720ECA">
        <w:rPr>
          <w:rStyle w:val="HideTWBExt"/>
          <w:b w:val="0"/>
          <w:noProof w:val="0"/>
        </w:rPr>
        <w:t>&lt;/RefProc&gt;&lt;RefTypeProc&gt;</w:t>
      </w:r>
      <w:r w:rsidR="00164691" w:rsidRPr="00720ECA">
        <w:t>(</w:t>
      </w:r>
      <w:r w:rsidR="009E338F" w:rsidRPr="00720ECA">
        <w:t>COD</w:t>
      </w:r>
      <w:r w:rsidR="00164691" w:rsidRPr="00720ECA">
        <w:t>)</w:t>
      </w:r>
      <w:r w:rsidRPr="00720ECA">
        <w:rPr>
          <w:rStyle w:val="HideTWBExt"/>
          <w:b w:val="0"/>
          <w:noProof w:val="0"/>
        </w:rPr>
        <w:t>&lt;/RefTypeProc&gt;</w:t>
      </w:r>
    </w:p>
    <w:p w:rsidR="00B85286" w:rsidRPr="00720ECA" w:rsidRDefault="00B85286">
      <w:pPr>
        <w:pStyle w:val="CoverDate"/>
      </w:pPr>
      <w:r w:rsidRPr="00720ECA">
        <w:rPr>
          <w:rStyle w:val="HideTWBExt"/>
          <w:noProof w:val="0"/>
        </w:rPr>
        <w:t>&lt;Date&gt;</w:t>
      </w:r>
      <w:r w:rsidR="009E338F" w:rsidRPr="00720ECA">
        <w:rPr>
          <w:rStyle w:val="HideTWBInt"/>
        </w:rPr>
        <w:t>{21/05/2025}</w:t>
      </w:r>
      <w:r w:rsidR="009E338F" w:rsidRPr="00720ECA">
        <w:t>21.5.2025</w:t>
      </w:r>
      <w:r w:rsidRPr="00720ECA">
        <w:rPr>
          <w:rStyle w:val="HideTWBExt"/>
          <w:noProof w:val="0"/>
        </w:rPr>
        <w:t>&lt;/Date&gt;</w:t>
      </w:r>
    </w:p>
    <w:p w:rsidR="00DA3847" w:rsidRPr="00720ECA" w:rsidRDefault="00DA3847" w:rsidP="00DA3847">
      <w:pPr>
        <w:pStyle w:val="CoverDocType"/>
      </w:pPr>
      <w:r w:rsidRPr="00720ECA">
        <w:rPr>
          <w:rStyle w:val="HideTWBExt"/>
          <w:b w:val="0"/>
          <w:noProof w:val="0"/>
        </w:rPr>
        <w:t>&lt;TypeAM&gt;</w:t>
      </w:r>
      <w:r w:rsidR="009E338F" w:rsidRPr="00720ECA">
        <w:t>AMENDMENTS</w:t>
      </w:r>
      <w:r w:rsidRPr="00720ECA">
        <w:rPr>
          <w:rStyle w:val="HideTWBExt"/>
          <w:b w:val="0"/>
          <w:noProof w:val="0"/>
        </w:rPr>
        <w:t>&lt;/TypeAM&gt;</w:t>
      </w:r>
    </w:p>
    <w:p w:rsidR="00B85286" w:rsidRPr="00720ECA" w:rsidRDefault="00E25DC5" w:rsidP="001C2054">
      <w:pPr>
        <w:pStyle w:val="CoverDocType24a"/>
      </w:pPr>
      <w:r w:rsidRPr="00720ECA">
        <w:rPr>
          <w:rStyle w:val="HideTWBExt"/>
          <w:b w:val="0"/>
          <w:noProof w:val="0"/>
        </w:rPr>
        <w:t>&lt;RangeAM&gt;</w:t>
      </w:r>
      <w:r w:rsidR="00952608" w:rsidRPr="00720ECA">
        <w:t>1 - 97</w:t>
      </w:r>
      <w:r w:rsidRPr="00720ECA">
        <w:rPr>
          <w:rStyle w:val="HideTWBExt"/>
          <w:b w:val="0"/>
          <w:noProof w:val="0"/>
        </w:rPr>
        <w:t>&lt;/RangeAM&gt;</w:t>
      </w:r>
    </w:p>
    <w:p w:rsidR="001C2054" w:rsidRPr="00720ECA" w:rsidRDefault="00A15973" w:rsidP="008E666D">
      <w:pPr>
        <w:pStyle w:val="CoverBold"/>
      </w:pPr>
      <w:r w:rsidRPr="00720ECA">
        <w:rPr>
          <w:rStyle w:val="HideTWBExt"/>
          <w:b w:val="0"/>
          <w:noProof w:val="0"/>
        </w:rPr>
        <w:t>&lt;TitreType&gt;</w:t>
      </w:r>
      <w:r w:rsidR="00164691" w:rsidRPr="00720ECA">
        <w:t>Draft opinion</w:t>
      </w:r>
      <w:r w:rsidRPr="00720ECA">
        <w:rPr>
          <w:rStyle w:val="HideTWBExt"/>
          <w:b w:val="0"/>
          <w:noProof w:val="0"/>
        </w:rPr>
        <w:t>&lt;/TitreType&gt;</w:t>
      </w:r>
    </w:p>
    <w:p w:rsidR="00B85286" w:rsidRPr="00720ECA" w:rsidRDefault="00E25DC5" w:rsidP="008E666D">
      <w:pPr>
        <w:pStyle w:val="CoverBold"/>
      </w:pPr>
      <w:r w:rsidRPr="00720ECA">
        <w:rPr>
          <w:rStyle w:val="HideTWBExt"/>
          <w:b w:val="0"/>
          <w:noProof w:val="0"/>
        </w:rPr>
        <w:t>&lt;Rapporteur&gt;</w:t>
      </w:r>
      <w:r w:rsidR="009E338F" w:rsidRPr="00720ECA">
        <w:t>Jana Toom</w:t>
      </w:r>
      <w:r w:rsidRPr="00720ECA">
        <w:rPr>
          <w:rStyle w:val="HideTWBExt"/>
          <w:b w:val="0"/>
          <w:noProof w:val="0"/>
        </w:rPr>
        <w:t>&lt;/Rapporteur&gt;</w:t>
      </w:r>
    </w:p>
    <w:p w:rsidR="00A55842" w:rsidRPr="00720ECA" w:rsidRDefault="00A55842">
      <w:pPr>
        <w:pStyle w:val="CoverNormal24a"/>
        <w:rPr>
          <w:rStyle w:val="HideTWBExt"/>
          <w:noProof w:val="0"/>
        </w:rPr>
      </w:pPr>
    </w:p>
    <w:p w:rsidR="00B85286" w:rsidRPr="00720ECA" w:rsidRDefault="00A15973">
      <w:pPr>
        <w:pStyle w:val="CoverNormal24a"/>
      </w:pPr>
      <w:r w:rsidRPr="00720ECA">
        <w:rPr>
          <w:rStyle w:val="HideTWBExt"/>
          <w:noProof w:val="0"/>
        </w:rPr>
        <w:t>&lt;Titre&gt;</w:t>
      </w:r>
      <w:r w:rsidR="009E338F" w:rsidRPr="00720ECA">
        <w:t>Amending Regulations (EU) 2021/1058 and (EU) 2021/1056 as regards specific measures to address strategic challenges in the context of the mid-term review</w:t>
      </w:r>
      <w:r w:rsidRPr="00720ECA">
        <w:rPr>
          <w:rStyle w:val="HideTWBExt"/>
          <w:noProof w:val="0"/>
        </w:rPr>
        <w:t>&lt;/Titre&gt;</w:t>
      </w:r>
    </w:p>
    <w:p w:rsidR="006337D4" w:rsidRPr="00720ECA" w:rsidRDefault="00E25DC5" w:rsidP="006337D4">
      <w:pPr>
        <w:pStyle w:val="CoverNormal"/>
      </w:pPr>
      <w:r w:rsidRPr="00720ECA">
        <w:rPr>
          <w:rStyle w:val="HideTWBExt"/>
          <w:noProof w:val="0"/>
        </w:rPr>
        <w:t>&lt;DocAmend&gt;</w:t>
      </w:r>
      <w:r w:rsidR="009E338F" w:rsidRPr="00720ECA">
        <w:t>Proposal for a regulation</w:t>
      </w:r>
      <w:r w:rsidRPr="00720ECA">
        <w:rPr>
          <w:rStyle w:val="HideTWBExt"/>
          <w:noProof w:val="0"/>
        </w:rPr>
        <w:t>&lt;/DocAmend&gt;</w:t>
      </w:r>
    </w:p>
    <w:p w:rsidR="00B85286" w:rsidRPr="00720ECA" w:rsidRDefault="00A15973">
      <w:pPr>
        <w:pStyle w:val="CoverNormal24a"/>
      </w:pPr>
      <w:r w:rsidRPr="00720ECA">
        <w:rPr>
          <w:rStyle w:val="HideTWBExt"/>
          <w:noProof w:val="0"/>
        </w:rPr>
        <w:t>&lt;DocRef&gt;</w:t>
      </w:r>
      <w:r w:rsidR="00164691" w:rsidRPr="00720ECA">
        <w:t>(</w:t>
      </w:r>
      <w:r w:rsidR="009E338F" w:rsidRPr="00720ECA">
        <w:t>COM(2025)0123</w:t>
      </w:r>
      <w:r w:rsidR="00164691" w:rsidRPr="00720ECA">
        <w:t xml:space="preserve"> </w:t>
      </w:r>
      <w:r w:rsidR="009E338F" w:rsidRPr="00720ECA">
        <w:t>–</w:t>
      </w:r>
      <w:r w:rsidR="00164691" w:rsidRPr="00720ECA">
        <w:t xml:space="preserve"> </w:t>
      </w:r>
      <w:r w:rsidR="009E338F" w:rsidRPr="00720ECA">
        <w:t>C10</w:t>
      </w:r>
      <w:r w:rsidR="009E338F" w:rsidRPr="00720ECA">
        <w:noBreakHyphen/>
      </w:r>
      <w:r w:rsidR="00965D50" w:rsidRPr="00720ECA">
        <w:t>0063/2025</w:t>
      </w:r>
      <w:r w:rsidR="00164691" w:rsidRPr="00720ECA">
        <w:t xml:space="preserve"> </w:t>
      </w:r>
      <w:r w:rsidR="009E338F" w:rsidRPr="00720ECA">
        <w:t>–</w:t>
      </w:r>
      <w:r w:rsidR="00164691" w:rsidRPr="00720ECA">
        <w:t xml:space="preserve"> </w:t>
      </w:r>
      <w:r w:rsidR="009E338F" w:rsidRPr="00720ECA">
        <w:t>2025/0084(COD)</w:t>
      </w:r>
      <w:r w:rsidR="00164691" w:rsidRPr="00720ECA">
        <w:t>)</w:t>
      </w:r>
      <w:r w:rsidRPr="00720ECA">
        <w:rPr>
          <w:rStyle w:val="HideTWBExt"/>
          <w:noProof w:val="0"/>
        </w:rPr>
        <w:t>&lt;/DocRef&gt;</w:t>
      </w:r>
    </w:p>
    <w:p w:rsidR="00B85286" w:rsidRPr="00720ECA" w:rsidRDefault="00B85286" w:rsidP="00146CF4">
      <w:pPr>
        <w:widowControl/>
        <w:tabs>
          <w:tab w:val="center" w:pos="4677"/>
        </w:tabs>
      </w:pPr>
      <w:r w:rsidRPr="00720ECA">
        <w:br w:type="page"/>
      </w:r>
      <w:r w:rsidR="00164691" w:rsidRPr="00720ECA">
        <w:lastRenderedPageBreak/>
        <w:t>AM_Com_LegOpinion</w:t>
      </w:r>
    </w:p>
    <w:p w:rsidR="0016379F" w:rsidRPr="00720ECA" w:rsidRDefault="00B85286" w:rsidP="0016379F">
      <w:pPr>
        <w:pStyle w:val="AMNumberTabs0"/>
        <w:keepNext/>
      </w:pPr>
      <w:r w:rsidRPr="00720ECA">
        <w:br w:type="page"/>
      </w:r>
      <w:r w:rsidR="0016379F" w:rsidRPr="00720ECA">
        <w:rPr>
          <w:rStyle w:val="HideTWBExt"/>
          <w:b w:val="0"/>
          <w:noProof w:val="0"/>
        </w:rPr>
        <w:lastRenderedPageBreak/>
        <w:t>&lt;RepeatBlock-Amend&gt;</w:t>
      </w:r>
      <w:r w:rsidR="0016379F" w:rsidRPr="00720ECA">
        <w:rPr>
          <w:rStyle w:val="HideTWBExt"/>
          <w:b w:val="0"/>
          <w:noProof w:val="0"/>
        </w:rPr>
        <w:t>&lt;Amend&gt;</w:t>
      </w:r>
      <w:r w:rsidR="0016379F" w:rsidRPr="00720ECA">
        <w:t>Amendment</w:t>
      </w:r>
      <w:r w:rsidR="0016379F" w:rsidRPr="00720ECA">
        <w:tab/>
      </w:r>
      <w:r w:rsidR="0016379F" w:rsidRPr="00720ECA">
        <w:tab/>
      </w:r>
      <w:r w:rsidR="0016379F" w:rsidRPr="00720ECA">
        <w:rPr>
          <w:rStyle w:val="HideTWBExt"/>
          <w:b w:val="0"/>
          <w:noProof w:val="0"/>
        </w:rPr>
        <w:t>&lt;NumAm&gt;</w:t>
      </w:r>
      <w:r w:rsidR="0016379F" w:rsidRPr="00720ECA">
        <w:t>1</w:t>
      </w:r>
      <w:r w:rsidR="0016379F"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Title 1</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Proposal for a</w:t>
            </w:r>
          </w:p>
        </w:tc>
        <w:tc>
          <w:tcPr>
            <w:tcW w:w="4876" w:type="dxa"/>
            <w:hideMark/>
          </w:tcPr>
          <w:p w:rsidR="0016379F" w:rsidRPr="00720ECA" w:rsidRDefault="0016379F" w:rsidP="001472C2">
            <w:pPr>
              <w:pStyle w:val="Normal6"/>
              <w:rPr>
                <w:szCs w:val="24"/>
              </w:rPr>
            </w:pPr>
            <w:r w:rsidRPr="00720ECA">
              <w:t>Proposal for a</w:t>
            </w:r>
          </w:p>
        </w:tc>
      </w:tr>
      <w:tr w:rsidR="0016379F" w:rsidRPr="00720ECA" w:rsidTr="001472C2">
        <w:trPr>
          <w:jc w:val="center"/>
        </w:trPr>
        <w:tc>
          <w:tcPr>
            <w:tcW w:w="4876" w:type="dxa"/>
            <w:hideMark/>
          </w:tcPr>
          <w:p w:rsidR="0016379F" w:rsidRPr="00720ECA" w:rsidRDefault="0016379F" w:rsidP="001472C2">
            <w:pPr>
              <w:pStyle w:val="Normal6"/>
            </w:pPr>
            <w:r w:rsidRPr="00720ECA">
              <w:t>REGULATION OF THE EUROPEAN PARLIAMENT AND OF THE COUNCIL</w:t>
            </w:r>
          </w:p>
        </w:tc>
        <w:tc>
          <w:tcPr>
            <w:tcW w:w="4876" w:type="dxa"/>
            <w:hideMark/>
          </w:tcPr>
          <w:p w:rsidR="0016379F" w:rsidRPr="00720ECA" w:rsidRDefault="0016379F" w:rsidP="001472C2">
            <w:pPr>
              <w:pStyle w:val="Normal6"/>
              <w:rPr>
                <w:szCs w:val="24"/>
              </w:rPr>
            </w:pPr>
            <w:r w:rsidRPr="00720ECA">
              <w:t>REGULATION OF THE EUROPEAN PARLIAMENT AND OF THE COUNCIL</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amending Regulations (EU) 2021/1058 </w:t>
            </w:r>
            <w:r w:rsidRPr="00720ECA">
              <w:rPr>
                <w:b/>
                <w:i/>
              </w:rPr>
              <w:t>and</w:t>
            </w:r>
            <w:r w:rsidRPr="00720ECA">
              <w:t xml:space="preserve"> (EU) 2021/1056 as regards specific measures to address strategic challenges in the context of the mid-term review</w:t>
            </w:r>
          </w:p>
        </w:tc>
        <w:tc>
          <w:tcPr>
            <w:tcW w:w="4876" w:type="dxa"/>
            <w:hideMark/>
          </w:tcPr>
          <w:p w:rsidR="0016379F" w:rsidRPr="00720ECA" w:rsidRDefault="0016379F" w:rsidP="001472C2">
            <w:pPr>
              <w:pStyle w:val="Normal6"/>
              <w:rPr>
                <w:szCs w:val="24"/>
              </w:rPr>
            </w:pPr>
            <w:r w:rsidRPr="00720ECA">
              <w:t>amending Regulations (EU) 2021/1058</w:t>
            </w:r>
            <w:r w:rsidRPr="00720ECA">
              <w:rPr>
                <w:b/>
                <w:i/>
              </w:rPr>
              <w:t>,</w:t>
            </w:r>
            <w:r w:rsidRPr="00720ECA">
              <w:t xml:space="preserve"> (EU) 2021/1056 </w:t>
            </w:r>
            <w:r w:rsidRPr="00720ECA">
              <w:rPr>
                <w:b/>
                <w:i/>
              </w:rPr>
              <w:t>and (EU) 2021/1060</w:t>
            </w:r>
            <w:r w:rsidRPr="00720ECA">
              <w:t xml:space="preserve"> as regards specific measures to address strategic challenges in the context of the mid-term review</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Séverine Werbrouck</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w:t>
            </w:r>
            <w:r w:rsidRPr="00720ECA">
              <w:tab/>
              <w:t xml:space="preserve">In recent years, geopolitical dynamics have been marked by profound uncertainty, </w:t>
            </w:r>
            <w:r w:rsidRPr="00720ECA">
              <w:rPr>
                <w:b/>
                <w:i/>
              </w:rPr>
              <w:t>necessitating a fundamental re-evaluation of the Union’s strategic autonomy, resilience</w:t>
            </w:r>
            <w:r w:rsidRPr="00720ECA">
              <w:t xml:space="preserve"> and </w:t>
            </w:r>
            <w:r w:rsidRPr="00720ECA">
              <w:rPr>
                <w:b/>
                <w:i/>
              </w:rPr>
              <w:t>security alongside</w:t>
            </w:r>
            <w:r w:rsidRPr="00720ECA">
              <w:t xml:space="preserve"> the </w:t>
            </w:r>
            <w:r w:rsidRPr="00720ECA">
              <w:rPr>
                <w:b/>
                <w:i/>
              </w:rPr>
              <w:t>challenges stemming from</w:t>
            </w:r>
            <w:r w:rsidRPr="00720ECA">
              <w:t xml:space="preserve"> the </w:t>
            </w:r>
            <w:r w:rsidRPr="00720ECA">
              <w:rPr>
                <w:b/>
                <w:i/>
              </w:rPr>
              <w:t>green</w:t>
            </w:r>
            <w:r w:rsidRPr="00720ECA">
              <w:t xml:space="preserve">, </w:t>
            </w:r>
            <w:r w:rsidRPr="00720ECA">
              <w:rPr>
                <w:b/>
                <w:i/>
              </w:rPr>
              <w:t>social</w:t>
            </w:r>
            <w:r w:rsidRPr="00720ECA">
              <w:t xml:space="preserve"> and </w:t>
            </w:r>
            <w:r w:rsidRPr="00720ECA">
              <w:rPr>
                <w:b/>
                <w:i/>
              </w:rPr>
              <w:t>technological transitions</w:t>
            </w:r>
            <w:r w:rsidRPr="00720ECA">
              <w:t>. Those simultaneous transformations demonstrate the urgent need to close the innovation gap, accelerate</w:t>
            </w:r>
            <w:r w:rsidRPr="00720ECA">
              <w:rPr>
                <w:b/>
                <w:i/>
              </w:rPr>
              <w:t xml:space="preserve"> decarbonisation</w:t>
            </w:r>
            <w:r w:rsidRPr="00720ECA">
              <w:t xml:space="preserve"> efforts to reinforce economic competitiveness and reduce external dependencies by diversifying supply chains, scaling-up domestically produced green energy, and investing in critical sectors.</w:t>
            </w:r>
          </w:p>
        </w:tc>
        <w:tc>
          <w:tcPr>
            <w:tcW w:w="4876" w:type="dxa"/>
            <w:hideMark/>
          </w:tcPr>
          <w:p w:rsidR="0016379F" w:rsidRPr="00720ECA" w:rsidRDefault="0016379F" w:rsidP="001472C2">
            <w:pPr>
              <w:pStyle w:val="Normal6"/>
              <w:rPr>
                <w:szCs w:val="24"/>
              </w:rPr>
            </w:pPr>
            <w:r w:rsidRPr="00720ECA">
              <w:t>(1)</w:t>
            </w:r>
            <w:r w:rsidRPr="00720ECA">
              <w:tab/>
              <w:t xml:space="preserve">In recent years, geopolitical dynamics have been marked by profound uncertainty, </w:t>
            </w:r>
            <w:r w:rsidRPr="00720ECA">
              <w:rPr>
                <w:b/>
                <w:i/>
              </w:rPr>
              <w:t>and the EU’s policy choices, in particular as regards industry</w:t>
            </w:r>
            <w:r w:rsidRPr="00720ECA">
              <w:t xml:space="preserve"> and </w:t>
            </w:r>
            <w:r w:rsidRPr="00720ECA">
              <w:rPr>
                <w:b/>
                <w:i/>
              </w:rPr>
              <w:t>competitiveness, have led</w:t>
            </w:r>
            <w:r w:rsidRPr="00720ECA">
              <w:t xml:space="preserve"> the </w:t>
            </w:r>
            <w:r w:rsidRPr="00720ECA">
              <w:rPr>
                <w:b/>
                <w:i/>
              </w:rPr>
              <w:t>continent into a critical situation, necessitating a fundamental re-evaluation of</w:t>
            </w:r>
            <w:r w:rsidRPr="00720ECA">
              <w:t xml:space="preserve"> the </w:t>
            </w:r>
            <w:r w:rsidRPr="00720ECA">
              <w:rPr>
                <w:b/>
                <w:i/>
              </w:rPr>
              <w:t>Union’s strategic autonomy</w:t>
            </w:r>
            <w:r w:rsidRPr="00720ECA">
              <w:t xml:space="preserve">, </w:t>
            </w:r>
            <w:r w:rsidRPr="00720ECA">
              <w:rPr>
                <w:b/>
                <w:i/>
              </w:rPr>
              <w:t>resilience</w:t>
            </w:r>
            <w:r w:rsidRPr="00720ECA">
              <w:t xml:space="preserve"> and </w:t>
            </w:r>
            <w:r w:rsidRPr="00720ECA">
              <w:rPr>
                <w:b/>
                <w:i/>
              </w:rPr>
              <w:t>security</w:t>
            </w:r>
            <w:r w:rsidRPr="00720ECA">
              <w:t>. Those simultaneous transformations demonstrate the urgent need to close the innovation gap, accelerate efforts to reinforce economic competitiveness and reduce external dependencies by diversifying supply chains, scaling-up domestically produced green energy, and investing in critical sectors.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{FR}</w:t>
      </w:r>
      <w:r w:rsidRPr="00720ECA">
        <w:rPr>
          <w:noProof w:val="0"/>
        </w:rPr>
        <w:t>fr</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w:t>
            </w:r>
            <w:r w:rsidRPr="00720ECA">
              <w:tab/>
              <w:t>In recent years, geopolitical dynamics have been marked by profound uncertainty, necessitating a fundamental re-evaluation of the Union’s strategic autonomy, resilience and security alongside the challenges stemming from the green, social and technological transitions. Those simultaneous transformations demonstrate the urgent need to close the innovation gap</w:t>
            </w:r>
            <w:r w:rsidRPr="00720ECA">
              <w:rPr>
                <w:b/>
                <w:bCs/>
                <w:i/>
                <w:iCs/>
              </w:rPr>
              <w:t>, accelerate decarbonisation efforts to reinforce economic competitiveness</w:t>
            </w:r>
            <w:r w:rsidRPr="00720ECA">
              <w:t xml:space="preserve"> and reduce external dependencies by diversifying supply chains, scaling-up domestically produced green energy, and investing in critical sectors.</w:t>
            </w:r>
          </w:p>
        </w:tc>
        <w:tc>
          <w:tcPr>
            <w:tcW w:w="4876" w:type="dxa"/>
            <w:hideMark/>
          </w:tcPr>
          <w:p w:rsidR="0016379F" w:rsidRPr="00720ECA" w:rsidRDefault="0016379F" w:rsidP="001472C2">
            <w:pPr>
              <w:pStyle w:val="Normal6"/>
              <w:rPr>
                <w:szCs w:val="24"/>
              </w:rPr>
            </w:pPr>
            <w:r w:rsidRPr="00720ECA">
              <w:t>(1)</w:t>
            </w:r>
            <w:r w:rsidRPr="00720ECA">
              <w:tab/>
              <w:t>In recent years, geopolitical dynamics have been marked by profound uncertainty, necessitating a fundamental re-evaluation of the Union’s strategic autonomy, resilience and security alongside the challenges stemming from the green, social and technological transitions. Those simultaneous transformations demonstrate the urgent need to close the innovation gap and reduce external dependencies by diversifying supply chains, scaling-up domestically produced green energy, and investing in critical sectors.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2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(2a)</w:t>
            </w:r>
            <w:r w:rsidRPr="00720ECA">
              <w:rPr>
                <w:b/>
                <w:i/>
              </w:rPr>
              <w:tab/>
              <w:t>The mid-term review is necessary in view of changed circumstances and new strategic challenges, including defence, competitiveness, and resilience. This review should also serve as a foundational step toward the design of the post-2027 multiannual financial framework (MFF). It is essential that the revised cohesion policy contributes to the development of a future MFF built on more flexible guiding principles, ensuring responsiveness to emerging geopolitical, economic, social, and environmental realities. The mid-term review should functionally synergise with and complement the broader MFF revision process, embedding cohesion priorities such as reducing disparities, fostering strategic autonomy, and reinforcing the EU’s competitiveness into the long-term financial architecture.</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2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(2a)</w:t>
            </w:r>
            <w:r w:rsidRPr="00720ECA">
              <w:rPr>
                <w:b/>
                <w:i/>
              </w:rPr>
              <w:tab/>
              <w:t>The main objective of cohesion policy is to strengthen the economic, social and territorial cohesion of the Union and to reduce disparities between the levels of development of the various regions and the backwardness of the least favoured regions.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2 b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(2b)</w:t>
            </w:r>
            <w:r w:rsidRPr="00720ECA">
              <w:rPr>
                <w:b/>
                <w:i/>
              </w:rPr>
              <w:tab/>
              <w:t>Cohesion policy must remain a long-term policy, based on the objectives set up in articles 174 and 175 of the TFEU. Cohesion policy is often used as an emergency response tool, which should not endanger the longer-term policy and investment objectives of cohesion policy.</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3</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(3)</w:t>
            </w:r>
            <w:r w:rsidRPr="00720ECA">
              <w:tab/>
              <w:t>The legal framework for cohesion policy programmes provides for a mid-term review in 2025, which offers a timely and unique opportunity to refocus programmes on addressing new challenges and opportunities, to accelerate implementation and to increase their effectiveness to respond to both old and new Union priorities.</w:t>
            </w:r>
          </w:p>
        </w:tc>
        <w:tc>
          <w:tcPr>
            <w:tcW w:w="4876" w:type="dxa"/>
            <w:hideMark/>
          </w:tcPr>
          <w:p w:rsidR="0016379F" w:rsidRPr="00720ECA" w:rsidRDefault="0016379F" w:rsidP="001472C2">
            <w:pPr>
              <w:pStyle w:val="Normal6"/>
              <w:rPr>
                <w:szCs w:val="24"/>
              </w:rPr>
            </w:pPr>
            <w:r w:rsidRPr="00720ECA">
              <w:t>(3)</w:t>
            </w:r>
            <w:r w:rsidRPr="00720ECA">
              <w:tab/>
              <w:t xml:space="preserve">The legal framework for cohesion policy programmes provides for a mid-term review in 2025, which offers a timely and unique opportunity to refocus programmes on addressing new challenges and opportunities, </w:t>
            </w:r>
            <w:r w:rsidRPr="00720ECA">
              <w:rPr>
                <w:b/>
                <w:i/>
              </w:rPr>
              <w:t>while keeping the main objectives of cohesion policy intact,</w:t>
            </w:r>
            <w:r w:rsidRPr="00720ECA">
              <w:t xml:space="preserve"> to accelerate implementation and to increase their effectiveness to respond to both old and new Union priorities.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3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(3a)</w:t>
            </w:r>
            <w:r w:rsidRPr="00720ECA">
              <w:rPr>
                <w:b/>
                <w:i/>
              </w:rPr>
              <w:tab/>
              <w:t>To ensure that cohesion policy remains focused on its core objective of reducing disparities in regional development, all reallocations and newly introduced priorities must contribute to economic, social and territorial cohesion in line with Article 174 of the Treaty on the Functioning of the European Union (TFEU).</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3 b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(3b)</w:t>
            </w:r>
            <w:r w:rsidRPr="00720ECA">
              <w:rPr>
                <w:b/>
                <w:i/>
              </w:rPr>
              <w:tab/>
              <w:t>The allocation of resources among regions should continue to reflect the regional development disparities and challenges in the Union, with regional GDP per capita remaining the principal and objective criterion for the classification of regions. This ensures continuity, transparency, and fairness in addressing territorial cohesion.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4</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(4)</w:t>
            </w:r>
            <w:r w:rsidRPr="00720ECA">
              <w:rPr>
                <w:b/>
                <w:i/>
              </w:rPr>
              <w:tab/>
              <w:t>The Commission presented in the Competitiveness Compass, the Clean Industrial Deal and the Affordable Energy Action Plan a concrete path for Europe to regain its competitiveness and secure sustainable prosperity. The ERDF and the Cohesion Fund already support investments to climate objectives as stipulated in Regulation (EU) 2021/1060. However, Member States should step up their efforts in order to ensure that decarbonisation is a driver for growth for European industries and the prosperity of Europeans by, amongst others, scaling up support to clean-tech and the transition to clean energy, investing in energy infrastructure projects that can ensure a true Energy Union as well as supporting decarbonisation of production processes and products.</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Séverine Werbrouck</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4</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(4)</w:t>
            </w:r>
            <w:r w:rsidRPr="00720ECA">
              <w:tab/>
            </w:r>
            <w:r w:rsidRPr="00720ECA">
              <w:rPr>
                <w:b/>
                <w:i/>
              </w:rPr>
              <w:t>The Commission presented in the Competitiveness Compass, the Clean Industrial Deal and the Affordable Energy Action Plan a concrete path for Europe to regain its competitiveness and secure sustainable prosperity.</w:t>
            </w:r>
            <w:r w:rsidRPr="00720ECA">
              <w:t xml:space="preserve"> The ERDF and the Cohesion Fund already support investments </w:t>
            </w:r>
            <w:r w:rsidRPr="00720ECA">
              <w:rPr>
                <w:b/>
                <w:i/>
              </w:rPr>
              <w:t>to climate</w:t>
            </w:r>
            <w:r w:rsidRPr="00720ECA">
              <w:t xml:space="preserve"> objectives as stipulated in Regulation (EU) 2021/1060. However, </w:t>
            </w:r>
            <w:r w:rsidRPr="00720ECA">
              <w:rPr>
                <w:b/>
                <w:i/>
              </w:rPr>
              <w:t>Member States should step up their efforts in order to ensure that decarbonisation</w:t>
            </w:r>
            <w:r w:rsidRPr="00720ECA">
              <w:t xml:space="preserve"> is a driver for growth for European industries and the prosperity of Europeans by, amongst others, scaling up support to clean-tech and the transition to clean energy</w:t>
            </w:r>
            <w:r w:rsidRPr="00720ECA">
              <w:rPr>
                <w:b/>
                <w:i/>
              </w:rPr>
              <w:t>,</w:t>
            </w:r>
            <w:r w:rsidRPr="00720ECA">
              <w:t xml:space="preserve"> investing in energy infrastructure projects</w:t>
            </w:r>
            <w:r w:rsidRPr="00720ECA">
              <w:rPr>
                <w:b/>
                <w:i/>
              </w:rPr>
              <w:t xml:space="preserve"> that can ensure a true</w:t>
            </w:r>
            <w:r w:rsidRPr="00720ECA">
              <w:t xml:space="preserve"> Energy </w:t>
            </w:r>
            <w:r w:rsidRPr="00720ECA">
              <w:rPr>
                <w:b/>
                <w:i/>
              </w:rPr>
              <w:t xml:space="preserve">Union as well as supporting decarbonisation of </w:t>
            </w:r>
            <w:r w:rsidRPr="00720ECA">
              <w:t>production</w:t>
            </w:r>
            <w:r w:rsidRPr="00720ECA">
              <w:rPr>
                <w:b/>
                <w:i/>
              </w:rPr>
              <w:t xml:space="preserve"> processes and products</w:t>
            </w:r>
            <w:r w:rsidRPr="00720ECA">
              <w:t>.</w:t>
            </w:r>
          </w:p>
        </w:tc>
        <w:tc>
          <w:tcPr>
            <w:tcW w:w="4876" w:type="dxa"/>
            <w:hideMark/>
          </w:tcPr>
          <w:p w:rsidR="0016379F" w:rsidRPr="00720ECA" w:rsidRDefault="0016379F" w:rsidP="001472C2">
            <w:pPr>
              <w:pStyle w:val="Normal6"/>
              <w:rPr>
                <w:szCs w:val="24"/>
              </w:rPr>
            </w:pPr>
            <w:r w:rsidRPr="00720ECA">
              <w:t>(4)</w:t>
            </w:r>
            <w:r w:rsidRPr="00720ECA">
              <w:tab/>
              <w:t xml:space="preserve">The ERDF and the Cohesion Fund already support investments </w:t>
            </w:r>
            <w:r w:rsidRPr="00720ECA">
              <w:rPr>
                <w:b/>
                <w:i/>
              </w:rPr>
              <w:t>in ecological</w:t>
            </w:r>
            <w:r w:rsidRPr="00720ECA">
              <w:t xml:space="preserve"> objectives as stipulated in Regulation (EU) 2021/1060. However, </w:t>
            </w:r>
            <w:r w:rsidRPr="00720ECA">
              <w:rPr>
                <w:b/>
                <w:i/>
              </w:rPr>
              <w:t>it is suggested that Member States should ensure that local low-cost energy production</w:t>
            </w:r>
            <w:r w:rsidRPr="00720ECA">
              <w:t xml:space="preserve"> is a driver for growth for European industries and the prosperity of Europeans by, amongst others, scaling up support to clean-tech and the transition to clean energy</w:t>
            </w:r>
            <w:r w:rsidRPr="00720ECA">
              <w:rPr>
                <w:b/>
                <w:i/>
              </w:rPr>
              <w:t xml:space="preserve"> and</w:t>
            </w:r>
            <w:r w:rsidRPr="00720ECA">
              <w:t xml:space="preserve"> investing in energy infrastructure projects</w:t>
            </w:r>
            <w:r w:rsidRPr="00720ECA">
              <w:rPr>
                <w:b/>
                <w:i/>
              </w:rPr>
              <w:t>, in particular nuclear</w:t>
            </w:r>
            <w:r w:rsidRPr="00720ECA">
              <w:t xml:space="preserve"> energy production.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{FR}</w:t>
      </w:r>
      <w:r w:rsidRPr="00720ECA">
        <w:rPr>
          <w:noProof w:val="0"/>
        </w:rPr>
        <w:t>fr</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5</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(5)</w:t>
            </w:r>
            <w:r w:rsidRPr="00720ECA">
              <w:tab/>
              <w:t>In light of the unprecedented geopolitical instability and the need for the Union to guarantee its own defence</w:t>
            </w:r>
            <w:r w:rsidRPr="00720ECA">
              <w:rPr>
                <w:b/>
                <w:i/>
              </w:rPr>
              <w:t>, cohesion policy funding should be swiftly mobilised to directly support investments in defence capabilities</w:t>
            </w:r>
            <w:r w:rsidRPr="00720ECA">
              <w:t>. It is therefore necessary to create new specific objectives for support from the European Regional Development Fund (ERDF) and the Cohesion Fund established by Regulation (EU) 2021/1058 of the European Parliament and of the Council</w:t>
            </w:r>
            <w:r w:rsidRPr="00720ECA">
              <w:rPr>
                <w:vertAlign w:val="superscript"/>
              </w:rPr>
              <w:t>3</w:t>
            </w:r>
            <w:r w:rsidRPr="00720ECA">
              <w:t xml:space="preserve"> </w:t>
            </w:r>
            <w:r w:rsidRPr="00720ECA">
              <w:rPr>
                <w:b/>
                <w:i/>
              </w:rPr>
              <w:t>to finance industrial capacities in the defence sector</w:t>
            </w:r>
            <w:r w:rsidRPr="00720ECA">
              <w:t xml:space="preserve"> and to allow for investments in resilient </w:t>
            </w:r>
            <w:r w:rsidRPr="00720ECA">
              <w:rPr>
                <w:b/>
                <w:i/>
              </w:rPr>
              <w:t>defence or</w:t>
            </w:r>
            <w:r w:rsidRPr="00720ECA">
              <w:t xml:space="preserve"> dual-use infrastructure with a view to fostering military mobility, in line with the scope of those funds. </w:t>
            </w:r>
            <w:r w:rsidRPr="00720ECA">
              <w:rPr>
                <w:b/>
                <w:i/>
              </w:rPr>
              <w:t>Industrial capacities to foster defence capabilities should relate to the technological development and production of defence products and other products for defence purposes, as defined in Article 2 of [draft] Council Regulation [xxxx] establishing the Security Action for Europe (SAFE) through the reinforcement of European defence industry Instrument, in particular those referred to in Article 1 of that Regulation. Member States are encouraged to use the possibility foreseen in the current legal framework of voluntarily transferring resources allocated to them in shared management to directly managed programmes with defence and security objectives. In this context, transfers to the Connecting Europe Facility (CEF) military mobility envelope would ensure coordinated interventions along the military mobility corridors highlighted in the White Paper on Defence.</w:t>
            </w:r>
          </w:p>
        </w:tc>
        <w:tc>
          <w:tcPr>
            <w:tcW w:w="4876" w:type="dxa"/>
            <w:hideMark/>
          </w:tcPr>
          <w:p w:rsidR="0016379F" w:rsidRPr="00720ECA" w:rsidRDefault="0016379F" w:rsidP="001472C2">
            <w:pPr>
              <w:pStyle w:val="Normal6"/>
              <w:rPr>
                <w:szCs w:val="24"/>
              </w:rPr>
            </w:pPr>
            <w:r w:rsidRPr="00720ECA">
              <w:t>(5)</w:t>
            </w:r>
            <w:r w:rsidRPr="00720ECA">
              <w:tab/>
              <w:t>In light of the unprecedented geopolitical instability and the need for the Union to guarantee its own defence. It is therefore necessary to create new specific objectives for support from the European Regional Development Fund (ERDF) and the Cohesion Fund established by Regulation (EU) 2021/1058 of the European Parliament and of the Council</w:t>
            </w:r>
            <w:r w:rsidRPr="00720ECA">
              <w:rPr>
                <w:vertAlign w:val="superscript"/>
              </w:rPr>
              <w:t>3</w:t>
            </w:r>
            <w:r w:rsidRPr="00720ECA">
              <w:t xml:space="preserve"> and to allow for investments in resilient dual-use infrastructure with a view to fostering military mobility, in line with the scope of those funds.</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3</w:t>
            </w:r>
            <w:r w:rsidRPr="00720ECA">
              <w:t xml:space="preserve"> OJ L 231, 30.6.2021, p. 60.</w:t>
            </w:r>
          </w:p>
        </w:tc>
        <w:tc>
          <w:tcPr>
            <w:tcW w:w="4876" w:type="dxa"/>
            <w:hideMark/>
          </w:tcPr>
          <w:p w:rsidR="0016379F" w:rsidRPr="00720ECA" w:rsidRDefault="0016379F" w:rsidP="001472C2">
            <w:pPr>
              <w:pStyle w:val="Normal6"/>
              <w:rPr>
                <w:szCs w:val="24"/>
              </w:rPr>
            </w:pPr>
            <w:r w:rsidRPr="00720ECA">
              <w:rPr>
                <w:vertAlign w:val="superscript"/>
              </w:rPr>
              <w:t>3</w:t>
            </w:r>
            <w:r w:rsidRPr="00720ECA">
              <w:t xml:space="preserve"> OJ L 231, 30.6.2021, p. 60.</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5</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(5)</w:t>
            </w:r>
            <w:r w:rsidRPr="00720ECA">
              <w:tab/>
              <w:t xml:space="preserve">In light of the unprecedented geopolitical instability and the need for the Union to guarantee its own defence, cohesion policy funding </w:t>
            </w:r>
            <w:r w:rsidRPr="00720ECA">
              <w:rPr>
                <w:b/>
                <w:i/>
              </w:rPr>
              <w:t>should be swiftly mobilised</w:t>
            </w:r>
            <w:r w:rsidRPr="00720ECA">
              <w:t xml:space="preserve"> to directly support investments in defence capabilities. It is therefore </w:t>
            </w:r>
            <w:r w:rsidRPr="00720ECA">
              <w:rPr>
                <w:b/>
                <w:i/>
              </w:rPr>
              <w:t>necessary</w:t>
            </w:r>
            <w:r w:rsidRPr="00720ECA">
              <w:t xml:space="preserve"> to create new specific objectives for support from the European Regional Development Fund (ERDF) and the Cohesion Fund established by Regulation (EU) 2021/1058 of the European Parliament and of the Council</w:t>
            </w:r>
            <w:r w:rsidRPr="00720ECA">
              <w:rPr>
                <w:vertAlign w:val="superscript"/>
              </w:rPr>
              <w:t>3</w:t>
            </w:r>
            <w:r w:rsidRPr="00720ECA">
              <w:t xml:space="preserve"> to finance industrial capacities in the defence sector and to allow for investments in resilient defence or dual-use infrastructure with a view to fostering military mobility, in line with the scope of those funds. Industrial capacities to foster defence capabilities should relate to the technological development and production of defence products and other products for defence purposes, as defined in Article 2 of [draft] Council Regulation [xxxx] establishing the Security Action for Europe (SAFE) through the reinforcement of European defence industry Instrument, in particular those referred to in Article 1 of that Regulation. </w:t>
            </w:r>
            <w:r w:rsidRPr="00720ECA">
              <w:rPr>
                <w:b/>
                <w:i/>
              </w:rPr>
              <w:t>Member States are encouraged to use the possibility foreseen in the current legal framework of voluntarily transferring resources allocated to them in shared management to directly managed programmes with defence and security objectives. In this context, transfers to the Connecting Europe Facility (CEF) military mobility envelope would ensure coordinated interventions along the military mobility corridors highlighted in the White Paper on Defence.</w:t>
            </w:r>
          </w:p>
        </w:tc>
        <w:tc>
          <w:tcPr>
            <w:tcW w:w="4876" w:type="dxa"/>
            <w:hideMark/>
          </w:tcPr>
          <w:p w:rsidR="0016379F" w:rsidRPr="00720ECA" w:rsidRDefault="0016379F" w:rsidP="001472C2">
            <w:pPr>
              <w:pStyle w:val="Normal6"/>
              <w:rPr>
                <w:szCs w:val="24"/>
              </w:rPr>
            </w:pPr>
            <w:r w:rsidRPr="00720ECA">
              <w:t>(5)</w:t>
            </w:r>
            <w:r w:rsidRPr="00720ECA">
              <w:tab/>
              <w:t xml:space="preserve">In light of the unprecedented geopolitical instability and the need for the Union to guarantee its own defence, </w:t>
            </w:r>
            <w:r w:rsidRPr="00720ECA">
              <w:rPr>
                <w:b/>
                <w:i/>
              </w:rPr>
              <w:t>it could become possible to use</w:t>
            </w:r>
            <w:r w:rsidRPr="00720ECA">
              <w:t xml:space="preserve"> cohesion policy funding </w:t>
            </w:r>
            <w:r w:rsidRPr="00720ECA">
              <w:rPr>
                <w:b/>
                <w:i/>
              </w:rPr>
              <w:t>proportionately</w:t>
            </w:r>
            <w:r w:rsidRPr="00720ECA">
              <w:t xml:space="preserve"> to directly support investments in defence capabilities. It is therefore </w:t>
            </w:r>
            <w:r w:rsidRPr="00720ECA">
              <w:rPr>
                <w:b/>
                <w:i/>
              </w:rPr>
              <w:t>opportune</w:t>
            </w:r>
            <w:r w:rsidRPr="00720ECA">
              <w:t xml:space="preserve"> to create new specific objectives for support from the European Regional Development Fund (ERDF) and the Cohesion Fund established by Regulation (EU) 2021/1058 of the European Parliament and of the Council</w:t>
            </w:r>
            <w:r w:rsidRPr="00720ECA">
              <w:rPr>
                <w:vertAlign w:val="superscript"/>
              </w:rPr>
              <w:t>3</w:t>
            </w:r>
            <w:r w:rsidRPr="00720ECA">
              <w:t xml:space="preserve"> to finance industrial capacities in the defence sector and to allow for investments in resilient defence or dual-use infrastructure with a view to fostering military mobility, in line with the scope of those funds. Industrial capacities to foster defence capabilities should relate to the technological development and production of defence products and other products for defence purposes, as defined in Article 2 of [draft] Council Regulation [xxxx] establishing the Security Action for Europe (SAFE) through the reinforcement of European defence industry Instrument, in particular those referred to in Article 1 of that Regulation.</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3</w:t>
            </w:r>
            <w:r w:rsidRPr="00720ECA">
              <w:t xml:space="preserve"> OJ L 231, 30.6.2021, p. 60.</w:t>
            </w:r>
          </w:p>
        </w:tc>
        <w:tc>
          <w:tcPr>
            <w:tcW w:w="4876" w:type="dxa"/>
            <w:hideMark/>
          </w:tcPr>
          <w:p w:rsidR="0016379F" w:rsidRPr="00720ECA" w:rsidRDefault="0016379F" w:rsidP="001472C2">
            <w:pPr>
              <w:pStyle w:val="Normal6"/>
              <w:rPr>
                <w:szCs w:val="24"/>
              </w:rPr>
            </w:pPr>
            <w:r w:rsidRPr="00720ECA">
              <w:rPr>
                <w:vertAlign w:val="superscript"/>
              </w:rPr>
              <w:t>3</w:t>
            </w:r>
            <w:r w:rsidRPr="00720ECA">
              <w:t xml:space="preserve"> OJ L 231, 30.6.2021, p. 60.</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5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(5a)</w:t>
            </w:r>
            <w:r w:rsidRPr="00720ECA">
              <w:rPr>
                <w:b/>
                <w:i/>
              </w:rPr>
              <w:tab/>
              <w:t>In light of new strategic priorities, it is necessary to provide greater flexibility for Member States to redirect resources. However, the principle of shared management between the European Commission and Member States shall remain at the core of cohesion policy implementation, ensuring that regional and local authorities retain a key role in designing and executing place-based investments tailored to territorial needs.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6</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(6)</w:t>
            </w:r>
            <w:r w:rsidRPr="00720ECA">
              <w:rPr>
                <w:b/>
                <w:i/>
              </w:rPr>
              <w:tab/>
              <w:t>Furthermore, in order to quickly inject liquidity to cover the most pressing needs notably for investments in enhanced defence capabilities, additional financing possibilities should be offered. In particular, it is necessary to provide for an additional one-off pre-financing of 30% of the amounts programmed under dedicated priorities for defence under the respective policy objectives of the ERDF and the Cohesion Fund and the possibility to apply a Union co-financing rate of up to 100%.</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7</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(7)</w:t>
            </w:r>
            <w:r w:rsidRPr="00720ECA">
              <w:tab/>
              <w:t xml:space="preserve">The ERDF and the Cohesion Fund may, within their respective scopes, already support investments contributing to the objectives of the ‘Strategic Technologies for Europe Platform’ (STEP), which aims to strengthen Europe’s technological leadership. </w:t>
            </w:r>
            <w:r w:rsidRPr="00720ECA">
              <w:rPr>
                <w:b/>
                <w:i/>
              </w:rPr>
              <w:t>In order to further incentivise investments from the ERDF and the Cohesion Fund in those critical fields, the limitation for the overall contribution of the ERDF and the Cohesion Fund to those priorities should be removed and the possibility for Member States to receive a higher pre-financing for related programme amendments should be extended. Furthermore, the possibilities for the financing of productive investments contributing to STEP objectives in enterprises other than SMEs should be extended to all regions. Similarly, such investments should also be possible in regions where they facilitate industrial adjustment linked to digital transformation, including digital capacities in cloud, AI and supercomputing, or the decarbonisation and circularity of production processes and products, such as in the automotive industry or the energy intensive industries. In addition, the possibility provided for investments contributing to STEP objectives to finance productive investments in enterprises other than SMEs from the Just Transition Fund (JTF) established by Regulation (EU) 2021/1056 of the European Parliament and of the Council</w:t>
            </w:r>
            <w:r w:rsidRPr="00720ECA">
              <w:rPr>
                <w:b/>
                <w:i/>
                <w:vertAlign w:val="superscript"/>
              </w:rPr>
              <w:t>4</w:t>
            </w:r>
            <w:r w:rsidRPr="00720ECA">
              <w:t xml:space="preserve"> </w:t>
            </w:r>
            <w:r w:rsidRPr="00720ECA">
              <w:rPr>
                <w:b/>
                <w:i/>
              </w:rPr>
              <w:t>without the need and irrespective of the outcome of a gap analysis should be extended to all investments.</w:t>
            </w:r>
          </w:p>
        </w:tc>
        <w:tc>
          <w:tcPr>
            <w:tcW w:w="4876" w:type="dxa"/>
            <w:hideMark/>
          </w:tcPr>
          <w:p w:rsidR="0016379F" w:rsidRPr="00720ECA" w:rsidRDefault="0016379F" w:rsidP="001472C2">
            <w:pPr>
              <w:pStyle w:val="Normal6"/>
              <w:rPr>
                <w:szCs w:val="24"/>
              </w:rPr>
            </w:pPr>
            <w:r w:rsidRPr="00720ECA">
              <w:t>(7)</w:t>
            </w:r>
            <w:r w:rsidRPr="00720ECA">
              <w:tab/>
              <w:t>The ERDF and the Cohesion Fund may, within their respective scopes, already support investments contributing to the objectives of the ‘Strategic Technologies for Europe Platform’ (STEP), which aims to strengthen Europe’s technological leadership.</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4</w:t>
            </w:r>
            <w:r w:rsidRPr="00720ECA">
              <w:t xml:space="preserve"> OJ L 231, 30.6.2021, p. 1.</w:t>
            </w:r>
          </w:p>
        </w:tc>
        <w:tc>
          <w:tcPr>
            <w:tcW w:w="4876" w:type="dxa"/>
            <w:hideMark/>
          </w:tcPr>
          <w:p w:rsidR="0016379F" w:rsidRPr="00720ECA" w:rsidRDefault="0016379F" w:rsidP="001472C2">
            <w:pPr>
              <w:pStyle w:val="Normal6"/>
              <w:rPr>
                <w:szCs w:val="24"/>
              </w:rPr>
            </w:pPr>
            <w:r w:rsidRPr="00720ECA">
              <w:rPr>
                <w:vertAlign w:val="superscript"/>
              </w:rPr>
              <w:t>4</w:t>
            </w:r>
            <w:r w:rsidRPr="00720ECA">
              <w:t xml:space="preserve"> OJ L 231, 30.6.2021, p. 1.</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7</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(7)</w:t>
            </w:r>
            <w:r w:rsidRPr="00720ECA">
              <w:tab/>
              <w:t xml:space="preserve">The ERDF and the Cohesion Fund may, within their respective scopes, already support investments contributing to the objectives of the ‘Strategic Technologies for Europe Platform’ (STEP), which aims to strengthen Europe’s technological leadership. In order to further incentivise investments from the ERDF and the Cohesion Fund in those critical fields, the limitation for the overall contribution of the ERDF and the Cohesion Fund to those priorities should be removed and the possibility for Member States to receive a higher pre-financing for related programme amendments should be extended. Furthermore, the possibilities for the financing of productive investments contributing to STEP objectives in enterprises other than SMEs should be extended to all regions. Similarly, such investments should also be possible in regions where they facilitate industrial adjustment linked to digital transformation, including digital capacities in cloud, AI and supercomputing, or the </w:t>
            </w:r>
            <w:r w:rsidRPr="00720ECA">
              <w:rPr>
                <w:b/>
                <w:bCs/>
                <w:i/>
                <w:iCs/>
              </w:rPr>
              <w:t>decarbonisation and</w:t>
            </w:r>
            <w:r w:rsidRPr="00720ECA">
              <w:t xml:space="preserve"> circularity of production processes and products, such as in the automotive industry or the energy intensive industries. In addition, the possibility provided for investments contributing to STEP objectives to finance productive investments in enterprises other than SMEs from the Just Transition Fund (JTF) established by Regulation (EU) 2021/1056 of the European Parliament and of the Council</w:t>
            </w:r>
            <w:r w:rsidRPr="00720ECA">
              <w:rPr>
                <w:vertAlign w:val="superscript"/>
              </w:rPr>
              <w:t>4</w:t>
            </w:r>
            <w:r w:rsidRPr="00720ECA">
              <w:t xml:space="preserve"> without the need and irrespective of the outcome of a gap analysis should be extended to all investments.</w:t>
            </w:r>
          </w:p>
        </w:tc>
        <w:tc>
          <w:tcPr>
            <w:tcW w:w="4876" w:type="dxa"/>
            <w:hideMark/>
          </w:tcPr>
          <w:p w:rsidR="0016379F" w:rsidRPr="00720ECA" w:rsidRDefault="0016379F" w:rsidP="001472C2">
            <w:pPr>
              <w:pStyle w:val="Normal6"/>
              <w:rPr>
                <w:szCs w:val="24"/>
              </w:rPr>
            </w:pPr>
            <w:r w:rsidRPr="00720ECA">
              <w:t>(7)</w:t>
            </w:r>
            <w:r w:rsidRPr="00720ECA">
              <w:tab/>
              <w:t>The ERDF and the Cohesion Fund may, within their respective scopes, already support investments contributing to the objectives of the ‘Strategic Technologies for Europe Platform’ (STEP), which aims to strengthen Europe’s technological leadership. In order to further incentivise investments from the ERDF and the Cohesion Fund in those critical fields, the limitation for the overall contribution of the ERDF and the Cohesion Fund to those priorities should be removed and the possibility for Member States to receive a higher pre-financing for related programme amendments should be extended. Furthermore, the possibilities for the financing of productive investments contributing to STEP objectives in enterprises other than SMEs should be extended to all regions. Similarly, such investments should also be possible in regions where they facilitate industrial adjustment linked to digital transformation, including digital capacities in cloud, AI and supercomputing, or the circularity of production processes and products, such as in the automotive industry or the energy intensive industries. In addition, the possibility provided for investments contributing to STEP objectives to finance productive investments in enterprises other than SMEs from the Just Transition Fund (JTF) established by Regulation (EU) 2021/1056 of the European Parliament and of the Council</w:t>
            </w:r>
            <w:r w:rsidRPr="00720ECA">
              <w:rPr>
                <w:vertAlign w:val="superscript"/>
              </w:rPr>
              <w:t>4</w:t>
            </w:r>
            <w:r w:rsidRPr="00720ECA">
              <w:t xml:space="preserve"> without the need and irrespective of the outcome of a gap analysis should be extended to all investments.</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4</w:t>
            </w:r>
            <w:r w:rsidRPr="00720ECA">
              <w:t xml:space="preserve"> OJ L 231 30.6.2021, p. 1</w:t>
            </w:r>
          </w:p>
        </w:tc>
        <w:tc>
          <w:tcPr>
            <w:tcW w:w="4876" w:type="dxa"/>
            <w:hideMark/>
          </w:tcPr>
          <w:p w:rsidR="0016379F" w:rsidRPr="00720ECA" w:rsidRDefault="0016379F" w:rsidP="001472C2">
            <w:pPr>
              <w:pStyle w:val="Normal6"/>
              <w:rPr>
                <w:szCs w:val="24"/>
              </w:rPr>
            </w:pPr>
            <w:r w:rsidRPr="00720ECA">
              <w:rPr>
                <w:vertAlign w:val="superscript"/>
              </w:rPr>
              <w:t>4</w:t>
            </w:r>
            <w:r w:rsidRPr="00720ECA">
              <w:t xml:space="preserve"> OJ L 231 30.6.2021, p. 1</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7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(7a)</w:t>
            </w:r>
            <w:r w:rsidRPr="00720ECA">
              <w:rPr>
                <w:b/>
                <w:i/>
              </w:rPr>
              <w:tab/>
              <w:t>Productive investments in enterprises other than SMEs should be conditional on minimum social and environmental conditions including: the disclosure of credible climate transition plans as defined in Directive (EU) 2022/2464</w:t>
            </w:r>
            <w:r w:rsidRPr="00720ECA">
              <w:t xml:space="preserve"> </w:t>
            </w:r>
            <w:r w:rsidRPr="00720ECA">
              <w:rPr>
                <w:b/>
                <w:i/>
                <w:vertAlign w:val="superscript"/>
              </w:rPr>
              <w:t>5a</w:t>
            </w:r>
            <w:r w:rsidRPr="00720ECA">
              <w:rPr>
                <w:b/>
                <w:i/>
              </w:rPr>
              <w:t>; compliance with social and labour standards including collective bargaining, respect of collective agreements and support for upskilling and reskilling of workers; evidence of responsible tax behaviour; commitment not to relocate activities to third countries within or outside the EEA for [5] years pursuing the provision of financial support; a temporary ban or limits on dividend payments and/or share-buy backs for [5] years following the provision of financial support.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__________________</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vertAlign w:val="superscript"/>
              </w:rPr>
              <w:t>5a</w:t>
            </w:r>
            <w:r w:rsidRPr="00720ECA">
              <w:t xml:space="preserve"> </w:t>
            </w:r>
            <w:r w:rsidRPr="00720ECA">
              <w:rPr>
                <w:b/>
                <w:i/>
              </w:rPr>
              <w:t>Regulation (EU) 2024/3012 of the European Parliament and of the Council of 27 November 2024 establishing a Union certification framework for permanent carbon removals, carbon farming and carbon storage in products (OJ L, 2024/3012, 6.12.2024, ELI: http://data.europa.eu/eli/reg/2024/3012/oj).</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19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8</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(8)</w:t>
            </w:r>
            <w:r w:rsidRPr="00720ECA">
              <w:tab/>
              <w:t xml:space="preserve">In order to enhance energy security, accelerate the energy transition and clean mobility, the investments under STEP and the Alternative Fuels Infrastructure Facility should be complemented by creating a new specific objective for the ERDF and the Cohesion Fund under policy objective 2 to promote energy interconnectors and related transmission infrastructure, and the deployment of charging infrastructure. In order to accelerate investments in these fields, priorities dedicated to this specific objective should benefit from an additional one-off pre-financing of 30% of the amounts programmed under those priorities and from the possibility to apply a Union co-financing rate of up to 100%. Managing authorities should aim to leverage a maximum amount of private finance, where relevant. This enhanced investment effort will enable energy-intensive sectors to access more stable and diverse energy sources in a less fragmented internal energy market, buttressing their sustainability and competitiveness. </w:t>
            </w:r>
            <w:r w:rsidRPr="00720ECA">
              <w:rPr>
                <w:b/>
                <w:i/>
              </w:rPr>
              <w:t>Moreover, expanding the ERDF’s support for decarbonisation projects allows energy-intensive industries to prioritise high-impact innovations aligned with EU climate objectives.</w:t>
            </w:r>
          </w:p>
        </w:tc>
        <w:tc>
          <w:tcPr>
            <w:tcW w:w="4876" w:type="dxa"/>
            <w:hideMark/>
          </w:tcPr>
          <w:p w:rsidR="0016379F" w:rsidRPr="00720ECA" w:rsidRDefault="0016379F" w:rsidP="001472C2">
            <w:pPr>
              <w:pStyle w:val="Normal6"/>
              <w:rPr>
                <w:szCs w:val="24"/>
              </w:rPr>
            </w:pPr>
            <w:r w:rsidRPr="00720ECA">
              <w:t>(8)</w:t>
            </w:r>
            <w:r w:rsidRPr="00720ECA">
              <w:tab/>
              <w:t>In order to enhance energy security, accelerate the energy transition and clean mobility, the investments under STEP and the Alternative Fuels Infrastructure Facility should be complemented by creating a new specific objective for the ERDF and the Cohesion Fund under policy objective 2 to promote energy interconnectors and related transmission infrastructure, and the deployment of charging infrastructure. In order to accelerate investments in these fields, priorities dedicated to this specific objective should benefit from an additional one-off pre-financing of 30% of the amounts programmed under those priorities and from the possibility to apply a Union co-financing rate of up to 100%. Managing authorities should aim to leverage a maximum amount of private finance, where relevant. This enhanced investment effort will enable energy-intensive sectors to access more stable and diverse energy sources in a less fragmented internal energy market, buttressing their sustainability and competitiveness.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8</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(8)</w:t>
            </w:r>
            <w:r w:rsidRPr="00720ECA">
              <w:tab/>
              <w:t xml:space="preserve">In order to enhance energy security, accelerate the energy transition and clean mobility, the investments under STEP and the Alternative Fuels Infrastructure Facility should be complemented by creating a new specific objective for the ERDF and the Cohesion Fund under policy objective 2 to promote </w:t>
            </w:r>
            <w:r w:rsidRPr="00720ECA">
              <w:rPr>
                <w:b/>
                <w:i/>
              </w:rPr>
              <w:t>energy</w:t>
            </w:r>
            <w:r w:rsidRPr="00720ECA">
              <w:t xml:space="preserve"> interconnectors and related </w:t>
            </w:r>
            <w:r w:rsidRPr="00720ECA">
              <w:rPr>
                <w:b/>
                <w:i/>
              </w:rPr>
              <w:t>transmission</w:t>
            </w:r>
            <w:r w:rsidRPr="00720ECA">
              <w:t xml:space="preserve"> infrastructure, and the deployment of charging infrastructure. In order to accelerate investments in these fields, priorities dedicated to this specific objective should benefit from an additional one-off pre-financing of 30% of the amounts programmed under those priorities and from the possibility to apply a Union co-financing rate of up to 100%. Managing authorities should aim to leverage a maximum amount of private finance, where relevant. This enhanced investment effort will </w:t>
            </w:r>
            <w:r w:rsidRPr="00720ECA">
              <w:rPr>
                <w:b/>
                <w:i/>
              </w:rPr>
              <w:t>enable</w:t>
            </w:r>
            <w:r w:rsidRPr="00720ECA">
              <w:t xml:space="preserve"> energy-intensive </w:t>
            </w:r>
            <w:r w:rsidRPr="00720ECA">
              <w:rPr>
                <w:b/>
                <w:i/>
              </w:rPr>
              <w:t>sectors</w:t>
            </w:r>
            <w:r w:rsidRPr="00720ECA">
              <w:t xml:space="preserve"> to access more stable </w:t>
            </w:r>
            <w:r w:rsidRPr="00720ECA">
              <w:rPr>
                <w:b/>
                <w:i/>
              </w:rPr>
              <w:t>and diverse</w:t>
            </w:r>
            <w:r w:rsidRPr="00720ECA">
              <w:t xml:space="preserve"> energy </w:t>
            </w:r>
            <w:r w:rsidRPr="00720ECA">
              <w:rPr>
                <w:b/>
                <w:i/>
              </w:rPr>
              <w:t>sources</w:t>
            </w:r>
            <w:r w:rsidRPr="00720ECA">
              <w:t xml:space="preserve"> in a less fragmented internal energy market, buttressing their sustainability and competitiveness. Moreover, expanding the ERDF’s support for decarbonisation projects allows energy-intensive industries to prioritise high-impact innovations aligned with EU climate objectives.</w:t>
            </w:r>
          </w:p>
        </w:tc>
        <w:tc>
          <w:tcPr>
            <w:tcW w:w="4876" w:type="dxa"/>
            <w:hideMark/>
          </w:tcPr>
          <w:p w:rsidR="0016379F" w:rsidRPr="00720ECA" w:rsidRDefault="0016379F" w:rsidP="001472C2">
            <w:pPr>
              <w:pStyle w:val="Normal6"/>
              <w:rPr>
                <w:szCs w:val="24"/>
              </w:rPr>
            </w:pPr>
            <w:r w:rsidRPr="00720ECA">
              <w:t>(8)</w:t>
            </w:r>
            <w:r w:rsidRPr="00720ECA">
              <w:tab/>
              <w:t xml:space="preserve">In order to enhance energy security, accelerate the energy transition and clean mobility, the investments under </w:t>
            </w:r>
            <w:r w:rsidRPr="00720ECA">
              <w:rPr>
                <w:b/>
                <w:i/>
              </w:rPr>
              <w:t>the Connecting Europe Facility,</w:t>
            </w:r>
            <w:r w:rsidRPr="00720ECA">
              <w:t xml:space="preserve"> STEP and the Alternative Fuels Infrastructure Facility should be complemented by creating a new specific objective for the ERDF and the Cohesion Fund under policy objective 2 to promote </w:t>
            </w:r>
            <w:r w:rsidRPr="00720ECA">
              <w:rPr>
                <w:b/>
                <w:i/>
              </w:rPr>
              <w:t>the transmission and distribution of electricity, including</w:t>
            </w:r>
            <w:r w:rsidRPr="00720ECA">
              <w:t xml:space="preserve"> interconnectors</w:t>
            </w:r>
            <w:r w:rsidRPr="00720ECA">
              <w:rPr>
                <w:b/>
                <w:i/>
              </w:rPr>
              <w:t>, microgrids</w:t>
            </w:r>
            <w:r w:rsidRPr="00720ECA">
              <w:t xml:space="preserve"> and related </w:t>
            </w:r>
            <w:r w:rsidRPr="00720ECA">
              <w:rPr>
                <w:b/>
                <w:i/>
              </w:rPr>
              <w:t>supportive</w:t>
            </w:r>
            <w:r w:rsidRPr="00720ECA">
              <w:t xml:space="preserve"> infrastructure </w:t>
            </w:r>
            <w:r w:rsidRPr="00720ECA">
              <w:rPr>
                <w:b/>
                <w:i/>
              </w:rPr>
              <w:t>and systems</w:t>
            </w:r>
            <w:r w:rsidRPr="00720ECA">
              <w:t xml:space="preserve">, and the deployment of charging infrastructure. In order to accelerate investments in these fields, priorities dedicated to this specific objective should benefit from an additional one-off pre-financing of 30% of the amounts programmed under those priorities and from the possibility to apply a Union co-financing rate of up to 100%. Managing authorities should aim to leverage a maximum amount of private finance, where relevant. This enhanced investment effort will </w:t>
            </w:r>
            <w:r w:rsidRPr="00720ECA">
              <w:rPr>
                <w:b/>
                <w:i/>
              </w:rPr>
              <w:t>enhance energy security by catalysing investment in the upgrading, smartening and digitalisation of grids as well as measures to increase system flexibility, security and resilience against cyber, physical and hybrid threats and climate adaptation. It will also help citizens and businesses, including</w:t>
            </w:r>
            <w:r w:rsidRPr="00720ECA">
              <w:t xml:space="preserve"> energy-intensive </w:t>
            </w:r>
            <w:r w:rsidRPr="00720ECA">
              <w:rPr>
                <w:b/>
                <w:i/>
              </w:rPr>
              <w:t>ones</w:t>
            </w:r>
            <w:r w:rsidRPr="00720ECA">
              <w:t xml:space="preserve"> to access more stable</w:t>
            </w:r>
            <w:r w:rsidRPr="00720ECA">
              <w:rPr>
                <w:b/>
                <w:i/>
              </w:rPr>
              <w:t>, resilient and affordable</w:t>
            </w:r>
            <w:r w:rsidRPr="00720ECA">
              <w:t xml:space="preserve"> energy in a less fragmented internal energy market, buttressing their sustainability and competitiveness. Moreover, expanding the ERDF’s support for decarbonisation projects allows energy-intensive industries to prioritise high-impact innovations aligned with EU climate objectives.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10</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(10)</w:t>
            </w:r>
            <w:r w:rsidRPr="00720ECA">
              <w:tab/>
              <w:t xml:space="preserve">Affordable housing is another challenge that has come to the forefront due to the significant increase in prices </w:t>
            </w:r>
            <w:r w:rsidRPr="00720ECA">
              <w:rPr>
                <w:b/>
                <w:i/>
              </w:rPr>
              <w:t>and</w:t>
            </w:r>
            <w:r w:rsidRPr="00720ECA">
              <w:t xml:space="preserve"> rents in recent years. With a view to incentivising Member States and regions to double investments from the ERDF and the Cohesion Fund, within their respective scopes, in the construction and renovation of </w:t>
            </w:r>
            <w:r w:rsidRPr="00720ECA">
              <w:rPr>
                <w:b/>
                <w:i/>
              </w:rPr>
              <w:t>the</w:t>
            </w:r>
            <w:r w:rsidRPr="00720ECA">
              <w:t xml:space="preserve"> affordable housing stock, including social housing, new specific objectives should be created under different policy objectives to provide flexibility for the programming of housing interventions under dedicated priorities. Such priorities should entail the possibility to apply a Union co-financing rate of up to 100% and benefit from an additional one-off pre-financing of 30% of the amounts programmed in order to alleviate the burden on public budgets. For example, 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w:t>
            </w:r>
          </w:p>
        </w:tc>
        <w:tc>
          <w:tcPr>
            <w:tcW w:w="4876" w:type="dxa"/>
            <w:hideMark/>
          </w:tcPr>
          <w:p w:rsidR="0016379F" w:rsidRPr="00720ECA" w:rsidRDefault="0016379F" w:rsidP="001472C2">
            <w:pPr>
              <w:pStyle w:val="Normal6"/>
              <w:rPr>
                <w:szCs w:val="24"/>
              </w:rPr>
            </w:pPr>
            <w:r w:rsidRPr="00720ECA">
              <w:t>(10)</w:t>
            </w:r>
            <w:r w:rsidRPr="00720ECA">
              <w:tab/>
              <w:t>Affordable</w:t>
            </w:r>
            <w:r w:rsidRPr="00720ECA">
              <w:rPr>
                <w:b/>
                <w:i/>
              </w:rPr>
              <w:t>, decent and sustainable</w:t>
            </w:r>
            <w:r w:rsidRPr="00720ECA">
              <w:t xml:space="preserve"> housing is another challenge that has come to the forefront due to the significant increase in prices</w:t>
            </w:r>
            <w:r w:rsidRPr="00720ECA">
              <w:rPr>
                <w:b/>
                <w:i/>
              </w:rPr>
              <w:t>,</w:t>
            </w:r>
            <w:r w:rsidRPr="00720ECA">
              <w:t xml:space="preserve"> rents </w:t>
            </w:r>
            <w:r w:rsidRPr="00720ECA">
              <w:rPr>
                <w:b/>
                <w:i/>
              </w:rPr>
              <w:t>and energy bills</w:t>
            </w:r>
            <w:r w:rsidRPr="00720ECA">
              <w:t xml:space="preserve"> in recent years. With a view to incentivising Member States and regions to double investments from the ERDF and the Cohesion Fund, within their respective scopes, in the construction and renovation of affordable </w:t>
            </w:r>
            <w:r w:rsidRPr="00720ECA">
              <w:rPr>
                <w:b/>
                <w:i/>
              </w:rPr>
              <w:t>and energy-efficient</w:t>
            </w:r>
            <w:r w:rsidRPr="00720ECA">
              <w:t xml:space="preserve"> housing stock, including social housing, new specific objectives should be created under different policy objectives to provide flexibility for the programming of housing interventions under dedicated priorities</w:t>
            </w:r>
            <w:r w:rsidRPr="00720ECA">
              <w:rPr>
                <w:b/>
                <w:i/>
              </w:rPr>
              <w:t>. Such housing interventions are subject to the requirements on energy performance of buildings set out in Directive (EU) 2024/1275</w:t>
            </w:r>
            <w:r w:rsidRPr="00720ECA">
              <w:rPr>
                <w:b/>
                <w:i/>
                <w:vertAlign w:val="superscript"/>
              </w:rPr>
              <w:t>5b</w:t>
            </w:r>
            <w:r w:rsidRPr="00720ECA">
              <w:t xml:space="preserve"> </w:t>
            </w:r>
            <w:r w:rsidRPr="00720ECA">
              <w:rPr>
                <w:b/>
                <w:i/>
              </w:rPr>
              <w:t>(EPBD) and should be carried out coherently with Member States’ National Building Renovation Plans, including the obligation to prioritise the improvement of the worst-performing segments of the residential building stock, to earmark support for vulnerable households, energy-poor individuals, and people living in social housing as well as to promote renewable energy generated on-site, nearby or from a renewable energy community, efficient district heating and cooling system</w:t>
            </w:r>
            <w:r w:rsidRPr="00720ECA">
              <w:t>. Such priorities should entail the possibility to apply a Union co-financing rate of up to 100% and benefit from an additional one-off pre-financing of 30% of the amounts programmed in order to alleviate the burden on public budgets. For example, 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vertAlign w:val="superscript"/>
              </w:rPr>
              <w:t>5b</w:t>
            </w:r>
            <w:r w:rsidRPr="00720ECA">
              <w:t xml:space="preserve"> </w:t>
            </w:r>
            <w:r w:rsidRPr="00720ECA">
              <w:rPr>
                <w:b/>
                <w:i/>
              </w:rPr>
              <w:t xml:space="preserve">Directive (EU) 2024/1275 of the European Parliament and of the Council of 24 April 2024 on the energy performance of buildings (recast) (OJ L, 2024/1275, 8.5.2024, ELI: http://data.europa.eu/eli/dir/2024/1275/oj). </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10</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(10)</w:t>
            </w:r>
            <w:r w:rsidRPr="00720ECA">
              <w:tab/>
              <w:t>Affordable housing is another challenge that has come to the forefront due to the significant increase in prices and rents in recent years. With a view to incentivising Member States and regions to double investments from the ERDF and the Cohesion Fund, within their respective scopes, in the construction and renovation of the affordable housing stock, including social housing, new specific objectives should be created under different policy objectives to provide flexibility for the programming of housing interventions under dedicated priorities. Such priorities should entail the possibility to apply a Union co-financing rate of up to 100% and benefit from an additional one-off pre-financing of 30% of the amounts programmed in order to alleviate the burden on public budgets. For example, 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w:t>
            </w:r>
          </w:p>
        </w:tc>
        <w:tc>
          <w:tcPr>
            <w:tcW w:w="4876" w:type="dxa"/>
            <w:hideMark/>
          </w:tcPr>
          <w:p w:rsidR="0016379F" w:rsidRPr="00720ECA" w:rsidRDefault="0016379F" w:rsidP="001472C2">
            <w:pPr>
              <w:pStyle w:val="Normal6"/>
              <w:rPr>
                <w:szCs w:val="24"/>
              </w:rPr>
            </w:pPr>
            <w:r w:rsidRPr="00720ECA">
              <w:t>(10)</w:t>
            </w:r>
            <w:r w:rsidRPr="00720ECA">
              <w:tab/>
              <w:t>Affordable housing is another challenge that has come to the forefront due to the significant increase in prices and rents in recent years</w:t>
            </w:r>
            <w:r w:rsidRPr="00720ECA">
              <w:rPr>
                <w:b/>
                <w:i/>
              </w:rPr>
              <w:t>. Groups in vulnerable positions and low-income families are hit even harder, facing more difficulties in accessing housing and a growing risk of homelessness</w:t>
            </w:r>
            <w:r w:rsidRPr="00720ECA">
              <w:t xml:space="preserve">. With a view to incentivising Member States and regions to double investments from the ERDF and the Cohesion Fund, within their respective scopes, in the construction and renovation of the affordable housing stock, including social housing, new specific objectives should be created under different policy objectives to provide flexibility for the programming of housing interventions under dedicated priorities. Such priorities should entail the possibility to apply a Union co-financing rate of up to 100% and benefit from an additional one-off pre-financing of 30% of the amounts programmed in order to alleviate the burden on public budgets. For example, 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 </w:t>
            </w:r>
            <w:r w:rsidRPr="00720ECA">
              <w:rPr>
                <w:b/>
                <w:i/>
              </w:rPr>
              <w:t>It is important that the interventions target housing associations, cooperations and investors that ensure the social objectives of this objective and the intervention does not lead to disproportionately high profits for the targeted projects.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10</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(10)</w:t>
            </w:r>
            <w:r w:rsidRPr="00720ECA">
              <w:tab/>
              <w:t>Affordable housing is another challenge that has come to the forefront due to the significant increase in prices and rents in recent years. With a view to incentivising Member States and regions to double investments from the ERDF and the Cohesion Fund, within their respective scopes, in the construction and renovation of the affordable housing stock, including social housing, new specific objectives should be created under different policy objectives to provide flexibility for the programming of housing interventions under dedicated priorities. Such priorities should entail the possibility to apply a Union co-financing rate of up to 100% and benefit from an additional one-off pre-financing of 30% of the amounts programmed in order to alleviate the burden on public budgets. For example, 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w:t>
            </w:r>
          </w:p>
        </w:tc>
        <w:tc>
          <w:tcPr>
            <w:tcW w:w="4876" w:type="dxa"/>
            <w:hideMark/>
          </w:tcPr>
          <w:p w:rsidR="0016379F" w:rsidRPr="00720ECA" w:rsidRDefault="0016379F" w:rsidP="001472C2">
            <w:pPr>
              <w:pStyle w:val="Normal6"/>
              <w:rPr>
                <w:szCs w:val="24"/>
              </w:rPr>
            </w:pPr>
            <w:r w:rsidRPr="00720ECA">
              <w:t>(10)</w:t>
            </w:r>
            <w:r w:rsidRPr="00720ECA">
              <w:tab/>
              <w:t xml:space="preserve">Affordable housing is another challenge that has come to the forefront due to the significant increase in prices and rents in recent years. With a view to incentivising Member States and regions to double investments from the ERDF and the Cohesion Fund, within their respective scopes, in the construction and renovation of the affordable housing stock, including social housing, new specific objectives should be created under different policy objectives to provide flexibility for the programming of housing interventions under dedicated priorities. Such priorities should entail the possibility to apply a Union co-financing rate of up to 100% and benefit from an additional one-off pre-financing of 30% of the amounts programmed in order to alleviate the burden on public budgets. For example, </w:t>
            </w:r>
            <w:r w:rsidRPr="00720ECA">
              <w:rPr>
                <w:b/>
                <w:i/>
              </w:rPr>
              <w:t xml:space="preserve">in full compliance with the right of subsidiarity, </w:t>
            </w:r>
            <w:r w:rsidRPr="00720ECA">
              <w:t>investments under the ‘New European Bauhaus’ initiative should make full use of those new possibilities. Costs resulting from the temporary renting of alternative accommodation for the occupants during the time of the renovation may also be entitled to support under such priorities, as well as costs of reforms related to housing, such as preparatory work for improvements in housing market regulation and permitting at local and city level. It is also appropriate to clarify the support of the JTF in that context.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10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(10a)</w:t>
            </w:r>
            <w:r w:rsidRPr="00720ECA">
              <w:rPr>
                <w:b/>
                <w:i/>
              </w:rPr>
              <w:tab/>
              <w:t>Energy communities can help mobilise private capital investments focused on renewable energy deployment, energy efficiency and building renovations to help to realise affordable and sustainable zero-emission buildings. Citizen and renewable energy communities, demonstrate a high leverage effect and can deliver broad socio-economic benefits at the local level, including stable access to affordable energy. However, such initiatives often face persistent barriers in accessing public and private finance, including Cohesion Policy funds. To unlock this investment potential and ensure a just and inclusive energy transition, Member States and Managing Authorities are encouraged to enhance support for citizen- and community-driven energy actions under Cohesion Policy programmes. This includes simplifying access to funding, improving administrative procedures, and strengthening the technical and financial advisory capacity available to local communities. Managing Authorities are also encouraged to actively cooperate with umbrella organisations of energy communities or already established energy communities, which play a key role in raising awareness, building capacity, and ensuring that support measures are effectively targeted. These organisations should be considered eligible for direct support to provide technical and financial advice to emerging energy communities. Furthermore, Member States and Managing Authorities should consider deploying European Regional Development Fund (ERDF), Just Transition Fund (JTF), and Cohesion Fund resources not only through grant support but also through financial instruments that help to unlock access to private financing for energy communities.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10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(10a)</w:t>
            </w:r>
            <w:r w:rsidRPr="00720ECA">
              <w:rPr>
                <w:b/>
                <w:i/>
              </w:rPr>
              <w:tab/>
              <w:t>Affordable housing shall be understood as housing provided at below-market rates, accessible to low- and moderate-income households, and aligned with local income levels. EU funding for affordable housing shall prioritize regions with verified housing shortages, identified through national or regional housing gap analyses. Measures shall prevent the crowding out of private investment and ensure that benefits reach final users, not merely property owners.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11</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(11)</w:t>
            </w:r>
            <w:r w:rsidRPr="00720ECA">
              <w:tab/>
              <w:t>Water has a vital role as a resource for the security of food, energy and economic systems. This is also a key aspect of ensuring climate resilience. Given the challenges posed by the impact of climate change on water resources, further investments in water resilience should be encouraged. It is urgent to enhance the implementation of the water and marine protection legislation and improve water efficiency, address water scarcity, and progress towards a water resilient Europe. This requires important investments. It is therefore appropriate to include a reference to secure access to water, sustainable water management and water resilience in the new specific objective under policy objective 2 to allow for proactive, risk-based management and increased preparedness. Dedicated priorities established for that specific objective should also benefit from an additional one-off pre-financing of 30% of the amounts programmed and the possibility of a co-financing rate of up to 100% in order to incentivise crucial investments in that field.</w:t>
            </w:r>
          </w:p>
        </w:tc>
        <w:tc>
          <w:tcPr>
            <w:tcW w:w="4876" w:type="dxa"/>
            <w:hideMark/>
          </w:tcPr>
          <w:p w:rsidR="0016379F" w:rsidRPr="00720ECA" w:rsidRDefault="0016379F" w:rsidP="001472C2">
            <w:pPr>
              <w:pStyle w:val="Normal6"/>
              <w:rPr>
                <w:szCs w:val="24"/>
              </w:rPr>
            </w:pPr>
            <w:r w:rsidRPr="00720ECA">
              <w:t>(11)</w:t>
            </w:r>
            <w:r w:rsidRPr="00720ECA">
              <w:tab/>
              <w:t xml:space="preserve">Water has a vital role as a resource for the security of food, energy and economic systems. This is also a key aspect of ensuring climate resilience. Given the challenges posed by the impact of climate change on water resources, further investments in water resilience should be encouraged. It is urgent to enhance the implementation of the water and marine protection legislation and improve water efficiency, address water scarcity, and progress towards a water resilient Europe. This requires important investments. It is therefore appropriate to include a reference to secure access to water, sustainable water management and water resilience in the new specific objective under policy objective 2 to allow for proactive, risk-based management and increased preparedness. Dedicated priorities established for that specific objective should also benefit from an additional one-off pre-financing of 30% of the amounts programmed and the possibility of a co-financing rate of up to 100% in order to incentivise crucial investments in that field. </w:t>
            </w:r>
            <w:r w:rsidRPr="00720ECA">
              <w:rPr>
                <w:b/>
                <w:i/>
              </w:rPr>
              <w:t>Support under this Regulation shall include investments enhancing water resilience, including water-saving infrastructure, digital water management systems, and cross-border flood/drought prevention. Emergency relief measures shall remain outside the scope of cohesion policy programmes and be handled through appropriate crisis instruments.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12</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(12)</w:t>
            </w:r>
            <w:r w:rsidRPr="00720ECA">
              <w:tab/>
              <w:t>Finally, in order to enhance the effectiveness of investments, it is important to allow for the payment of costs related to the implementation of reforms</w:t>
            </w:r>
            <w:r w:rsidRPr="00720ECA">
              <w:rPr>
                <w:b/>
                <w:i/>
              </w:rPr>
              <w:t>, also where such costs are not directly linked to the implementation of investments</w:t>
            </w:r>
            <w:r w:rsidRPr="00720ECA">
              <w:t>.</w:t>
            </w:r>
          </w:p>
        </w:tc>
        <w:tc>
          <w:tcPr>
            <w:tcW w:w="4876" w:type="dxa"/>
            <w:hideMark/>
          </w:tcPr>
          <w:p w:rsidR="0016379F" w:rsidRPr="00720ECA" w:rsidRDefault="0016379F" w:rsidP="001472C2">
            <w:pPr>
              <w:pStyle w:val="Normal6"/>
              <w:rPr>
                <w:szCs w:val="24"/>
              </w:rPr>
            </w:pPr>
            <w:r w:rsidRPr="00720ECA">
              <w:t>(12)</w:t>
            </w:r>
            <w:r w:rsidRPr="00720ECA">
              <w:tab/>
              <w:t>Finally, in order to enhance the effectiveness of investments, it is important to allow for the payment of costs related to the implementation of reforms.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Reforms should always be linked to investments also in order to avoid lack of clarity and of transparency on eligible actions.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12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(12a)</w:t>
            </w:r>
            <w:r w:rsidRPr="00720ECA">
              <w:rPr>
                <w:b/>
                <w:i/>
              </w:rPr>
              <w:tab/>
              <w:t>To ensure legal certainty and effective implementation of the European Regional Development Fund (ERDF) and the Cohesion Fund (CF), it is essential that the scope of reforms eligible for support be clearly defined within the regulation. Reforms shall refer to structural or institutional measures undertaken by Member States to improve public administration, governance, regulatory frameworks, or policy effectiveness in line with the programme’s specific objectives. Eligible actions may include preparatory analyses, stakeholder consultations, legislative drafting, capacity building, and implementation activities directly linked to such reforms. Expenditure categories may cover personnel costs, expert advice, ICT tools, and related administrative support. In parallel, the Commission shall provide timely and proactive assistance to Member States and regions to address legal uncertainties related to eligibility rules, including through the regular updating of a public Questions &amp; Answers database and the provision of targeted bilateral guidance. These measures shall support the swift adoption of programme amendments, ensure uniform interpretation of Union law, and reduce the risk of compliance errors.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29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13</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(13)</w:t>
            </w:r>
            <w:r w:rsidRPr="00720ECA">
              <w:tab/>
              <w:t xml:space="preserve">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w:t>
            </w:r>
            <w:r w:rsidRPr="00720ECA">
              <w:rPr>
                <w:b/>
                <w:i/>
              </w:rPr>
              <w:t>including those contributing to STEP objectives, towards the amounts required to ensure compliance with thematic concentration requirements. This should be accompanied with some flexibility regarding the calculation of the respective climate contribution for the ERDF and the Cohesion Fund as set out in Article 6 of Regulation (EU) 2021/1060, while respecting the overall requirements of that Article. In addition, to accelerate the decarbonisation of industry that is necessary for reaching the Union’s climate objectives, it is necessary to provide for the possibility to finance, through the ERDF, investments aimed at achieving the reduction of greenhouse gas emissions also from activities listed in Annex I to Directive 2003/87/EC of the European Parliament and of the Council</w:t>
            </w:r>
            <w:r w:rsidRPr="00720ECA">
              <w:rPr>
                <w:b/>
                <w:i/>
                <w:vertAlign w:val="superscript"/>
              </w:rPr>
              <w:t>5</w:t>
            </w:r>
            <w:r w:rsidRPr="00720ECA">
              <w:t xml:space="preserve"> </w:t>
            </w:r>
            <w:r w:rsidRPr="00720ECA">
              <w:rPr>
                <w:b/>
                <w:i/>
              </w:rPr>
              <w:t>provided that they have been awarded a Seal Excellence. Similarly, as regards the JTF, the conditions for financing such investments should be simplified. Furthermore, in order to ensure consistency of support between financing granted under direct and shared management, operations that have already been assessed in the context of directly managed programmes and been attributed a ‘Sovereignty Seal’ as defined in Article 4(1) of Regulation (EU) 2024/795 in a call for proposals under Commission Delegated Regulation (EU) 2019/856 by the Commission should not be subject to the fossil fuel exclusion</w:t>
            </w:r>
            <w:r w:rsidRPr="00720ECA">
              <w:t>.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c>
          <w:tcPr>
            <w:tcW w:w="4876" w:type="dxa"/>
            <w:hideMark/>
          </w:tcPr>
          <w:p w:rsidR="0016379F" w:rsidRPr="00720ECA" w:rsidRDefault="0016379F" w:rsidP="001472C2">
            <w:pPr>
              <w:pStyle w:val="Normal6"/>
              <w:rPr>
                <w:szCs w:val="24"/>
              </w:rPr>
            </w:pPr>
            <w:r w:rsidRPr="00720ECA">
              <w:t>(13)</w:t>
            </w:r>
            <w:r w:rsidRPr="00720ECA">
              <w:tab/>
              <w:t xml:space="preserve">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w:t>
            </w:r>
            <w:r w:rsidRPr="00720ECA">
              <w:rPr>
                <w:b/>
                <w:i/>
              </w:rPr>
              <w:t>excluding the ones on defence and dual use</w:t>
            </w:r>
            <w:r w:rsidRPr="00720ECA">
              <w:t>.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c>
          <w:tcPr>
            <w:tcW w:w="4876" w:type="dxa"/>
            <w:hideMark/>
          </w:tcPr>
          <w:p w:rsidR="0016379F" w:rsidRPr="00720ECA" w:rsidRDefault="0016379F" w:rsidP="001472C2">
            <w:pPr>
              <w:pStyle w:val="Normal6"/>
              <w:rPr>
                <w:szCs w:val="24"/>
              </w:rPr>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c>
          <w:tcPr>
            <w:tcW w:w="4876" w:type="dxa"/>
            <w:hideMark/>
          </w:tcPr>
          <w:p w:rsidR="0016379F" w:rsidRPr="00720ECA" w:rsidRDefault="0016379F" w:rsidP="001472C2">
            <w:pPr>
              <w:pStyle w:val="Normal6"/>
              <w:rPr>
                <w:szCs w:val="24"/>
              </w:rPr>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Chiara Gemma, Francesco Torselli, Georgiana Teodorescu, Mariateresa Vivaldini, Elena Donazzan</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13</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(13)</w:t>
            </w:r>
            <w:r w:rsidRPr="00720ECA">
              <w:tab/>
              <w:t>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including those contributing to STEP objectives, towards the amounts required to ensure compliance with thematic concentration requirements. This should be accompanied with some flexibility regarding the calculation of the respective climate contribution for the ERDF and the Cohesion Fund as set out in Article 6 of Regulation (EU) 2021/1060, while respecting the overall requirements of that Article.</w:t>
            </w:r>
            <w:r w:rsidRPr="00720ECA">
              <w:rPr>
                <w:b/>
                <w:i/>
              </w:rPr>
              <w:t xml:space="preserve"> </w:t>
            </w:r>
            <w:r w:rsidRPr="00720ECA">
              <w:rPr>
                <w:b/>
                <w:bCs/>
                <w:i/>
                <w:iCs/>
              </w:rPr>
              <w:t>In addition, to accelerate the decarbonisation of industry that is necessary for reaching the Union’s climate objectives, it is necessary to provide for the possibility to finance, through the ERDF, investments aimed at achieving the reduction of greenhouse gas emissions also from activities listed in Annex I to Directive 2003/87/EC of the European Parliament and of the Council</w:t>
            </w:r>
            <w:r w:rsidRPr="00720ECA">
              <w:rPr>
                <w:b/>
                <w:bCs/>
                <w:i/>
                <w:iCs/>
                <w:vertAlign w:val="superscript"/>
              </w:rPr>
              <w:t>5</w:t>
            </w:r>
            <w:r w:rsidRPr="00720ECA">
              <w:rPr>
                <w:b/>
                <w:bCs/>
                <w:i/>
                <w:iCs/>
              </w:rPr>
              <w:t xml:space="preserve"> provided that they have been awarded a Seal Excellence.</w:t>
            </w:r>
            <w:r w:rsidRPr="00720ECA">
              <w:rPr>
                <w:b/>
                <w:i/>
              </w:rPr>
              <w:t xml:space="preserve"> </w:t>
            </w:r>
            <w:r w:rsidRPr="00720ECA">
              <w:rPr>
                <w:b/>
                <w:bCs/>
                <w:i/>
                <w:iCs/>
              </w:rPr>
              <w:t>Similarly, as regards the JTF, the conditions for financing such investments should be simplified.</w:t>
            </w:r>
            <w:r w:rsidRPr="00720ECA">
              <w:t xml:space="preserve"> Furthermore, in order to ensure consistency of support between financing granted under direct and shared management, operations that have already been assessed in the context of directly managed programmes and been attributed a ‘Sovereignty Seal’ as defined in Article 4(1) of Regulation (EU) 2024/795 in a call for proposals under Commission Delegated Regulation (EU) 2019/856 by the Commission should not be subject to the fossil fuel exclusion.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c>
          <w:tcPr>
            <w:tcW w:w="4876" w:type="dxa"/>
            <w:hideMark/>
          </w:tcPr>
          <w:p w:rsidR="0016379F" w:rsidRPr="00720ECA" w:rsidRDefault="0016379F" w:rsidP="001472C2">
            <w:pPr>
              <w:pStyle w:val="Normal6"/>
              <w:rPr>
                <w:szCs w:val="24"/>
              </w:rPr>
            </w:pPr>
            <w:r w:rsidRPr="00720ECA">
              <w:t>(13)</w:t>
            </w:r>
            <w:r w:rsidRPr="00720ECA">
              <w:tab/>
              <w:t>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including those contributing to STEP objectives, towards the amounts required to ensure compliance with thematic concentration requirements. This should be accompanied with some flexibility regarding the calculation of the respective climate contribution for the ERDF and the Cohesion Fund as set out in Article 6 of Regulation (EU) 2021/1060, while respecting the overall requirements of that Article. Furthermore, in order to ensure consistency of support between financing granted under direct and shared management, operations that have already been assessed in the context of directly managed programmes and been attributed a ‘Sovereignty Seal’ as defined in Article 4(1) of Regulation (EU) 2024/795 in a call for proposals under Commission Delegated Regulation (EU) 2019/856 by the Commission should not be subject to the fossil fuel exclusion.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c>
          <w:tcPr>
            <w:tcW w:w="4876" w:type="dxa"/>
            <w:hideMark/>
          </w:tcPr>
          <w:p w:rsidR="0016379F" w:rsidRPr="00720ECA" w:rsidRDefault="0016379F" w:rsidP="001472C2">
            <w:pPr>
              <w:pStyle w:val="Normal6"/>
              <w:rPr>
                <w:szCs w:val="24"/>
              </w:rPr>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c>
          <w:tcPr>
            <w:tcW w:w="4876" w:type="dxa"/>
            <w:hideMark/>
          </w:tcPr>
          <w:p w:rsidR="0016379F" w:rsidRPr="00720ECA" w:rsidRDefault="0016379F" w:rsidP="001472C2">
            <w:pPr>
              <w:pStyle w:val="Normal6"/>
              <w:rPr>
                <w:szCs w:val="24"/>
              </w:rPr>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{IT}</w:t>
      </w:r>
      <w:r w:rsidRPr="00720ECA">
        <w:rPr>
          <w:noProof w:val="0"/>
        </w:rPr>
        <w:t>it</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13</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(13)</w:t>
            </w:r>
            <w:r w:rsidRPr="00720ECA">
              <w:tab/>
              <w:t>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including those contributing to STEP objectives, towards the amounts required to ensure compliance with thematic concentration requirements</w:t>
            </w:r>
            <w:r w:rsidRPr="00720ECA">
              <w:rPr>
                <w:b/>
                <w:i/>
              </w:rPr>
              <w:t>. This should be accompanied with some flexibility regarding the calculation of the respective climate contribution for the ERDF and the Cohesion Fund as set out in Article 6 of Regulation (EU) 2021/1060, while respecting the overall requirements of that Article</w:t>
            </w:r>
            <w:r w:rsidRPr="00720ECA">
              <w:t>. In addition, to accelerate the decarbonisation of industry that is necessary for reaching the Union’s climate objectives, it is necessary to provide for the possibility to finance, through the ERDF, investments aimed at achieving the reduction of greenhouse gas emissions also from activities listed in Annex I to Directive 2003/87/EC of the European Parliament and of the Council</w:t>
            </w:r>
            <w:r w:rsidRPr="00720ECA">
              <w:rPr>
                <w:vertAlign w:val="superscript"/>
              </w:rPr>
              <w:t>5</w:t>
            </w:r>
            <w:r w:rsidRPr="00720ECA">
              <w:t xml:space="preserve"> provided that they have been awarded a Seal Excellence. Similarly, as regards the JTF, the conditions for financing such investments should be simplified. Furthermore, in order to ensure consistency of support between financing granted under direct and shared management, operations that have already been assessed in the context of directly managed programmes and been attributed a ‘Sovereignty Seal’ as defined in Article 4(1) of Regulation (EU) 2024/795 in a call for proposals under Commission Delegated Regulation (EU) 2019/856 by the Commission should not be subject to the fossil fuel exclusion.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c>
          <w:tcPr>
            <w:tcW w:w="4876" w:type="dxa"/>
            <w:hideMark/>
          </w:tcPr>
          <w:p w:rsidR="0016379F" w:rsidRPr="00720ECA" w:rsidRDefault="0016379F" w:rsidP="001472C2">
            <w:pPr>
              <w:pStyle w:val="Normal6"/>
              <w:rPr>
                <w:szCs w:val="24"/>
              </w:rPr>
            </w:pPr>
            <w:r w:rsidRPr="00720ECA">
              <w:t>(13)</w:t>
            </w:r>
            <w:r w:rsidRPr="00720ECA">
              <w:tab/>
              <w:t>In order to enable Member States to carry out a meaningful reprogramming in the context of the mid-term review and focus resources on those new strategic Union priorities, additional restrictions should be lifted. As regards thematic concentration requirements, it is appropriate to allow Member States to count amounts programmed for new strategic priorities, including those contributing to STEP objectives, towards the amounts required to ensure compliance with thematic concentration requirements. In addition, to accelerate the decarbonisation of industry that is necessary for reaching the Union’s climate objectives, it is necessary to provide for the possibility to finance, through the ERDF, investments aimed at achieving the reduction of greenhouse gas emissions also from activities listed in Annex I to Directive 2003/87/EC of the European Parliament and of the Council</w:t>
            </w:r>
            <w:r w:rsidRPr="00720ECA">
              <w:rPr>
                <w:vertAlign w:val="superscript"/>
              </w:rPr>
              <w:t>5</w:t>
            </w:r>
            <w:r w:rsidRPr="00720ECA">
              <w:t xml:space="preserve"> provided that they have been awarded a Seal Excellence. Similarly, as regards the JTF, the conditions for financing such investments should be simplified. Furthermore, in order to ensure consistency of support between financing granted under direct and shared management, operations that have already been assessed in the context of directly managed programmes and been attributed a ‘Sovereignty Seal’ as defined in Article 4(1) of Regulation (EU) 2024/795 in a call for proposals under Commission Delegated Regulation (EU) 2019/856 by the Commission should not be subject to the fossil fuel exclusion. Member States should also be given the possibility to contribute resources from the ERDF and the Cohesion Fund to the Member State compartment of the InvestEU Fund</w:t>
            </w:r>
            <w:r w:rsidRPr="00720ECA">
              <w:rPr>
                <w:vertAlign w:val="superscript"/>
              </w:rPr>
              <w:t>6</w:t>
            </w:r>
            <w:r w:rsidRPr="00720ECA">
              <w:t xml:space="preserve"> to deploy them through the InvestEU financial instrument set out in [Article 10a of Regulation (EU) 2021/523]. Finally, in order to allow for a comprehensive reprogramming towards the new strategic priorities in the context of the mid-term review, Member States should benefit from additional time to complement the assessment of the outcome of the mid-term review and the submission of related programme amendments. This should also apply to JTF resources where they are included in a programme together with ERDF or Cohesion Fund resources.</w:t>
            </w:r>
          </w:p>
        </w:tc>
      </w:tr>
      <w:tr w:rsidR="0016379F" w:rsidRPr="00720ECA" w:rsidTr="001472C2">
        <w:trPr>
          <w:jc w:val="center"/>
        </w:trPr>
        <w:tc>
          <w:tcPr>
            <w:tcW w:w="4876" w:type="dxa"/>
            <w:hideMark/>
          </w:tcPr>
          <w:p w:rsidR="0016379F" w:rsidRPr="00720ECA" w:rsidRDefault="0016379F" w:rsidP="001472C2">
            <w:pPr>
              <w:pStyle w:val="Normal6"/>
            </w:pPr>
            <w:r w:rsidRPr="00720ECA">
              <w:t>__________________</w:t>
            </w:r>
          </w:p>
        </w:tc>
        <w:tc>
          <w:tcPr>
            <w:tcW w:w="4876" w:type="dxa"/>
            <w:hideMark/>
          </w:tcPr>
          <w:p w:rsidR="0016379F" w:rsidRPr="00720ECA" w:rsidRDefault="0016379F" w:rsidP="001472C2">
            <w:pPr>
              <w:pStyle w:val="Normal6"/>
              <w:rPr>
                <w:szCs w:val="24"/>
              </w:rPr>
            </w:pPr>
            <w:r w:rsidRPr="00720ECA">
              <w:t>__________________</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c>
          <w:tcPr>
            <w:tcW w:w="4876" w:type="dxa"/>
            <w:hideMark/>
          </w:tcPr>
          <w:p w:rsidR="0016379F" w:rsidRPr="00720ECA" w:rsidRDefault="0016379F" w:rsidP="001472C2">
            <w:pPr>
              <w:pStyle w:val="Normal6"/>
              <w:rPr>
                <w:szCs w:val="24"/>
              </w:rPr>
            </w:pPr>
            <w:r w:rsidRPr="00720ECA">
              <w:rPr>
                <w:vertAlign w:val="superscript"/>
              </w:rPr>
              <w:t>5</w:t>
            </w:r>
            <w:r w:rsidRPr="00720ECA">
              <w:t xml:space="preserve"> Directive 2003/87/EC of the European Parliament and of the Council of 13 October 2003 establishing a system for greenhouse gas emission allowance trading within the Union and amending Council Directive 96/61/EC (OJ L 275, 25.10.2003, p. 32, ELI: http://data.europa.eu/eli/dir/2003/87/oj).</w:t>
            </w:r>
          </w:p>
        </w:tc>
      </w:tr>
      <w:tr w:rsidR="0016379F" w:rsidRPr="00720ECA" w:rsidTr="001472C2">
        <w:trPr>
          <w:jc w:val="center"/>
        </w:trPr>
        <w:tc>
          <w:tcPr>
            <w:tcW w:w="4876" w:type="dxa"/>
            <w:hideMark/>
          </w:tcPr>
          <w:p w:rsidR="0016379F" w:rsidRPr="00720ECA" w:rsidRDefault="0016379F" w:rsidP="001472C2">
            <w:pPr>
              <w:pStyle w:val="Normal6"/>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c>
          <w:tcPr>
            <w:tcW w:w="4876" w:type="dxa"/>
            <w:hideMark/>
          </w:tcPr>
          <w:p w:rsidR="0016379F" w:rsidRPr="00720ECA" w:rsidRDefault="0016379F" w:rsidP="001472C2">
            <w:pPr>
              <w:pStyle w:val="Normal6"/>
              <w:rPr>
                <w:szCs w:val="24"/>
              </w:rPr>
            </w:pPr>
            <w:r w:rsidRPr="00720ECA">
              <w:rPr>
                <w:vertAlign w:val="superscript"/>
              </w:rPr>
              <w:t>6</w:t>
            </w:r>
            <w:r w:rsidRPr="00720ECA">
              <w:t xml:space="preserve"> Regulation (EU) 2021/523 of the European Parliament and of the Council of 24 March 2021 establishing the InvestEU Programme and amending Regulation (EU) 2015/1017 (OJ L 107, 26.3.2021, p. 30, ELI: http://data.europa.eu/eli/reg/2021/523/oj).</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(14a)</w:t>
            </w:r>
            <w:r w:rsidRPr="00720ECA">
              <w:rPr>
                <w:b/>
                <w:i/>
              </w:rPr>
              <w:tab/>
              <w:t>In order to ensure the effective implementation of the revised strategic priorities under cohesion policy, it is essential to reduce administrative complexity and avoid unnecessary procedural burdens for managing authorities and beneficiaries. The introduction of new priorities and financial incentives should not lead to further fragmentation or duplication within programmes. The Commission and Member States should take all necessary measures to streamline programming, approval, and reporting procedures, and to make full use of simplified cost options, interoperable digital tools, and harmonised rules across funds where appropriate. Particular attention should be paid to avoiding overlapping eligibility rules, thematic indicators, and monitoring requirements when reallocating funds or combining financial instruments and grants.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b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(14b)</w:t>
            </w:r>
            <w:r w:rsidRPr="00720ECA">
              <w:rPr>
                <w:b/>
                <w:i/>
              </w:rPr>
              <w:tab/>
              <w:t>Efficient implementation of cohesion policy requires sustained investment in administrative capacity at national, regional and local level. The use of simplified cost options, harmonised rules, and interoperability of systems should be promoted to reduce administrative burden and improve results. Decision-making should remain as close as possible to citizens through shared management, subsidiarity and multilevel governance.</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c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(14c)</w:t>
            </w:r>
            <w:r w:rsidRPr="00720ECA">
              <w:rPr>
                <w:b/>
                <w:i/>
              </w:rPr>
              <w:tab/>
              <w:t>In order to ensure the effective uptake of cohesion policy resources during the remainder of the 2021–2027 programming period and in view of the new strategic priorities introduced by this Regulation, it is essential to reduce the administrative burden for managing authorities and beneficiaries. The mid-term review should serve as an opportunity to simplify procedures, promote the use of flexible implementation methods, and eliminate unnecessary regulatory complexity. The use of simplified cost options, financing not linked to costs, interoperable digital tools, and harmonised rules across funds should be encouraged. These measures are particularly important for enhancing the capacity of Member States with lower absorption rates to access and implement cohesion funds in a timely, effective, and result-oriented manner, thereby contributing to more balanced and inclusive territorial development across the Union.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d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(14d)</w:t>
            </w:r>
            <w:r w:rsidRPr="00720ECA">
              <w:rPr>
                <w:b/>
                <w:i/>
              </w:rPr>
              <w:tab/>
              <w:t>In order to enhance the effectiveness of cohesion policy in addressing evolving strategic challenges, support under the European Regional Development Fund (ERDF) and the European Social Fund Plus (ESF+) shall be directed towards investments that contribute to improving competitiveness, strengthening the skills base, and advancing the energy transition. To this end, Member States shall be encouraged to make use of additional financial incentives and to expand the application of repayable financial instruments, including in sectors where such instruments have not traditionally been employed, notably affordable housing, vocational education and training, social and healthcare services, applied research with market potential, and sustainable energy infrastructure. Investments financed under the ERDF and ESF+ shall contribute to the creation of new, high-quality employment opportunities, with particular focus on regions undergoing structural change. Support for skills development shall encompass both technical and sector-specific skills (“hard skills”), such as those related to digitalisation, engineering and clean technologies, as well as transversal competences (“soft skills”), including adaptability, leadership, critical thinking, and communication. Skills investments shall be aligned with regional smart specialisation strategies and responsive to labour market needs.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e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(14e)</w:t>
            </w:r>
            <w:r w:rsidRPr="00720ECA">
              <w:rPr>
                <w:b/>
                <w:i/>
              </w:rPr>
              <w:tab/>
              <w:t>In order to support inclusive and sustainable growth across the Union, investments in skills development and employment creation under the European Social Fund Plus (ESF+) and the European Regional Development Fund (ERDF) should promote territorial skilling strategies that are aligned with regional smart specialisation priorities. Support should focus on the development of skills necessary for the green and digital transitions, clean energy, and strategic technologies. Particular attention should be given to quality job creation in regions facing specific structural challenges, including industrial decline, high youth unemployment, demographic shrinkage, youth outmigration, brain drain or workforce shortages. Investments should target both the development of high-level technical and digital skills, and the enhancement of transversal competences such as adaptability, problem solving, and innovation. Such targeted interventions shall contribute to reducing regional disparities and fostering long-term competitiveness and cohesion.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14 f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(14f)</w:t>
            </w:r>
            <w:r w:rsidRPr="00720ECA">
              <w:rPr>
                <w:b/>
                <w:i/>
              </w:rPr>
              <w:tab/>
              <w:t>Cohesion policy must also respond to demographic challenges, including ageing populations, declining birth rates, and migration of skilled labour. Investments should aim to attract and retain talent, improve access to quality education and housing, and strengthen local labour markets through integrated interventions that enhance quality of life and social inclusion. Investment in human capital, adult learning, and lifelong learning must be promoted in close connection with the economic sectors and strategic areas that contribute to convergence and regional competitiveness.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15</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(15)</w:t>
            </w:r>
            <w:r w:rsidRPr="00720ECA">
              <w:tab/>
              <w:t xml:space="preserve">Furthermore, to take account of the time needed to refocus investments in the context of the mid-term review and allow best use of available resources, the deadlines for the eligibility of expenditure as well as decommitment rules should be adjusted for programmes carrying out a reallocation of resources to strategic priorities in the context of the mid-term review exercise. It should also be possible to apply a maximum co-financing rate of up to 100% to </w:t>
            </w:r>
            <w:r w:rsidRPr="00720ECA">
              <w:rPr>
                <w:b/>
                <w:i/>
              </w:rPr>
              <w:t>priorities in</w:t>
            </w:r>
            <w:r w:rsidRPr="00720ECA">
              <w:t xml:space="preserve"> programmes under the Investment for jobs and growth goal covering one or more NUTS2 regions bordering Russia, Belarus or Ukraine, given the adverse impact on those regions of the Russian war of aggression against Ukraine.</w:t>
            </w:r>
          </w:p>
        </w:tc>
        <w:tc>
          <w:tcPr>
            <w:tcW w:w="4876" w:type="dxa"/>
            <w:hideMark/>
          </w:tcPr>
          <w:p w:rsidR="0016379F" w:rsidRPr="00720ECA" w:rsidRDefault="0016379F" w:rsidP="001472C2">
            <w:pPr>
              <w:pStyle w:val="Normal6"/>
              <w:rPr>
                <w:szCs w:val="24"/>
              </w:rPr>
            </w:pPr>
            <w:r w:rsidRPr="00720ECA">
              <w:t>(15)</w:t>
            </w:r>
            <w:r w:rsidRPr="00720ECA">
              <w:tab/>
              <w:t>Furthermore, to take account of the time needed to refocus investments in the context of the mid-term review and allow best use of available resources, the deadlines for the eligibility of expenditure as well as decommitment rules should be adjusted for programmes carrying out a reallocation of resources to strategic priorities in the context of the mid-term review exercise. It should also be possible to apply a maximum co-financing rate of up to 100% to programmes under the Investment for jobs and growth goal covering one or more NUTS2 regions bordering Russia, Belarus or Ukraine, given the adverse impact on those regions of the Russian war of aggression against Ukraine.</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39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Séverine Werbrouck</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16</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rPr>
                <w:color w:val="008000"/>
              </w:rPr>
            </w:pPr>
            <w:r w:rsidRPr="00720ECA">
              <w:t>Text proposed by the Commission</w:t>
            </w:r>
          </w:p>
        </w:tc>
        <w:tc>
          <w:tcPr>
            <w:tcW w:w="4876" w:type="dxa"/>
            <w:hideMark/>
          </w:tcPr>
          <w:p w:rsidR="0016379F" w:rsidRPr="00720ECA" w:rsidRDefault="0016379F" w:rsidP="001472C2">
            <w:pPr>
              <w:pStyle w:val="ColumnHeading"/>
              <w:keepNext/>
              <w:rPr>
                <w:color w:val="008000"/>
              </w:rPr>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(16)</w:t>
            </w:r>
            <w:r w:rsidRPr="00720ECA">
              <w:rPr>
                <w:b/>
                <w:i/>
              </w:rPr>
              <w:tab/>
              <w:t>The mid-term review should also be used to reinforce the crucial role of cities in delivering many Union objectives by giving Member States the possibility to reallocate financial resources from the ERDF to reinforce the European Urban Initiative referred to in Article 12 of Regulation (EU) 2021/1058. In addition, in order to facilitate the uptake of key innovative actions identified under the European Urban Initiative, such actions should benefit from a simplified selection procedure for support under cohesion policy programmes. Member States should also be provided with the possibility to reallocate ERDF resources from their programmes under the Investment for jobs and growth goal to the Interregional Innovation Investment Instrument referred to in Article 13 of Regulation (EU) 2021/1058 to enhance flexibility in the use of resources.</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{FR}</w:t>
      </w:r>
      <w:r w:rsidRPr="00720ECA">
        <w:rPr>
          <w:noProof w:val="0"/>
        </w:rPr>
        <w:t>fr</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17</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(17)</w:t>
            </w:r>
            <w:r w:rsidRPr="00720ECA">
              <w:tab/>
              <w:t xml:space="preserve">In order to simplify delivery and accelerate investments, it is appropriate to make additional targeted changes to the regulatory framework governing the use of the JTF. </w:t>
            </w:r>
            <w:r w:rsidRPr="00720ECA">
              <w:rPr>
                <w:b/>
                <w:i/>
              </w:rPr>
              <w:t>In particular, the possibility for a simplified selection procedure for operations that have been attributed a Seal of Excellence should be extended to the JTF. Furthermore, the limitations for the revision of targets should be removed in order to provide for the necessary flexibility in the context of changing implementation circumstances.</w:t>
            </w:r>
          </w:p>
        </w:tc>
        <w:tc>
          <w:tcPr>
            <w:tcW w:w="4876" w:type="dxa"/>
            <w:hideMark/>
          </w:tcPr>
          <w:p w:rsidR="0016379F" w:rsidRPr="00720ECA" w:rsidRDefault="0016379F" w:rsidP="001472C2">
            <w:pPr>
              <w:pStyle w:val="Normal6"/>
              <w:rPr>
                <w:szCs w:val="24"/>
              </w:rPr>
            </w:pPr>
            <w:r w:rsidRPr="00720ECA">
              <w:t>(17)</w:t>
            </w:r>
            <w:r w:rsidRPr="00720ECA">
              <w:tab/>
              <w:t>In order to simplify delivery and accelerate investments, it is appropriate to make additional targeted changes to the regulatory framework governing the use of the JTF.</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17</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(17)</w:t>
            </w:r>
            <w:r w:rsidRPr="00720ECA">
              <w:tab/>
              <w:t>In order to simplify delivery and accelerate investments, it is appropriate to make additional targeted changes to the regulatory framework governing the use of the JTF. In particular, the possibility for a simplified selection procedure for operations that have been attributed a Seal of Excellence should be extended to the JTF. Furthermore, the limitations for the revision of targets should be removed in order to provide for the necessary flexibility in the context of changing implementation circumstances.</w:t>
            </w:r>
          </w:p>
        </w:tc>
        <w:tc>
          <w:tcPr>
            <w:tcW w:w="4876" w:type="dxa"/>
            <w:hideMark/>
          </w:tcPr>
          <w:p w:rsidR="0016379F" w:rsidRPr="00720ECA" w:rsidRDefault="0016379F" w:rsidP="001472C2">
            <w:pPr>
              <w:pStyle w:val="Normal6"/>
              <w:rPr>
                <w:szCs w:val="24"/>
              </w:rPr>
            </w:pPr>
            <w:r w:rsidRPr="00720ECA">
              <w:t>(17)</w:t>
            </w:r>
            <w:r w:rsidRPr="00720ECA">
              <w:tab/>
              <w:t xml:space="preserve">In order to simplify delivery and accelerate investments, it is appropriate to make additional targeted changes to the regulatory framework governing the use of the JTF. In particular, the possibility for a simplified selection procedure for operations that have been attributed a Seal of Excellence should be extended to the JTF. Furthermore, the limitations for the revision of targets should be removed in order to provide for the necessary flexibility in the context of changing implementation circumstances. </w:t>
            </w:r>
            <w:r w:rsidRPr="00720ECA">
              <w:rPr>
                <w:b/>
                <w:i/>
              </w:rPr>
              <w:t>In applying the new flexibilities introduced by this Regulation, particular attention should be paid to ensuring that Member States with significant regional disparities and those facing budgetary or geopolitical constraints can effectively absorb and deploy the reallocated resources. Support should be designed to preserve cohesion goals while enabling accelerated investment in critical infrastructure and services.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19 a (new)</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(19a)</w:t>
            </w:r>
            <w:r w:rsidRPr="00720ECA">
              <w:rPr>
                <w:b/>
                <w:i/>
              </w:rPr>
              <w:tab/>
              <w:t>Any programme amendment or transfer of amounts that would be carried out should be without prejudice to the application of measures adopted under Regulation (EU) 2020/2092</w:t>
            </w:r>
            <w:r w:rsidRPr="00720ECA">
              <w:rPr>
                <w:b/>
                <w:i/>
                <w:vertAlign w:val="superscript"/>
              </w:rPr>
              <w:t>7a</w:t>
            </w:r>
            <w:r w:rsidRPr="00720ECA">
              <w:t xml:space="preserve"> </w:t>
            </w:r>
            <w:r w:rsidRPr="00720ECA">
              <w:rPr>
                <w:b/>
                <w:i/>
              </w:rPr>
              <w:t>and to the compliance by relevant programmes with enabling conditions under Article 15 of Regulation (EU) 2021/1060. Amounts that are suspended under Regulation (EU) 2020/2092 or withheld on the basis of enabling conditions under Article 15 of Regulation (EU) 2021/1060 should not be affected by amended programmes or transfers. Regulation (EU) 2021/1060 should therefore be amended accordingly.</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__________________</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vertAlign w:val="superscript"/>
              </w:rPr>
              <w:t>7a</w:t>
            </w:r>
            <w:r w:rsidRPr="00720ECA">
              <w:t xml:space="preserve"> </w:t>
            </w:r>
            <w:r w:rsidRPr="00720ECA">
              <w:rPr>
                <w:b/>
                <w:i/>
              </w:rPr>
              <w:t>Regulation (EU, Euratom) 2020/2092 of the European Parliament and of the Council of 16 December 2020 on a general regime of conditionality for the protection of the Union budget (OJ L 433I, 22/12/2020, p. 1–10).</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Recital 20</w:t>
      </w:r>
      <w:r w:rsidRPr="00720ECA">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(20)</w:t>
            </w:r>
            <w:r w:rsidRPr="00720ECA">
              <w:tab/>
              <w:t xml:space="preserve">Given the urgent need to enable crucial investments notably </w:t>
            </w:r>
            <w:r w:rsidRPr="00720ECA">
              <w:rPr>
                <w:b/>
                <w:i/>
              </w:rPr>
              <w:t>in defence capabilities</w:t>
            </w:r>
            <w:r w:rsidRPr="00720ECA">
              <w:t xml:space="preserve"> in the context of pressing geopolitical challenges, this Regulation should enter into force on the day following that of its publication in the Official Journal of the European Union,</w:t>
            </w:r>
          </w:p>
        </w:tc>
        <w:tc>
          <w:tcPr>
            <w:tcW w:w="4876" w:type="dxa"/>
            <w:hideMark/>
          </w:tcPr>
          <w:p w:rsidR="0016379F" w:rsidRPr="00720ECA" w:rsidRDefault="0016379F" w:rsidP="001472C2">
            <w:pPr>
              <w:pStyle w:val="Normal6"/>
              <w:rPr>
                <w:szCs w:val="24"/>
              </w:rPr>
            </w:pPr>
            <w:r w:rsidRPr="00720ECA">
              <w:t>(20)</w:t>
            </w:r>
            <w:r w:rsidRPr="00720ECA">
              <w:tab/>
              <w:t>Given the urgent need to enable crucial investments notably in the context of pressing geopolitical challenges, this Regulation should enter into force on the day following that of its publication in the Official Journal of the European Union,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(vii)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(vii)</w:t>
            </w:r>
            <w:r w:rsidRPr="00720ECA">
              <w:tab/>
              <w:t>enhancing industrial capacities to foster dual use as well as defence capabilities.</w:t>
            </w:r>
            <w:r w:rsidRPr="00720ECA">
              <w:rPr>
                <w:b/>
                <w:i/>
              </w:rPr>
              <w:t>;</w:t>
            </w:r>
          </w:p>
        </w:tc>
        <w:tc>
          <w:tcPr>
            <w:tcW w:w="4876" w:type="dxa"/>
            <w:hideMark/>
          </w:tcPr>
          <w:p w:rsidR="0016379F" w:rsidRPr="00720ECA" w:rsidRDefault="0016379F" w:rsidP="001472C2">
            <w:pPr>
              <w:pStyle w:val="Normal6"/>
              <w:rPr>
                <w:szCs w:val="24"/>
              </w:rPr>
            </w:pPr>
            <w:r w:rsidRPr="00720ECA">
              <w:t>(vii)</w:t>
            </w:r>
            <w:r w:rsidRPr="00720ECA">
              <w:tab/>
              <w:t>enhancing industrial capacities to foster dual use as well as defence capabilities</w:t>
            </w:r>
            <w:r w:rsidRPr="00720ECA">
              <w:rPr>
                <w:b/>
                <w:i/>
              </w:rPr>
              <w:t>, provided that such investments contribute to quality jobs, upskilling of workers, and full compliance with social and labour rights in line with the European Pillar of Social Rights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(a) – point (vii)</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(vii)</w:t>
            </w:r>
            <w:r w:rsidRPr="00720ECA">
              <w:tab/>
              <w:t xml:space="preserve">enhancing industrial capacities to foster dual use </w:t>
            </w:r>
            <w:r w:rsidRPr="00720ECA">
              <w:rPr>
                <w:b/>
                <w:i/>
              </w:rPr>
              <w:t>as well as defence</w:t>
            </w:r>
            <w:r w:rsidRPr="00720ECA">
              <w:t xml:space="preserve"> capabilities</w:t>
            </w:r>
            <w:r w:rsidRPr="00720ECA">
              <w:rPr>
                <w:b/>
                <w:i/>
              </w:rPr>
              <w:t>.</w:t>
            </w:r>
            <w:r w:rsidRPr="00720ECA">
              <w:t>;</w:t>
            </w:r>
          </w:p>
        </w:tc>
        <w:tc>
          <w:tcPr>
            <w:tcW w:w="4876" w:type="dxa"/>
            <w:hideMark/>
          </w:tcPr>
          <w:p w:rsidR="0016379F" w:rsidRPr="00720ECA" w:rsidRDefault="0016379F" w:rsidP="001472C2">
            <w:pPr>
              <w:pStyle w:val="Normal6"/>
              <w:rPr>
                <w:szCs w:val="24"/>
              </w:rPr>
            </w:pPr>
            <w:r w:rsidRPr="00720ECA">
              <w:t>(vii)</w:t>
            </w:r>
            <w:r w:rsidRPr="00720ECA">
              <w:tab/>
              <w:t>enhancing industrial capacities to foster dual use capabilities;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Deleting repurposing of EU funds for defence capabilities, keeping in the dual use</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(a) – point (vii)</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(vii)</w:t>
            </w:r>
            <w:r w:rsidRPr="00720ECA">
              <w:tab/>
              <w:t xml:space="preserve">enhancing industrial capacities to foster dual use </w:t>
            </w:r>
            <w:r w:rsidRPr="00720ECA">
              <w:rPr>
                <w:b/>
                <w:i/>
              </w:rPr>
              <w:t>as well as</w:t>
            </w:r>
            <w:r w:rsidRPr="00720ECA">
              <w:t xml:space="preserve"> defence capabilities.;</w:t>
            </w:r>
          </w:p>
        </w:tc>
        <w:tc>
          <w:tcPr>
            <w:tcW w:w="4876" w:type="dxa"/>
            <w:hideMark/>
          </w:tcPr>
          <w:p w:rsidR="0016379F" w:rsidRPr="00720ECA" w:rsidRDefault="0016379F" w:rsidP="001472C2">
            <w:pPr>
              <w:pStyle w:val="Normal6"/>
              <w:rPr>
                <w:szCs w:val="24"/>
              </w:rPr>
            </w:pPr>
            <w:r w:rsidRPr="00720ECA">
              <w:t>(vii)</w:t>
            </w:r>
            <w:r w:rsidRPr="00720ECA">
              <w:tab/>
              <w:t>enhancing industrial capacities to foster dual use defence capabilities.;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(b) – point (v)</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w:t>
            </w:r>
            <w:r w:rsidRPr="00720ECA">
              <w:tab/>
              <w:t>promoting secure access to water, sustainable water management and water resilience</w:t>
            </w:r>
            <w:r w:rsidRPr="00720ECA">
              <w:rPr>
                <w:b/>
                <w:i/>
              </w:rPr>
              <w:t>;</w:t>
            </w:r>
            <w:r w:rsidRPr="00720ECA">
              <w:t>;</w:t>
            </w:r>
          </w:p>
        </w:tc>
        <w:tc>
          <w:tcPr>
            <w:tcW w:w="4876" w:type="dxa"/>
            <w:hideMark/>
          </w:tcPr>
          <w:p w:rsidR="0016379F" w:rsidRPr="00720ECA" w:rsidRDefault="0016379F" w:rsidP="001472C2">
            <w:pPr>
              <w:pStyle w:val="Normal6"/>
              <w:rPr>
                <w:szCs w:val="24"/>
              </w:rPr>
            </w:pPr>
            <w:r w:rsidRPr="00720ECA">
              <w:t>(v)</w:t>
            </w:r>
            <w:r w:rsidRPr="00720ECA">
              <w:tab/>
              <w:t xml:space="preserve">promoting secure access to water, sustainable </w:t>
            </w:r>
            <w:r w:rsidRPr="00720ECA">
              <w:rPr>
                <w:b/>
                <w:i/>
              </w:rPr>
              <w:t>and integrated</w:t>
            </w:r>
            <w:r w:rsidRPr="00720ECA">
              <w:t xml:space="preserve"> water management and </w:t>
            </w:r>
            <w:r w:rsidRPr="00720ECA">
              <w:rPr>
                <w:b/>
                <w:i/>
              </w:rPr>
              <w:t>enhanced</w:t>
            </w:r>
            <w:r w:rsidRPr="00720ECA">
              <w:t xml:space="preserve"> water resilience</w:t>
            </w:r>
            <w:r w:rsidRPr="00720ECA">
              <w:rPr>
                <w:b/>
                <w:i/>
              </w:rPr>
              <w:t>, including through nature-based solutions and ecological restoration</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(b) – point (xi)</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(xi)</w:t>
            </w:r>
            <w:r w:rsidRPr="00720ECA">
              <w:tab/>
              <w:t>promoting access to affordable housing, and related reforms;</w:t>
            </w:r>
          </w:p>
        </w:tc>
        <w:tc>
          <w:tcPr>
            <w:tcW w:w="4876" w:type="dxa"/>
            <w:hideMark/>
          </w:tcPr>
          <w:p w:rsidR="0016379F" w:rsidRPr="00720ECA" w:rsidRDefault="0016379F" w:rsidP="001472C2">
            <w:pPr>
              <w:pStyle w:val="Normal6"/>
              <w:rPr>
                <w:szCs w:val="24"/>
              </w:rPr>
            </w:pPr>
            <w:r w:rsidRPr="00720ECA">
              <w:t>(xi)</w:t>
            </w:r>
            <w:r w:rsidRPr="00720ECA">
              <w:tab/>
              <w:t>promoting access to affordable</w:t>
            </w:r>
            <w:r w:rsidRPr="00720ECA">
              <w:rPr>
                <w:b/>
                <w:i/>
              </w:rPr>
              <w:t>, sustainable and decent</w:t>
            </w:r>
            <w:r w:rsidRPr="00720ECA">
              <w:t xml:space="preserve"> housing, </w:t>
            </w:r>
            <w:r w:rsidRPr="00720ECA">
              <w:rPr>
                <w:b/>
                <w:i/>
              </w:rPr>
              <w:t>in accordance with Directive (EU) 2024/1275</w:t>
            </w:r>
            <w:r w:rsidRPr="00720ECA">
              <w:t xml:space="preserve"> and related reforms </w:t>
            </w:r>
            <w:r w:rsidRPr="00720ECA">
              <w:rPr>
                <w:b/>
                <w:i/>
              </w:rPr>
              <w:t>such as those set out in the National Building Renovation Plans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aligns language with Commissioner Jorgensens' mission letter and clarifies that these interventions are subject to EPBD and are to be coherent with the national building renovation plans being developed by Member States. The corresponding amendments on recitals and annexes provide guidance for application of this new objective.</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49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Grégory Allione, Brigitte van den Berg,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1 – paragraph 1 – point 1 – point a – point iii</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(xi)</w:t>
            </w:r>
            <w:r w:rsidRPr="00720ECA">
              <w:tab/>
              <w:t>promoting access to affordable housing, and related reforms;</w:t>
            </w:r>
          </w:p>
        </w:tc>
        <w:tc>
          <w:tcPr>
            <w:tcW w:w="4876" w:type="dxa"/>
            <w:hideMark/>
          </w:tcPr>
          <w:p w:rsidR="0016379F" w:rsidRPr="00720ECA" w:rsidRDefault="0016379F" w:rsidP="001472C2">
            <w:pPr>
              <w:pStyle w:val="Normal6"/>
              <w:rPr>
                <w:szCs w:val="24"/>
              </w:rPr>
            </w:pPr>
            <w:r w:rsidRPr="00720ECA">
              <w:t>(xi)</w:t>
            </w:r>
            <w:r w:rsidRPr="00720ECA">
              <w:tab/>
              <w:t xml:space="preserve">promoting access to </w:t>
            </w:r>
            <w:r w:rsidRPr="00720ECA">
              <w:rPr>
                <w:b/>
                <w:i/>
              </w:rPr>
              <w:t>decent,</w:t>
            </w:r>
            <w:r w:rsidRPr="00720ECA">
              <w:t xml:space="preserve"> affordable </w:t>
            </w:r>
            <w:r w:rsidRPr="00720ECA">
              <w:rPr>
                <w:b/>
                <w:i/>
              </w:rPr>
              <w:t>and sustainable</w:t>
            </w:r>
            <w:r w:rsidRPr="00720ECA">
              <w:t xml:space="preserve"> housing, and related reforms;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(b) – point (xii)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(xii)</w:t>
            </w:r>
            <w:r w:rsidRPr="00720ECA">
              <w:tab/>
              <w:t xml:space="preserve">promoting </w:t>
            </w:r>
            <w:r w:rsidRPr="00720ECA">
              <w:rPr>
                <w:b/>
                <w:i/>
              </w:rPr>
              <w:t>energy</w:t>
            </w:r>
            <w:r w:rsidRPr="00720ECA">
              <w:t xml:space="preserve"> interconnectors and related </w:t>
            </w:r>
            <w:r w:rsidRPr="00720ECA">
              <w:rPr>
                <w:b/>
                <w:i/>
              </w:rPr>
              <w:t>transmission</w:t>
            </w:r>
            <w:r w:rsidRPr="00720ECA">
              <w:t xml:space="preserve"> infrastructure, and the deployment of recharging infrastructure.;</w:t>
            </w:r>
          </w:p>
        </w:tc>
        <w:tc>
          <w:tcPr>
            <w:tcW w:w="4876" w:type="dxa"/>
            <w:hideMark/>
          </w:tcPr>
          <w:p w:rsidR="0016379F" w:rsidRPr="00720ECA" w:rsidRDefault="0016379F" w:rsidP="001472C2">
            <w:pPr>
              <w:pStyle w:val="Normal6"/>
              <w:rPr>
                <w:szCs w:val="24"/>
              </w:rPr>
            </w:pPr>
            <w:r w:rsidRPr="00720ECA">
              <w:t>(xii)</w:t>
            </w:r>
            <w:r w:rsidRPr="00720ECA">
              <w:tab/>
              <w:t xml:space="preserve">promoting </w:t>
            </w:r>
            <w:r w:rsidRPr="00720ECA">
              <w:rPr>
                <w:b/>
                <w:i/>
              </w:rPr>
              <w:t>the transmission and distribution of electricity, including</w:t>
            </w:r>
            <w:r w:rsidRPr="00720ECA">
              <w:t xml:space="preserve"> interconnectors</w:t>
            </w:r>
            <w:r w:rsidRPr="00720ECA">
              <w:rPr>
                <w:b/>
                <w:i/>
              </w:rPr>
              <w:t>, microgrids</w:t>
            </w:r>
            <w:r w:rsidRPr="00720ECA">
              <w:t xml:space="preserve"> and related </w:t>
            </w:r>
            <w:r w:rsidRPr="00720ECA">
              <w:rPr>
                <w:b/>
                <w:i/>
              </w:rPr>
              <w:t>supportive</w:t>
            </w:r>
            <w:r w:rsidRPr="00720ECA">
              <w:t xml:space="preserve"> infrastructure </w:t>
            </w:r>
            <w:r w:rsidRPr="00720ECA">
              <w:rPr>
                <w:b/>
                <w:i/>
              </w:rPr>
              <w:t>and systems</w:t>
            </w:r>
            <w:r w:rsidRPr="00720ECA">
              <w:t>, and the deployment of recharging infrastructure.;</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clarifies the scope to cover electricity grids overall including at distribution level which has important impact on regional and local cohesion and energy resilience and affordability .Investments in this areas will improve energy security  and resilience against cyber, physical and hybrid threats and climate adaptation. It will also help citizens and businesses, including energy-intensive one, to access more stable, resilient and affordable energy in a less fragmented internal energy market.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(b) – point (xii)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(xii)</w:t>
            </w:r>
            <w:r w:rsidRPr="00720ECA">
              <w:tab/>
              <w:t>promoting energy interconnectors and related transmission infrastructure, and the deployment of recharging infrastructure.</w:t>
            </w:r>
            <w:r w:rsidRPr="00720ECA">
              <w:rPr>
                <w:b/>
                <w:i/>
              </w:rPr>
              <w:t>;</w:t>
            </w:r>
          </w:p>
        </w:tc>
        <w:tc>
          <w:tcPr>
            <w:tcW w:w="4876" w:type="dxa"/>
            <w:hideMark/>
          </w:tcPr>
          <w:p w:rsidR="0016379F" w:rsidRPr="00720ECA" w:rsidRDefault="0016379F" w:rsidP="001472C2">
            <w:pPr>
              <w:pStyle w:val="Normal6"/>
              <w:rPr>
                <w:szCs w:val="24"/>
              </w:rPr>
            </w:pPr>
            <w:r w:rsidRPr="00720ECA">
              <w:t>(xii)</w:t>
            </w:r>
            <w:r w:rsidRPr="00720ECA">
              <w:tab/>
              <w:t>promoting energy interconnectors and related transmission infrastructure, and the deployment of recharging infrastructure</w:t>
            </w:r>
            <w:r w:rsidRPr="00720ECA">
              <w:rPr>
                <w:b/>
                <w:i/>
              </w:rPr>
              <w:t>, ensuring that such investments contribute to the creation of quality jobs and social inclusion, particularly for people directly or indirectly affected by the transition</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iv</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(c) – point (iii)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(iii)</w:t>
            </w:r>
            <w:r w:rsidRPr="00720ECA">
              <w:tab/>
              <w:t xml:space="preserve">developing resilient </w:t>
            </w:r>
            <w:r w:rsidRPr="00720ECA">
              <w:rPr>
                <w:b/>
                <w:i/>
              </w:rPr>
              <w:t>defence or</w:t>
            </w:r>
            <w:r w:rsidRPr="00720ECA">
              <w:t xml:space="preserve"> dual use infrastructure to foster military mobility in the Union.;</w:t>
            </w:r>
          </w:p>
        </w:tc>
        <w:tc>
          <w:tcPr>
            <w:tcW w:w="4876" w:type="dxa"/>
            <w:hideMark/>
          </w:tcPr>
          <w:p w:rsidR="0016379F" w:rsidRPr="00720ECA" w:rsidRDefault="0016379F" w:rsidP="001472C2">
            <w:pPr>
              <w:pStyle w:val="Normal6"/>
              <w:rPr>
                <w:szCs w:val="24"/>
              </w:rPr>
            </w:pPr>
            <w:r w:rsidRPr="00720ECA">
              <w:t>(iii)</w:t>
            </w:r>
            <w:r w:rsidRPr="00720ECA">
              <w:tab/>
              <w:t xml:space="preserve">developing resilient dual use infrastructure to foster </w:t>
            </w:r>
            <w:r w:rsidRPr="00720ECA">
              <w:rPr>
                <w:b/>
                <w:i/>
              </w:rPr>
              <w:t>civil and</w:t>
            </w:r>
            <w:r w:rsidRPr="00720ECA">
              <w:t xml:space="preserve"> military mobility in the Union.;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iv</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(c) – point (iii)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(iii)</w:t>
            </w:r>
            <w:r w:rsidRPr="00720ECA">
              <w:tab/>
              <w:t xml:space="preserve">developing resilient </w:t>
            </w:r>
            <w:r w:rsidRPr="00720ECA">
              <w:rPr>
                <w:b/>
                <w:i/>
              </w:rPr>
              <w:t>defence or</w:t>
            </w:r>
            <w:r w:rsidRPr="00720ECA">
              <w:t xml:space="preserve"> dual use infrastructure to foster military mobility in the Union.;</w:t>
            </w:r>
          </w:p>
        </w:tc>
        <w:tc>
          <w:tcPr>
            <w:tcW w:w="4876" w:type="dxa"/>
            <w:hideMark/>
          </w:tcPr>
          <w:p w:rsidR="0016379F" w:rsidRPr="00720ECA" w:rsidRDefault="0016379F" w:rsidP="001472C2">
            <w:pPr>
              <w:pStyle w:val="Normal6"/>
              <w:rPr>
                <w:szCs w:val="24"/>
              </w:rPr>
            </w:pPr>
            <w:r w:rsidRPr="00720ECA">
              <w:t>(iii)</w:t>
            </w:r>
            <w:r w:rsidRPr="00720ECA">
              <w:tab/>
              <w:t>developing resilient dual use infrastructure to foster military mobility in the Union.;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iv</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(c) – point (iii)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(iii)</w:t>
            </w:r>
            <w:r w:rsidRPr="00720ECA">
              <w:tab/>
              <w:t xml:space="preserve">developing resilient defence or </w:t>
            </w:r>
            <w:r w:rsidRPr="00720ECA">
              <w:rPr>
                <w:b/>
                <w:i/>
              </w:rPr>
              <w:t>dual use</w:t>
            </w:r>
            <w:r w:rsidRPr="00720ECA">
              <w:t xml:space="preserve"> infrastructure to foster military mobility in the Union</w:t>
            </w:r>
            <w:r w:rsidRPr="00720ECA">
              <w:rPr>
                <w:b/>
                <w:i/>
              </w:rPr>
              <w:t>.</w:t>
            </w:r>
            <w:r w:rsidRPr="00720ECA">
              <w:t>;</w:t>
            </w:r>
          </w:p>
        </w:tc>
        <w:tc>
          <w:tcPr>
            <w:tcW w:w="4876" w:type="dxa"/>
            <w:hideMark/>
          </w:tcPr>
          <w:p w:rsidR="0016379F" w:rsidRPr="00720ECA" w:rsidRDefault="0016379F" w:rsidP="001472C2">
            <w:pPr>
              <w:pStyle w:val="Normal6"/>
              <w:rPr>
                <w:szCs w:val="24"/>
              </w:rPr>
            </w:pPr>
            <w:r w:rsidRPr="00720ECA">
              <w:t>(iii)</w:t>
            </w:r>
            <w:r w:rsidRPr="00720ECA">
              <w:tab/>
              <w:t xml:space="preserve">developing resilient defence or </w:t>
            </w:r>
            <w:r w:rsidRPr="00720ECA">
              <w:rPr>
                <w:b/>
                <w:i/>
              </w:rPr>
              <w:t>dual-use</w:t>
            </w:r>
            <w:r w:rsidRPr="00720ECA">
              <w:t xml:space="preserve"> infrastructure</w:t>
            </w:r>
            <w:r w:rsidRPr="00720ECA">
              <w:rPr>
                <w:b/>
                <w:i/>
              </w:rPr>
              <w:t>, including</w:t>
            </w:r>
            <w:r w:rsidRPr="00720ECA">
              <w:t xml:space="preserve"> to foster military mobility in the Union</w:t>
            </w:r>
            <w:r w:rsidRPr="00720ECA">
              <w:rPr>
                <w:b/>
                <w:i/>
              </w:rPr>
              <w:t>, while ensuring that such investments contribute to quality job creation, relevant to sector skills development, and fair labour conditions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v</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–point (d) – point (vii)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(vii)</w:t>
            </w:r>
            <w:r w:rsidRPr="00720ECA">
              <w:tab/>
              <w:t>promoting access to affordable housing, and related reforms</w:t>
            </w:r>
            <w:r w:rsidRPr="00720ECA">
              <w:rPr>
                <w:b/>
                <w:i/>
              </w:rPr>
              <w:t>.</w:t>
            </w:r>
            <w:r w:rsidRPr="00720ECA">
              <w:t>;</w:t>
            </w:r>
          </w:p>
        </w:tc>
        <w:tc>
          <w:tcPr>
            <w:tcW w:w="4876" w:type="dxa"/>
            <w:hideMark/>
          </w:tcPr>
          <w:p w:rsidR="0016379F" w:rsidRPr="00720ECA" w:rsidRDefault="0016379F" w:rsidP="001472C2">
            <w:pPr>
              <w:pStyle w:val="Normal6"/>
              <w:rPr>
                <w:szCs w:val="24"/>
              </w:rPr>
            </w:pPr>
            <w:r w:rsidRPr="00720ECA">
              <w:t>(vii)</w:t>
            </w:r>
            <w:r w:rsidRPr="00720ECA">
              <w:tab/>
              <w:t>promoting access to affordable</w:t>
            </w:r>
            <w:r w:rsidRPr="00720ECA">
              <w:rPr>
                <w:b/>
                <w:i/>
              </w:rPr>
              <w:t>, sustainable and decent</w:t>
            </w:r>
            <w:r w:rsidRPr="00720ECA">
              <w:t xml:space="preserve"> housing, </w:t>
            </w:r>
            <w:r w:rsidRPr="00720ECA">
              <w:rPr>
                <w:b/>
                <w:i/>
              </w:rPr>
              <w:t>in accordance with Directive (EU) 2024/1275</w:t>
            </w:r>
            <w:r w:rsidRPr="00720ECA">
              <w:t xml:space="preserve"> and related reforms</w:t>
            </w:r>
            <w:r w:rsidRPr="00720ECA">
              <w:rPr>
                <w:b/>
                <w:i/>
              </w:rPr>
              <w:t>, such as those set out in the National Building Renovation Plans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v</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–point (d) – point (vii)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(vii)</w:t>
            </w:r>
            <w:r w:rsidRPr="00720ECA">
              <w:tab/>
              <w:t>promoting access to affordable housing, and related reforms</w:t>
            </w:r>
            <w:r w:rsidRPr="00720ECA">
              <w:rPr>
                <w:b/>
                <w:i/>
              </w:rPr>
              <w:t>.</w:t>
            </w:r>
            <w:r w:rsidRPr="00720ECA">
              <w:t>;</w:t>
            </w:r>
          </w:p>
        </w:tc>
        <w:tc>
          <w:tcPr>
            <w:tcW w:w="4876" w:type="dxa"/>
            <w:hideMark/>
          </w:tcPr>
          <w:p w:rsidR="0016379F" w:rsidRPr="00720ECA" w:rsidRDefault="0016379F" w:rsidP="001472C2">
            <w:pPr>
              <w:pStyle w:val="Normal6"/>
              <w:rPr>
                <w:szCs w:val="24"/>
              </w:rPr>
            </w:pPr>
            <w:r w:rsidRPr="00720ECA">
              <w:t>(vii)</w:t>
            </w:r>
            <w:r w:rsidRPr="00720ECA">
              <w:tab/>
              <w:t xml:space="preserve">promoting access to </w:t>
            </w:r>
            <w:r w:rsidRPr="00720ECA">
              <w:rPr>
                <w:b/>
                <w:i/>
              </w:rPr>
              <w:t>decent,</w:t>
            </w:r>
            <w:r w:rsidRPr="00720ECA">
              <w:t xml:space="preserve"> affordable </w:t>
            </w:r>
            <w:r w:rsidRPr="00720ECA">
              <w:rPr>
                <w:b/>
                <w:i/>
              </w:rPr>
              <w:t>and sustainable</w:t>
            </w:r>
            <w:r w:rsidRPr="00720ECA">
              <w:t xml:space="preserve"> housing, and related reforms;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vi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point (e) – subparagraph 1 – point (iii)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(iii)</w:t>
            </w:r>
            <w:r w:rsidRPr="00720ECA">
              <w:tab/>
              <w:t>fostering integrated territorial development, through access to affordable housing, and the development of related reforms in all types of territories</w:t>
            </w:r>
            <w:r w:rsidRPr="00720ECA">
              <w:rPr>
                <w:b/>
                <w:i/>
              </w:rPr>
              <w:t>.</w:t>
            </w:r>
            <w:r w:rsidRPr="00720ECA">
              <w:t>;</w:t>
            </w:r>
          </w:p>
        </w:tc>
        <w:tc>
          <w:tcPr>
            <w:tcW w:w="4876" w:type="dxa"/>
            <w:hideMark/>
          </w:tcPr>
          <w:p w:rsidR="0016379F" w:rsidRPr="00720ECA" w:rsidRDefault="0016379F" w:rsidP="001472C2">
            <w:pPr>
              <w:pStyle w:val="Normal6"/>
              <w:rPr>
                <w:szCs w:val="24"/>
              </w:rPr>
            </w:pPr>
            <w:r w:rsidRPr="00720ECA">
              <w:t>(iii)</w:t>
            </w:r>
            <w:r w:rsidRPr="00720ECA">
              <w:tab/>
              <w:t xml:space="preserve">fostering integrated territorial development, through access to </w:t>
            </w:r>
            <w:r w:rsidRPr="00720ECA">
              <w:rPr>
                <w:b/>
                <w:i/>
              </w:rPr>
              <w:t>decent,</w:t>
            </w:r>
            <w:r w:rsidRPr="00720ECA">
              <w:t xml:space="preserve"> affordable </w:t>
            </w:r>
            <w:r w:rsidRPr="00720ECA">
              <w:rPr>
                <w:b/>
                <w:i/>
              </w:rPr>
              <w:t>and sustainable</w:t>
            </w:r>
            <w:r w:rsidRPr="00720ECA">
              <w:t xml:space="preserve"> housing, and the development of related reforms in all types of territories</w:t>
            </w:r>
            <w:r w:rsidRPr="00720ECA">
              <w:rPr>
                <w:b/>
                <w:i/>
              </w:rPr>
              <w:t>, ensuring that such measures support social inclusion, quality job creation in the construction and renovation sectors, and reduce inequalities between regions and social groups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a – point vii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 – new subparagraph</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Operations supported under the specific objective set out in point (c)(iii) shall </w:t>
            </w:r>
            <w:r w:rsidRPr="00720ECA">
              <w:rPr>
                <w:b/>
                <w:i/>
              </w:rPr>
              <w:t>primarily</w:t>
            </w:r>
            <w:r w:rsidRPr="00720ECA">
              <w:t xml:space="preserve"> focus</w:t>
            </w:r>
            <w:r w:rsidRPr="00720ECA">
              <w:rPr>
                <w:b/>
                <w:i/>
              </w:rPr>
              <w:t>, where relevant</w:t>
            </w:r>
            <w:r w:rsidRPr="00720ECA">
              <w:t>, on one or more of the four EU Priority Military Mobility Corridors identified by Member States in Annex II to the Military Requirements for Military Mobility within and beyond the EU as adopted by the Council on [18 March 2025 and with reference ST 6728/25 ADD1]. Operations supported which are part of those Corridors shall comply with the infrastructure requirements laid down in implementing acts based on Article 12(2) of Regulation (EU) 2021/1153.;</w:t>
            </w:r>
          </w:p>
        </w:tc>
        <w:tc>
          <w:tcPr>
            <w:tcW w:w="4876" w:type="dxa"/>
            <w:hideMark/>
          </w:tcPr>
          <w:p w:rsidR="0016379F" w:rsidRPr="00720ECA" w:rsidRDefault="0016379F" w:rsidP="001472C2">
            <w:pPr>
              <w:pStyle w:val="Normal6"/>
              <w:rPr>
                <w:szCs w:val="24"/>
              </w:rPr>
            </w:pPr>
            <w:r w:rsidRPr="00720ECA">
              <w:t>Operations supported under the specific objective set out in point (c)(iii) shall focus, on one or more of the four EU Priority Military Mobility Corridors identified by Member States in Annex II to the Military Requirements for Military Mobility within and beyond the EU as adopted by the Council on [18 March 2025 and with reference ST 6728/25 ADD1]. Operations supported which are part of those Corridors shall comply with the infrastructure requirements laid down in implementing acts based on Article 12(2) of Regulation (EU) 2021/1153.;</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Restricting the potential use of this specific objective to the 4 priority MM corridors.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59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b – introductory part</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1a</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(b)</w:t>
            </w:r>
            <w:r w:rsidRPr="00720ECA">
              <w:tab/>
              <w:t xml:space="preserve">in paragraph 1a, the </w:t>
            </w:r>
            <w:r w:rsidRPr="00720ECA">
              <w:rPr>
                <w:b/>
                <w:i/>
              </w:rPr>
              <w:t>first and</w:t>
            </w:r>
            <w:r w:rsidRPr="00720ECA">
              <w:t xml:space="preserve"> second </w:t>
            </w:r>
            <w:r w:rsidRPr="00720ECA">
              <w:rPr>
                <w:b/>
                <w:i/>
              </w:rPr>
              <w:t>subparagraphs are</w:t>
            </w:r>
            <w:r w:rsidRPr="00720ECA">
              <w:t xml:space="preserve"> replaced by the following:</w:t>
            </w:r>
          </w:p>
        </w:tc>
        <w:tc>
          <w:tcPr>
            <w:tcW w:w="4876" w:type="dxa"/>
            <w:hideMark/>
          </w:tcPr>
          <w:p w:rsidR="0016379F" w:rsidRPr="00720ECA" w:rsidRDefault="0016379F" w:rsidP="001472C2">
            <w:pPr>
              <w:pStyle w:val="Normal6"/>
              <w:rPr>
                <w:szCs w:val="24"/>
              </w:rPr>
            </w:pPr>
            <w:r w:rsidRPr="00720ECA">
              <w:t>(b)</w:t>
            </w:r>
            <w:r w:rsidRPr="00720ECA">
              <w:tab/>
              <w:t xml:space="preserve">in paragraph 1a, the second </w:t>
            </w:r>
            <w:r w:rsidRPr="00720ECA">
              <w:rPr>
                <w:b/>
                <w:i/>
              </w:rPr>
              <w:t>subparagraph is</w:t>
            </w:r>
            <w:r w:rsidRPr="00720ECA">
              <w:t xml:space="preserve"> replaced by the following:</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reinstates the 20% threshold of the initial ERDF national allocation towards STEP</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1a – subparagraph 3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When adopting the decision approving the programme amendment, the Commission shall ensure that representative national social partners as well as CSOs are consulted, as well as an obligation to respect working and employment conditions under applicable Union and national law, ILO conventions and collective agreements.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1c (new) – subparagraph 1</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The resources under the specific objectives referred to in paragraph 1, points (a)(vii), (b)(v), (b)(xi), (b)(xii), (c)(iii), (d)(vii) and (e)(iii), shall be programmed under dedicated priorities corresponding to the respective policy objective.</w:t>
            </w:r>
          </w:p>
        </w:tc>
        <w:tc>
          <w:tcPr>
            <w:tcW w:w="4876" w:type="dxa"/>
            <w:hideMark/>
          </w:tcPr>
          <w:p w:rsidR="0016379F" w:rsidRPr="00720ECA" w:rsidRDefault="0016379F" w:rsidP="001472C2">
            <w:pPr>
              <w:pStyle w:val="Normal6"/>
              <w:rPr>
                <w:szCs w:val="24"/>
              </w:rPr>
            </w:pPr>
            <w:r w:rsidRPr="00720ECA">
              <w:t>The resources under the specific objectives referred to in paragraph 1, points (a)(vii), (b)(v), (b)(xi), (b)(xii), (c)(iii), (d)(vii) and (e)(iii), shall be programmed under dedicated priorities corresponding to the respective policy objective.</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The resources under the specific objectives referred to in paragraph 1, points (a)(vii) and (c)(iii), shall be limited to a combined maximum of 5% of the initial national allocation of the ERDF and the Cohesion Fund.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introduces a 5% threshold on the specific objectives related to defence, 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1c (new) – subparagraph 2</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The Commission shall pay 30% of the allocation to </w:t>
            </w:r>
            <w:r w:rsidRPr="00720ECA">
              <w:rPr>
                <w:b/>
                <w:i/>
              </w:rPr>
              <w:t>those priorities</w:t>
            </w:r>
            <w:r w:rsidRPr="00720ECA">
              <w:t xml:space="preserve"> as set out in the decision approving the programme amendment as exceptional one-off pre-financing in addition to the yearly pre-financing for the programme provided for in Article 90(1) and (2) of Regulation (EU) 2021/1060. That exceptional pre-financing shall be paid provided that the programme amendment is submitted to the Commission by 31 December 2025. It shall be paid within 60 days of the adoption of the Commission decision approving the programme amendment.</w:t>
            </w:r>
          </w:p>
        </w:tc>
        <w:tc>
          <w:tcPr>
            <w:tcW w:w="4876" w:type="dxa"/>
            <w:hideMark/>
          </w:tcPr>
          <w:p w:rsidR="0016379F" w:rsidRPr="00720ECA" w:rsidRDefault="0016379F" w:rsidP="001472C2">
            <w:pPr>
              <w:pStyle w:val="Normal6"/>
              <w:rPr>
                <w:szCs w:val="24"/>
              </w:rPr>
            </w:pPr>
            <w:r w:rsidRPr="00720ECA">
              <w:t xml:space="preserve">The Commission shall pay 30% of the allocation to </w:t>
            </w:r>
            <w:r w:rsidRPr="00720ECA">
              <w:rPr>
                <w:b/>
                <w:i/>
              </w:rPr>
              <w:t>the specific objectives referred to in paragraph 1, points (b)(v), (b)(xi), (b)(xii), (d)(vii) and (e)(iii),</w:t>
            </w:r>
            <w:r w:rsidRPr="00720ECA">
              <w:t xml:space="preserve"> as set out in the decision approving the programme amendment as exceptional one-off pre-financing in addition to the yearly pre-financing for the programme provided for in Article 90(1) and (2) of Regulation (EU) 2021/1060. That exceptional pre-financing shall be paid provided that the programme amendment is submitted to the Commission by 31 December 2025. It shall be paid within 60 days of the adoption of the Commission decision approving the programme amendment.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The amendment keeps 30% pre-financing for all the new priorities, with the exception of the ones related to defense/dual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1c (new) – subparagraph 7</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By way of derogation from Article 112 of Regulation (EU) 2021/1060, the maximum co-financing rate for dedicated priorities established to support the specific objectives referred to in paragraph 1, points </w:t>
            </w:r>
            <w:r w:rsidRPr="00720ECA">
              <w:rPr>
                <w:b/>
                <w:i/>
              </w:rPr>
              <w:t>(a)(vii)</w:t>
            </w:r>
            <w:r w:rsidRPr="00720ECA">
              <w:t>, (b)(v), (b)(xi), (b) (xii</w:t>
            </w:r>
            <w:r w:rsidRPr="00720ECA">
              <w:rPr>
                <w:b/>
                <w:i/>
              </w:rPr>
              <w:t>), (c)(iii</w:t>
            </w:r>
            <w:r w:rsidRPr="00720ECA">
              <w:t>), (d)(vii) and (e)(iii), of this Article shall be 100%.;</w:t>
            </w:r>
          </w:p>
        </w:tc>
        <w:tc>
          <w:tcPr>
            <w:tcW w:w="4876" w:type="dxa"/>
            <w:hideMark/>
          </w:tcPr>
          <w:p w:rsidR="0016379F" w:rsidRPr="00720ECA" w:rsidRDefault="0016379F" w:rsidP="001472C2">
            <w:pPr>
              <w:pStyle w:val="Normal6"/>
              <w:rPr>
                <w:szCs w:val="24"/>
              </w:rPr>
            </w:pPr>
            <w:r w:rsidRPr="00720ECA">
              <w:t>By way of derogation from Article 112 of Regulation (EU) 2021/1060, the maximum co-financing rate for dedicated priorities established to support the specific objectives referred to in paragraph 1, points, (b)(v), (b)(xi), (b) (xii), (d)(vii) and (e)(iii), of this Article shall be 100%.;</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The amendment keeps 100% maximum financing rates for all the new priorities, with the exception of the ones related to defense/dual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subparagraph 1c (new) subparagraph 7a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1ca.</w:t>
            </w:r>
            <w:r w:rsidRPr="00720ECA">
              <w:rPr>
                <w:b/>
                <w:i/>
              </w:rPr>
              <w:tab/>
              <w:t>For any of the priorities listed in Article 3 paragraph 1, Member State shall organise and implement a comprehensive partnership and consultation in accordance with its institutional and legal framework with full respect of Article 8 of Regulation (EU) 2021/1060</w:t>
            </w:r>
            <w:r w:rsidRPr="00720ECA">
              <w:rPr>
                <w:b/>
                <w:i/>
                <w:vertAlign w:val="superscript"/>
              </w:rPr>
              <w:t>7b</w:t>
            </w:r>
            <w:r w:rsidRPr="00720ECA">
              <w:rPr>
                <w:b/>
                <w:i/>
              </w:rPr>
              <w: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__________________</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vertAlign w:val="superscript"/>
              </w:rPr>
              <w:t>7b</w:t>
            </w:r>
            <w:r w:rsidRPr="00720ECA">
              <w:t xml:space="preserve"> </w:t>
            </w:r>
            <w:r w:rsidRPr="00720ECA">
              <w:rPr>
                <w:b/>
                <w:i/>
              </w:rPr>
              <w:t xml:space="preserve">Regulation (EU) 2021/1060 of the European Parliament and of the Council of 24 June 2021 laying down common provisions on the European Regional Development Fund, the European Social Fund Plus, the Cohesion Fund, the Just Transition Fund and the European Maritime, Fisheries and Aquaculture Fund and financial rules for those and for the Asylum, Migration and Integration Fund, the Internal Security Fund and the Instrument for Financial Support for Border Management and Visa Policy (OJ L 231, 30/06/2021, p. 159–706). </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subparagraph 1c (new) – subparagraph 7b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1cb.</w:t>
            </w:r>
            <w:r w:rsidRPr="00720ECA">
              <w:rPr>
                <w:b/>
                <w:i/>
              </w:rPr>
              <w:tab/>
              <w:t>Every project selected under the priorities listed in Article 3 paragraph 1 shall be in accordance to the horizontal principles and enabling conditions set out in Articles 9 and 15 of Regulation (EU) 2021/1060.</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c</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subparagraph 1c (new) – subparagraph 7c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1cc.</w:t>
            </w:r>
            <w:r w:rsidRPr="00720ECA">
              <w:rPr>
                <w:b/>
                <w:i/>
              </w:rPr>
              <w:tab/>
              <w:t>The resources under the specific objectives referred to in paragraph 1, points (a)(vii) and (c)(iii), shall be limited to a combined maximum of 5% of the initial national allocation of the ERDF and the Cohesion Fund.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introduces  a 5% threshold on the specific objectives related to defense, 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e</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4 – subparagraph 1 – point (d)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(d)</w:t>
            </w:r>
            <w:r w:rsidRPr="00720ECA">
              <w:tab/>
              <w:t>contribute to the implementation of reforms</w:t>
            </w:r>
            <w:r w:rsidRPr="00720ECA">
              <w:rPr>
                <w:b/>
                <w:i/>
              </w:rPr>
              <w:t>..</w:t>
            </w:r>
          </w:p>
        </w:tc>
        <w:tc>
          <w:tcPr>
            <w:tcW w:w="4876" w:type="dxa"/>
            <w:hideMark/>
          </w:tcPr>
          <w:p w:rsidR="0016379F" w:rsidRPr="00720ECA" w:rsidRDefault="0016379F" w:rsidP="001472C2">
            <w:pPr>
              <w:pStyle w:val="Normal6"/>
              <w:rPr>
                <w:szCs w:val="24"/>
              </w:rPr>
            </w:pPr>
            <w:r w:rsidRPr="00720ECA">
              <w:t>(d)</w:t>
            </w:r>
            <w:r w:rsidRPr="00720ECA">
              <w:tab/>
              <w:t>contribute to the implementation of reforms</w:t>
            </w:r>
            <w:r w:rsidRPr="00720ECA">
              <w:rPr>
                <w:b/>
                <w:i/>
              </w:rPr>
              <w:t>, in particular those that promote quality employment, fair working conditions and social inclusion.</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1 – point e</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3 – paragraph 4 – subparagraph 1 – point (d a)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(da)</w:t>
            </w:r>
            <w:r w:rsidRPr="00720ECA">
              <w:rPr>
                <w:b/>
                <w:i/>
              </w:rPr>
              <w:tab/>
              <w:t>for the purposes of support under the ERDF and CF, ‘reforms’ shall be clearly defined as structural or institutional changes undertaken by Member States with the objective of improving governance, administrative capacity, regulatory frameworks, or policy effectiveness in line with the specific objectives set out in the relevant programme.</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69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2</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4 – paragraph 10</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10.</w:t>
            </w:r>
            <w:r w:rsidRPr="00720ECA">
              <w:tab/>
              <w:t>The thematic concentration requirements set out in paragraph 6 of this Article shall be complied with throughout the entire programming period, including when ERDF allocations are transferred between priorities of a programme or between programmes and at the mid-term review in accordance with Article 18 of Regulation (EU) 2021/1060. Where a Member State submits a request for an amendment of a programme in accordance with Article 24 of Regulation (EU) 2021/1060, amounts programmed for the specific objectives referred to in paragraph 1, points (a)(vi) and (b)(ix), of this Article, as well as for the specific objectives referred to in paragraph 1, points (a)(vii), (b)(v), (b)(xi), (b)(xii), (c)(iii), (d)(vii) and (e)(iii), of this Article, may be counted towards either the amounts required for PO 1 or PO 2 or divided between the two</w:t>
            </w:r>
            <w:r w:rsidRPr="00720ECA">
              <w:rPr>
                <w:b/>
                <w:i/>
              </w:rPr>
              <w:t>.</w:t>
            </w:r>
            <w:r w:rsidRPr="00720ECA">
              <w:t>.</w:t>
            </w:r>
          </w:p>
        </w:tc>
        <w:tc>
          <w:tcPr>
            <w:tcW w:w="4876" w:type="dxa"/>
            <w:hideMark/>
          </w:tcPr>
          <w:p w:rsidR="0016379F" w:rsidRPr="00720ECA" w:rsidRDefault="0016379F" w:rsidP="001472C2">
            <w:pPr>
              <w:pStyle w:val="Normal6"/>
              <w:rPr>
                <w:szCs w:val="24"/>
              </w:rPr>
            </w:pPr>
            <w:r w:rsidRPr="00720ECA">
              <w:t>10.</w:t>
            </w:r>
            <w:r w:rsidRPr="00720ECA">
              <w:tab/>
              <w:t>The thematic concentration requirements set out in paragraph 6 of this Article shall be complied with throughout the entire programming period, including when ERDF allocations are transferred between priorities of a programme or between programmes and at the mid-term review in accordance with Article 18 of Regulation (EU) 2021/1060. Where a Member State submits a request for an amendment of a programme in accordance with Article 24 of Regulation (EU) 2021/1060, amounts programmed for the specific objectives referred to in paragraph 1, points (a)(vi) and (b)(ix), of this Article, as well as for the specific objectives referred to in paragraph 1, points (a)(vii), (b)(v), (b)(xi), (b)(xii), (c)(iii), (d)(vii) and (e)(iii), of this Article, may be counted towards either the amounts required for PO 1 or PO 2 or divided between the two</w:t>
            </w:r>
            <w:r w:rsidRPr="00720ECA">
              <w:rPr>
                <w:b/>
                <w:i/>
              </w:rPr>
              <w:t>, limited to the shares that demonstrably contribute to climate mitigation or adaptation, as verified by the managing authority in accordance with the Climate Tracking Methodology under Regulation (EU) 2021/1060 and the objectives defined in Article 3 of this Regulation, while avoiding double counting in case of combination of several funding streams</w:t>
            </w:r>
            <w:r w:rsidRPr="00720ECA">
              <w: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Contribution of the new specific objectives to PO1 and PO2, under the condition that the relevant projects actually contribute to climate mitigation and adaptation (with the exclusion of defense, 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3 – point a – point i</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5 – paragraph 1 – subparagraph 1</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(i)</w:t>
            </w:r>
            <w:r w:rsidRPr="00720ECA">
              <w:rPr>
                <w:b/>
                <w:i/>
              </w:rPr>
              <w:tab/>
              <w:t>the first subparagraph is amended as follows:</w:t>
            </w:r>
          </w:p>
        </w:tc>
        <w:tc>
          <w:tcPr>
            <w:tcW w:w="4876" w:type="dxa"/>
            <w:hideMark/>
          </w:tcPr>
          <w:p w:rsidR="0016379F" w:rsidRPr="00720ECA" w:rsidRDefault="0016379F" w:rsidP="001472C2">
            <w:pPr>
              <w:pStyle w:val="Normal6"/>
              <w:rPr>
                <w:szCs w:val="24"/>
              </w:rPr>
            </w:pPr>
            <w:r w:rsidRPr="00720ECA">
              <w:rPr>
                <w:b/>
                <w:i/>
              </w:rPr>
              <w:t>deleted</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(1)</w:t>
            </w:r>
            <w:r w:rsidRPr="00720ECA">
              <w:rPr>
                <w:b/>
                <w:i/>
              </w:rPr>
              <w:tab/>
              <w:t>point (e) is replaced by the following:</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(e)</w:t>
            </w:r>
            <w:r w:rsidRPr="00720ECA">
              <w:rPr>
                <w:b/>
                <w:i/>
              </w:rPr>
              <w:tab/>
              <w:t>when they contribute to the specific objectives under PO 1 set out in Article 3(1), points (a)(vi) and (a)(vii), of this Regulation, or to the specific objective under PO 2 set out in Article 3(1), point (b)(ix), of this Regulation;;</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(2)</w:t>
            </w:r>
            <w:r w:rsidRPr="00720ECA">
              <w:rPr>
                <w:b/>
                <w:i/>
              </w:rPr>
              <w:tab/>
              <w:t>the following point (f) is added:</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(f)</w:t>
            </w:r>
            <w:r w:rsidRPr="00720ECA">
              <w:rPr>
                <w:b/>
                <w:i/>
              </w:rPr>
              <w:tab/>
              <w:t>when they contribute to an Important Project of Common European Interest as approved by the Commission pursuant to Article 107(3), point (b), of the Treaty on the Functioning of the European Union (TFEU) and to Communication C(2021) 8481, while preserving a focus on SMEs;;</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(3)</w:t>
            </w:r>
            <w:r w:rsidRPr="00720ECA">
              <w:rPr>
                <w:b/>
                <w:i/>
              </w:rPr>
              <w:tab/>
              <w:t>the following point (g) is added:</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(g)</w:t>
            </w:r>
            <w:r w:rsidRPr="00720ECA">
              <w:rPr>
                <w:b/>
                <w:i/>
              </w:rPr>
              <w:tab/>
              <w:t>where they facilitate industrial adjustment linked to the decarbonisation of production processes and products.’;</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The European Commission proposes to further broaden the scope of support from the ERDF, which until now allows funding to large enterprises in very specific and limited cases. This amendment thus deletes the new provision that would completely shift the focus of Cohesion Policy from SMEs to large enterprises.</w:t>
      </w:r>
    </w:p>
    <w:p w:rsidR="0016379F" w:rsidRPr="00720ECA" w:rsidRDefault="0016379F" w:rsidP="0016379F">
      <w:pPr>
        <w:pStyle w:val="Normal12Italic"/>
        <w:rPr>
          <w:noProof w:val="0"/>
          <w:lang w:val="en-GB"/>
        </w:rPr>
      </w:pPr>
    </w:p>
    <w:p w:rsidR="0016379F" w:rsidRPr="00720ECA" w:rsidRDefault="0016379F" w:rsidP="0016379F">
      <w:pPr>
        <w:rPr>
          <w:rStyle w:val="HideTWBExt"/>
          <w:noProof w:val="0"/>
        </w:rPr>
      </w:pPr>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71</w:t>
      </w:r>
      <w:r w:rsidRPr="00720ECA">
        <w:rPr>
          <w:rStyle w:val="HideTWBExt"/>
          <w:b w:val="0"/>
          <w:noProof w:val="0"/>
        </w:rPr>
        <w:t>&lt;/NumAm&gt;</w:t>
      </w:r>
    </w:p>
    <w:p w:rsidR="0016379F" w:rsidRPr="00720ECA" w:rsidRDefault="0016379F" w:rsidP="0016379F">
      <w:pPr>
        <w:pStyle w:val="NormalBold12b"/>
        <w:keepNext/>
        <w:spacing w:before="0"/>
      </w:pPr>
      <w:r w:rsidRPr="00720ECA">
        <w:rPr>
          <w:rStyle w:val="HideTWBExt"/>
          <w:b w:val="0"/>
          <w:noProof w:val="0"/>
        </w:rPr>
        <w:t>&lt;RepeatBlock-By&gt;&lt;Members&gt;</w:t>
      </w:r>
      <w:r w:rsidRPr="00720ECA">
        <w:t>Benedetta Scuderi, Cristina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spacing w:before="0"/>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keepNext/>
      </w:pPr>
      <w:r w:rsidRPr="00720ECA">
        <w:rPr>
          <w:rStyle w:val="HideTWBExt"/>
          <w:noProof w:val="0"/>
        </w:rPr>
        <w:t>&lt;Article&gt;</w:t>
      </w:r>
      <w:r w:rsidRPr="00720ECA">
        <w:rPr>
          <w:b/>
        </w:rPr>
        <w:t>Article 1 – paragraph 5</w:t>
      </w:r>
      <w:r w:rsidRPr="00720ECA">
        <w:rPr>
          <w:rStyle w:val="HideTWBExt"/>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pPr>
      <w:r w:rsidRPr="00720ECA">
        <w:rPr>
          <w:rStyle w:val="HideTWBExt"/>
          <w:noProof w:val="0"/>
        </w:rPr>
        <w:t>&lt;Article2&gt;</w:t>
      </w:r>
      <w:r w:rsidRPr="00720ECA">
        <w:t xml:space="preserve">Article 7a – paragraph 7 </w:t>
      </w:r>
      <w:r w:rsidRPr="00720ECA">
        <w:softHyphen/>
        <w:t xml:space="preserve"> Annex I – Table 1 – point (a)</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Point0"/>
            </w:pPr>
            <w:r w:rsidRPr="00720ECA">
              <w:t>In Annex I, Table 1 is amended as follows:</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Point1"/>
            </w:pPr>
            <w:r w:rsidRPr="00720ECA">
              <w:t>(a)</w:t>
            </w:r>
            <w:r w:rsidRPr="00720ECA">
              <w:tab/>
              <w:t>in policy objective 1,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line="276" w:lineRule="auto"/>
              <w:ind w:left="-198" w:right="-198"/>
              <w:rPr>
                <w:rFonts w:ascii="Calibri" w:hAnsi="Calibri"/>
                <w:sz w:val="22"/>
              </w:rPr>
            </w:pPr>
            <w:r w:rsidRPr="00720ECA">
              <w:t xml:space="preserve">‘(vii) enhancing industrial capacities to foster dual use </w:t>
            </w:r>
            <w:r w:rsidRPr="00720ECA">
              <w:rPr>
                <w:b/>
                <w:i/>
              </w:rPr>
              <w:t xml:space="preserve">as well as defence </w:t>
            </w:r>
            <w:r w:rsidRPr="00720ECA">
              <w:t>capabilities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r w:rsidRPr="00720ECA">
              <w:t>Any RCO listed for specific objectives (i), (iii)</w:t>
            </w:r>
          </w:p>
          <w:p w:rsidR="0016379F" w:rsidRPr="00720ECA" w:rsidRDefault="0016379F" w:rsidP="001472C2">
            <w:pPr>
              <w:pStyle w:val="Text1"/>
              <w:spacing w:before="0" w:after="0" w:line="276" w:lineRule="auto"/>
              <w:ind w:left="-198" w:right="-198"/>
            </w:pPr>
            <w:r w:rsidRPr="00720ECA">
              <w:t xml:space="preserve">RCO128 Enterprises supported linked primarily to foster dual use </w:t>
            </w:r>
            <w:r w:rsidRPr="00720ECA">
              <w:rPr>
                <w:b/>
                <w:i/>
              </w:rPr>
              <w:t>and defence</w:t>
            </w:r>
            <w:r w:rsidRPr="00720ECA">
              <w:t xml:space="preserve"> capabilities (RearmEU) - </w:t>
            </w:r>
          </w:p>
          <w:p w:rsidR="0016379F" w:rsidRPr="00720ECA" w:rsidRDefault="0016379F" w:rsidP="001472C2">
            <w:pPr>
              <w:pStyle w:val="Text1"/>
              <w:spacing w:before="0" w:after="0" w:line="276" w:lineRule="auto"/>
              <w:ind w:left="-198" w:right="-198" w:hanging="360"/>
              <w:jc w:val="left"/>
            </w:pPr>
            <w:r w:rsidRPr="00720ECA">
              <w:t>-</w:t>
            </w:r>
            <w:r w:rsidRPr="00720ECA">
              <w:tab/>
              <w:t xml:space="preserve"> entreprises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r w:rsidRPr="00720ECA">
              <w:t xml:space="preserve">Any RCR listed for specific objectives (i), (iii)’ </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ColumnHeading"/>
              <w:keepNext/>
              <w:jc w:val="left"/>
            </w:pPr>
            <w:r w:rsidRPr="00720ECA">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0"/>
            </w:pPr>
            <w:r w:rsidRPr="00720ECA">
              <w:t>In Annex I, Table 1 is amended as follows:</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1"/>
            </w:pPr>
            <w:r w:rsidRPr="00720ECA">
              <w:t>(a)</w:t>
            </w:r>
            <w:r w:rsidRPr="00720ECA">
              <w:tab/>
              <w:t>in policy objective 1,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rPr>
                <w:rFonts w:ascii="Calibri" w:hAnsi="Calibri"/>
                <w:sz w:val="22"/>
              </w:rPr>
            </w:pPr>
            <w:r w:rsidRPr="00720ECA">
              <w:t>‘(vii) enhancing industrial capacities to foster dual use capabilities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Any RCO listed for specific objectives (i), (iii)</w:t>
            </w:r>
          </w:p>
          <w:p w:rsidR="0016379F" w:rsidRPr="00720ECA" w:rsidRDefault="0016379F" w:rsidP="001472C2">
            <w:pPr>
              <w:pStyle w:val="Text1"/>
              <w:spacing w:before="0" w:after="0"/>
              <w:ind w:left="-198" w:right="-198"/>
            </w:pPr>
            <w:r w:rsidRPr="00720ECA">
              <w:t xml:space="preserve">RCO128 Enterprises supported linked primarily to foster dual use capabilities (RearmEU) - </w:t>
            </w:r>
          </w:p>
          <w:p w:rsidR="0016379F" w:rsidRPr="00720ECA" w:rsidRDefault="0016379F" w:rsidP="001472C2">
            <w:pPr>
              <w:pStyle w:val="Text1"/>
              <w:spacing w:before="0" w:after="0"/>
              <w:ind w:left="-198" w:right="-198" w:hanging="360"/>
              <w:jc w:val="left"/>
            </w:pPr>
            <w:r w:rsidRPr="00720ECA">
              <w:t>-</w:t>
            </w:r>
            <w:r w:rsidRPr="00720ECA">
              <w:tab/>
              <w:t xml:space="preserve"> entreprises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 xml:space="preserve">Any RCR listed for specific objectives (i), (iii)’ </w:t>
            </w: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rPr>
          <w:rStyle w:val="HideTWBExt"/>
          <w:noProof w:val="0"/>
        </w:rPr>
      </w:pPr>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72</w:t>
      </w:r>
      <w:r w:rsidRPr="00720ECA">
        <w:rPr>
          <w:rStyle w:val="HideTWBExt"/>
          <w:b w:val="0"/>
          <w:noProof w:val="0"/>
        </w:rPr>
        <w:t>&lt;/NumAm&gt;</w:t>
      </w:r>
    </w:p>
    <w:p w:rsidR="0016379F" w:rsidRPr="00720ECA" w:rsidRDefault="0016379F" w:rsidP="0016379F">
      <w:pPr>
        <w:pStyle w:val="AMNumberTabs0"/>
        <w:keepNext/>
        <w:spacing w:before="0"/>
      </w:pPr>
      <w:r w:rsidRPr="00720ECA">
        <w:rPr>
          <w:rStyle w:val="HideTWBExt"/>
          <w:b w:val="0"/>
          <w:noProof w:val="0"/>
        </w:rPr>
        <w:t>&lt;RepeatBlock-By&gt;&lt;Members&gt;</w:t>
      </w:r>
      <w:r w:rsidR="00570FD6" w:rsidRPr="00720ECA">
        <w:t>Benedetta Scuderi, C</w:t>
      </w:r>
      <w:r w:rsidRPr="00720ECA">
        <w:t>r</w:t>
      </w:r>
      <w:r w:rsidR="00570FD6" w:rsidRPr="00720ECA">
        <w:t>i</w:t>
      </w:r>
      <w:r w:rsidRPr="00720ECA">
        <w:t>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spacing w:before="0"/>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keepNext/>
      </w:pPr>
      <w:r w:rsidRPr="00720ECA">
        <w:rPr>
          <w:rStyle w:val="HideTWBExt"/>
          <w:noProof w:val="0"/>
        </w:rPr>
        <w:t>&lt;Article&gt;</w:t>
      </w:r>
      <w:r w:rsidRPr="00720ECA">
        <w:rPr>
          <w:b/>
        </w:rPr>
        <w:t>Article 1 – paragraph 5</w:t>
      </w:r>
      <w:r w:rsidRPr="00720ECA">
        <w:rPr>
          <w:rStyle w:val="HideTWBExt"/>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pPr>
      <w:r w:rsidRPr="00720ECA">
        <w:rPr>
          <w:rStyle w:val="HideTWBExt"/>
          <w:noProof w:val="0"/>
        </w:rPr>
        <w:t>&lt;Article2&gt;</w:t>
      </w:r>
      <w:r w:rsidRPr="00720ECA">
        <w:t xml:space="preserve">Article 7a – paragraph 7 </w:t>
      </w:r>
      <w:r w:rsidRPr="00720ECA">
        <w:softHyphen/>
        <w:t xml:space="preserve"> Annex I – Table 1 – point (b)</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NormalWeb"/>
              <w:spacing w:before="120" w:beforeAutospacing="0" w:after="120" w:afterAutospacing="0"/>
              <w:ind w:left="850" w:hanging="567"/>
              <w:jc w:val="both"/>
            </w:pPr>
            <w:r w:rsidRPr="00720ECA">
              <w:t>(b)</w:t>
            </w:r>
            <w:r w:rsidRPr="00720ECA">
              <w:rPr>
                <w:rStyle w:val="apple-tab-span"/>
                <w:rFonts w:eastAsiaTheme="majorEastAsia"/>
              </w:rPr>
              <w:tab/>
            </w:r>
            <w:r w:rsidRPr="00720ECA">
              <w:t>in policy objective 2, the row for specific objective (v) is replaced by the following:</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56"/>
              <w:jc w:val="left"/>
            </w:pPr>
            <w:r w:rsidRPr="00720ECA">
              <w:t xml:space="preserve">‘(v) Promoting secure access to water, sustainable water management and water resilience </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56"/>
              <w:jc w:val="left"/>
            </w:pPr>
            <w:r w:rsidRPr="00720ECA">
              <w:t>RCO30  Length of new or upgraded pipes for the distribution systems of public water supply - km</w:t>
            </w:r>
          </w:p>
          <w:p w:rsidR="0016379F" w:rsidRPr="00720ECA" w:rsidRDefault="0016379F" w:rsidP="001472C2">
            <w:pPr>
              <w:pStyle w:val="Text1"/>
              <w:spacing w:before="0" w:after="0"/>
              <w:ind w:left="-198" w:right="-56"/>
              <w:jc w:val="left"/>
            </w:pPr>
            <w:r w:rsidRPr="00720ECA">
              <w:t>RCO31  Length of new or upgraded pipes for the public network for collection of waste water - km</w:t>
            </w:r>
          </w:p>
          <w:p w:rsidR="0016379F" w:rsidRPr="00720ECA" w:rsidRDefault="0016379F" w:rsidP="001472C2">
            <w:pPr>
              <w:pStyle w:val="Text1"/>
              <w:spacing w:before="0" w:after="0"/>
              <w:ind w:left="-198" w:right="-56"/>
              <w:jc w:val="left"/>
            </w:pPr>
            <w:r w:rsidRPr="00720ECA">
              <w:t>RCO32  New or upgraded capacity for waste water treatment - population equivalent</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56"/>
              <w:jc w:val="left"/>
            </w:pPr>
            <w:r w:rsidRPr="00720ECA">
              <w:t>RCR41   Population connected to improved public water supply - persons</w:t>
            </w:r>
          </w:p>
          <w:p w:rsidR="0016379F" w:rsidRPr="00720ECA" w:rsidRDefault="0016379F" w:rsidP="001472C2">
            <w:pPr>
              <w:pStyle w:val="Text1"/>
              <w:spacing w:before="0" w:after="0"/>
              <w:ind w:left="-198" w:right="-56"/>
              <w:jc w:val="left"/>
            </w:pPr>
            <w:r w:rsidRPr="00720ECA">
              <w:t>RCR42   Population connected to at least secondary public waste water treatment - persons</w:t>
            </w:r>
          </w:p>
          <w:p w:rsidR="0016379F" w:rsidRPr="00720ECA" w:rsidRDefault="0016379F" w:rsidP="001472C2">
            <w:pPr>
              <w:pStyle w:val="Text1"/>
              <w:spacing w:before="0" w:after="0"/>
              <w:ind w:left="-198" w:right="-56"/>
              <w:jc w:val="left"/>
            </w:pPr>
            <w:r w:rsidRPr="00720ECA">
              <w:t>RCR43   Water losses in distribution systems for public water supply - cubic metres per year’</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rPr>
                <w:i/>
              </w:rPr>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0"/>
            </w:pPr>
            <w:r w:rsidRPr="00720ECA">
              <w:rPr>
                <w:rFonts w:eastAsia="Times New Roman"/>
                <w:i/>
                <w:szCs w:val="20"/>
                <w:lang w:eastAsia="en-GB"/>
              </w:rPr>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NormalWeb"/>
              <w:spacing w:before="120" w:beforeAutospacing="0" w:after="120" w:afterAutospacing="0"/>
              <w:ind w:left="850" w:hanging="567"/>
              <w:jc w:val="both"/>
            </w:pPr>
            <w:r w:rsidRPr="00720ECA">
              <w:t>(b)</w:t>
            </w:r>
            <w:r w:rsidRPr="00720ECA">
              <w:rPr>
                <w:rStyle w:val="apple-tab-span"/>
                <w:rFonts w:eastAsiaTheme="majorEastAsia"/>
              </w:rPr>
              <w:tab/>
            </w:r>
            <w:r w:rsidRPr="00720ECA">
              <w:t>in policy objective 2, the row for specific objective (v) is replaced by the following:</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56"/>
              <w:jc w:val="left"/>
            </w:pPr>
            <w:r w:rsidRPr="00720ECA">
              <w:t xml:space="preserve">‘(v) Promoting secure access to water, sustainable water management and water resilience </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56"/>
              <w:jc w:val="left"/>
            </w:pPr>
            <w:r w:rsidRPr="00720ECA">
              <w:t>RCO30  Length of new or upgraded pipes for the distribution systems of public water supply - km</w:t>
            </w:r>
          </w:p>
          <w:p w:rsidR="0016379F" w:rsidRPr="00720ECA" w:rsidRDefault="0016379F" w:rsidP="001472C2">
            <w:pPr>
              <w:pStyle w:val="Text1"/>
              <w:spacing w:before="0" w:after="0"/>
              <w:ind w:left="-198" w:right="-56"/>
              <w:jc w:val="left"/>
            </w:pPr>
            <w:r w:rsidRPr="00720ECA">
              <w:t>RCO31  Length of new or upgraded pipes for the public network for collection of waste water - km</w:t>
            </w:r>
          </w:p>
          <w:p w:rsidR="0016379F" w:rsidRPr="00720ECA" w:rsidRDefault="0016379F" w:rsidP="001472C2">
            <w:pPr>
              <w:pStyle w:val="Text1"/>
              <w:spacing w:before="0" w:after="0"/>
              <w:ind w:left="-198" w:right="-56"/>
              <w:jc w:val="left"/>
            </w:pPr>
            <w:r w:rsidRPr="00720ECA">
              <w:t>RCO32  New or upgraded capacity for waste water treatment - population equivalent</w:t>
            </w:r>
          </w:p>
          <w:p w:rsidR="0016379F" w:rsidRPr="00720ECA" w:rsidRDefault="0016379F" w:rsidP="001472C2">
            <w:pPr>
              <w:pStyle w:val="Text1"/>
              <w:spacing w:before="0" w:after="0"/>
              <w:ind w:left="-198" w:right="-56"/>
              <w:jc w:val="left"/>
              <w:rPr>
                <w:b/>
              </w:rPr>
            </w:pPr>
            <w:r w:rsidRPr="00720ECA">
              <w:rPr>
                <w:b/>
              </w:rPr>
              <w:t>RCO33 Area of freshwater ecosystems restored (ha) RCO34 Number of nature-based solutions implemented for flood or drought risk reduction</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56"/>
              <w:jc w:val="left"/>
            </w:pPr>
            <w:r w:rsidRPr="00720ECA">
              <w:t>RCR41   Population connected to improved public water supply - persons</w:t>
            </w:r>
          </w:p>
          <w:p w:rsidR="0016379F" w:rsidRPr="00720ECA" w:rsidRDefault="0016379F" w:rsidP="001472C2">
            <w:pPr>
              <w:pStyle w:val="Text1"/>
              <w:spacing w:before="0" w:after="0"/>
              <w:ind w:left="-198" w:right="-56"/>
              <w:jc w:val="left"/>
            </w:pPr>
            <w:r w:rsidRPr="00720ECA">
              <w:t>RCR42   Population connected to at least secondary public waste water treatment - persons</w:t>
            </w:r>
          </w:p>
          <w:p w:rsidR="0016379F" w:rsidRPr="00720ECA" w:rsidRDefault="0016379F" w:rsidP="001472C2">
            <w:pPr>
              <w:pStyle w:val="Text1"/>
              <w:spacing w:before="0" w:after="0"/>
              <w:ind w:left="-198" w:right="-56"/>
              <w:jc w:val="left"/>
            </w:pPr>
            <w:r w:rsidRPr="00720ECA">
              <w:t>RCR43   Water losses in distribution systems for public water supply - cubic metres per year’</w:t>
            </w:r>
          </w:p>
          <w:p w:rsidR="0016379F" w:rsidRPr="00720ECA" w:rsidRDefault="0016379F" w:rsidP="001472C2">
            <w:pPr>
              <w:pStyle w:val="Text1"/>
              <w:spacing w:before="0" w:after="0"/>
              <w:ind w:left="-198" w:right="-56"/>
              <w:jc w:val="left"/>
              <w:rPr>
                <w:b/>
              </w:rPr>
            </w:pPr>
            <w:r w:rsidRPr="00720ECA">
              <w:rPr>
                <w:b/>
              </w:rPr>
              <w:t xml:space="preserve">RCR44 Population benefiting from ecosystem-based flood or drought risk reduction RCR45 River continuity improvements (km) </w:t>
            </w:r>
          </w:p>
          <w:p w:rsidR="0016379F" w:rsidRPr="00720ECA" w:rsidRDefault="0016379F" w:rsidP="001472C2">
            <w:pPr>
              <w:pStyle w:val="Text1"/>
              <w:spacing w:before="0" w:after="0"/>
              <w:ind w:left="-198" w:right="-56"/>
              <w:jc w:val="left"/>
              <w:rPr>
                <w:b/>
              </w:rPr>
            </w:pPr>
            <w:r w:rsidRPr="00720ECA">
              <w:rPr>
                <w:b/>
              </w:rPr>
              <w:t>RCR46 Improvement in freshwater ecological status under the Water Framework</w:t>
            </w: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73</w:t>
      </w:r>
      <w:r w:rsidRPr="00720ECA">
        <w:rPr>
          <w:rStyle w:val="HideTWBExt"/>
          <w:b w:val="0"/>
          <w:noProof w:val="0"/>
        </w:rPr>
        <w:t>&lt;/NumAm&gt;</w:t>
      </w:r>
    </w:p>
    <w:p w:rsidR="0016379F" w:rsidRPr="00720ECA" w:rsidRDefault="0016379F" w:rsidP="0016379F">
      <w:pPr>
        <w:pStyle w:val="AMNumberTabs0"/>
        <w:keepNext/>
        <w:spacing w:before="0"/>
      </w:pPr>
      <w:r w:rsidRPr="00720ECA">
        <w:rPr>
          <w:rStyle w:val="HideTWBExt"/>
          <w:b w:val="0"/>
          <w:noProof w:val="0"/>
        </w:rPr>
        <w:t>&lt;RepeatBlock-By&gt;&lt;Members&gt;</w:t>
      </w:r>
      <w:r w:rsidR="00570FD6" w:rsidRPr="00720ECA">
        <w:t>Benedetta Scuderi, C</w:t>
      </w:r>
      <w:r w:rsidRPr="00720ECA">
        <w:t>ristina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keepNext/>
      </w:pPr>
      <w:r w:rsidRPr="00720ECA">
        <w:rPr>
          <w:rStyle w:val="HideTWBExt"/>
          <w:noProof w:val="0"/>
        </w:rPr>
        <w:t>&lt;Article&gt;</w:t>
      </w:r>
      <w:r w:rsidRPr="00720ECA">
        <w:rPr>
          <w:b/>
        </w:rPr>
        <w:t>Article 1 – paragraph 5</w:t>
      </w:r>
      <w:r w:rsidRPr="00720ECA">
        <w:rPr>
          <w:rStyle w:val="HideTWBExt"/>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pPr>
      <w:r w:rsidRPr="00720ECA">
        <w:rPr>
          <w:rStyle w:val="HideTWBExt"/>
          <w:noProof w:val="0"/>
        </w:rPr>
        <w:t>&lt;Article2&gt;</w:t>
      </w:r>
      <w:r w:rsidRPr="00720ECA">
        <w:t xml:space="preserve">Article 7a – paragraph 7 </w:t>
      </w:r>
      <w:r w:rsidRPr="00720ECA">
        <w:softHyphen/>
        <w:t xml:space="preserve"> Annex I – Table 1 – point (c)</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r w:rsidRPr="00720ECA">
              <w:t>(c)</w:t>
            </w:r>
            <w:r w:rsidRPr="00720ECA">
              <w:tab/>
              <w:t>in policy objective 2, the following rows are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340"/>
              <w:jc w:val="left"/>
              <w:rPr>
                <w:rFonts w:ascii="Calibri" w:hAnsi="Calibri"/>
                <w:sz w:val="22"/>
              </w:rPr>
            </w:pPr>
            <w:r w:rsidRPr="00720ECA">
              <w:t>‘(xi) promoting access to affordable housing, and related reforms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340"/>
              <w:jc w:val="left"/>
            </w:pPr>
            <w:r w:rsidRPr="00720ECA">
              <w:t>RCO18  Affordable dwellings with improved energy performance – dwellings</w:t>
            </w:r>
          </w:p>
          <w:p w:rsidR="0016379F" w:rsidRPr="00720ECA" w:rsidRDefault="0016379F" w:rsidP="001472C2">
            <w:pPr>
              <w:pStyle w:val="Text1"/>
              <w:spacing w:before="0" w:after="0"/>
              <w:ind w:left="-198" w:right="-340"/>
              <w:jc w:val="left"/>
            </w:pPr>
            <w:r w:rsidRPr="00720ECA">
              <w:t xml:space="preserve">RCO65  Capacity of new or </w:t>
            </w:r>
            <w:r w:rsidRPr="00720ECA">
              <w:rPr>
                <w:b/>
              </w:rPr>
              <w:t>modernised</w:t>
            </w:r>
            <w:r w:rsidRPr="00720ECA">
              <w:t xml:space="preserve"> affordable and social housing - persons</w:t>
            </w:r>
          </w:p>
          <w:p w:rsidR="0016379F" w:rsidRPr="00720ECA" w:rsidRDefault="0016379F" w:rsidP="001472C2">
            <w:pPr>
              <w:pStyle w:val="Text1"/>
              <w:spacing w:before="0" w:after="0"/>
              <w:ind w:left="-198" w:right="-340"/>
              <w:jc w:val="left"/>
            </w:pPr>
            <w:r w:rsidRPr="00720ECA">
              <w:t>RCO130 Affordable and social housing related reforms - number</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340"/>
              <w:jc w:val="left"/>
            </w:pPr>
            <w:r w:rsidRPr="00720ECA">
              <w:t>RCR26   Annual primary energy consumption (of which: affordable dwellings, public buildings, enterprises, other) - MWh/year</w:t>
            </w:r>
          </w:p>
          <w:p w:rsidR="0016379F" w:rsidRPr="00720ECA" w:rsidRDefault="0016379F" w:rsidP="001472C2">
            <w:pPr>
              <w:pStyle w:val="Text1"/>
              <w:spacing w:before="0" w:after="0"/>
              <w:ind w:left="-198" w:right="-340"/>
              <w:jc w:val="left"/>
            </w:pPr>
            <w:r w:rsidRPr="00720ECA">
              <w:t>RCR29   Estimated greenhouse emissions - tonnes CO</w:t>
            </w:r>
            <w:r w:rsidRPr="00720ECA">
              <w:rPr>
                <w:vertAlign w:val="subscript"/>
              </w:rPr>
              <w:t>2</w:t>
            </w:r>
            <w:r w:rsidRPr="00720ECA">
              <w:t xml:space="preserve"> eq./year </w:t>
            </w:r>
          </w:p>
          <w:p w:rsidR="0016379F" w:rsidRPr="00720ECA" w:rsidRDefault="0016379F" w:rsidP="001472C2">
            <w:pPr>
              <w:pStyle w:val="Text1"/>
              <w:spacing w:before="0" w:after="0"/>
              <w:ind w:left="-198" w:right="-340"/>
              <w:jc w:val="left"/>
            </w:pPr>
            <w:r w:rsidRPr="00720ECA">
              <w:t xml:space="preserve">RCR67   Annual users of new or </w:t>
            </w:r>
            <w:r w:rsidRPr="00720ECA">
              <w:rPr>
                <w:b/>
              </w:rPr>
              <w:t>modernised</w:t>
            </w:r>
            <w:r w:rsidRPr="00720ECA">
              <w:t xml:space="preserve"> affordable and</w:t>
            </w:r>
            <w:r w:rsidRPr="00720ECA">
              <w:rPr>
                <w:rFonts w:ascii="Calibri" w:eastAsia="Calibri" w:hAnsi="Calibri"/>
                <w:sz w:val="22"/>
              </w:rPr>
              <w:t xml:space="preserve"> </w:t>
            </w:r>
            <w:r w:rsidRPr="00720ECA">
              <w:t>social housing - users/year</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rPr>
                <w:i/>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ind w:left="-198" w:right="-198"/>
              <w:jc w:val="left"/>
            </w:pPr>
            <w:r w:rsidRPr="00720ECA">
              <w:t xml:space="preserve">(xii) promoting </w:t>
            </w:r>
            <w:r w:rsidRPr="00720ECA">
              <w:rPr>
                <w:b/>
              </w:rPr>
              <w:t>energy</w:t>
            </w:r>
            <w:r w:rsidRPr="00720ECA">
              <w:t xml:space="preserve"> interconnectors and related </w:t>
            </w:r>
            <w:r w:rsidRPr="00720ECA">
              <w:rPr>
                <w:b/>
              </w:rPr>
              <w:t>transmission</w:t>
            </w:r>
            <w:r w:rsidRPr="00720ECA">
              <w:t xml:space="preserve"> infrastructure, and the deployment of recharging infrastructure</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ind w:left="-198" w:right="-198"/>
              <w:jc w:val="left"/>
            </w:pPr>
            <w:r w:rsidRPr="00720ECA">
              <w:t xml:space="preserve">RCO 59 - </w:t>
            </w:r>
            <w:r w:rsidRPr="00720ECA">
              <w:rPr>
                <w:b/>
              </w:rPr>
              <w:t>Alternative fuels infrastructure (refuelling/</w:t>
            </w:r>
            <w:r w:rsidRPr="00720ECA">
              <w:t xml:space="preserve"> recharging points)</w:t>
            </w:r>
          </w:p>
          <w:p w:rsidR="0016379F" w:rsidRPr="00720ECA" w:rsidRDefault="0016379F" w:rsidP="001472C2">
            <w:pPr>
              <w:pStyle w:val="Text1"/>
              <w:ind w:left="-198" w:right="-198"/>
              <w:jc w:val="left"/>
            </w:pPr>
            <w:r w:rsidRPr="00720ECA">
              <w:t xml:space="preserve">RCO 131 </w:t>
            </w:r>
            <w:r w:rsidRPr="00720ECA">
              <w:rPr>
                <w:b/>
              </w:rPr>
              <w:t>Energy</w:t>
            </w:r>
            <w:r w:rsidRPr="00720ECA">
              <w:t xml:space="preserve"> transmission </w:t>
            </w:r>
            <w:r w:rsidRPr="00720ECA">
              <w:rPr>
                <w:b/>
              </w:rPr>
              <w:t>network</w:t>
            </w:r>
            <w:r w:rsidRPr="00720ECA">
              <w:t xml:space="preserve"> lines and interconnectors - newly constructed or improved’</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rPr>
                <w:i/>
              </w:rPr>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rPr>
                <w:i/>
              </w:rPr>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0"/>
            </w:pPr>
            <w:r w:rsidRPr="00720ECA">
              <w:rPr>
                <w:rFonts w:eastAsia="Times New Roman"/>
                <w:i/>
                <w:szCs w:val="20"/>
                <w:lang w:eastAsia="en-GB"/>
              </w:rPr>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1"/>
            </w:pPr>
            <w:r w:rsidRPr="00720ECA">
              <w:t>(c)</w:t>
            </w:r>
            <w:r w:rsidRPr="00720ECA">
              <w:tab/>
              <w:t>in policy objective 2, the following rows are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jc w:val="left"/>
              <w:rPr>
                <w:rFonts w:ascii="Calibri" w:hAnsi="Calibri"/>
                <w:sz w:val="22"/>
              </w:rPr>
            </w:pPr>
            <w:r w:rsidRPr="00720ECA">
              <w:t>‘(xi) promoting access to affordable</w:t>
            </w:r>
            <w:r w:rsidRPr="00720ECA">
              <w:rPr>
                <w:b/>
                <w:i/>
              </w:rPr>
              <w:t>,</w:t>
            </w:r>
            <w:r w:rsidRPr="00720ECA">
              <w:t xml:space="preserve"> </w:t>
            </w:r>
            <w:r w:rsidRPr="00720ECA">
              <w:rPr>
                <w:b/>
                <w:i/>
              </w:rPr>
              <w:t>sustainable</w:t>
            </w:r>
            <w:r w:rsidRPr="00720ECA">
              <w:t xml:space="preserve">  and </w:t>
            </w:r>
            <w:r w:rsidRPr="00720ECA">
              <w:rPr>
                <w:b/>
                <w:i/>
              </w:rPr>
              <w:t>decent</w:t>
            </w:r>
            <w:r w:rsidRPr="00720ECA">
              <w:t xml:space="preserve"> housing, </w:t>
            </w:r>
            <w:r w:rsidRPr="00720ECA">
              <w:rPr>
                <w:b/>
                <w:i/>
              </w:rPr>
              <w:t>in accordance with Directive (EU) 2024/1275</w:t>
            </w:r>
            <w:r w:rsidRPr="00720ECA">
              <w:rPr>
                <w:i/>
              </w:rPr>
              <w:t xml:space="preserve"> </w:t>
            </w:r>
            <w:r w:rsidRPr="00720ECA">
              <w:t xml:space="preserve"> and related reforms, </w:t>
            </w:r>
            <w:r w:rsidRPr="00720ECA">
              <w:rPr>
                <w:b/>
                <w:bCs/>
                <w:i/>
                <w:iCs/>
              </w:rPr>
              <w:t>such as those set out in the National Building Renovation Plans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RCO18  Affordable dwellings with improved energy performance – dwellings</w:t>
            </w:r>
          </w:p>
          <w:p w:rsidR="0016379F" w:rsidRPr="00720ECA" w:rsidRDefault="0016379F" w:rsidP="001472C2">
            <w:pPr>
              <w:pStyle w:val="Text1"/>
              <w:spacing w:before="0" w:after="0"/>
              <w:ind w:left="-198" w:right="-198"/>
              <w:jc w:val="left"/>
            </w:pPr>
            <w:r w:rsidRPr="00720ECA">
              <w:t xml:space="preserve">RCO65  Capacity of new or </w:t>
            </w:r>
            <w:r w:rsidRPr="00720ECA">
              <w:rPr>
                <w:b/>
                <w:i/>
              </w:rPr>
              <w:t>renovated</w:t>
            </w:r>
            <w:r w:rsidRPr="00720ECA">
              <w:t xml:space="preserve"> affordable and social housing - persons</w:t>
            </w:r>
          </w:p>
          <w:p w:rsidR="0016379F" w:rsidRPr="00720ECA" w:rsidRDefault="0016379F" w:rsidP="001472C2">
            <w:pPr>
              <w:pStyle w:val="Text1"/>
              <w:spacing w:before="0" w:after="0"/>
              <w:ind w:left="-198" w:right="-198"/>
              <w:jc w:val="left"/>
            </w:pPr>
            <w:r w:rsidRPr="00720ECA">
              <w:t>RCO130 Affordable and social housing related reforms - number</w:t>
            </w:r>
          </w:p>
          <w:p w:rsidR="0016379F" w:rsidRPr="00720ECA" w:rsidRDefault="0016379F" w:rsidP="001472C2">
            <w:pPr>
              <w:pStyle w:val="Text1"/>
              <w:spacing w:before="0" w:after="0"/>
              <w:ind w:left="-198" w:right="-198"/>
              <w:jc w:val="left"/>
              <w:rPr>
                <w:b/>
                <w:i/>
              </w:rPr>
            </w:pPr>
            <w:r w:rsidRPr="00720ECA">
              <w:rPr>
                <w:b/>
                <w:i/>
              </w:rPr>
              <w:t>RCO 97 -Renewable energy communities  and citizen-led renovation initiatives supported*</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RCR26   Annual primary energy consumption (of which: affordable dwellings, public buildings, enterprises, other) - MWh/year</w:t>
            </w:r>
          </w:p>
          <w:p w:rsidR="0016379F" w:rsidRPr="00720ECA" w:rsidRDefault="0016379F" w:rsidP="001472C2">
            <w:pPr>
              <w:pStyle w:val="Text1"/>
              <w:spacing w:before="0" w:after="0"/>
              <w:ind w:left="-198" w:right="-198"/>
              <w:jc w:val="left"/>
            </w:pPr>
            <w:r w:rsidRPr="00720ECA">
              <w:t>RCR29   Estimated greenhouse emissions - tonnes CO</w:t>
            </w:r>
            <w:r w:rsidRPr="00720ECA">
              <w:rPr>
                <w:vertAlign w:val="subscript"/>
              </w:rPr>
              <w:t>2</w:t>
            </w:r>
            <w:r w:rsidRPr="00720ECA">
              <w:t xml:space="preserve"> eq./year </w:t>
            </w:r>
          </w:p>
          <w:p w:rsidR="0016379F" w:rsidRPr="00720ECA" w:rsidRDefault="0016379F" w:rsidP="001472C2">
            <w:pPr>
              <w:pStyle w:val="Text1"/>
              <w:spacing w:before="0" w:after="0"/>
              <w:ind w:left="-198" w:right="-198"/>
              <w:jc w:val="left"/>
            </w:pPr>
            <w:r w:rsidRPr="00720ECA">
              <w:t xml:space="preserve">RCR67   Annual users of new or </w:t>
            </w:r>
            <w:r w:rsidRPr="00720ECA">
              <w:rPr>
                <w:b/>
                <w:i/>
              </w:rPr>
              <w:t>renovated</w:t>
            </w:r>
            <w:r w:rsidRPr="00720ECA">
              <w:t xml:space="preserve"> affordable and</w:t>
            </w:r>
            <w:r w:rsidRPr="00720ECA">
              <w:rPr>
                <w:rFonts w:ascii="Calibri" w:eastAsia="Calibri" w:hAnsi="Calibri"/>
                <w:sz w:val="22"/>
              </w:rPr>
              <w:t xml:space="preserve"> </w:t>
            </w:r>
            <w:r w:rsidRPr="00720ECA">
              <w:t>social housing - users/year</w:t>
            </w:r>
          </w:p>
          <w:p w:rsidR="0016379F" w:rsidRPr="00720ECA" w:rsidRDefault="0016379F" w:rsidP="001472C2">
            <w:pPr>
              <w:pStyle w:val="Text1"/>
              <w:ind w:left="-198" w:right="-198"/>
              <w:jc w:val="left"/>
              <w:rPr>
                <w:b/>
                <w:i/>
              </w:rPr>
            </w:pPr>
            <w:r w:rsidRPr="00720ECA">
              <w:rPr>
                <w:b/>
                <w:i/>
              </w:rPr>
              <w:t>RCR 31 - Total renewable energy produced (of which: electricity, thermal)*</w:t>
            </w:r>
          </w:p>
          <w:p w:rsidR="0016379F" w:rsidRPr="00720ECA" w:rsidRDefault="0016379F" w:rsidP="001472C2">
            <w:pPr>
              <w:pStyle w:val="Text1"/>
              <w:spacing w:before="0" w:after="0"/>
              <w:ind w:left="-198" w:right="-198"/>
              <w:jc w:val="left"/>
            </w:pPr>
            <w:r w:rsidRPr="00720ECA">
              <w:rPr>
                <w:b/>
                <w:i/>
              </w:rPr>
              <w:t>RCR 32 - Additional operational capacity installed for renewable energy generated on site or close to existing buildings*</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ind w:left="-198" w:right="-340"/>
              <w:jc w:val="left"/>
            </w:pPr>
            <w:r w:rsidRPr="00720ECA">
              <w:t xml:space="preserve">(xii) promoting </w:t>
            </w:r>
            <w:r w:rsidRPr="00720ECA">
              <w:rPr>
                <w:b/>
                <w:i/>
              </w:rPr>
              <w:t>the transmission and distribution of electricity, including</w:t>
            </w:r>
            <w:r w:rsidRPr="00720ECA">
              <w:t xml:space="preserve">  interconnectors, </w:t>
            </w:r>
            <w:r w:rsidRPr="00720ECA">
              <w:rPr>
                <w:b/>
                <w:i/>
              </w:rPr>
              <w:t>microgrids</w:t>
            </w:r>
            <w:r w:rsidRPr="00720ECA">
              <w:t xml:space="preserve">, and related </w:t>
            </w:r>
            <w:r w:rsidRPr="00720ECA">
              <w:rPr>
                <w:b/>
                <w:i/>
              </w:rPr>
              <w:t>supportive</w:t>
            </w:r>
            <w:r w:rsidRPr="00720ECA">
              <w:t xml:space="preserve"> infrastructure</w:t>
            </w:r>
            <w:r w:rsidRPr="00720ECA">
              <w:rPr>
                <w:b/>
              </w:rPr>
              <w:t>s</w:t>
            </w:r>
            <w:r w:rsidRPr="00720ECA">
              <w:t xml:space="preserve"> </w:t>
            </w:r>
            <w:r w:rsidRPr="00720ECA">
              <w:rPr>
                <w:b/>
              </w:rPr>
              <w:t>and systems</w:t>
            </w:r>
            <w:r w:rsidRPr="00720ECA">
              <w:t>, and the deployment of recharging infrastructure</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ind w:left="-198" w:right="-340"/>
              <w:jc w:val="left"/>
            </w:pPr>
            <w:r w:rsidRPr="00720ECA">
              <w:t>RCO 59 - recharging points</w:t>
            </w:r>
          </w:p>
          <w:p w:rsidR="0016379F" w:rsidRPr="00720ECA" w:rsidRDefault="0016379F" w:rsidP="001472C2">
            <w:pPr>
              <w:pStyle w:val="Text1"/>
              <w:ind w:left="-198" w:right="-340"/>
              <w:jc w:val="left"/>
              <w:rPr>
                <w:b/>
                <w:i/>
              </w:rPr>
            </w:pPr>
            <w:r w:rsidRPr="00720ECA">
              <w:t xml:space="preserve">RCO 131 </w:t>
            </w:r>
            <w:r w:rsidRPr="00720ECA">
              <w:rPr>
                <w:b/>
                <w:i/>
              </w:rPr>
              <w:t>Electricity</w:t>
            </w:r>
            <w:r w:rsidRPr="00720ECA">
              <w:rPr>
                <w:i/>
              </w:rPr>
              <w:t xml:space="preserve">  </w:t>
            </w:r>
            <w:r w:rsidRPr="00720ECA">
              <w:rPr>
                <w:b/>
                <w:i/>
              </w:rPr>
              <w:t>distribution and</w:t>
            </w:r>
            <w:r w:rsidRPr="00720ECA">
              <w:t xml:space="preserve"> transmission lines and interconnectors - newly constructed</w:t>
            </w:r>
            <w:r w:rsidRPr="00720ECA">
              <w:rPr>
                <w:b/>
                <w:i/>
              </w:rPr>
              <w:t>,</w:t>
            </w:r>
            <w:r w:rsidRPr="00720ECA">
              <w:t xml:space="preserve"> </w:t>
            </w:r>
            <w:r w:rsidRPr="00720ECA">
              <w:rPr>
                <w:b/>
                <w:i/>
              </w:rPr>
              <w:t>extended</w:t>
            </w:r>
            <w:r w:rsidRPr="00720ECA">
              <w:t xml:space="preserve"> or improved’ </w:t>
            </w:r>
            <w:r w:rsidRPr="00720ECA">
              <w:rPr>
                <w:b/>
                <w:i/>
              </w:rPr>
              <w:t>through upgrades, smartening and digitalisation as well as through measures to increase system flexibility, security and resilience against cyber, physical and hybrid threats and climate adaptation.</w:t>
            </w:r>
          </w:p>
          <w:p w:rsidR="0016379F" w:rsidRPr="00720ECA" w:rsidRDefault="0016379F" w:rsidP="001472C2">
            <w:pPr>
              <w:pStyle w:val="Text1"/>
              <w:ind w:left="-198" w:right="-340"/>
              <w:jc w:val="left"/>
              <w:rPr>
                <w:b/>
                <w:i/>
              </w:rPr>
            </w:pPr>
            <w:r w:rsidRPr="00720ECA">
              <w:rPr>
                <w:b/>
                <w:i/>
              </w:rPr>
              <w:t>RCO 97</w:t>
            </w:r>
          </w:p>
          <w:p w:rsidR="0016379F" w:rsidRPr="00720ECA" w:rsidRDefault="0016379F" w:rsidP="001472C2">
            <w:pPr>
              <w:pStyle w:val="Text1"/>
              <w:ind w:left="-198" w:right="-340"/>
              <w:jc w:val="left"/>
            </w:pPr>
            <w:r w:rsidRPr="00720ECA">
              <w:rPr>
                <w:b/>
                <w:i/>
              </w:rPr>
              <w:t>Number of households and SMEs actively involved in the energy market as a result of these deployments, including through energy sharing and demand-response schemes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74</w:t>
      </w:r>
      <w:r w:rsidRPr="00720ECA">
        <w:rPr>
          <w:rStyle w:val="HideTWBExt"/>
          <w:b w:val="0"/>
          <w:noProof w:val="0"/>
        </w:rPr>
        <w:t>&lt;/NumAm&gt;</w:t>
      </w:r>
    </w:p>
    <w:p w:rsidR="0016379F" w:rsidRPr="00720ECA" w:rsidRDefault="0016379F" w:rsidP="0016379F">
      <w:pPr>
        <w:pStyle w:val="AMNumberTabs0"/>
        <w:keepNext/>
        <w:spacing w:before="0"/>
      </w:pPr>
      <w:r w:rsidRPr="00720ECA">
        <w:rPr>
          <w:rStyle w:val="HideTWBExt"/>
          <w:b w:val="0"/>
          <w:noProof w:val="0"/>
        </w:rPr>
        <w:t>&lt;RepeatBlock-By&gt;&lt;Members&gt;</w:t>
      </w:r>
      <w:r w:rsidRPr="00720ECA">
        <w:t>Benedetta Scuderi, Cristina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spacing w:before="0"/>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keepNext/>
      </w:pPr>
      <w:r w:rsidRPr="00720ECA">
        <w:rPr>
          <w:rStyle w:val="HideTWBExt"/>
          <w:noProof w:val="0"/>
        </w:rPr>
        <w:t>&lt;Article&gt;</w:t>
      </w:r>
      <w:r w:rsidRPr="00720ECA">
        <w:t xml:space="preserve"> </w:t>
      </w:r>
      <w:r w:rsidRPr="00720ECA">
        <w:rPr>
          <w:b/>
        </w:rPr>
        <w:t>Article 1 – paragraph 5</w:t>
      </w:r>
      <w:r w:rsidRPr="00720ECA">
        <w:rPr>
          <w:rStyle w:val="HideTWBExt"/>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pPr>
      <w:r w:rsidRPr="00720ECA">
        <w:rPr>
          <w:rStyle w:val="HideTWBExt"/>
          <w:noProof w:val="0"/>
        </w:rPr>
        <w:t>&lt;Article2&gt;</w:t>
      </w:r>
      <w:r w:rsidRPr="00720ECA">
        <w:t xml:space="preserve">Article 7a – paragraph 7 </w:t>
      </w:r>
      <w:r w:rsidRPr="00720ECA">
        <w:softHyphen/>
        <w:t xml:space="preserve"> Annex I – Table 1 – point (d)</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Point1"/>
            </w:pPr>
            <w:r w:rsidRPr="00720ECA">
              <w:t>(d)</w:t>
            </w:r>
            <w:r w:rsidRPr="00720ECA">
              <w:tab/>
              <w:t>in policy objective 3,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jc w:val="left"/>
              <w:rPr>
                <w:rFonts w:ascii="Calibri" w:hAnsi="Calibri"/>
                <w:sz w:val="22"/>
              </w:rPr>
            </w:pPr>
            <w:r w:rsidRPr="00720ECA">
              <w:t xml:space="preserve">‘(iii) developing resilient </w:t>
            </w:r>
            <w:r w:rsidRPr="00720ECA">
              <w:rPr>
                <w:b/>
              </w:rPr>
              <w:t>defence</w:t>
            </w:r>
            <w:r w:rsidRPr="00720ECA">
              <w:t xml:space="preserve"> </w:t>
            </w:r>
            <w:r w:rsidRPr="00720ECA">
              <w:rPr>
                <w:b/>
              </w:rPr>
              <w:t>or</w:t>
            </w:r>
            <w:r w:rsidRPr="00720ECA">
              <w:t xml:space="preserve"> dual use infrastructure to foster military mobility for the Union</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 xml:space="preserve">Any RCO listed for specific objectives (i), (ii) </w:t>
            </w:r>
          </w:p>
          <w:p w:rsidR="0016379F" w:rsidRPr="00720ECA" w:rsidRDefault="0016379F" w:rsidP="001472C2">
            <w:pPr>
              <w:pStyle w:val="Text1"/>
              <w:spacing w:before="0" w:after="0"/>
              <w:ind w:left="-198" w:right="-198"/>
              <w:jc w:val="left"/>
            </w:pPr>
            <w:r w:rsidRPr="00720ECA">
              <w:t xml:space="preserve">RCO129 Infrastructure adapted to military mobility requirements, </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jc w:val="left"/>
            </w:pPr>
            <w:r w:rsidRPr="00720ECA">
              <w:t>Any RCR listed for specific objectives (i), (ii)’</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ColumnHeading"/>
              <w:keepNext/>
              <w:jc w:val="left"/>
            </w:pPr>
            <w:r w:rsidRPr="00720ECA">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1"/>
            </w:pPr>
            <w:r w:rsidRPr="00720ECA">
              <w:t>(d)</w:t>
            </w:r>
            <w:r w:rsidRPr="00720ECA">
              <w:tab/>
              <w:t>in policy objective 3,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340"/>
              <w:jc w:val="left"/>
              <w:rPr>
                <w:rFonts w:ascii="Calibri" w:hAnsi="Calibri"/>
                <w:sz w:val="22"/>
              </w:rPr>
            </w:pPr>
            <w:r w:rsidRPr="00720ECA">
              <w:t>‘(iii) developing resilient dual use infrastructure to foster military mobility for the Union</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340"/>
              <w:jc w:val="left"/>
            </w:pPr>
            <w:r w:rsidRPr="00720ECA">
              <w:t xml:space="preserve">Any RCO listed for specific objectives (i), (ii) </w:t>
            </w:r>
          </w:p>
          <w:p w:rsidR="0016379F" w:rsidRPr="00720ECA" w:rsidRDefault="0016379F" w:rsidP="001472C2">
            <w:pPr>
              <w:pStyle w:val="Text1"/>
              <w:spacing w:before="0" w:after="0"/>
              <w:ind w:left="-198" w:right="-340"/>
              <w:jc w:val="left"/>
            </w:pPr>
            <w:r w:rsidRPr="00720ECA">
              <w:t xml:space="preserve">RCO129 Infrastructure adapted to military mobility requirements, </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340"/>
              <w:jc w:val="left"/>
            </w:pPr>
            <w:r w:rsidRPr="00720ECA">
              <w:t>Any RCR listed for specific objectives (i), (ii)’</w:t>
            </w: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rPr>
          <w:rStyle w:val="HideTWBExt"/>
          <w:noProof w:val="0"/>
        </w:rPr>
      </w:pPr>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75</w:t>
      </w:r>
      <w:r w:rsidRPr="00720ECA">
        <w:rPr>
          <w:rStyle w:val="HideTWBExt"/>
          <w:b w:val="0"/>
          <w:noProof w:val="0"/>
        </w:rPr>
        <w:t>&lt;/NumAm&gt;</w:t>
      </w:r>
    </w:p>
    <w:p w:rsidR="0016379F" w:rsidRPr="00720ECA" w:rsidRDefault="0016379F" w:rsidP="0016379F">
      <w:pPr>
        <w:pStyle w:val="AMNumberTabs0"/>
        <w:keepNext/>
        <w:spacing w:before="0"/>
      </w:pPr>
      <w:r w:rsidRPr="00720ECA">
        <w:rPr>
          <w:rStyle w:val="HideTWBExt"/>
          <w:b w:val="0"/>
          <w:noProof w:val="0"/>
        </w:rPr>
        <w:t>&lt;RepeatBlock-By&gt;&lt;Members&gt;</w:t>
      </w:r>
      <w:r w:rsidRPr="00720ECA">
        <w:t>Benedetta Scuderi, Cristina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spacing w:before="0"/>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keepNext/>
      </w:pPr>
      <w:r w:rsidRPr="00720ECA">
        <w:rPr>
          <w:rStyle w:val="HideTWBExt"/>
          <w:b w:val="0"/>
          <w:noProof w:val="0"/>
        </w:rPr>
        <w:t>&lt;Article&gt;</w:t>
      </w:r>
      <w:r w:rsidRPr="00720ECA">
        <w:t xml:space="preserve"> Article 1 – paragraph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pPr>
      <w:r w:rsidRPr="00720ECA">
        <w:rPr>
          <w:rStyle w:val="HideTWBExt"/>
          <w:noProof w:val="0"/>
        </w:rPr>
        <w:t>&lt;Article2&gt;</w:t>
      </w:r>
      <w:r w:rsidRPr="00720ECA">
        <w:t xml:space="preserve">Article 7a – paragraph 7 </w:t>
      </w:r>
      <w:r w:rsidRPr="00720ECA">
        <w:softHyphen/>
        <w:t xml:space="preserve"> Annex I – Table 1 – point (e)</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Point1"/>
            </w:pPr>
            <w:r w:rsidRPr="00720ECA">
              <w:t>(e)</w:t>
            </w:r>
            <w:r w:rsidRPr="00720ECA">
              <w:tab/>
              <w:t>in policy objective 4,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jc w:val="left"/>
              <w:rPr>
                <w:rFonts w:ascii="Calibri" w:hAnsi="Calibri"/>
                <w:sz w:val="22"/>
              </w:rPr>
            </w:pPr>
            <w:r w:rsidRPr="00720ECA">
              <w:t>‘(vii) promoting access to affordable housing, and related reforms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RCO18  Dwellings with improved energy performance – dwellings</w:t>
            </w:r>
          </w:p>
          <w:p w:rsidR="0016379F" w:rsidRPr="00720ECA" w:rsidRDefault="0016379F" w:rsidP="001472C2">
            <w:pPr>
              <w:pStyle w:val="Text1"/>
              <w:spacing w:before="0" w:after="0"/>
              <w:ind w:left="-198" w:right="-198"/>
              <w:jc w:val="left"/>
            </w:pPr>
            <w:r w:rsidRPr="00720ECA">
              <w:t xml:space="preserve">RCO65  Capacity of new or </w:t>
            </w:r>
            <w:r w:rsidRPr="00720ECA">
              <w:rPr>
                <w:b/>
              </w:rPr>
              <w:t>modernised</w:t>
            </w:r>
            <w:r w:rsidRPr="00720ECA">
              <w:t xml:space="preserve"> social, affordable  housing - persons</w:t>
            </w:r>
          </w:p>
          <w:p w:rsidR="0016379F" w:rsidRPr="00720ECA" w:rsidRDefault="0016379F" w:rsidP="001472C2">
            <w:pPr>
              <w:pStyle w:val="Text1"/>
              <w:spacing w:before="0" w:after="0"/>
              <w:ind w:left="-198" w:right="-198"/>
              <w:jc w:val="left"/>
            </w:pPr>
            <w:r w:rsidRPr="00720ECA">
              <w:t>RCO130 Affordable and social housing related reforms - number</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RCR26   Annual primary energy consumption (of which: dwellings, public buildings, enterprises, other) - MWh/year</w:t>
            </w:r>
          </w:p>
          <w:p w:rsidR="0016379F" w:rsidRPr="00720ECA" w:rsidRDefault="0016379F" w:rsidP="001472C2">
            <w:pPr>
              <w:pStyle w:val="Text1"/>
              <w:spacing w:before="0" w:after="0"/>
              <w:ind w:left="-198" w:right="-198"/>
              <w:jc w:val="left"/>
            </w:pPr>
            <w:r w:rsidRPr="00720ECA">
              <w:t>RCR29   Estimated greenhouse emissions - tonnes CO</w:t>
            </w:r>
            <w:r w:rsidRPr="00720ECA">
              <w:rPr>
                <w:vertAlign w:val="subscript"/>
              </w:rPr>
              <w:t xml:space="preserve">2 </w:t>
            </w:r>
            <w:r w:rsidRPr="00720ECA">
              <w:t xml:space="preserve">eq./year </w:t>
            </w:r>
          </w:p>
          <w:p w:rsidR="0016379F" w:rsidRPr="00720ECA" w:rsidRDefault="0016379F" w:rsidP="001472C2">
            <w:pPr>
              <w:pStyle w:val="Text1"/>
              <w:spacing w:before="0" w:after="0"/>
              <w:ind w:left="-198" w:right="-198"/>
              <w:jc w:val="left"/>
            </w:pPr>
            <w:r w:rsidRPr="00720ECA">
              <w:t xml:space="preserve">RCR67   Annual users of new or </w:t>
            </w:r>
            <w:r w:rsidRPr="00720ECA">
              <w:rPr>
                <w:b/>
              </w:rPr>
              <w:t>modernised</w:t>
            </w:r>
            <w:r w:rsidRPr="00720ECA">
              <w:t xml:space="preserve"> affordable and social housing - users/year’</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ColumnHeading"/>
              <w:keepNext/>
              <w:jc w:val="left"/>
            </w:pPr>
            <w:r w:rsidRPr="00720ECA">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1"/>
            </w:pPr>
            <w:r w:rsidRPr="00720ECA">
              <w:t>(e)</w:t>
            </w:r>
            <w:r w:rsidRPr="00720ECA">
              <w:tab/>
              <w:t>in policy objective 4,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jc w:val="left"/>
              <w:rPr>
                <w:rFonts w:ascii="Calibri" w:hAnsi="Calibri"/>
                <w:sz w:val="22"/>
              </w:rPr>
            </w:pPr>
            <w:r w:rsidRPr="00720ECA">
              <w:t>‘(vii) promoting access to affordable</w:t>
            </w:r>
            <w:r w:rsidRPr="00720ECA">
              <w:rPr>
                <w:b/>
                <w:i/>
              </w:rPr>
              <w:t>, sustainable</w:t>
            </w:r>
            <w:r w:rsidRPr="00720ECA">
              <w:t xml:space="preserve"> and </w:t>
            </w:r>
            <w:r w:rsidRPr="00720ECA">
              <w:rPr>
                <w:b/>
                <w:i/>
              </w:rPr>
              <w:t>decent</w:t>
            </w:r>
            <w:r w:rsidRPr="00720ECA">
              <w:t xml:space="preserve"> housing</w:t>
            </w:r>
            <w:r w:rsidRPr="00720ECA">
              <w:rPr>
                <w:b/>
                <w:bCs/>
                <w:i/>
                <w:iCs/>
              </w:rPr>
              <w:t>, in accordance with Directive (EU) 2024/1275</w:t>
            </w:r>
            <w:r w:rsidRPr="00720ECA">
              <w:rPr>
                <w:rFonts w:ascii="Calibri" w:eastAsia="Calibri" w:hAnsi="Calibri"/>
                <w:b/>
                <w:bCs/>
                <w:i/>
                <w:iCs/>
                <w:sz w:val="22"/>
              </w:rPr>
              <w:t> </w:t>
            </w:r>
            <w:r w:rsidRPr="00720ECA">
              <w:t xml:space="preserve">and related reforms, </w:t>
            </w:r>
            <w:r w:rsidRPr="00720ECA">
              <w:rPr>
                <w:b/>
                <w:bCs/>
                <w:i/>
                <w:iCs/>
              </w:rPr>
              <w:t>such as those set out in the National Building Renovation Plans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RCO18  Dwellings with improved energy performance – dwellings</w:t>
            </w:r>
          </w:p>
          <w:p w:rsidR="0016379F" w:rsidRPr="00720ECA" w:rsidRDefault="0016379F" w:rsidP="001472C2">
            <w:pPr>
              <w:pStyle w:val="Text1"/>
              <w:spacing w:before="0" w:after="0"/>
              <w:ind w:left="-198" w:right="-198"/>
              <w:jc w:val="left"/>
            </w:pPr>
            <w:r w:rsidRPr="00720ECA">
              <w:t xml:space="preserve">RCO65  Capacity of new or </w:t>
            </w:r>
            <w:r w:rsidRPr="00720ECA">
              <w:rPr>
                <w:b/>
                <w:i/>
              </w:rPr>
              <w:t>renovated</w:t>
            </w:r>
            <w:r w:rsidRPr="00720ECA">
              <w:t xml:space="preserve"> social, affordable  housing - persons</w:t>
            </w:r>
          </w:p>
          <w:p w:rsidR="0016379F" w:rsidRPr="00720ECA" w:rsidRDefault="0016379F" w:rsidP="001472C2">
            <w:pPr>
              <w:pStyle w:val="Text1"/>
              <w:spacing w:before="0" w:after="0"/>
              <w:ind w:left="-198" w:right="-198"/>
              <w:jc w:val="left"/>
            </w:pPr>
            <w:r w:rsidRPr="00720ECA">
              <w:t>RCO130 Affordable and social housing related reforms - number</w:t>
            </w:r>
          </w:p>
          <w:p w:rsidR="0016379F" w:rsidRPr="00720ECA" w:rsidRDefault="0016379F" w:rsidP="001472C2">
            <w:pPr>
              <w:pStyle w:val="Text1"/>
              <w:spacing w:before="0" w:after="0"/>
              <w:ind w:left="-198" w:right="-198"/>
              <w:jc w:val="left"/>
              <w:rPr>
                <w:b/>
                <w:i/>
              </w:rPr>
            </w:pPr>
            <w:r w:rsidRPr="00720ECA">
              <w:rPr>
                <w:b/>
                <w:i/>
              </w:rPr>
              <w:t>RCO 97 -Renewable energy communities  and citizen-led renovation initiatives supported*</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RCR26   Annual primary energy consumption (of which: dwellings, public buildings, enterprises, other) - MWh/year</w:t>
            </w:r>
          </w:p>
          <w:p w:rsidR="0016379F" w:rsidRPr="00720ECA" w:rsidRDefault="0016379F" w:rsidP="001472C2">
            <w:pPr>
              <w:pStyle w:val="Text1"/>
              <w:spacing w:before="0" w:after="0"/>
              <w:ind w:left="-198" w:right="-198"/>
              <w:jc w:val="left"/>
            </w:pPr>
            <w:r w:rsidRPr="00720ECA">
              <w:t>RCR29   Estimated greenhouse emissions - tonnes CO</w:t>
            </w:r>
            <w:r w:rsidRPr="00720ECA">
              <w:rPr>
                <w:vertAlign w:val="subscript"/>
              </w:rPr>
              <w:t xml:space="preserve">2 </w:t>
            </w:r>
            <w:r w:rsidRPr="00720ECA">
              <w:t xml:space="preserve">eq./year </w:t>
            </w:r>
          </w:p>
          <w:p w:rsidR="0016379F" w:rsidRPr="00720ECA" w:rsidRDefault="0016379F" w:rsidP="001472C2">
            <w:pPr>
              <w:pStyle w:val="Text1"/>
              <w:spacing w:before="0" w:after="0"/>
              <w:ind w:left="-198" w:right="-198"/>
              <w:jc w:val="left"/>
            </w:pPr>
            <w:r w:rsidRPr="00720ECA">
              <w:t xml:space="preserve">RCR67   Annual users of new or </w:t>
            </w:r>
            <w:r w:rsidRPr="00720ECA">
              <w:rPr>
                <w:b/>
                <w:i/>
              </w:rPr>
              <w:t>renovated</w:t>
            </w:r>
            <w:r w:rsidRPr="00720ECA">
              <w:t xml:space="preserve"> affordable and social housing - users/year’</w:t>
            </w:r>
          </w:p>
          <w:p w:rsidR="0016379F" w:rsidRPr="00720ECA" w:rsidRDefault="0016379F" w:rsidP="001472C2">
            <w:pPr>
              <w:pStyle w:val="Text1"/>
              <w:ind w:left="-198" w:right="-198"/>
              <w:jc w:val="left"/>
              <w:rPr>
                <w:b/>
                <w:i/>
              </w:rPr>
            </w:pPr>
            <w:r w:rsidRPr="00720ECA">
              <w:rPr>
                <w:b/>
                <w:i/>
              </w:rPr>
              <w:t>RCR 31 - Total renewable energy produced (of which: electricity, thermal) (3) *</w:t>
            </w:r>
          </w:p>
          <w:p w:rsidR="0016379F" w:rsidRPr="00720ECA" w:rsidRDefault="0016379F" w:rsidP="001472C2">
            <w:pPr>
              <w:pStyle w:val="Text1"/>
              <w:spacing w:before="0" w:after="0"/>
              <w:ind w:left="-198" w:right="-198"/>
              <w:jc w:val="left"/>
            </w:pPr>
            <w:r w:rsidRPr="00720ECA">
              <w:rPr>
                <w:b/>
                <w:i/>
              </w:rPr>
              <w:t>RCR 32 - Additional operational capacity installed for renewable energy generated on site or close to existing buildings*</w:t>
            </w: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rPr>
          <w:rStyle w:val="HideTWBExt"/>
          <w:noProof w:val="0"/>
        </w:rPr>
      </w:pPr>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76</w:t>
      </w:r>
      <w:r w:rsidRPr="00720ECA">
        <w:rPr>
          <w:rStyle w:val="HideTWBExt"/>
          <w:b w:val="0"/>
          <w:noProof w:val="0"/>
        </w:rPr>
        <w:t>&lt;/NumAm&gt;</w:t>
      </w:r>
    </w:p>
    <w:p w:rsidR="0016379F" w:rsidRPr="00720ECA" w:rsidRDefault="0016379F" w:rsidP="0016379F">
      <w:pPr>
        <w:pStyle w:val="AMNumberTabs0"/>
        <w:keepNext/>
        <w:spacing w:before="0"/>
      </w:pPr>
      <w:r w:rsidRPr="00720ECA">
        <w:rPr>
          <w:rStyle w:val="HideTWBExt"/>
          <w:b w:val="0"/>
          <w:noProof w:val="0"/>
        </w:rPr>
        <w:t>&lt;RepeatBlock-By&gt;&lt;Members&gt;</w:t>
      </w:r>
      <w:r w:rsidRPr="00720ECA">
        <w:t>Benedetta Scuderi, Cristina Guarda</w:t>
      </w:r>
      <w:r w:rsidRPr="00720ECA">
        <w:rPr>
          <w:rStyle w:val="HideTWBExt"/>
          <w:b w:val="0"/>
          <w:noProof w:val="0"/>
        </w:rPr>
        <w:t>&lt;/Members&gt;</w:t>
      </w:r>
    </w:p>
    <w:p w:rsidR="0016379F" w:rsidRPr="00720ECA" w:rsidRDefault="0016379F" w:rsidP="0016379F">
      <w:r w:rsidRPr="00720ECA">
        <w:rPr>
          <w:rStyle w:val="HideTWBExt"/>
          <w:rFonts w:eastAsiaTheme="majorEastAsia"/>
          <w:noProof w:val="0"/>
        </w:rPr>
        <w:t>&lt;/RepeatBlock-By&gt;</w:t>
      </w:r>
    </w:p>
    <w:p w:rsidR="0016379F" w:rsidRPr="00720ECA" w:rsidRDefault="0016379F" w:rsidP="0016379F">
      <w:pPr>
        <w:pStyle w:val="NormalBold12b"/>
        <w:keepNext/>
        <w:spacing w:before="0"/>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keepNext/>
      </w:pPr>
      <w:r w:rsidRPr="00720ECA">
        <w:rPr>
          <w:rStyle w:val="HideTWBExt"/>
          <w:b w:val="0"/>
          <w:noProof w:val="0"/>
        </w:rPr>
        <w:t>&lt;Article&gt;</w:t>
      </w:r>
      <w:r w:rsidRPr="00720ECA">
        <w:t>Article 1 – paragraph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pPr>
        <w:spacing w:after="120"/>
        <w:rPr>
          <w:rStyle w:val="HideTWBExt"/>
          <w:noProof w:val="0"/>
        </w:rPr>
      </w:pPr>
      <w:r w:rsidRPr="00720ECA">
        <w:rPr>
          <w:rStyle w:val="HideTWBExt"/>
          <w:noProof w:val="0"/>
        </w:rPr>
        <w:t>&lt;Article2&gt;</w:t>
      </w:r>
      <w:r w:rsidRPr="00720ECA">
        <w:t>Article 7a – paragraph 7 – Annex I – Table 1 – point (f)</w:t>
      </w:r>
      <w:r w:rsidRPr="00720ECA">
        <w:rPr>
          <w:rStyle w:val="HideTWBExt"/>
          <w:noProof w:val="0"/>
        </w:rPr>
        <w:t>&lt;/Article2&gt;</w:t>
      </w:r>
    </w:p>
    <w:p w:rsidR="0016379F" w:rsidRPr="00720ECA" w:rsidRDefault="0016379F" w:rsidP="0016379F">
      <w:pPr>
        <w:rPr>
          <w:vanish/>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2408"/>
        <w:gridCol w:w="2411"/>
        <w:gridCol w:w="2410"/>
        <w:gridCol w:w="2410"/>
      </w:tblGrid>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keepNex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ColumnHeading"/>
              <w:keepNext/>
              <w:jc w:val="left"/>
            </w:pPr>
            <w:r w:rsidRPr="00720ECA">
              <w:t>Text proposed by the Commission</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hideMark/>
          </w:tcPr>
          <w:p w:rsidR="0016379F" w:rsidRPr="00720ECA" w:rsidRDefault="0016379F" w:rsidP="001472C2">
            <w:pPr>
              <w:pStyle w:val="Point1"/>
            </w:pPr>
            <w:r w:rsidRPr="00720ECA">
              <w:t>(f)</w:t>
            </w:r>
            <w:r w:rsidRPr="00720ECA">
              <w:tab/>
              <w:t>in policy objective 5,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jc w:val="left"/>
              <w:rPr>
                <w:rFonts w:ascii="Calibri" w:hAnsi="Calibri"/>
                <w:sz w:val="22"/>
              </w:rPr>
            </w:pPr>
            <w:r w:rsidRPr="00720ECA">
              <w:t>(iii) fostering integrated territorial development, through access to affordable housing, and the development of related reforms in all types of territories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RCO18  Dwellings with improved energy performance – dwellings</w:t>
            </w:r>
          </w:p>
          <w:p w:rsidR="0016379F" w:rsidRPr="00720ECA" w:rsidRDefault="0016379F" w:rsidP="001472C2">
            <w:pPr>
              <w:pStyle w:val="Text1"/>
              <w:spacing w:before="0" w:after="0"/>
              <w:ind w:left="-198" w:right="-198"/>
              <w:jc w:val="left"/>
            </w:pPr>
            <w:r w:rsidRPr="00720ECA">
              <w:t xml:space="preserve">RCO65  Capacity of new or </w:t>
            </w:r>
            <w:r w:rsidRPr="00720ECA">
              <w:rPr>
                <w:b/>
                <w:i/>
              </w:rPr>
              <w:t>modernised</w:t>
            </w:r>
            <w:r w:rsidRPr="00720ECA">
              <w:t xml:space="preserve"> affordable, and social housing - persons</w:t>
            </w:r>
          </w:p>
          <w:p w:rsidR="0016379F" w:rsidRPr="00720ECA" w:rsidRDefault="0016379F" w:rsidP="001472C2">
            <w:pPr>
              <w:pStyle w:val="Text1"/>
              <w:spacing w:before="0" w:after="0"/>
              <w:ind w:left="-198" w:right="-198"/>
              <w:jc w:val="left"/>
            </w:pPr>
            <w:r w:rsidRPr="00720ECA">
              <w:t>RCO130 Affordable and social ousing related reforms - number</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RCR26   Annual primary energy consumption (of which: dwellings, public buildings, enterprises, other) - MWh/year</w:t>
            </w:r>
          </w:p>
          <w:p w:rsidR="0016379F" w:rsidRPr="00720ECA" w:rsidRDefault="0016379F" w:rsidP="001472C2">
            <w:pPr>
              <w:pStyle w:val="Text1"/>
              <w:spacing w:before="0" w:after="0"/>
              <w:ind w:left="-198" w:right="-198"/>
              <w:jc w:val="left"/>
            </w:pPr>
            <w:r w:rsidRPr="00720ECA">
              <w:t>RCR29   Estimated greenhouse emissions - tonnes CO</w:t>
            </w:r>
            <w:r w:rsidRPr="00720ECA">
              <w:rPr>
                <w:vertAlign w:val="subscript"/>
              </w:rPr>
              <w:t xml:space="preserve">2 </w:t>
            </w:r>
            <w:r w:rsidRPr="00720ECA">
              <w:t xml:space="preserve">eq./year </w:t>
            </w:r>
          </w:p>
          <w:p w:rsidR="0016379F" w:rsidRPr="00720ECA" w:rsidRDefault="0016379F" w:rsidP="001472C2">
            <w:pPr>
              <w:pStyle w:val="Text1"/>
              <w:spacing w:before="0" w:after="0"/>
              <w:ind w:left="-198" w:right="-198"/>
              <w:jc w:val="left"/>
            </w:pPr>
            <w:r w:rsidRPr="00720ECA">
              <w:t xml:space="preserve">RCR67   Annual users of new or </w:t>
            </w:r>
            <w:r w:rsidRPr="00720ECA">
              <w:rPr>
                <w:b/>
                <w:i/>
              </w:rPr>
              <w:t>modernised</w:t>
            </w:r>
            <w:r w:rsidRPr="00720ECA">
              <w:t xml:space="preserve"> affordable and social housing - users/year’</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line="276" w:lineRule="auto"/>
              <w:ind w:left="-198" w:right="-198"/>
              <w:jc w:val="left"/>
            </w:pP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ColumnHeading"/>
              <w:keepNext/>
              <w:jc w:val="left"/>
            </w:pPr>
            <w:r w:rsidRPr="00720ECA">
              <w:t>Amendment</w:t>
            </w:r>
          </w:p>
        </w:tc>
      </w:tr>
      <w:tr w:rsidR="0016379F" w:rsidRPr="00720ECA" w:rsidTr="001472C2">
        <w:trPr>
          <w:jc w:val="center"/>
        </w:trPr>
        <w:tc>
          <w:tcPr>
            <w:tcW w:w="9639" w:type="dxa"/>
            <w:gridSpan w:val="4"/>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Point1"/>
            </w:pPr>
            <w:r w:rsidRPr="00720ECA">
              <w:t>(f)</w:t>
            </w:r>
            <w:r w:rsidRPr="00720ECA">
              <w:tab/>
              <w:t>in policy objective 5, the following row is added:</w:t>
            </w:r>
          </w:p>
        </w:tc>
      </w:tr>
      <w:tr w:rsidR="0016379F" w:rsidRPr="00720ECA" w:rsidTr="001472C2">
        <w:trPr>
          <w:jc w:val="center"/>
        </w:trPr>
        <w:tc>
          <w:tcPr>
            <w:tcW w:w="2408"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rPr>
                <w:szCs w:val="24"/>
              </w:rPr>
            </w:pPr>
          </w:p>
        </w:tc>
        <w:tc>
          <w:tcPr>
            <w:tcW w:w="2411" w:type="dxa"/>
            <w:tcBorders>
              <w:top w:val="single" w:sz="4" w:space="0" w:color="auto"/>
              <w:left w:val="single" w:sz="4" w:space="0" w:color="auto"/>
              <w:bottom w:val="single" w:sz="4" w:space="0" w:color="auto"/>
              <w:right w:val="single" w:sz="4" w:space="0" w:color="auto"/>
            </w:tcBorders>
            <w:vAlign w:val="center"/>
          </w:tcPr>
          <w:p w:rsidR="0016379F" w:rsidRPr="00720ECA" w:rsidRDefault="0016379F" w:rsidP="001472C2">
            <w:pPr>
              <w:pStyle w:val="Text1"/>
              <w:spacing w:before="0" w:after="0"/>
              <w:ind w:left="-198" w:right="-198"/>
              <w:jc w:val="left"/>
              <w:rPr>
                <w:rFonts w:ascii="Calibri" w:hAnsi="Calibri"/>
                <w:sz w:val="22"/>
              </w:rPr>
            </w:pPr>
            <w:r w:rsidRPr="00720ECA">
              <w:t>(iii) fostering integrated territorial development, through access to affordable</w:t>
            </w:r>
            <w:r w:rsidRPr="00720ECA">
              <w:rPr>
                <w:b/>
                <w:i/>
              </w:rPr>
              <w:t>,</w:t>
            </w:r>
            <w:r w:rsidRPr="00720ECA">
              <w:t xml:space="preserve"> </w:t>
            </w:r>
            <w:r w:rsidRPr="00720ECA">
              <w:rPr>
                <w:b/>
                <w:i/>
              </w:rPr>
              <w:t xml:space="preserve">sustainable </w:t>
            </w:r>
            <w:r w:rsidRPr="00720ECA">
              <w:t>and</w:t>
            </w:r>
            <w:r w:rsidRPr="00720ECA">
              <w:rPr>
                <w:b/>
                <w:i/>
              </w:rPr>
              <w:t xml:space="preserve"> decent</w:t>
            </w:r>
            <w:r w:rsidRPr="00720ECA">
              <w:t xml:space="preserve"> housing, </w:t>
            </w:r>
            <w:r w:rsidRPr="00720ECA">
              <w:rPr>
                <w:b/>
                <w:bCs/>
                <w:i/>
                <w:iCs/>
              </w:rPr>
              <w:t xml:space="preserve">in accordance with Directive (EU) 2024/1275 </w:t>
            </w:r>
            <w:r w:rsidRPr="00720ECA">
              <w:t xml:space="preserve">and the development of related reforms in all types of territories, </w:t>
            </w:r>
            <w:r w:rsidRPr="00720ECA">
              <w:rPr>
                <w:b/>
                <w:bCs/>
                <w:i/>
                <w:iCs/>
              </w:rPr>
              <w:t>such as those set out in the National Building Renovation Plans</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RCO18  Dwellings with improved energy performance – dwellings</w:t>
            </w:r>
          </w:p>
          <w:p w:rsidR="0016379F" w:rsidRPr="00720ECA" w:rsidRDefault="0016379F" w:rsidP="001472C2">
            <w:pPr>
              <w:pStyle w:val="Text1"/>
              <w:spacing w:before="0" w:after="0"/>
              <w:ind w:left="-198" w:right="-198"/>
              <w:jc w:val="left"/>
            </w:pPr>
            <w:r w:rsidRPr="00720ECA">
              <w:t xml:space="preserve">RCO65  Capacity of new or </w:t>
            </w:r>
            <w:r w:rsidRPr="00720ECA">
              <w:rPr>
                <w:b/>
                <w:i/>
              </w:rPr>
              <w:t>renovated</w:t>
            </w:r>
            <w:r w:rsidRPr="00720ECA">
              <w:t xml:space="preserve"> affordable, and social housing - persons</w:t>
            </w:r>
          </w:p>
          <w:p w:rsidR="0016379F" w:rsidRPr="00720ECA" w:rsidRDefault="0016379F" w:rsidP="001472C2">
            <w:pPr>
              <w:pStyle w:val="Text1"/>
              <w:spacing w:before="0" w:after="0"/>
              <w:ind w:left="-198" w:right="-198"/>
              <w:jc w:val="left"/>
            </w:pPr>
            <w:r w:rsidRPr="00720ECA">
              <w:t>RCO130 Affordable and social ousing related reforms - number</w:t>
            </w:r>
          </w:p>
          <w:p w:rsidR="0016379F" w:rsidRPr="00720ECA" w:rsidRDefault="0016379F" w:rsidP="001472C2">
            <w:pPr>
              <w:pStyle w:val="Text1"/>
              <w:spacing w:before="0" w:after="0"/>
              <w:ind w:left="-198" w:right="-198"/>
              <w:jc w:val="left"/>
            </w:pPr>
            <w:r w:rsidRPr="00720ECA">
              <w:rPr>
                <w:b/>
                <w:i/>
              </w:rPr>
              <w:t>RCO 97 -Renewable energy communities  and citizen-led renovation initiatives supported*</w:t>
            </w:r>
          </w:p>
        </w:tc>
        <w:tc>
          <w:tcPr>
            <w:tcW w:w="2410" w:type="dxa"/>
            <w:tcBorders>
              <w:top w:val="single" w:sz="4" w:space="0" w:color="auto"/>
              <w:left w:val="single" w:sz="4" w:space="0" w:color="auto"/>
              <w:bottom w:val="single" w:sz="4" w:space="0" w:color="auto"/>
              <w:right w:val="single" w:sz="4" w:space="0" w:color="auto"/>
            </w:tcBorders>
          </w:tcPr>
          <w:p w:rsidR="0016379F" w:rsidRPr="00720ECA" w:rsidRDefault="0016379F" w:rsidP="001472C2">
            <w:pPr>
              <w:pStyle w:val="Text1"/>
              <w:spacing w:before="0" w:after="0"/>
              <w:ind w:left="-198" w:right="-198"/>
              <w:jc w:val="left"/>
            </w:pPr>
            <w:r w:rsidRPr="00720ECA">
              <w:t>RCR26   Annual primary energy consumption (of which: dwellings, public buildings, enterprises, other) - MWh/year</w:t>
            </w:r>
          </w:p>
          <w:p w:rsidR="0016379F" w:rsidRPr="00720ECA" w:rsidRDefault="0016379F" w:rsidP="001472C2">
            <w:pPr>
              <w:pStyle w:val="Text1"/>
              <w:spacing w:before="0" w:after="0"/>
              <w:ind w:left="-198" w:right="-198"/>
              <w:jc w:val="left"/>
            </w:pPr>
            <w:r w:rsidRPr="00720ECA">
              <w:t>RCR29   Estimated greenhouse emissions - tonnes CO</w:t>
            </w:r>
            <w:r w:rsidRPr="00720ECA">
              <w:rPr>
                <w:vertAlign w:val="subscript"/>
              </w:rPr>
              <w:t xml:space="preserve">2 </w:t>
            </w:r>
            <w:r w:rsidRPr="00720ECA">
              <w:t xml:space="preserve">eq./year </w:t>
            </w:r>
          </w:p>
          <w:p w:rsidR="0016379F" w:rsidRPr="00720ECA" w:rsidRDefault="0016379F" w:rsidP="001472C2">
            <w:pPr>
              <w:pStyle w:val="Text1"/>
              <w:spacing w:before="0" w:after="0"/>
              <w:ind w:left="-198" w:right="-198"/>
              <w:jc w:val="left"/>
            </w:pPr>
            <w:r w:rsidRPr="00720ECA">
              <w:t xml:space="preserve">RCR67   Annual users of new or </w:t>
            </w:r>
            <w:r w:rsidRPr="00720ECA">
              <w:rPr>
                <w:b/>
                <w:i/>
              </w:rPr>
              <w:t>renovated</w:t>
            </w:r>
            <w:r w:rsidRPr="00720ECA">
              <w:t xml:space="preserve"> affordable and social housing - users/year’</w:t>
            </w:r>
          </w:p>
          <w:p w:rsidR="0016379F" w:rsidRPr="00720ECA" w:rsidRDefault="0016379F" w:rsidP="001472C2">
            <w:pPr>
              <w:pStyle w:val="Text1"/>
              <w:ind w:left="-198" w:right="-198"/>
              <w:jc w:val="left"/>
              <w:rPr>
                <w:b/>
                <w:i/>
              </w:rPr>
            </w:pPr>
            <w:r w:rsidRPr="00720ECA">
              <w:rPr>
                <w:b/>
                <w:i/>
              </w:rPr>
              <w:t>RCR 31 - Total renewable energy produced (of which: electricity, thermal) (3) *</w:t>
            </w:r>
          </w:p>
          <w:p w:rsidR="0016379F" w:rsidRPr="00720ECA" w:rsidRDefault="0016379F" w:rsidP="001472C2">
            <w:pPr>
              <w:pStyle w:val="Text1"/>
              <w:spacing w:before="0" w:after="0"/>
              <w:ind w:left="-198" w:right="-198"/>
              <w:jc w:val="left"/>
            </w:pPr>
            <w:r w:rsidRPr="00720ECA">
              <w:rPr>
                <w:b/>
                <w:i/>
              </w:rPr>
              <w:t>RCR 32 - Additional operational capacity installed for renewable energy generated on site or close to existing buildings*</w:t>
            </w:r>
          </w:p>
        </w:tc>
      </w:tr>
    </w:tbl>
    <w:p w:rsidR="0016379F" w:rsidRPr="00720ECA" w:rsidRDefault="0016379F" w:rsidP="0016379F">
      <w:pPr>
        <w:pStyle w:val="Olang"/>
        <w:rPr>
          <w:noProof w:val="0"/>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rPr>
          <w:rFonts w:ascii="Arial" w:hAnsi="Arial"/>
          <w:vanish/>
          <w:sz w:val="20"/>
        </w:rPr>
      </w:pPr>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3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5 – paragraph 10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10.</w:t>
            </w:r>
            <w:r w:rsidRPr="00720ECA">
              <w:rPr>
                <w:b/>
                <w:i/>
              </w:rPr>
              <w:tab/>
              <w:t>In addition to the possibilities set out in Article 14 of Regulation (EU) 2021/1060, Member States may, with the agreement of the managing authorities concerned, allocate resources from the ERDF and the Cohesion Fund to the Member State compartment of the InvestEU Fund to deploy them through the InvestEU financial instrument to be set out in [Article 10a of Regulation (EU) 2021/523 of the European Parliament and of the Council]*. Such contributions shall be subject to the procedures set out in Article 14 of Regulation (EU) 2021/1060 and count towards the ceilings set out in that Article. Resources generated by or attributable to the amounts contributed to the InvestEU financial instrument in accordance with Article 14 of Regulation (EU) 2021/1060 shall be made available to the Member State in accordance with the contribution agreement and shall be used for support under the same objective or objectives in the form of financial instruments or budgetary guarantees.</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4 – point a</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 – paragraph 1 – point (b)</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(b)</w:t>
            </w:r>
            <w:r w:rsidRPr="00720ECA">
              <w:tab/>
              <w:t xml:space="preserve">investment to achieve the reduction of greenhouse gas emissions from activities listed in Annex I to Directive 2003/87/EC, except those which have been awarded a </w:t>
            </w:r>
            <w:r w:rsidRPr="00720ECA">
              <w:rPr>
                <w:b/>
                <w:i/>
              </w:rPr>
              <w:t>Seal of Excellence as defined in</w:t>
            </w:r>
            <w:r w:rsidRPr="00720ECA">
              <w:t xml:space="preserve"> Article </w:t>
            </w:r>
            <w:r w:rsidRPr="00720ECA">
              <w:rPr>
                <w:b/>
                <w:i/>
              </w:rPr>
              <w:t>2, point (45),</w:t>
            </w:r>
            <w:r w:rsidRPr="00720ECA">
              <w:t xml:space="preserve"> of Regulation (EU) </w:t>
            </w:r>
            <w:r w:rsidRPr="00720ECA">
              <w:rPr>
                <w:b/>
                <w:i/>
              </w:rPr>
              <w:t>2021/1060;;</w:t>
            </w:r>
          </w:p>
        </w:tc>
        <w:tc>
          <w:tcPr>
            <w:tcW w:w="4876" w:type="dxa"/>
            <w:hideMark/>
          </w:tcPr>
          <w:p w:rsidR="0016379F" w:rsidRPr="00720ECA" w:rsidRDefault="0016379F" w:rsidP="001472C2">
            <w:pPr>
              <w:pStyle w:val="Normal6"/>
              <w:rPr>
                <w:szCs w:val="24"/>
              </w:rPr>
            </w:pPr>
            <w:r w:rsidRPr="00720ECA">
              <w:t>(b)</w:t>
            </w:r>
            <w:r w:rsidRPr="00720ECA">
              <w:tab/>
              <w:t xml:space="preserve">investment to achieve the reduction of greenhouse gas emissions from activities listed in Annex I to Directive 2003/87/EC, except those which have been awarded a </w:t>
            </w:r>
            <w:r w:rsidRPr="00720ECA">
              <w:rPr>
                <w:b/>
                <w:i/>
              </w:rPr>
              <w:t>Sovereignty Seal under</w:t>
            </w:r>
            <w:r w:rsidRPr="00720ECA">
              <w:t xml:space="preserve"> Article </w:t>
            </w:r>
            <w:r w:rsidRPr="00720ECA">
              <w:rPr>
                <w:b/>
                <w:i/>
              </w:rPr>
              <w:t>4(1)</w:t>
            </w:r>
            <w:r w:rsidRPr="00720ECA">
              <w:t xml:space="preserve"> of Regulation (EU) </w:t>
            </w:r>
            <w:r w:rsidRPr="00720ECA">
              <w:rPr>
                <w:b/>
                <w:i/>
              </w:rPr>
              <w:t>2024/795 in a call for proposals under the Commission Delegated Regulation (EU) 2019/856.</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Supporting decarbonisation of industry (activities under EU ETS), but only those related to a Sovereignty Seal</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79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4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 – paragraph 1 – point (h) – point (iv)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(b)</w:t>
            </w:r>
            <w:r w:rsidRPr="00720ECA">
              <w:rPr>
                <w:b/>
                <w:i/>
              </w:rPr>
              <w:tab/>
              <w:t>in point (h), the following point (iv) is added:</w:t>
            </w:r>
          </w:p>
        </w:tc>
        <w:tc>
          <w:tcPr>
            <w:tcW w:w="4876" w:type="dxa"/>
            <w:hideMark/>
          </w:tcPr>
          <w:p w:rsidR="0016379F" w:rsidRPr="00720ECA" w:rsidRDefault="0016379F" w:rsidP="001472C2">
            <w:pPr>
              <w:pStyle w:val="Normal6"/>
              <w:rPr>
                <w:szCs w:val="24"/>
              </w:rPr>
            </w:pPr>
            <w:r w:rsidRPr="00720ECA">
              <w:rPr>
                <w:b/>
                <w:i/>
              </w:rPr>
              <w:t>deleted</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(iv)</w:t>
            </w:r>
            <w:r w:rsidRPr="00720ECA">
              <w:rPr>
                <w:b/>
                <w:i/>
              </w:rPr>
              <w:tab/>
              <w:t>investment in operations attributed a Sovereignty Seal under Article 4(1) of Regulation (EU) 2024/795 in a call for proposals under Commission Delegated Regulation (EU) 2019/856..</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ab/>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The amendment deletes the proposed possibility of support to decarbonisation projects related to fossil fuels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4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 – paragraph 1 – point (h) – point (iv a)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(iv a)</w:t>
            </w:r>
            <w:r w:rsidRPr="00720ECA">
              <w:rPr>
                <w:b/>
                <w:i/>
              </w:rPr>
              <w:tab/>
              <w:t>The Cohesion Fund shall support PO 2 and 3, including the specific objectives set out in paragraph 1, points (b)(x), (b)(xi), (b)(xii) and (c)(iii), of this Article, insofar as such support is in line with the scope of support as set out in Articles 6 and 7.</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1 – subparagraph 1</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The additional pre-financing referred to in the first subparagraph of this paragraph shall only apply where reallocations of at least </w:t>
            </w:r>
            <w:r w:rsidRPr="00720ECA">
              <w:rPr>
                <w:b/>
                <w:i/>
              </w:rPr>
              <w:t>15%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c>
          <w:tcPr>
            <w:tcW w:w="4876" w:type="dxa"/>
            <w:hideMark/>
          </w:tcPr>
          <w:p w:rsidR="0016379F" w:rsidRPr="00720ECA" w:rsidRDefault="0016379F" w:rsidP="001472C2">
            <w:pPr>
              <w:pStyle w:val="Normal6"/>
              <w:rPr>
                <w:szCs w:val="24"/>
              </w:rPr>
            </w:pPr>
            <w:r w:rsidRPr="00720ECA">
              <w:t xml:space="preserve">The additional pre-financing referred to in the first subparagraph of this paragraph shall only apply where reallocations of at least </w:t>
            </w:r>
            <w:r w:rsidRPr="00720ECA">
              <w:rPr>
                <w:b/>
                <w:i/>
              </w:rPr>
              <w:t>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6a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6a. When submitting a programme amendment, Member States, in close cooperation with representative national social partners, shall include, in the framework of dedicated priorities, obligations to respect working and employment conditions under applicable Union and national law, International Labour Organization conventions and collective agreements.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2</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2.</w:t>
            </w:r>
            <w:r w:rsidRPr="00720ECA">
              <w:tab/>
              <w:t xml:space="preserve">By way of derogation from Article 63(2) and Article 105(2) of Regulation (EU) 2021/1060, the deadline for the eligibility of expenditure, the reimbursement of costs as well as for decommitment shall be 31 December 2030. That derogation shall only apply where programme amendments reallocating at least </w:t>
            </w:r>
            <w:r w:rsidRPr="00720ECA">
              <w:rPr>
                <w:b/>
                <w:i/>
              </w:rPr>
              <w:t>15%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w:t>
            </w:r>
          </w:p>
        </w:tc>
        <w:tc>
          <w:tcPr>
            <w:tcW w:w="4876" w:type="dxa"/>
            <w:hideMark/>
          </w:tcPr>
          <w:p w:rsidR="0016379F" w:rsidRPr="00720ECA" w:rsidRDefault="0016379F" w:rsidP="001472C2">
            <w:pPr>
              <w:pStyle w:val="Normal6"/>
              <w:rPr>
                <w:szCs w:val="24"/>
              </w:rPr>
            </w:pPr>
            <w:r w:rsidRPr="00720ECA">
              <w:t>2.</w:t>
            </w:r>
            <w:r w:rsidRPr="00720ECA">
              <w:tab/>
              <w:t xml:space="preserve">By way of derogation from Article 63(2) and Article 105(2) of Regulation (EU) 2021/1060, the deadline for the eligibility of expenditure, the reimbursement of costs as well as for decommitment shall be 31 December 2030. That derogation shall only apply where programme amendments reallocating at least </w:t>
            </w:r>
            <w:r w:rsidRPr="00720ECA">
              <w:rPr>
                <w:b/>
                <w:i/>
              </w:rPr>
              <w:t>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3</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3.</w:t>
            </w:r>
            <w:r w:rsidRPr="00720ECA">
              <w:rPr>
                <w:b/>
                <w:i/>
              </w:rPr>
              <w:tab/>
              <w:t>Member States may in requests for programme amendments in accordance with Article 24 of Regulation (EU) 2021/1060 request the reallocation of ERDF resources programmed under the Investment for jobs and growth goal to the European Urban Initiative and to the Interregional Innovation Investments Instruments referred to in Article 12 and Article 13 of this Regulation respectively. Reallocated resources shall be implemented for the benefit of the Member State concerned. Such reallocations shall not constitute transfers within the meaning of Article 26 of Regulation (EU) 2021/1060.</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4</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4.</w:t>
            </w:r>
            <w:r w:rsidRPr="00720ECA">
              <w:tab/>
              <w:t xml:space="preserve">By way of derogation from Article 112 of Regulation (EU) 2021/1060, the maximum co-financing rate for priorities in programmes under the Investment for jobs and growth goal covering one or more NUTS2 regions bordering Russia, Belarus or Ukraine shall be 100%. The higher co-financing rate shall not apply to programmes covering the entire territory of the Member State concerned, unless those regions are included only in programmes covering the entire territory of that Member State. The derogation shall only apply where reallocations of at least </w:t>
            </w:r>
            <w:r w:rsidRPr="00720ECA">
              <w:rPr>
                <w:b/>
                <w:i/>
              </w:rPr>
              <w:t>15%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c>
          <w:tcPr>
            <w:tcW w:w="4876" w:type="dxa"/>
            <w:hideMark/>
          </w:tcPr>
          <w:p w:rsidR="0016379F" w:rsidRPr="00720ECA" w:rsidRDefault="0016379F" w:rsidP="001472C2">
            <w:pPr>
              <w:pStyle w:val="Normal6"/>
              <w:rPr>
                <w:szCs w:val="24"/>
              </w:rPr>
            </w:pPr>
            <w:r w:rsidRPr="00720ECA">
              <w:t>4.</w:t>
            </w:r>
            <w:r w:rsidRPr="00720ECA">
              <w:tab/>
              <w:t xml:space="preserve">By way of derogation from Article 112 of Regulation (EU) 2021/1060, the maximum co-financing rate for priorities in programmes under the Investment for jobs and growth goal covering one or more NUTS2 regions bordering Russia, Belarus or Ukraine shall be 100%. The higher co-financing rate shall not apply to programmes covering the entire territory of the Member State concerned, unless those regions are included only in programmes covering the entire territory of that Member State. The derogation shall only apply where reallocations of at least </w:t>
            </w:r>
            <w:r w:rsidRPr="00720ECA">
              <w:rPr>
                <w:b/>
                <w:i/>
              </w:rPr>
              <w:t>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4</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4.</w:t>
            </w:r>
            <w:r w:rsidRPr="00720ECA">
              <w:tab/>
              <w:t xml:space="preserve">By way of derogation from Article 112 of Regulation (EU) 2021/1060, the maximum co-financing rate for priorities in programmes under the Investment for jobs and growth goal covering one or more NUTS2 regions bordering Russia, Belarus or Ukraine shall be 100%. The higher co-financing rate shall not apply to programmes covering the entire territory of the Member State concerned, unless those regions are included only in programmes covering the entire territory of that Member State. The derogation shall only apply where reallocations of at least </w:t>
            </w:r>
            <w:r w:rsidRPr="00720ECA">
              <w:rPr>
                <w:b/>
                <w:i/>
              </w:rPr>
              <w:t>15%</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c>
          <w:tcPr>
            <w:tcW w:w="4876" w:type="dxa"/>
            <w:hideMark/>
          </w:tcPr>
          <w:p w:rsidR="0016379F" w:rsidRPr="00720ECA" w:rsidRDefault="0016379F" w:rsidP="001472C2">
            <w:pPr>
              <w:pStyle w:val="Normal6"/>
              <w:rPr>
                <w:szCs w:val="24"/>
              </w:rPr>
            </w:pPr>
            <w:r w:rsidRPr="00720ECA">
              <w:t>4.</w:t>
            </w:r>
            <w:r w:rsidRPr="00720ECA">
              <w:tab/>
              <w:t xml:space="preserve">By way of derogation from Article 112 of Regulation (EU) 2021/1060, the maximum co-financing rate for priorities in programmes under the Investment for jobs and growth goal covering one or more NUTS2 regions bordering Russia, Belarus or Ukraine shall be 100%. The higher co-financing rate shall not apply to programmes covering the entire territory of the Member State concerned, unless those regions are included only in programmes covering the entire territory of that Member State. The derogation shall only apply where reallocations of at least </w:t>
            </w:r>
            <w:r w:rsidRPr="00720ECA">
              <w:rPr>
                <w:b/>
                <w:i/>
              </w:rPr>
              <w:t>10%</w:t>
            </w:r>
            <w:r w:rsidRPr="00720ECA">
              <w:t xml:space="preserve"> of the financial resources of the programme to one or more dedicated priorities established for the specific objectives referred to in Article 3(1), points (a)(vi), (a)(vii), (b)(v), (b)(ix), (b)(xi), (b)(xii), (c)(iii), (d)(vii) and (e)(iii), of this Regulation in the context of the mid-term review have been approved, provided that the programme amendment is submitted by 31 December 2025.</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7a (new) – paragraph 6</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6.</w:t>
            </w:r>
            <w:r w:rsidRPr="00720ECA">
              <w:rPr>
                <w:b/>
                <w:i/>
              </w:rPr>
              <w:tab/>
              <w:t>Where the climate contribution as referred to in Article 6(1) of Regulation (EU) 2021/1060 of the Cohesion Fund would exceed the target of 37% of its total allocation, the amount exceeding that target may be taken into account when calculating the climate contribution of the ERDF for the purpose of reaching the target of 30% of its total allocation. The amounts exceeding the ERDF climate contribution target of 30% of its total allocation may be taken into account when calculating the climate contribution of the Cohesion Fund..</w:t>
            </w:r>
          </w:p>
        </w:tc>
        <w:tc>
          <w:tcPr>
            <w:tcW w:w="4876" w:type="dxa"/>
            <w:hideMark/>
          </w:tcPr>
          <w:p w:rsidR="0016379F" w:rsidRPr="00720ECA" w:rsidRDefault="0016379F" w:rsidP="001472C2">
            <w:pPr>
              <w:pStyle w:val="Normal6"/>
              <w:rPr>
                <w:szCs w:val="24"/>
              </w:rPr>
            </w:pPr>
            <w:r w:rsidRPr="00720ECA">
              <w:rPr>
                <w:b/>
                <w:i/>
              </w:rPr>
              <w:t>deleted</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deletes the possibility of combined  calculations for climate targets between Funds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88</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1 – paragraph 1 – point 5a (new)</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2021/1058</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 – paragraphs 2a and 2b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(-i)</w:t>
            </w:r>
            <w:r w:rsidRPr="00720ECA">
              <w:rPr>
                <w:b/>
                <w:i/>
              </w:rPr>
              <w:tab/>
              <w:t>In Article 8 paragraph 2 the following points (2a and 2b) are added:</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2a. The Commission shall assess progress towards the objective in Article 3, paragraph 1 point (b), as well as regarding the shares of expenditure supporting climate objectives as required by this Regulation no later than 1 January 2026, and, where further progress needs to be achieved, propose actions required to reach those objectives by the same date.</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2b. The Commission shall provide guidance on how to apply Article 17 of Regulation (EU) 2020/852 in conjunction with Regulation (EU) 2021/1060for the specific objective referred to in paragraph 1, point a (vii) and (c)(iii) of this amending Regulation no later than 1 January 2026.“</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clarifies the need to assess progress of the implementation of the new priorities towards climate objectives and also to have proper guidance om the implementation of the DNSH principle, especially when it comes to defense/dual use and military mobility</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89</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1 – point (-a) (new)</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 – paragraph 2 – point (k)</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(-a)</w:t>
            </w:r>
            <w:r w:rsidRPr="00720ECA">
              <w:rPr>
                <w:b/>
                <w:i/>
              </w:rPr>
              <w:tab/>
              <w:t>point (k) is amended as follows:</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(k) Investment in upskilling and reskilling of workers and jobseekers, especially in sectors critical for the green and digital transitions (e.g. decarbonisation, defence, digital), shall target labour markets in regions facing high unemployment or undergoing industrial restructuring. Programmes shall promote the creation of quality jobs, particularly for youth and vulnerable groups. Actions that promote the acquisition, upgrading, and formal recognition of skills throughout the life cycle, with a focus on adult learning, reskilling, and upskilling;</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90</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1 – point a</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8(2) – subparagraph 1 – point (p)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(p)</w:t>
            </w:r>
            <w:r w:rsidRPr="00720ECA">
              <w:tab/>
              <w:t>promoting access to affordable housing, and related reforms.</w:t>
            </w:r>
            <w:r w:rsidRPr="00720ECA">
              <w:rPr>
                <w:b/>
                <w:i/>
              </w:rPr>
              <w:t>;</w:t>
            </w:r>
          </w:p>
        </w:tc>
        <w:tc>
          <w:tcPr>
            <w:tcW w:w="4876" w:type="dxa"/>
            <w:hideMark/>
          </w:tcPr>
          <w:p w:rsidR="0016379F" w:rsidRPr="00720ECA" w:rsidRDefault="0016379F" w:rsidP="001472C2">
            <w:pPr>
              <w:pStyle w:val="Normal6"/>
              <w:rPr>
                <w:szCs w:val="24"/>
              </w:rPr>
            </w:pPr>
            <w:r w:rsidRPr="00720ECA">
              <w:t>(p)</w:t>
            </w:r>
            <w:r w:rsidRPr="00720ECA">
              <w:tab/>
              <w:t>promoting access to affordable</w:t>
            </w:r>
            <w:r w:rsidRPr="00720ECA">
              <w:rPr>
                <w:b/>
                <w:i/>
              </w:rPr>
              <w:t>, decent, sustainable</w:t>
            </w:r>
            <w:r w:rsidRPr="00720ECA">
              <w:t xml:space="preserve"> housing, and related reforms.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91</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1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8(2) – subparagraph 4</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(b)</w:t>
            </w:r>
            <w:r w:rsidRPr="00720ECA">
              <w:rPr>
                <w:b/>
                <w:i/>
              </w:rPr>
              <w:tab/>
              <w:t>the fourth subparagraph is replaced by the following:</w:t>
            </w:r>
          </w:p>
        </w:tc>
        <w:tc>
          <w:tcPr>
            <w:tcW w:w="4876" w:type="dxa"/>
            <w:hideMark/>
          </w:tcPr>
          <w:p w:rsidR="0016379F" w:rsidRPr="00720ECA" w:rsidRDefault="0016379F" w:rsidP="001472C2">
            <w:pPr>
              <w:pStyle w:val="Normal6"/>
              <w:rPr>
                <w:szCs w:val="24"/>
              </w:rPr>
            </w:pPr>
            <w:r w:rsidRPr="00720ECA">
              <w:rPr>
                <w:b/>
                <w:i/>
              </w:rPr>
              <w:t>deleted</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The JTF may also support productive investments in enterprises other than SMEs, while preserving a focus on SMEs, irrespective of whether the gap analysis was carried out in accordance with Article 11(2), point (h), of this Regulation and irrespective of its outcome. Such investments shall only be eligible where they do not lead to relocation as defined in Article 2, point (27), of Regulation (EU) 2021/1060. The provision of such support shall not require a revision of the territorial just transition plan where that revision would be exclusively linked to the gap analysis. Apprenticeships and jobs, education or training for new skills shall be considered in the selection process.;</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deletes the proposed extension of the possibility to finance large enterprises located in areas designated as assisted areas for the purposes of points (a) and (c) of Article 107(3) TFEU, to all regions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92</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Marit Maij, Alicia Homs Ginel, Idoia Mendia, Isilda Gomes, Vilija Blinkevičiūtė, Estelle Ceulemans</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1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8(2) – subparagraph 4</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 xml:space="preserve">The JTF </w:t>
            </w:r>
            <w:r w:rsidRPr="00720ECA">
              <w:rPr>
                <w:b/>
                <w:i/>
              </w:rPr>
              <w:t>may also support productive investments in enterprises other than SMEs, while preserving a</w:t>
            </w:r>
            <w:r w:rsidRPr="00720ECA">
              <w:t xml:space="preserve"> focus on SMEs, irrespective of whether the gap analysis was carried out in accordance with Article 11(2), point (h), of this Regulation and irrespective of its outcome. Such investments shall only be eligible where they do not lead to relocation as defined in Article 2, point (27), of Regulation (EU) 2021/1060. The provision of such support shall not require a revision of the territorial just transition plan where that revision would be exclusively linked to the gap analysis. Apprenticeships and jobs, education or training for new skills shall be considered in the selection process.;</w:t>
            </w:r>
          </w:p>
        </w:tc>
        <w:tc>
          <w:tcPr>
            <w:tcW w:w="4876" w:type="dxa"/>
            <w:hideMark/>
          </w:tcPr>
          <w:p w:rsidR="0016379F" w:rsidRPr="00720ECA" w:rsidRDefault="0016379F" w:rsidP="001472C2">
            <w:pPr>
              <w:pStyle w:val="Normal6"/>
              <w:rPr>
                <w:szCs w:val="24"/>
              </w:rPr>
            </w:pPr>
            <w:r w:rsidRPr="00720ECA">
              <w:t xml:space="preserve">The JTF </w:t>
            </w:r>
            <w:r w:rsidRPr="00720ECA">
              <w:rPr>
                <w:b/>
                <w:i/>
              </w:rPr>
              <w:t>shall preserve</w:t>
            </w:r>
            <w:r w:rsidRPr="00720ECA">
              <w:t xml:space="preserve"> focus on SMEs, irrespective of whether the gap analysis was carried out in accordance with Article 11(2), point (h), of this Regulation and irrespective of its outcome. Such investments shall only be eligible where they do not lead to relocation as defined in Article 2, point (27), of Regulation (EU) 2021/1060. The provision of such support shall not require a revision of the territorial just transition plan where that revision would be exclusively linked to the gap analysis. Apprenticeships and jobs, education or training for new skills shall be considered in the selection process.;</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93</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Jana Toom, Brigitte van den Berg, Grégory Allione, Marie-Pierre Vedrenne</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1 – point b</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8(2) – subparagraph 4</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t>The JTF may also support productive investments in enterprises other than SMEs, while preserving a focus on SMEs, irrespective of whether the gap analysis was carried out in accordance with Article 11(2), point (h), of this Regulation and irrespective of its outcome. Such investments shall only be eligible where they do not lead to relocation as defined in Article 2, point (27), of Regulation (EU) 2021/1060. The provision of such support shall not require a revision of the territorial just transition plan where that revision would be exclusively linked to the gap analysis. Apprenticeships and jobs, education or training for new skills shall be considered in the selection process.</w:t>
            </w:r>
            <w:r w:rsidRPr="00720ECA">
              <w:rPr>
                <w:b/>
                <w:i/>
              </w:rPr>
              <w:t>;</w:t>
            </w:r>
          </w:p>
        </w:tc>
        <w:tc>
          <w:tcPr>
            <w:tcW w:w="4876" w:type="dxa"/>
            <w:hideMark/>
          </w:tcPr>
          <w:p w:rsidR="0016379F" w:rsidRPr="00720ECA" w:rsidRDefault="0016379F" w:rsidP="001472C2">
            <w:pPr>
              <w:pStyle w:val="Normal6"/>
              <w:rPr>
                <w:szCs w:val="24"/>
              </w:rPr>
            </w:pPr>
            <w:r w:rsidRPr="00720ECA">
              <w:t xml:space="preserve">The JTF may also support productive investments in enterprises other than SMEs, while preserving a focus on SMEs, irrespective of whether the gap analysis was carried out in accordance with Article 11(2), point (h), of this Regulation and irrespective of its outcome. Such investments shall only be eligible where they do not lead to relocation as defined in Article 2, point (27), of Regulation (EU) 2021/1060. The provision of such support shall not require a revision of the territorial just transition plan where that revision would be exclusively linked to the gap analysis. Apprenticeships and jobs, education or training for new skills shall be considered in the selection process. </w:t>
            </w:r>
            <w:r w:rsidRPr="00720ECA">
              <w:rPr>
                <w:b/>
                <w:i/>
              </w:rPr>
              <w:t>Support to enterprises other than SMEs shall only be granted if it is linked to a positive, measurable employment impact and addresses identified needs of the local labour market.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94</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2</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9 – point (d)</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(2)</w:t>
            </w:r>
            <w:r w:rsidRPr="00720ECA">
              <w:rPr>
                <w:b/>
                <w:i/>
              </w:rPr>
              <w:tab/>
              <w:t>In Article 9, point (d) is replaced by the following:</w:t>
            </w:r>
          </w:p>
        </w:tc>
        <w:tc>
          <w:tcPr>
            <w:tcW w:w="4876" w:type="dxa"/>
            <w:hideMark/>
          </w:tcPr>
          <w:p w:rsidR="0016379F" w:rsidRPr="00720ECA" w:rsidRDefault="0016379F" w:rsidP="001472C2">
            <w:pPr>
              <w:pStyle w:val="Normal6"/>
              <w:rPr>
                <w:szCs w:val="24"/>
              </w:rPr>
            </w:pPr>
            <w:r w:rsidRPr="00720ECA">
              <w:rPr>
                <w:b/>
                <w:i/>
              </w:rPr>
              <w:t>deleted</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(d)</w:t>
            </w:r>
            <w:r w:rsidRPr="00720ECA">
              <w:rPr>
                <w:b/>
                <w:i/>
              </w:rPr>
              <w:tab/>
              <w:t>investment related to the production, processing, transport, distribution, storage or combustion of fossil fuels, with the exception of investment in operations attributed a Sovereignty Seal under Article 4(1) of Regulation (EU) 2024/795 in a call for proposals under Commission Delegated Regulation (EU) 2019/856..</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the possibility of allowing investments in the JTF related to production, processing, transport, distribution, storage or combustion of fossil fuels, in operations that have received a ‘Sovereignty Seal’ in the context of the Innovation Fund</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95</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Gheorghe Falcă</w:t>
      </w:r>
      <w:r w:rsidRPr="00720ECA">
        <w:rPr>
          <w:rStyle w:val="HideTWBExt"/>
          <w:b w:val="0"/>
          <w:noProof w:val="0"/>
        </w:rPr>
        <w:t>&lt;/Members&gt;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3</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10 – paragraph 4a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(4a) Eligible actions may include preparatory analyses, stakeholder consultations, legislative drafting, capacity building, and implementation activities directly linked to such reforms. Expenditure categories may cover personnel costs, expert advice, ICT tools, and related administrative support;</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96</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 – paragraph 1 – point 4</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2021/1056</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11 (2) – point (i)</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(4)</w:t>
            </w:r>
            <w:r w:rsidRPr="00720ECA">
              <w:rPr>
                <w:b/>
                <w:i/>
              </w:rPr>
              <w:tab/>
              <w:t>In Article 11(2), point (i) is replaced by the following:</w:t>
            </w:r>
          </w:p>
        </w:tc>
        <w:tc>
          <w:tcPr>
            <w:tcW w:w="4876" w:type="dxa"/>
            <w:hideMark/>
          </w:tcPr>
          <w:p w:rsidR="0016379F" w:rsidRPr="00720ECA" w:rsidRDefault="0016379F" w:rsidP="001472C2">
            <w:pPr>
              <w:pStyle w:val="Normal6"/>
              <w:rPr>
                <w:szCs w:val="24"/>
              </w:rPr>
            </w:pPr>
            <w:r w:rsidRPr="00720ECA">
              <w:rPr>
                <w:b/>
                <w:i/>
              </w:rPr>
              <w:t>deleted</w:t>
            </w: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(i)</w:t>
            </w:r>
            <w:r w:rsidRPr="00720ECA">
              <w:rPr>
                <w:b/>
                <w:i/>
              </w:rPr>
              <w:tab/>
              <w:t>where support is to be provided to investments to achieve the reduction of greenhouse gas emissions from activities listed in Annex I to Directive 2003/87/EC, a list of operations to be supported and a justification that they contribute to a transition to a climate-neutral economy and lead to a reduction in greenhouse gas emissions going below the relevant benchmarks established for free allocation under Directive 2003/87/EC and provided that those operations are necessary for the protection of a significant number of jobs;.</w:t>
            </w:r>
          </w:p>
        </w:tc>
        <w:tc>
          <w:tcPr>
            <w:tcW w:w="4876" w:type="dxa"/>
          </w:tcPr>
          <w:p w:rsidR="0016379F" w:rsidRPr="00720ECA" w:rsidRDefault="0016379F" w:rsidP="001472C2">
            <w:pPr>
              <w:pStyle w:val="Normal6"/>
              <w:rPr>
                <w:szCs w:val="24"/>
              </w:rPr>
            </w:pPr>
          </w:p>
        </w:tc>
      </w:tr>
      <w:tr w:rsidR="0016379F" w:rsidRPr="00720ECA" w:rsidTr="001472C2">
        <w:trPr>
          <w:jc w:val="center"/>
        </w:trPr>
        <w:tc>
          <w:tcPr>
            <w:tcW w:w="4876" w:type="dxa"/>
            <w:hideMark/>
          </w:tcPr>
          <w:p w:rsidR="0016379F" w:rsidRPr="00720ECA" w:rsidRDefault="0016379F" w:rsidP="001472C2">
            <w:pPr>
              <w:pStyle w:val="Normal6"/>
            </w:pPr>
            <w:r w:rsidRPr="00720ECA">
              <w:rPr>
                <w:b/>
                <w:i/>
              </w:rPr>
              <w:t>’</w:t>
            </w:r>
          </w:p>
        </w:tc>
        <w:tc>
          <w:tcPr>
            <w:tcW w:w="4876" w:type="dxa"/>
          </w:tcPr>
          <w:p w:rsidR="0016379F" w:rsidRPr="00720ECA" w:rsidRDefault="0016379F" w:rsidP="001472C2">
            <w:pPr>
              <w:pStyle w:val="Normal6"/>
              <w:rPr>
                <w:szCs w:val="24"/>
              </w:rPr>
            </w:pP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This amendment aims at reinstating the current texts, since the proposal would weaken the conditions for Conditions for financing investments aimed at achieving the reduction of GHG emissions by deleting two times the adjective 'substantial', in relation to the reduction of GHG emissions</w:t>
      </w:r>
    </w:p>
    <w:p w:rsidR="0016379F" w:rsidRPr="00720ECA" w:rsidRDefault="0016379F" w:rsidP="0016379F">
      <w:r w:rsidRPr="00720ECA">
        <w:rPr>
          <w:rStyle w:val="HideTWBExt"/>
          <w:noProof w:val="0"/>
        </w:rPr>
        <w:t>&lt;/Amend&gt;</w:t>
      </w:r>
    </w:p>
    <w:p w:rsidR="0016379F" w:rsidRPr="00720ECA" w:rsidRDefault="0016379F" w:rsidP="0016379F">
      <w:pPr>
        <w:pStyle w:val="AMNumberTabs0"/>
        <w:keepNext/>
      </w:pPr>
      <w:r w:rsidRPr="00720ECA">
        <w:rPr>
          <w:rStyle w:val="HideTWBExt"/>
          <w:b w:val="0"/>
          <w:noProof w:val="0"/>
        </w:rPr>
        <w:t>&lt;Amend&gt;</w:t>
      </w:r>
      <w:r w:rsidRPr="00720ECA">
        <w:t>Amendment</w:t>
      </w:r>
      <w:r w:rsidRPr="00720ECA">
        <w:tab/>
      </w:r>
      <w:r w:rsidRPr="00720ECA">
        <w:tab/>
      </w:r>
      <w:r w:rsidRPr="00720ECA">
        <w:rPr>
          <w:rStyle w:val="HideTWBExt"/>
          <w:b w:val="0"/>
          <w:noProof w:val="0"/>
        </w:rPr>
        <w:t>&lt;NumAm&gt;</w:t>
      </w:r>
      <w:r w:rsidRPr="00720ECA">
        <w:t>97</w:t>
      </w:r>
      <w:r w:rsidRPr="00720ECA">
        <w:rPr>
          <w:rStyle w:val="HideTWBExt"/>
          <w:b w:val="0"/>
          <w:noProof w:val="0"/>
        </w:rPr>
        <w:t>&lt;/NumAm&gt;</w:t>
      </w:r>
    </w:p>
    <w:p w:rsidR="0016379F" w:rsidRPr="00720ECA" w:rsidRDefault="0016379F" w:rsidP="0016379F">
      <w:pPr>
        <w:pStyle w:val="NormalBold"/>
      </w:pPr>
      <w:r w:rsidRPr="00720ECA">
        <w:rPr>
          <w:rStyle w:val="HideTWBExt"/>
          <w:b w:val="0"/>
          <w:noProof w:val="0"/>
        </w:rPr>
        <w:t>&lt;RepeatBlock-By&gt;&lt;Members&gt;</w:t>
      </w:r>
      <w:r w:rsidRPr="00720ECA">
        <w:t>Benedetta Scuderi</w:t>
      </w:r>
      <w:r w:rsidRPr="00720ECA">
        <w:rPr>
          <w:rStyle w:val="HideTWBExt"/>
          <w:b w:val="0"/>
          <w:noProof w:val="0"/>
        </w:rPr>
        <w:t>&lt;/Members&gt;</w:t>
      </w:r>
    </w:p>
    <w:p w:rsidR="0016379F" w:rsidRPr="00720ECA" w:rsidRDefault="0016379F" w:rsidP="0016379F">
      <w:r w:rsidRPr="00720ECA">
        <w:rPr>
          <w:rStyle w:val="HideTWBExt"/>
          <w:noProof w:val="0"/>
        </w:rPr>
        <w:t>&lt;AuNomDe&gt;</w:t>
      </w:r>
      <w:r w:rsidRPr="00720ECA">
        <w:rPr>
          <w:rStyle w:val="HideTWBInt"/>
          <w:rFonts w:eastAsiaTheme="majorEastAsia"/>
        </w:rPr>
        <w:t>{Greens/EFA}</w:t>
      </w:r>
      <w:r w:rsidRPr="00720ECA">
        <w:t>on behalf of the Greens/EFA Group</w:t>
      </w:r>
      <w:r w:rsidRPr="00720ECA">
        <w:rPr>
          <w:rStyle w:val="HideTWBExt"/>
          <w:noProof w:val="0"/>
        </w:rPr>
        <w:t>&lt;/AuNomDe&gt;</w:t>
      </w:r>
    </w:p>
    <w:p w:rsidR="0016379F" w:rsidRPr="00720ECA" w:rsidRDefault="0016379F" w:rsidP="0016379F">
      <w:r w:rsidRPr="00720ECA">
        <w:rPr>
          <w:rStyle w:val="HideTWBExt"/>
          <w:noProof w:val="0"/>
        </w:rPr>
        <w:t>&lt;/RepeatBlock-By&gt;</w:t>
      </w:r>
    </w:p>
    <w:p w:rsidR="0016379F" w:rsidRPr="00720ECA" w:rsidRDefault="0016379F" w:rsidP="0016379F">
      <w:pPr>
        <w:pStyle w:val="NormalBold"/>
        <w:keepNext/>
      </w:pPr>
      <w:r w:rsidRPr="00720ECA">
        <w:rPr>
          <w:rStyle w:val="HideTWBExt"/>
          <w:b w:val="0"/>
          <w:noProof w:val="0"/>
        </w:rPr>
        <w:t>&lt;DocAmend&gt;</w:t>
      </w:r>
      <w:r w:rsidRPr="00720ECA">
        <w:t>Proposal for a regulation</w:t>
      </w:r>
      <w:r w:rsidRPr="00720ECA">
        <w:rPr>
          <w:rStyle w:val="HideTWBExt"/>
          <w:b w:val="0"/>
          <w:noProof w:val="0"/>
        </w:rPr>
        <w:t>&lt;/DocAmend&gt;</w:t>
      </w:r>
    </w:p>
    <w:p w:rsidR="0016379F" w:rsidRPr="00720ECA" w:rsidRDefault="0016379F" w:rsidP="0016379F">
      <w:pPr>
        <w:pStyle w:val="NormalBold"/>
      </w:pPr>
      <w:r w:rsidRPr="00720ECA">
        <w:rPr>
          <w:rStyle w:val="HideTWBExt"/>
          <w:b w:val="0"/>
          <w:noProof w:val="0"/>
        </w:rPr>
        <w:t>&lt;Article&gt;</w:t>
      </w:r>
      <w:r w:rsidRPr="00720ECA">
        <w:t>Article 2a (new)</w:t>
      </w:r>
      <w:r w:rsidRPr="00720ECA">
        <w:rPr>
          <w:rStyle w:val="HideTWBExt"/>
          <w:b w:val="0"/>
          <w:noProof w:val="0"/>
        </w:rPr>
        <w:t>&lt;/Article&gt;</w:t>
      </w:r>
    </w:p>
    <w:p w:rsidR="0016379F" w:rsidRPr="00720ECA" w:rsidRDefault="0016379F" w:rsidP="0016379F">
      <w:pPr>
        <w:keepNext/>
      </w:pPr>
      <w:r w:rsidRPr="00720ECA">
        <w:rPr>
          <w:rStyle w:val="HideTWBExt"/>
          <w:noProof w:val="0"/>
        </w:rPr>
        <w:t>&lt;DocAmend2&gt;</w:t>
      </w:r>
      <w:r w:rsidRPr="00720ECA">
        <w:t>Regulation (EU) 2021/1060</w:t>
      </w:r>
      <w:r w:rsidRPr="00720ECA">
        <w:rPr>
          <w:rStyle w:val="HideTWBExt"/>
          <w:noProof w:val="0"/>
        </w:rPr>
        <w:t>&lt;/DocAmend2&gt;</w:t>
      </w:r>
    </w:p>
    <w:p w:rsidR="0016379F" w:rsidRPr="00720ECA" w:rsidRDefault="0016379F" w:rsidP="0016379F">
      <w:r w:rsidRPr="00720ECA">
        <w:rPr>
          <w:rStyle w:val="HideTWBExt"/>
          <w:noProof w:val="0"/>
        </w:rPr>
        <w:t>&lt;Article2&gt;</w:t>
      </w:r>
      <w:r w:rsidRPr="00720ECA">
        <w:t>Article 24 – paragraph 11 (new)</w:t>
      </w:r>
      <w:r w:rsidRPr="00720ECA">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379F" w:rsidRPr="00720ECA" w:rsidTr="001472C2">
        <w:trPr>
          <w:jc w:val="center"/>
        </w:trPr>
        <w:tc>
          <w:tcPr>
            <w:tcW w:w="9752" w:type="dxa"/>
            <w:gridSpan w:val="2"/>
          </w:tcPr>
          <w:p w:rsidR="0016379F" w:rsidRPr="00720ECA" w:rsidRDefault="0016379F" w:rsidP="001472C2">
            <w:pPr>
              <w:keepNext/>
            </w:pPr>
          </w:p>
        </w:tc>
      </w:tr>
      <w:tr w:rsidR="0016379F" w:rsidRPr="00720ECA" w:rsidTr="001472C2">
        <w:trPr>
          <w:jc w:val="center"/>
        </w:trPr>
        <w:tc>
          <w:tcPr>
            <w:tcW w:w="4876" w:type="dxa"/>
            <w:hideMark/>
          </w:tcPr>
          <w:p w:rsidR="0016379F" w:rsidRPr="00720ECA" w:rsidRDefault="0016379F" w:rsidP="001472C2">
            <w:pPr>
              <w:pStyle w:val="ColumnHeading"/>
              <w:keepNext/>
            </w:pPr>
            <w:r w:rsidRPr="00720ECA">
              <w:t>Text proposed by the Commission</w:t>
            </w:r>
          </w:p>
        </w:tc>
        <w:tc>
          <w:tcPr>
            <w:tcW w:w="4876" w:type="dxa"/>
            <w:hideMark/>
          </w:tcPr>
          <w:p w:rsidR="0016379F" w:rsidRPr="00720ECA" w:rsidRDefault="0016379F" w:rsidP="001472C2">
            <w:pPr>
              <w:pStyle w:val="ColumnHeading"/>
              <w:keepNext/>
            </w:pPr>
            <w:r w:rsidRPr="00720ECA">
              <w:t>Amendment</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i)</w:t>
            </w:r>
            <w:r w:rsidRPr="00720ECA">
              <w:rPr>
                <w:b/>
                <w:i/>
              </w:rPr>
              <w:tab/>
              <w:t>In Article 24 of Regulation (EU) 2021/1060, the following paragraph is added:</w:t>
            </w:r>
          </w:p>
        </w:tc>
      </w:tr>
      <w:tr w:rsidR="0016379F" w:rsidRPr="00720ECA" w:rsidTr="001472C2">
        <w:trPr>
          <w:jc w:val="center"/>
        </w:trPr>
        <w:tc>
          <w:tcPr>
            <w:tcW w:w="4876" w:type="dxa"/>
          </w:tcPr>
          <w:p w:rsidR="0016379F" w:rsidRPr="00720ECA" w:rsidRDefault="0016379F" w:rsidP="001472C2">
            <w:pPr>
              <w:pStyle w:val="Normal6"/>
            </w:pPr>
          </w:p>
        </w:tc>
        <w:tc>
          <w:tcPr>
            <w:tcW w:w="4876" w:type="dxa"/>
            <w:hideMark/>
          </w:tcPr>
          <w:p w:rsidR="0016379F" w:rsidRPr="00720ECA" w:rsidRDefault="0016379F" w:rsidP="001472C2">
            <w:pPr>
              <w:pStyle w:val="Normal6"/>
              <w:rPr>
                <w:szCs w:val="24"/>
              </w:rPr>
            </w:pPr>
            <w:r w:rsidRPr="00720ECA">
              <w:rPr>
                <w:b/>
                <w:i/>
              </w:rPr>
              <w:t>‘11. Commitments suspended by measures adopted in the context of Regulation (EU) 2020/2092 and amounts subject to a negative assessment by the Commission based on the application of enabling conditions pursuant to Article 15 shall not be subject to a programme amendment or transfer pursuant to Articles 24 or 26.'</w:t>
            </w:r>
          </w:p>
        </w:tc>
      </w:tr>
    </w:tbl>
    <w:p w:rsidR="0016379F" w:rsidRPr="00720ECA" w:rsidRDefault="0016379F" w:rsidP="0016379F">
      <w:pPr>
        <w:pStyle w:val="Olang"/>
        <w:rPr>
          <w:noProof w:val="0"/>
          <w:szCs w:val="24"/>
        </w:rPr>
      </w:pPr>
      <w:r w:rsidRPr="00720ECA">
        <w:rPr>
          <w:noProof w:val="0"/>
        </w:rPr>
        <w:t xml:space="preserve">Or. </w:t>
      </w:r>
      <w:r w:rsidRPr="00720ECA">
        <w:rPr>
          <w:rStyle w:val="HideTWBExt"/>
          <w:noProof w:val="0"/>
        </w:rPr>
        <w:t>&lt;Original&gt;</w:t>
      </w:r>
      <w:r w:rsidRPr="00720ECA">
        <w:rPr>
          <w:rStyle w:val="HideTWBInt"/>
          <w:rFonts w:eastAsiaTheme="majorEastAsia"/>
          <w:noProof w:val="0"/>
        </w:rPr>
        <w:t>{EN}</w:t>
      </w:r>
      <w:r w:rsidRPr="00720ECA">
        <w:rPr>
          <w:noProof w:val="0"/>
        </w:rPr>
        <w:t>en</w:t>
      </w:r>
      <w:r w:rsidRPr="00720ECA">
        <w:rPr>
          <w:rStyle w:val="HideTWBExt"/>
          <w:noProof w:val="0"/>
        </w:rPr>
        <w:t>&lt;/Original&gt;</w:t>
      </w:r>
    </w:p>
    <w:p w:rsidR="0016379F" w:rsidRPr="00720ECA" w:rsidRDefault="0016379F" w:rsidP="0016379F">
      <w:pPr>
        <w:pStyle w:val="JustificationTitle"/>
        <w:rPr>
          <w:noProof w:val="0"/>
          <w:lang w:val="en-GB"/>
        </w:rPr>
      </w:pPr>
      <w:r w:rsidRPr="00720ECA">
        <w:rPr>
          <w:rStyle w:val="HideTWBExt"/>
          <w:i w:val="0"/>
          <w:noProof w:val="0"/>
          <w:lang w:val="en-GB"/>
        </w:rPr>
        <w:t>&lt;TitreJust&gt;</w:t>
      </w:r>
      <w:r w:rsidRPr="00720ECA">
        <w:rPr>
          <w:noProof w:val="0"/>
          <w:lang w:val="en-GB"/>
        </w:rPr>
        <w:t>Justification</w:t>
      </w:r>
      <w:r w:rsidRPr="00720ECA">
        <w:rPr>
          <w:rStyle w:val="HideTWBExt"/>
          <w:i w:val="0"/>
          <w:noProof w:val="0"/>
          <w:lang w:val="en-GB"/>
        </w:rPr>
        <w:t>&lt;/TitreJust&gt;</w:t>
      </w:r>
    </w:p>
    <w:p w:rsidR="0016379F" w:rsidRPr="00720ECA" w:rsidRDefault="0016379F" w:rsidP="0016379F">
      <w:pPr>
        <w:pStyle w:val="Normal12Italic"/>
        <w:rPr>
          <w:noProof w:val="0"/>
          <w:lang w:val="en-GB"/>
        </w:rPr>
      </w:pPr>
      <w:r w:rsidRPr="00720ECA">
        <w:rPr>
          <w:noProof w:val="0"/>
          <w:lang w:val="en-GB"/>
        </w:rPr>
        <w:t>There are already possibilities for Member States to amend programmes or transfer amounts according to Article 24 and 26 of the Common Provisions Regulation. Since the mid-term review is derogating from the Common Provisions Regulation, other issues of fundamental importance must be raised in this context. It cannot be foreseen by legislator or justifiable for Member States to be able to amend programmes or transfer amounts that are withheld based on enabling conditions under Article 15 of the Common Provisions Regulation or based on the Rule of Law Conditionality Regulation</w:t>
      </w:r>
    </w:p>
    <w:p w:rsidR="0016379F" w:rsidRPr="00720ECA" w:rsidRDefault="0016379F" w:rsidP="0016379F">
      <w:r w:rsidRPr="00720ECA">
        <w:rPr>
          <w:rStyle w:val="HideTWBExt"/>
          <w:noProof w:val="0"/>
        </w:rPr>
        <w:t>&lt;/Amend&gt;</w:t>
      </w:r>
      <w:r w:rsidRPr="00720ECA">
        <w:rPr>
          <w:rStyle w:val="HideTWBExt"/>
          <w:noProof w:val="0"/>
        </w:rPr>
        <w:t>&lt;/RepeatBlock-Amend&gt;</w:t>
      </w:r>
    </w:p>
    <w:p w:rsidR="00FA192C" w:rsidRPr="00720ECA" w:rsidRDefault="00FA192C" w:rsidP="0016379F"/>
    <w:sectPr w:rsidR="00FA192C" w:rsidRPr="00720ECA" w:rsidSect="0016379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614" w:rsidRPr="00E12FDD" w:rsidRDefault="007D2614">
      <w:r w:rsidRPr="00E12FDD">
        <w:separator/>
      </w:r>
    </w:p>
  </w:endnote>
  <w:endnote w:type="continuationSeparator" w:id="0">
    <w:p w:rsidR="007D2614" w:rsidRPr="00E12FDD" w:rsidRDefault="007D2614">
      <w:r w:rsidRPr="00E12F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Pr="0016379F" w:rsidRDefault="0016379F" w:rsidP="0016379F">
    <w:pPr>
      <w:pStyle w:val="EPFooter"/>
      <w:rPr>
        <w:lang w:val="de-DE"/>
      </w:rPr>
    </w:pPr>
    <w:r w:rsidRPr="0016379F">
      <w:rPr>
        <w:lang w:val="de-DE"/>
      </w:rPr>
      <w:t>PE</w:t>
    </w:r>
    <w:r w:rsidRPr="0016379F">
      <w:rPr>
        <w:rStyle w:val="HideTWBExt"/>
        <w:lang w:val="de-DE"/>
      </w:rPr>
      <w:t>&lt;NoPE&gt;</w:t>
    </w:r>
    <w:r w:rsidRPr="0016379F">
      <w:rPr>
        <w:lang w:val="de-DE"/>
      </w:rPr>
      <w:t>774.210</w:t>
    </w:r>
    <w:r w:rsidRPr="0016379F">
      <w:rPr>
        <w:rStyle w:val="HideTWBExt"/>
        <w:lang w:val="de-DE"/>
      </w:rPr>
      <w:t>&lt;/NoPE&gt;&lt;Version&gt;</w:t>
    </w:r>
    <w:r w:rsidRPr="0016379F">
      <w:rPr>
        <w:lang w:val="de-DE"/>
      </w:rPr>
      <w:t>v01-00</w:t>
    </w:r>
    <w:r w:rsidRPr="0016379F">
      <w:rPr>
        <w:rStyle w:val="HideTWBExt"/>
        <w:lang w:val="de-DE"/>
      </w:rPr>
      <w:t>&lt;/Version&gt;</w:t>
    </w:r>
    <w:r w:rsidRPr="0016379F">
      <w:rPr>
        <w:lang w:val="de-DE"/>
      </w:rPr>
      <w:tab/>
    </w:r>
    <w:r>
      <w:fldChar w:fldCharType="begin"/>
    </w:r>
    <w:r w:rsidRPr="0016379F">
      <w:rPr>
        <w:lang w:val="de-DE"/>
      </w:rPr>
      <w:instrText xml:space="preserve"> PAGE  \* MERGEFORMAT </w:instrText>
    </w:r>
    <w:r>
      <w:fldChar w:fldCharType="separate"/>
    </w:r>
    <w:r w:rsidR="00720ECA">
      <w:rPr>
        <w:noProof/>
        <w:lang w:val="de-DE"/>
      </w:rPr>
      <w:t>2</w:t>
    </w:r>
    <w:r>
      <w:fldChar w:fldCharType="end"/>
    </w:r>
    <w:r w:rsidRPr="0016379F">
      <w:rPr>
        <w:lang w:val="de-DE"/>
      </w:rPr>
      <w:t>/</w:t>
    </w:r>
    <w:r>
      <w:fldChar w:fldCharType="begin"/>
    </w:r>
    <w:r w:rsidRPr="0016379F">
      <w:rPr>
        <w:lang w:val="de-DE"/>
      </w:rPr>
      <w:instrText xml:space="preserve"> NUMPAGES  \* MERGEFORMAT </w:instrText>
    </w:r>
    <w:r>
      <w:fldChar w:fldCharType="separate"/>
    </w:r>
    <w:r w:rsidR="00720ECA">
      <w:rPr>
        <w:noProof/>
        <w:lang w:val="de-DE"/>
      </w:rPr>
      <w:t>77</w:t>
    </w:r>
    <w:r>
      <w:fldChar w:fldCharType="end"/>
    </w:r>
    <w:r w:rsidRPr="0016379F">
      <w:rPr>
        <w:lang w:val="de-DE"/>
      </w:rPr>
      <w:tab/>
    </w:r>
    <w:r w:rsidRPr="0016379F">
      <w:rPr>
        <w:rStyle w:val="HideTWBExt"/>
        <w:lang w:val="de-DE"/>
      </w:rPr>
      <w:t>&lt;PathFdR&gt;</w:t>
    </w:r>
    <w:r w:rsidRPr="0016379F">
      <w:rPr>
        <w:lang w:val="de-DE"/>
      </w:rPr>
      <w:t>AM\1321623EN.docx</w:t>
    </w:r>
    <w:r w:rsidRPr="0016379F">
      <w:rPr>
        <w:rStyle w:val="HideTWBExt"/>
        <w:lang w:val="de-DE"/>
      </w:rPr>
      <w:t>&lt;/PathFdR&gt;</w:t>
    </w:r>
  </w:p>
  <w:p w:rsidR="007D2614" w:rsidRPr="00E12FDD" w:rsidRDefault="0016379F" w:rsidP="0016379F">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Pr="0016379F" w:rsidRDefault="0016379F" w:rsidP="0016379F">
    <w:pPr>
      <w:pStyle w:val="EPFooter"/>
      <w:rPr>
        <w:lang w:val="de-DE"/>
      </w:rPr>
    </w:pPr>
    <w:r w:rsidRPr="0016379F">
      <w:rPr>
        <w:rStyle w:val="HideTWBExt"/>
        <w:lang w:val="de-DE"/>
      </w:rPr>
      <w:t>&lt;PathFdR&gt;</w:t>
    </w:r>
    <w:r w:rsidRPr="0016379F">
      <w:rPr>
        <w:lang w:val="de-DE"/>
      </w:rPr>
      <w:t>AM\1321623EN.docx</w:t>
    </w:r>
    <w:r w:rsidRPr="0016379F">
      <w:rPr>
        <w:rStyle w:val="HideTWBExt"/>
        <w:lang w:val="de-DE"/>
      </w:rPr>
      <w:t>&lt;/PathFdR&gt;</w:t>
    </w:r>
    <w:r w:rsidRPr="0016379F">
      <w:rPr>
        <w:lang w:val="de-DE"/>
      </w:rPr>
      <w:tab/>
    </w:r>
    <w:r>
      <w:fldChar w:fldCharType="begin"/>
    </w:r>
    <w:r w:rsidRPr="0016379F">
      <w:rPr>
        <w:lang w:val="de-DE"/>
      </w:rPr>
      <w:instrText xml:space="preserve"> PAGE  \* MERGEFORMAT </w:instrText>
    </w:r>
    <w:r>
      <w:fldChar w:fldCharType="separate"/>
    </w:r>
    <w:r w:rsidR="00720ECA">
      <w:rPr>
        <w:noProof/>
        <w:lang w:val="de-DE"/>
      </w:rPr>
      <w:t>77</w:t>
    </w:r>
    <w:r>
      <w:fldChar w:fldCharType="end"/>
    </w:r>
    <w:r w:rsidRPr="0016379F">
      <w:rPr>
        <w:lang w:val="de-DE"/>
      </w:rPr>
      <w:t>/</w:t>
    </w:r>
    <w:r>
      <w:fldChar w:fldCharType="begin"/>
    </w:r>
    <w:r w:rsidRPr="0016379F">
      <w:rPr>
        <w:lang w:val="de-DE"/>
      </w:rPr>
      <w:instrText xml:space="preserve"> NUMPAGES  \* MERGEFORMAT </w:instrText>
    </w:r>
    <w:r>
      <w:fldChar w:fldCharType="separate"/>
    </w:r>
    <w:r w:rsidR="00720ECA">
      <w:rPr>
        <w:noProof/>
        <w:lang w:val="de-DE"/>
      </w:rPr>
      <w:t>77</w:t>
    </w:r>
    <w:r>
      <w:fldChar w:fldCharType="end"/>
    </w:r>
    <w:r w:rsidRPr="0016379F">
      <w:rPr>
        <w:lang w:val="de-DE"/>
      </w:rPr>
      <w:tab/>
      <w:t>PE</w:t>
    </w:r>
    <w:r w:rsidRPr="0016379F">
      <w:rPr>
        <w:rStyle w:val="HideTWBExt"/>
        <w:lang w:val="de-DE"/>
      </w:rPr>
      <w:t>&lt;NoPE&gt;</w:t>
    </w:r>
    <w:r w:rsidRPr="0016379F">
      <w:rPr>
        <w:lang w:val="de-DE"/>
      </w:rPr>
      <w:t>774.210</w:t>
    </w:r>
    <w:r w:rsidRPr="0016379F">
      <w:rPr>
        <w:rStyle w:val="HideTWBExt"/>
        <w:lang w:val="de-DE"/>
      </w:rPr>
      <w:t>&lt;/NoPE&gt;&lt;Version&gt;</w:t>
    </w:r>
    <w:r w:rsidRPr="0016379F">
      <w:rPr>
        <w:lang w:val="de-DE"/>
      </w:rPr>
      <w:t>v01-00</w:t>
    </w:r>
    <w:r w:rsidRPr="0016379F">
      <w:rPr>
        <w:rStyle w:val="HideTWBExt"/>
        <w:lang w:val="de-DE"/>
      </w:rPr>
      <w:t>&lt;/Version&gt;</w:t>
    </w:r>
  </w:p>
  <w:p w:rsidR="007D2614" w:rsidRPr="00E12FDD" w:rsidRDefault="0016379F" w:rsidP="0016379F">
    <w:pPr>
      <w:pStyle w:val="EPFooter2"/>
    </w:pPr>
    <w:r w:rsidRPr="0016379F">
      <w:rPr>
        <w:lang w:val="de-DE"/>
      </w:rPr>
      <w:tab/>
    </w:r>
    <w:r w:rsidRPr="0016379F">
      <w:rPr>
        <w:lang w:val="de-DE"/>
      </w:rPr>
      <w:tab/>
    </w:r>
    <w: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Pr="0016379F" w:rsidRDefault="0016379F" w:rsidP="0016379F">
    <w:pPr>
      <w:pStyle w:val="EPFooter"/>
      <w:rPr>
        <w:lang w:val="de-DE"/>
      </w:rPr>
    </w:pPr>
    <w:r w:rsidRPr="0016379F">
      <w:rPr>
        <w:rStyle w:val="HideTWBExt"/>
        <w:lang w:val="de-DE"/>
      </w:rPr>
      <w:t>&lt;PathFdR&gt;</w:t>
    </w:r>
    <w:r w:rsidRPr="0016379F">
      <w:rPr>
        <w:lang w:val="de-DE"/>
      </w:rPr>
      <w:t>AM\1321623EN.docx</w:t>
    </w:r>
    <w:r w:rsidRPr="0016379F">
      <w:rPr>
        <w:rStyle w:val="HideTWBExt"/>
        <w:lang w:val="de-DE"/>
      </w:rPr>
      <w:t>&lt;/PathFdR&gt;</w:t>
    </w:r>
    <w:r w:rsidRPr="0016379F">
      <w:rPr>
        <w:lang w:val="de-DE"/>
      </w:rPr>
      <w:tab/>
    </w:r>
    <w:r w:rsidRPr="0016379F">
      <w:rPr>
        <w:lang w:val="de-DE"/>
      </w:rPr>
      <w:tab/>
      <w:t>PE</w:t>
    </w:r>
    <w:r w:rsidRPr="0016379F">
      <w:rPr>
        <w:rStyle w:val="HideTWBExt"/>
        <w:lang w:val="de-DE"/>
      </w:rPr>
      <w:t>&lt;NoPE&gt;</w:t>
    </w:r>
    <w:r w:rsidRPr="0016379F">
      <w:rPr>
        <w:lang w:val="de-DE"/>
      </w:rPr>
      <w:t>774.210</w:t>
    </w:r>
    <w:r w:rsidRPr="0016379F">
      <w:rPr>
        <w:rStyle w:val="HideTWBExt"/>
        <w:lang w:val="de-DE"/>
      </w:rPr>
      <w:t>&lt;/NoPE&gt;&lt;Version&gt;</w:t>
    </w:r>
    <w:r w:rsidRPr="0016379F">
      <w:rPr>
        <w:lang w:val="de-DE"/>
      </w:rPr>
      <w:t>v01-00</w:t>
    </w:r>
    <w:r w:rsidRPr="0016379F">
      <w:rPr>
        <w:rStyle w:val="HideTWBExt"/>
        <w:lang w:val="de-DE"/>
      </w:rPr>
      <w:t>&lt;/Version&gt;</w:t>
    </w:r>
  </w:p>
  <w:p w:rsidR="007D2614" w:rsidRPr="00E12FDD" w:rsidRDefault="0016379F" w:rsidP="0016379F">
    <w:pPr>
      <w:pStyle w:val="EPFooter2"/>
    </w:pPr>
    <w:r>
      <w:t>EN</w:t>
    </w:r>
    <w:r>
      <w:tab/>
    </w:r>
    <w:r w:rsidRPr="0016379F">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614" w:rsidRPr="00E12FDD" w:rsidRDefault="007D2614">
      <w:r w:rsidRPr="00E12FDD">
        <w:separator/>
      </w:r>
    </w:p>
  </w:footnote>
  <w:footnote w:type="continuationSeparator" w:id="0">
    <w:p w:rsidR="007D2614" w:rsidRPr="00E12FDD" w:rsidRDefault="007D2614">
      <w:r w:rsidRPr="00E12F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Default="00163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Default="001637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79F" w:rsidRDefault="00163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F06B74"/>
    <w:multiLevelType w:val="hybridMultilevel"/>
    <w:tmpl w:val="EB26B522"/>
    <w:lvl w:ilvl="0" w:tplc="1AE6318A">
      <w:start w:val="4"/>
      <w:numFmt w:val="bullet"/>
      <w:lvlText w:val="-"/>
      <w:lvlJc w:val="left"/>
      <w:pPr>
        <w:ind w:left="1210" w:hanging="360"/>
      </w:pPr>
      <w:rPr>
        <w:rFonts w:ascii="Times New Roman" w:hAnsi="Times New Roman" w:cs="Times New Roman" w:hint="default"/>
      </w:rPr>
    </w:lvl>
    <w:lvl w:ilvl="1" w:tplc="E85EEFDE">
      <w:start w:val="1"/>
      <w:numFmt w:val="bullet"/>
      <w:lvlText w:val="o"/>
      <w:lvlJc w:val="left"/>
      <w:pPr>
        <w:ind w:left="1930" w:hanging="360"/>
      </w:pPr>
      <w:rPr>
        <w:rFonts w:ascii="Courier New" w:hAnsi="Courier New" w:cs="Times New Roman" w:hint="default"/>
      </w:rPr>
    </w:lvl>
    <w:lvl w:ilvl="2" w:tplc="96DA8D0A">
      <w:start w:val="1"/>
      <w:numFmt w:val="bullet"/>
      <w:lvlText w:val=""/>
      <w:lvlJc w:val="left"/>
      <w:pPr>
        <w:ind w:left="2650" w:hanging="360"/>
      </w:pPr>
      <w:rPr>
        <w:rFonts w:ascii="Wingdings" w:hAnsi="Wingdings" w:hint="default"/>
      </w:rPr>
    </w:lvl>
    <w:lvl w:ilvl="3" w:tplc="374EF6BE">
      <w:start w:val="1"/>
      <w:numFmt w:val="bullet"/>
      <w:lvlText w:val=""/>
      <w:lvlJc w:val="left"/>
      <w:pPr>
        <w:ind w:left="3370" w:hanging="360"/>
      </w:pPr>
      <w:rPr>
        <w:rFonts w:ascii="Symbol" w:hAnsi="Symbol" w:hint="default"/>
      </w:rPr>
    </w:lvl>
    <w:lvl w:ilvl="4" w:tplc="58ECCE76">
      <w:start w:val="1"/>
      <w:numFmt w:val="bullet"/>
      <w:lvlText w:val="o"/>
      <w:lvlJc w:val="left"/>
      <w:pPr>
        <w:ind w:left="4090" w:hanging="360"/>
      </w:pPr>
      <w:rPr>
        <w:rFonts w:ascii="Courier New" w:hAnsi="Courier New" w:cs="Times New Roman" w:hint="default"/>
      </w:rPr>
    </w:lvl>
    <w:lvl w:ilvl="5" w:tplc="FEAA59BC">
      <w:start w:val="1"/>
      <w:numFmt w:val="bullet"/>
      <w:lvlText w:val=""/>
      <w:lvlJc w:val="left"/>
      <w:pPr>
        <w:ind w:left="4810" w:hanging="360"/>
      </w:pPr>
      <w:rPr>
        <w:rFonts w:ascii="Wingdings" w:hAnsi="Wingdings" w:hint="default"/>
      </w:rPr>
    </w:lvl>
    <w:lvl w:ilvl="6" w:tplc="F04AECEC">
      <w:start w:val="1"/>
      <w:numFmt w:val="bullet"/>
      <w:lvlText w:val=""/>
      <w:lvlJc w:val="left"/>
      <w:pPr>
        <w:ind w:left="5530" w:hanging="360"/>
      </w:pPr>
      <w:rPr>
        <w:rFonts w:ascii="Symbol" w:hAnsi="Symbol" w:hint="default"/>
      </w:rPr>
    </w:lvl>
    <w:lvl w:ilvl="7" w:tplc="A7D05560">
      <w:start w:val="1"/>
      <w:numFmt w:val="bullet"/>
      <w:lvlText w:val="o"/>
      <w:lvlJc w:val="left"/>
      <w:pPr>
        <w:ind w:left="6250" w:hanging="360"/>
      </w:pPr>
      <w:rPr>
        <w:rFonts w:ascii="Courier New" w:hAnsi="Courier New" w:cs="Times New Roman" w:hint="default"/>
      </w:rPr>
    </w:lvl>
    <w:lvl w:ilvl="8" w:tplc="CA14E1F8">
      <w:start w:val="1"/>
      <w:numFmt w:val="bullet"/>
      <w:lvlText w:val=""/>
      <w:lvlJc w:val="left"/>
      <w:pPr>
        <w:ind w:left="697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1/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249610 HideTWBInt;}}{\*\rsidtbl \rsid24658\rsid223860\rsid735077\rsid1718133\rsid2892074\rsid3565327_x000d__x000a_\rsid4614600\rsid4666813\rsid6641733\rsid7823322\rsid9249610\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RIEG Milena}{\operator KRIEG Milena}{\creatim\yr2025\mo5\dy21\hr6\min48}{\revtim\yr2025\mo5\dy21\hr6\min48}{\version1}{\edmins0}{\nofpages1}_x000d__x000a_{\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249610\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4614600 \chftnsep _x000d__x000a_\par }}{\*\ftnsepc \ltrpar \pard\plain \ltrpar\ql \li0\ri0\widctlpar\wrapdefault\aspalpha\aspnum\faauto\adjustright\rin0\lin0\itap0 \rtlch\fcs1 \af0\afs20\alang1025 \ltrch\fcs0 \fs24\lang2057\langfe2057\cgrid\langnp2057\langfenp2057 {\rtlch\fcs1 \af0 _x000d__x000a_\ltrch\fcs0 \insrsid4614600 \chftnsepc _x000d__x000a_\par }}{\*\aftnsep \ltrpar \pard\plain \ltrpar\ql \li0\ri0\widctlpar\wrapdefault\aspalpha\aspnum\faauto\adjustright\rin0\lin0\itap0 \rtlch\fcs1 \af0\afs20\alang1025 \ltrch\fcs0 \fs24\lang2057\langfe2057\cgrid\langnp2057\langfenp2057 {\rtlch\fcs1 \af0 _x000d__x000a_\ltrch\fcs0 \insrsid4614600 \chftnsep _x000d__x000a_\par }}{\*\aftnsepc \ltrpar \pard\plain \ltrpar\ql \li0\ri0\widctlpar\wrapdefault\aspalpha\aspnum\faauto\adjustright\rin0\lin0\itap0 \rtlch\fcs1 \af0\afs20\alang1025 \ltrch\fcs0 \fs24\lang2057\langfe2057\cgrid\langnp2057\langfenp2057 {\rtlch\fcs1 \af0 _x000d__x000a_\ltrch\fcs0 \insrsid46146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9249610\charrsid1459857 {\*\bkmkstart ReplaceBookmark}#}{\rtlch\fcs1 \af1 \ltrch\fcs0 _x000d__x000a_\cs17\v\f1\fs20\cf15\insrsid9249610\charrsid1459857 &gt;&gt;&gt;CVAR@@AmendA}{\rtlch\fcs1 \af0 \ltrch\fcs0 \insrsid9249610\charrsid145985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1_x000d__x000a_4b970bc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8555 HideTWBExt;}{\*\cs18 \additive \v\f1\fs20\cf15 _x000d__x000a_\spriority0 \styrsid12938555 HideTWBInt;}{\s19\ql \li0\ri0\sa120\nowidctlpar\wrapdefault\aspalpha\aspnum\faauto\adjustright\rin0\lin0\itap0 \rtlch\fcs1 \af0\afs20\alang1025 \ltrch\fcs0 \fs24\lang2057\langfe2057\cgrid\langnp2057\langfenp2057 _x000d__x000a_\sbasedon0 \snext19 \spriority0 \styrsid12938555 Normal6a;}{\s20\ql \li0\ri0\nowidctlpar\wrapdefault\aspalpha\aspnum\faauto\adjustright\rin0\lin0\itap0 \rtlch\fcs1 \af0\afs20\alang1025 \ltrch\fcs0 \b\fs24\lang2057\langfe2057\cgrid\langnp2057\langfenp2057 _x000d__x000a_\sbasedon0 \snext20 \spriority0 \styrsid12938555 NormalBold;}{\s21\qr \li0\ri0\sb240\sa240\nowidctlpar\wrapdefault\aspalpha\aspnum\faauto\adjustright\rin0\lin0\itap0 \rtlch\fcs1 \af0\afs20\alang1025 \ltrch\fcs0 _x000d__x000a_\fs24\lang2057\langfe2057\cgrid\langnp2057\langfenp2057 \sbasedon0 \snext21 \spriority0 \styrsid12938555 AmOrLang;}{\s22\qc \li0\ri0\sa240\nowidctlpar\wrapdefault\aspalpha\aspnum\faauto\adjustright\rin0\lin0\itap0 \rtlch\fcs1 \af0\afs20\alang1025 _x000d__x000a_\ltrch\fcs0 \i\fs24\lang2057\langfe2057\cgrid\langnp2057\langfenp2057 \sbasedon0 \snext22 \spriority0 \styrsid1293855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8555 AmNumberTabs;}}{\*\rsidtbl \rsid24658\rsid223860\rsid735077\rsid1718133\rsid2892074\rsid3565327\rsid4666813\rsid6641733\rsid7823322_x000d__x000a_\rsid9636012\rsid10377208\rsid11215221\rsid11549030\rsid12154954\rsid12938555\rsid13336227\rsid14382809\rsid14424199\rsid15204470\rsid15285974\rsid15950462\rsid16324206\rsid16662270}{\mmathPr\mmathFont34\mbrkBin0\mbrkBinSub0\msmallFrac0\mdispDef1_x000d__x000a_\mlMargin0\mrMargin0\mdefJc1\mwrapIndent1440\mintLim0\mnaryLim1}{\info{\author KRIEG Milena}{\operator KRIEG Milena}{\creatim\yr2025\mo5\dy21\hr6\min35}{\revtim\yr2025\mo5\dy21\hr6\min35}{\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293855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3336227 \chftnsep _x000d__x000a_\par }}{\*\ftnsepc \ltrpar \pard\plain \ltrpar\ql \li0\ri0\widctlpar\wrapdefault\aspalpha\aspnum\faauto\adjustright\rin0\lin0\itap0 \rtlch\fcs1 \af0\afs20\alang1025 \ltrch\fcs0 \fs24\lang2057\langfe2057\cgrid\langnp2057\langfenp2057 {\rtlch\fcs1 \af0 _x000d__x000a_\ltrch\fcs0 \insrsid13336227 \chftnsepc _x000d__x000a_\par }}{\*\aftnsep \ltrpar \pard\plain \ltrpar\ql \li0\ri0\widctlpar\wrapdefault\aspalpha\aspnum\faauto\adjustright\rin0\lin0\itap0 \rtlch\fcs1 \af0\afs20\alang1025 \ltrch\fcs0 \fs24\lang2057\langfe2057\cgrid\langnp2057\langfenp2057 {\rtlch\fcs1 \af0 _x000d__x000a_\ltrch\fcs0 \insrsid13336227 \chftnsep _x000d__x000a_\par }}{\*\aftnsepc \ltrpar \pard\plain \ltrpar\ql \li0\ri0\widctlpar\wrapdefault\aspalpha\aspnum\faauto\adjustright\rin0\lin0\itap0 \rtlch\fcs1 \af0\afs20\alang1025 \ltrch\fcs0 \fs24\lang2057\langfe2057\cgrid\langnp2057\langfenp2057 {\rtlch\fcs1 \af0 _x000d__x000a_\ltrch\fcs0 \insrsid133362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8555 \rtlch\fcs1 _x000d__x000a_\af0\afs20\alang1025 \ltrch\fcs0 \b\fs24\lang2057\langfe2057\cgrid\langnp2057\langfenp2057 {\rtlch\fcs1 \af0 \ltrch\fcs0 \cs17\b0\v\fs20\cf9\lang1024\langfe1024\loch\af1\hich\af1\dbch\af31501\noproof\insrsid12938555\charrsid1459857 {\*\bkmkstart restartA}_x000d__x000a_\hich\af1\dbch\af31501\loch\f1 &lt;AmendA&gt;}{\rtlch\fcs1 \af0 \ltrch\fcs0 \insrsid12938555\charrsid1459857 Amendment\tab \tab }{\rtlch\fcs1 \af0 \ltrch\fcs0 _x000d__x000a_\cs17\b0\v\fs20\cf9\lang1024\langfe1024\loch\af1\hich\af1\dbch\af31501\noproof\insrsid12938555\charrsid1459857 \hich\af1\dbch\af31501\loch\f1 &lt;NumAmA&gt;}{\rtlch\fcs1 \af0 \ltrch\fcs0 \insrsid12938555\charrsid1459857 #}{\rtlch\fcs1 \af1 \ltrch\fcs0 _x000d__x000a_\cs18\v\f1\fs20\cf15\insrsid12938555\charrsid1459857 ENMIENDA@NRAM@}{\rtlch\fcs1 \af0 \ltrch\fcs0 \insrsid12938555\charrsid1459857 #}{\rtlch\fcs1 \af0 \ltrch\fcs0 _x000d__x000a_\cs17\b0\v\fs20\cf9\lang1024\langfe1024\loch\af1\hich\af1\dbch\af31501\noproof\insrsid12938555\charrsid1459857 \hich\af1\dbch\af31501\loch\f1 &lt;/NumAmA&gt;}{\rtlch\fcs1 \af0 \ltrch\fcs0 \insrsid12938555\charrsid1459857 _x000d__x000a_\par }\pard\plain \ltrpar\s20\ql \li0\ri0\nowidctlpar\wrapdefault\aspalpha\aspnum\faauto\adjustright\rin0\lin0\itap0\pararsid12938555 \rtlch\fcs1 \af0\afs20\alang1025 \ltrch\fcs0 \b\fs24\lang2057\langfe2057\cgrid\langnp2057\langfenp2057 {\rtlch\fcs1 \af0 _x000d__x000a_\ltrch\fcs0 \cs17\b0\v\fs20\cf9\lang1024\langfe1024\loch\af1\hich\af1\dbch\af31501\noproof\insrsid12938555\charrsid1459857 \hich\af1\dbch\af31501\loch\f1 &lt;RepeatBlock-By&gt;}{\rtlch\fcs1 \af0 \ltrch\fcs0 \insrsid12938555\charrsid1459857 #}{\rtlch\fcs1 \af1 _x000d__x000a_\ltrch\fcs0 \cs18\v\f1\fs20\cf15\insrsid12938555\charrsid1459857 (MOD@InsideLoop()}{\rtlch\fcs1 \af0 \ltrch\fcs0 \insrsid12938555\charrsid1459857 ##}{\rtlch\fcs1 \af1 \ltrch\fcs0 \cs18\v\f1\fs20\cf15\insrsid12938555\charrsid1459857 &gt;&gt;&gt;@[ZMEMBERSMSG]@}{_x000d__x000a_\rtlch\fcs1 \af0 \ltrch\fcs0 \insrsid12938555\charrsid1459857 #}{\rtlch\fcs1 \af0 \ltrch\fcs0 \cs17\b0\v\fs20\cf9\lang1024\langfe1024\loch\af1\hich\af1\dbch\af31501\noproof\insrsid12938555\charrsid1459857 \hich\af1\dbch\af31501\loch\f1 &lt;Members&gt;}{_x000d__x000a_\rtlch\fcs1 \af0 \ltrch\fcs0 \insrsid12938555\charrsid1459857 #}{\rtlch\fcs1 \af1 \ltrch\fcs0 \cs18\v\f1\fs20\cf15\insrsid12938555\charrsid1459857 (MOD@InsideLoop(\'a7)}{\rtlch\fcs1 \af0 \ltrch\fcs0 \insrsid12938555\charrsid1459857 #}{\rtlch\fcs1 \af0 _x000d__x000a_\ltrch\fcs0 \cf10\insrsid12938555\charrsid1459857 \u9668\'3f}{\rtlch\fcs1 \af0 \ltrch\fcs0 \insrsid12938555\charrsid1459857 #}{\rtlch\fcs1 \af1 \ltrch\fcs0 \cs18\v\f1\fs20\cf15\insrsid12938555\charrsid1459857 TVTMEMBERS\'a7@MEMBERS@}{\rtlch\fcs1 \af0 _x000d__x000a_\ltrch\fcs0 \insrsid12938555\charrsid1459857 #}{\rtlch\fcs1 \af0 \ltrch\fcs0 \cf10\insrsid12938555\charrsid1459857 \u9658\'3f}{\rtlch\fcs1 \af0 \ltrch\fcs0 _x000d__x000a_\cs17\b0\v\fs20\cf9\lang1024\langfe1024\loch\af1\hich\af1\dbch\af31501\noproof\insrsid12938555\charrsid1459857 \hich\af1\dbch\af31501\loch\f1 &lt;/Members&gt;}{\rtlch\fcs1 \af0 \ltrch\fcs0 \insrsid12938555\charrsid1459857 _x000d__x000a_\par }\pard\plain \ltrpar\ql \li0\ri0\widctlpar\wrapdefault\aspalpha\aspnum\faauto\adjustright\rin0\lin0\itap0\pararsid12938555 \rtlch\fcs1 \af0\afs20\alang1025 \ltrch\fcs0 \fs24\lang2057\langfe2057\cgrid\langnp2057\langfenp2057 {\rtlch\fcs1 \af0 \ltrch\fcs0 _x000d__x000a_\cs17\v\fs20\cf9\lang1024\langfe1024\loch\af1\hich\af1\dbch\af31501\noproof\insrsid12938555\charrsid1459857 \hich\af1\dbch\af31501\loch\f1 &lt;AuNomDe&gt;&lt;OptDel&gt;}{\rtlch\fcs1 \af0 \ltrch\fcs0 \insrsid12938555\charrsid1459857 #}{\rtlch\fcs1 \af1 \ltrch\fcs0 _x000d__x000a_\cs18\v\f1\fs20\cf15\insrsid12938555\charrsid1459857 MNU[ONBEHALFYES][NOTAPP]@CHOICE@}{\rtlch\fcs1 \af0 \ltrch\fcs0 \insrsid12938555\charrsid1459857 #}{\rtlch\fcs1 \af0 \ltrch\fcs0 _x000d__x000a_\cs17\v\fs20\cf9\lang1024\langfe1024\loch\af1\hich\af1\dbch\af31501\noproof\insrsid12938555\charrsid1459857 \hich\af1\dbch\af31501\loch\f1 &lt;/OptDel&gt;&lt;/AuNomDe&gt;}{\rtlch\fcs1 \af0 \ltrch\fcs0 \insrsid12938555\charrsid1459857 _x000d__x000a_\par &lt;&lt;&lt;}{\rtlch\fcs1 \af0 \ltrch\fcs0 \cs17\v\fs20\cf9\lang1024\langfe1024\loch\af1\hich\af1\dbch\af31501\noproof\insrsid12938555\charrsid1459857 \hich\af1\dbch\af31501\loch\f1 &lt;/RepeatBlock-By&gt;}{\rtlch\fcs1 \af0 \ltrch\fcs0 \insrsid12938555\charrsid1459857 _x000d__x000a__x000d__x000a_\par }\pard\plain \ltrpar\s20\ql \li0\ri0\nowidctlpar\wrapdefault\aspalpha\aspnum\faauto\adjustright\rin0\lin0\itap0\pararsid12938555 \rtlch\fcs1 \af0\afs20\alang1025 \ltrch\fcs0 \b\fs24\lang2057\langfe2057\cgrid\langnp2057\langfenp2057 {\rtlch\fcs1 \af0 _x000d__x000a_\ltrch\fcs0 \cs17\b0\v\fs20\cf9\lang1024\langfe1024\loch\af1\hich\af1\dbch\af31501\noproof\insrsid12938555\charrsid1459857 \hich\af1\dbch\af31501\loch\f1 &lt;DocAmend&gt;}{\rtlch\fcs1 \af0 \ltrch\fcs0 \insrsid12938555\charrsid1459857 _x000d__x000a_Draft legislative resolution}{\rtlch\fcs1 \af0 \ltrch\fcs0 \cs17\b0\v\fs20\cf9\lang1024\langfe1024\loch\af1\hich\af1\dbch\af31501\noproof\insrsid12938555\charrsid1459857 \hich\af1\dbch\af31501\loch\f1 &lt;/DocAmend&gt;}{\rtlch\fcs1 \af0 \ltrch\fcs0 _x000d__x000a_\insrsid12938555\charrsid1459857 _x000d__x000a_\par }{\rtlch\fcs1 \af0 \ltrch\fcs0 \cs17\b0\v\fs20\cf9\lang1024\langfe1024\loch\af1\hich\af1\dbch\af31501\noproof\insrsid12938555\charrsid1459857 \hich\af1\dbch\af31501\loch\f1 &lt;Article&gt;}{\rtlch\fcs1 \af0 \ltrch\fcs0 \cf10\insrsid12938555\charrsid1459857 _x000d__x000a_\u9668\'3f}{\rtlch\fcs1 \af0 \ltrch\fcs0 \insrsid12938555\charrsid1459857 #}{\rtlch\fcs1 \af1 \ltrch\fcs0 \cs18\v\f1\fs20\cf15\insrsid12938555\charrsid1459857 TVTRESPART@RESPART@}{\rtlch\fcs1 \af0 \ltrch\fcs0 \insrsid12938555\charrsid1459857 #}{_x000d__x000a_\rtlch\fcs1 \af0 \ltrch\fcs0 \cf10\insrsid12938555\charrsid1459857 \u9658\'3f}{\rtlch\fcs1 \af0 \ltrch\fcs0 \cs17\b0\v\fs20\cf9\lang1024\langfe1024\loch\af1\hich\af1\dbch\af31501\noproof\insrsid12938555\charrsid1459857 \hich\af1\dbch\af31501\loch\f1 _x000d__x000a_&lt;/Article&gt;}{\rtlch\fcs1 \af0 \ltrch\fcs0 \insrsid12938555\charrsid145985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2938555\charrsid1459857 \cell }\pard\plain \ltrpar\ql \li0\ri0\widctlpar\intbl\wrapdefault\aspalpha\aspnum\faauto\adjustright\rin0\lin0 \rtlch\fcs1 _x000d__x000a_\af0\afs20\alang1025 \ltrch\fcs0 \fs24\lang2057\langfe2057\cgrid\langnp2057\langfenp2057 {\rtlch\fcs1 \af0 \ltrch\fcs0 \insrsid12938555\charrsid1459857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4786594 \rtlch\fcs1 \af0\afs20\alang1025 \ltrch\fcs0 \i\fs24\lang2057\langfe2057\cgrid\langnp2057\langfenp2057 {\rtlch\fcs1 _x000d__x000a_\af0 \ltrch\fcs0 \insrsid12938555\charrsid1459857 Draft legislative resolution\cell Amendment\cell }\pard\plain \ltrpar\ql \li0\ri0\widctlpar\intbl\wrapdefault\aspalpha\aspnum\faauto\adjustright\rin0\lin0 \rtlch\fcs1 \af0\afs20\alang1025 \ltrch\fcs0 _x000d__x000a_\fs24\lang2057\langfe2057\cgrid\langnp2057\langfenp2057 {\rtlch\fcs1 \af0 \ltrch\fcs0 \insrsid12938555\charrsid1459857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938555\charrsid1459857 ##\cell }\pard \ltrpar\s19\ql \li0\ri0\sa120\nowidctlpar\intbl\wrapdefault\aspalpha\aspnum\faauto\adjustright\rin0\lin0\pararsid4786594 {\rtlch\fcs1 \af0 \ltrch\fcs0 \insrsid12938555\charrsid1459857 ##}{\rtlch\fcs1 _x000d__x000a_\af0\afs24 \ltrch\fcs0 \insrsid12938555\charrsid1459857 \cell }\pard\plain \ltrpar\ql \li0\ri0\widctlpar\intbl\wrapdefault\aspalpha\aspnum\faauto\adjustright\rin0\lin0 \rtlch\fcs1 \af0\afs20\alang1025 \ltrch\fcs0 _x000d__x000a_\fs24\lang2057\langfe2057\cgrid\langnp2057\langfenp2057 {\rtlch\fcs1 \af0 \ltrch\fcs0 \insrsid12938555\charrsid145985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938555 \rtlch\fcs1 \af0\afs20\alang1025 \ltrch\fcs0 \fs24\lang2057\langfe2057\cgrid\langnp2057\langfenp2057 {\rtlch\fcs1 \af0 \ltrch\fcs0 _x000d__x000a_\insrsid12938555\charrsid1459857 Or. }{\rtlch\fcs1 \af0 \ltrch\fcs0 \cs17\v\fs20\cf9\lang1024\langfe1024\loch\af1\hich\af1\dbch\af31501\noproof\insrsid12938555\charrsid1459857 \hich\af1\dbch\af31501\loch\f1 &lt;Original&gt;}{\rtlch\fcs1 \af0 \ltrch\fcs0 _x000d__x000a_\insrsid12938555\charrsid1459857 #}{\rtlch\fcs1 \af1 \ltrch\fcs0 \cs18\v\f1\fs20\cf15\insrsid12938555\charrsid1459857 KEY(MAIN/LANGMIN)sh@ORLANGMSG@}{\rtlch\fcs1 \af0 \ltrch\fcs0 \insrsid12938555\charrsid1459857 #}{\rtlch\fcs1 \af0 \ltrch\fcs0 _x000d__x000a_\cs17\v\fs20\cf9\lang1024\langfe1024\loch\af1\hich\af1\dbch\af31501\noproof\insrsid12938555\charrsid1459857 \hich\af1\dbch\af31501\loch\f1 &lt;/Original&gt;}{\rtlch\fcs1 \af0 \ltrch\fcs0 \insrsid12938555\charrsid1459857 _x000d__x000a_\par }\pard\plain \ltrpar\ql \li0\ri0\widctlpar\wrapdefault\aspalpha\aspnum\faauto\adjustright\rin0\lin0\itap0\pararsid12938555 \rtlch\fcs1 \af0\afs20\alang1025 \ltrch\fcs0 \fs24\lang2057\langfe2057\cgrid\langnp2057\langfenp2057 {\rtlch\fcs1 \af0 \ltrch\fcs0 _x000d__x000a_\cs17\v\fs20\cf9\lang1024\langfe1024\loch\af1\hich\af1\dbch\af31501\noproof\insrsid12938555\charrsid145985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b_x000d__x000a_61b709c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6035 HideTWBExt;}{\*\cs18 \additive \v\f1\fs20\cf15 _x000d__x000a_\spriority0 \styrsid10116035 HideTWBInt;}{\s19\ql \li0\ri0\sa120\nowidctlpar\wrapdefault\aspalpha\aspnum\faauto\adjustright\rin0\lin0\itap0 \rtlch\fcs1 \af0\afs20\alang1025 \ltrch\fcs0 \fs24\lang2057\langfe2057\cgrid\langnp2057\langfenp2057 _x000d__x000a_\sbasedon0 \snext19 \spriority0 \styrsid10116035 Normal6a;}{\s20\ql \li0\ri0\nowidctlpar\wrapdefault\aspalpha\aspnum\faauto\adjustright\rin0\lin0\itap0 \rtlch\fcs1 \af0\afs20\alang1025 \ltrch\fcs0 \b\fs24\lang2057\langfe2057\cgrid\langnp2057\langfenp2057 _x000d__x000a_\sbasedon0 \snext20 \spriority0 \styrsid10116035 NormalBold;}{\s21\ql \li0\ri0\sa240\nowidctlpar\wrapdefault\aspalpha\aspnum\faauto\adjustright\rin0\lin0\itap0 \rtlch\fcs1 \af0\afs20\alang1025 \ltrch\fcs0 _x000d__x000a_\i\fs24\lang2057\langfe2057\cgrid\langnp2057\langfenp2057 \sbasedon0 \snext21 \spriority0 \styrsid10116035 AmJustText;}{\s22\qc \li0\ri0\sb240\sa240\nowidctlpar\wrapdefault\aspalpha\aspnum\faauto\adjustright\rin0\lin0\itap0 \rtlch\fcs1 _x000d__x000a_\af0\afs20\alang1025 \ltrch\fcs0 \i\fs24\lang2057\langfe2057\cgrid\langnp2057\langfenp2057 \sbasedon0 \snext22 \spriority0 \styrsid10116035 AmCrossRef;}{_x000d__x000a_\s23\qc \li0\ri0\sb240\sa240\keepn\nowidctlpar\wrapdefault\aspalpha\aspnum\faauto\adjustright\rin0\lin0\itap0 \rtlch\fcs1 \af0\afs20\alang1025 \ltrch\fcs0 \i\fs24\lang2057\langfe2057\cgrid\langnp2057\langfenp2057 _x000d__x000a_\sbasedon0 \snext21 \spriority0 \styrsid10116035 AmJustTitle;}{\s24\qr \li0\ri0\sb240\sa240\nowidctlpar\wrapdefault\aspalpha\aspnum\faauto\adjustright\rin0\lin0\itap0 \rtlch\fcs1 \af0\afs20\alang1025 \ltrch\fcs0 _x000d__x000a_\fs24\lang2057\langfe2057\cgrid\langnp2057\langfenp2057 \sbasedon0 \snext24 \spriority0 \styrsid10116035 AmOrLang;}{\s25\qc \li0\ri0\sa240\nowidctlpar\wrapdefault\aspalpha\aspnum\faauto\adjustright\rin0\lin0\itap0 \rtlch\fcs1 \af0\afs20\alang1025 _x000d__x000a_\ltrch\fcs0 \i\fs24\lang2057\langfe2057\cgrid\langnp2057\langfenp2057 \sbasedon0 \snext25 \spriority0 \styrsid1011603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116035 AmNumberTabs;}}{\*\rsidtbl \rsid24658\rsid223860\rsid735077\rsid1718133\rsid2892074\rsid3565327\rsid4666813\rsid6641733\rsid7823322_x000d__x000a_\rsid9636012\rsid10116035\rsid10377208\rsid11215221\rsid11233009\rsid11549030\rsid12154954\rsid14382809\rsid14424199\rsid15204470\rsid15285974\rsid15950462\rsid16324206\rsid16662270}{\mmathPr\mmathFont34\mbrkBin0\mbrkBinSub0\msmallFrac0\mdispDef1_x000d__x000a_\mlMargin0\mrMargin0\mdefJc1\mwrapIndent1440\mintLim0\mnaryLim1}{\info{\author KRIEG Milena}{\operator KRIEG Milena}{\creatim\yr2025\mo5\dy21\hr6\min35}{\revtim\yr2025\mo5\dy21\hr6\min35}{\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01160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233009 \chftnsep _x000d__x000a_\par }}{\*\ftnsepc \ltrpar \pard\plain \ltrpar\ql \li0\ri0\widctlpar\wrapdefault\aspalpha\aspnum\faauto\adjustright\rin0\lin0\itap0 \rtlch\fcs1 \af0\afs20\alang1025 \ltrch\fcs0 \fs24\lang2057\langfe2057\cgrid\langnp2057\langfenp2057 {\rtlch\fcs1 \af0 _x000d__x000a_\ltrch\fcs0 \insrsid11233009 \chftnsepc _x000d__x000a_\par }}{\*\aftnsep \ltrpar \pard\plain \ltrpar\ql \li0\ri0\widctlpar\wrapdefault\aspalpha\aspnum\faauto\adjustright\rin0\lin0\itap0 \rtlch\fcs1 \af0\afs20\alang1025 \ltrch\fcs0 \fs24\lang2057\langfe2057\cgrid\langnp2057\langfenp2057 {\rtlch\fcs1 \af0 _x000d__x000a_\ltrch\fcs0 \insrsid11233009 \chftnsep _x000d__x000a_\par }}{\*\aftnsepc \ltrpar \pard\plain \ltrpar\ql \li0\ri0\widctlpar\wrapdefault\aspalpha\aspnum\faauto\adjustright\rin0\lin0\itap0 \rtlch\fcs1 \af0\afs20\alang1025 \ltrch\fcs0 \fs24\lang2057\langfe2057\cgrid\langnp2057\langfenp2057 {\rtlch\fcs1 \af0 _x000d__x000a_\ltrch\fcs0 \insrsid112330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116035 \rtlch\fcs1 _x000d__x000a_\af0\afs20\alang1025 \ltrch\fcs0 \b\fs24\lang2057\langfe2057\cgrid\langnp2057\langfenp2057 {\rtlch\fcs1 \af0 \ltrch\fcs0 \cs17\b0\v\fs20\cf9\lang1024\langfe1024\loch\af1\hich\af1\dbch\af31501\noproof\insrsid10116035\charrsid1459857 {\*\bkmkstart restartB}_x000d__x000a_\hich\af1\dbch\af31501\loch\f1 &lt;AmendB&gt;}{\rtlch\fcs1 \af0 \ltrch\fcs0 \insrsid10116035\charrsid1459857 Amendment\tab \tab }{\rtlch\fcs1 \af0 \ltrch\fcs0 _x000d__x000a_\cs17\b0\v\fs20\cf9\lang1024\langfe1024\loch\af1\hich\af1\dbch\af31501\noproof\insrsid10116035\charrsid1459857 \hich\af1\dbch\af31501\loch\f1 &lt;NumAmB&gt;}{\rtlch\fcs1 \af0 \ltrch\fcs0 \insrsid10116035\charrsid1459857 #}{\rtlch\fcs1 \af1 \ltrch\fcs0 _x000d__x000a_\cs18\v\f1\fs20\cf15\insrsid10116035\charrsid1459857 ENMIENDA@NRAM@}{\rtlch\fcs1 \af0 \ltrch\fcs0 \insrsid10116035\charrsid1459857 #}{\rtlch\fcs1 \af0 \ltrch\fcs0 _x000d__x000a_\cs17\b0\v\fs20\cf9\lang1024\langfe1024\loch\af1\hich\af1\dbch\af31501\noproof\insrsid10116035\charrsid1459857 \hich\af1\dbch\af31501\loch\f1 &lt;/NumAmB&gt;}{\rtlch\fcs1 \af0 \ltrch\fcs0 \insrsid10116035\charrsid1459857 _x000d__x000a_\par }\pard\plain \ltrpar\s20\ql \li0\ri0\nowidctlpar\wrapdefault\aspalpha\aspnum\faauto\adjustright\rin0\lin0\itap0\pararsid10116035 \rtlch\fcs1 \af0\afs20\alang1025 \ltrch\fcs0 \b\fs24\lang2057\langfe2057\cgrid\langnp2057\langfenp2057 {\rtlch\fcs1 \af0 _x000d__x000a_\ltrch\fcs0 \cs17\b0\v\fs20\cf9\lang1024\langfe1024\loch\af1\hich\af1\dbch\af31501\noproof\insrsid10116035\charrsid1459857 \hich\af1\dbch\af31501\loch\f1 &lt;RepeatBlock-By&gt;}{\rtlch\fcs1 \af0 \ltrch\fcs0 \insrsid10116035\charrsid1459857 #}{\rtlch\fcs1 \af1 _x000d__x000a_\ltrch\fcs0 \cs18\v\f1\fs20\cf15\insrsid10116035\charrsid1459857 (MOD@InsideLoop()}{\rtlch\fcs1 \af0 \ltrch\fcs0 \insrsid10116035\charrsid1459857 ##}{\rtlch\fcs1 \af1 \ltrch\fcs0 \cs18\v\f1\fs20\cf15\insrsid10116035\charrsid1459857 &gt;&gt;&gt;@[ZMEMBERSMSG]@}{_x000d__x000a_\rtlch\fcs1 \af0 \ltrch\fcs0 \insrsid10116035\charrsid1459857 #}{\rtlch\fcs1 \af0 \ltrch\fcs0 \cs17\b0\v\fs20\cf9\lang1024\langfe1024\loch\af1\hich\af1\dbch\af31501\noproof\insrsid10116035\charrsid1459857 \hich\af1\dbch\af31501\loch\f1 &lt;Members&gt;}{_x000d__x000a_\rtlch\fcs1 \af0 \ltrch\fcs0 \insrsid10116035\charrsid1459857 #}{\rtlch\fcs1 \af1 \ltrch\fcs0 \cs18\v\f1\fs20\cf15\insrsid10116035\charrsid1459857 (MOD@InsideLoop(\'a7)}{\rtlch\fcs1 \af0 \ltrch\fcs0 \insrsid10116035\charrsid1459857 #}{\rtlch\fcs1 \af0 _x000d__x000a_\ltrch\fcs0 \cf10\insrsid10116035\charrsid1459857 \u9668\'3f}{\rtlch\fcs1 \af0 \ltrch\fcs0 \insrsid10116035\charrsid1459857 #}{\rtlch\fcs1 \af1 \ltrch\fcs0 \cs18\v\f1\fs20\cf15\insrsid10116035\charrsid1459857 TVTMEMBERS\'a7@MEMBERS@}{\rtlch\fcs1 \af0 _x000d__x000a_\ltrch\fcs0 \insrsid10116035\charrsid1459857 #}{\rtlch\fcs1 \af0 \ltrch\fcs0 \cf10\insrsid10116035\charrsid1459857 \u9658\'3f}{\rtlch\fcs1 \af0 \ltrch\fcs0 _x000d__x000a_\cs17\b0\v\fs20\cf9\lang1024\langfe1024\loch\af1\hich\af1\dbch\af31501\noproof\insrsid10116035\charrsid1459857 \hich\af1\dbch\af31501\loch\f1 &lt;/Members&gt;}{\rtlch\fcs1 \af0 \ltrch\fcs0 \insrsid10116035\charrsid1459857 _x000d__x000a_\par }\pard\plain \ltrpar\ql \li0\ri0\widctlpar\wrapdefault\aspalpha\aspnum\faauto\adjustright\rin0\lin0\itap0\pararsid10116035 \rtlch\fcs1 \af0\afs20\alang1025 \ltrch\fcs0 \fs24\lang2057\langfe2057\cgrid\langnp2057\langfenp2057 {\rtlch\fcs1 \af0 \ltrch\fcs0 _x000d__x000a_\cs17\v\fs20\cf9\lang1024\langfe1024\loch\af1\hich\af1\dbch\af31501\noproof\insrsid10116035\charrsid1459857 \hich\af1\dbch\af31501\loch\f1 &lt;AuNomDe&gt;&lt;OptDel&gt;}{\rtlch\fcs1 \af0 \ltrch\fcs0 \insrsid10116035\charrsid1459857 #}{\rtlch\fcs1 \af1 \ltrch\fcs0 _x000d__x000a_\cs18\v\f1\fs20\cf15\insrsid10116035\charrsid1459857 MNU[ONBEHALFYES][NOTAPP]@CHOICE@}{\rtlch\fcs1 \af0 \ltrch\fcs0 \insrsid10116035\charrsid1459857 #}{\rtlch\fcs1 \af0 \ltrch\fcs0 _x000d__x000a_\cs17\v\fs20\cf9\lang1024\langfe1024\loch\af1\hich\af1\dbch\af31501\noproof\insrsid10116035\charrsid1459857 \hich\af1\dbch\af31501\loch\f1 &lt;/OptDel&gt;&lt;/AuNomDe&gt;}{\rtlch\fcs1 \af0 \ltrch\fcs0 \insrsid10116035\charrsid1459857 _x000d__x000a_\par &lt;&lt;&lt;}{\rtlch\fcs1 \af0 \ltrch\fcs0 \cs17\v\fs20\cf9\lang1024\langfe1024\loch\af1\hich\af1\dbch\af31501\noproof\insrsid10116035\charrsid1459857 \hich\af1\dbch\af31501\loch\f1 &lt;/RepeatBlock-By&gt;}{\rtlch\fcs1 \af0 \ltrch\fcs0 \insrsid10116035\charrsid1459857 _x000d__x000a__x000d__x000a_\par }\pard\plain \ltrpar\s20\ql \li0\ri0\nowidctlpar\wrapdefault\aspalpha\aspnum\faauto\adjustright\rin0\lin0\itap0\pararsid10116035 \rtlch\fcs1 \af0\afs20\alang1025 \ltrch\fcs0 \b\fs24\lang2057\langfe2057\cgrid\langnp2057\langfenp2057 {\rtlch\fcs1 \af0 _x000d__x000a_\ltrch\fcs0 \cs17\b0\v\fs20\cf9\lang1024\langfe1024\loch\af1\hich\af1\dbch\af31501\noproof\insrsid10116035\charrsid1459857 \hich\af1\dbch\af31501\loch\f1 &lt;DocAmend&gt;}{\rtlch\fcs1 \af0 \ltrch\fcs0 \insrsid10116035\charrsid1459857 #}{\rtlch\fcs1 \af1 _x000d__x000a_\ltrch\fcs0 \cs18\v\f1\fs20\cf15\insrsid10116035\charrsid1459857 MNU[OPTPROPOSALCOD][OPTPROPOSALCNS][OPTPROPOSALNLE]@CHOICE@CODEMNU}{\rtlch\fcs1 \af0 \ltrch\fcs0 \insrsid10116035\charrsid1459857 #}{\rtlch\fcs1 \af0 \ltrch\fcs0 _x000d__x000a_\cs17\b0\v\fs20\cf9\lang1024\langfe1024\loch\af1\hich\af1\dbch\af31501\noproof\insrsid10116035\charrsid1459857 \hich\af1\dbch\af31501\loch\f1 &lt;/DocAmend&gt;}{\rtlch\fcs1 \af0 \ltrch\fcs0 \insrsid10116035\charrsid1459857 _x000d__x000a_\par }\pard \ltrpar\s20\ql \li0\ri0\keepn\nowidctlpar\wrapdefault\aspalpha\aspnum\faauto\adjustright\rin0\lin0\itap0\pararsid10116035 {\rtlch\fcs1 \af0 \ltrch\fcs0 _x000d__x000a_\cs17\b0\v\fs20\cf9\lang1024\langfe1024\loch\af1\hich\af1\dbch\af31501\noproof\insrsid10116035\charrsid1459857 \hich\af1\dbch\af31501\loch\f1 &lt;Article&gt;}{\rtlch\fcs1 \af0 \ltrch\fcs0 \insrsid10116035\charrsid1459857 #}{\rtlch\fcs1 \af1 \ltrch\fcs0 _x000d__x000a_\cs18\v\f1\fs20\cf15\insrsid10116035\charrsid1459857 MNU[AMACTPARTYES][AMACTPARTNO]@CHOICE@AMACTMNU}{\rtlch\fcs1 \af0 \ltrch\fcs0 \insrsid10116035\charrsid1459857 #}{\rtlch\fcs1 \af0 \ltrch\fcs0 _x000d__x000a_\cs17\b0\v\fs20\cf9\lang1024\langfe1024\loch\af1\hich\af1\dbch\af31501\noproof\insrsid10116035\charrsid1459857 \hich\af1\dbch\af31501\loch\f1 &lt;/Article&gt;}{\rtlch\fcs1 \af0 \ltrch\fcs0 \insrsid10116035\charrsid1459857 _x000d__x000a_\par }\pard\plain \ltrpar\ql \li0\ri0\keepn\widctlpar\wrapdefault\aspalpha\aspnum\faauto\adjustright\rin0\lin0\itap0\pararsid10116035 \rtlch\fcs1 \af0\afs20\alang1025 \ltrch\fcs0 \fs24\lang2057\langfe2057\cgrid\langnp2057\langfenp2057 {\rtlch\fcs1 \af0 _x000d__x000a_\ltrch\fcs0 \cs17\v\fs20\cf9\lang1024\langfe1024\loch\af1\hich\af1\dbch\af31501\noproof\insrsid10116035\charrsid1459857 \hich\af1\dbch\af31501\loch\f1 &lt;DocAmend2&gt;&lt;OptDel&gt;}{\rtlch\fcs1 \af0 \ltrch\fcs0 \insrsid10116035\charrsid1459857 #}{\rtlch\fcs1 \af1 _x000d__x000a_\ltrch\fcs0 \cs18\v\f1\fs20\cf15\insrsid10116035\charrsid1459857 MNU[OPTNRACTYES][NOTAPP]@CHOICE@AMACTMNU}{\rtlch\fcs1 \af0 \ltrch\fcs0 \insrsid10116035\charrsid1459857 #}{\rtlch\fcs1 \af0 \ltrch\fcs0 _x000d__x000a_\cs17\v\fs20\cf9\lang1024\langfe1024\loch\af1\hich\af1\dbch\af31501\noproof\insrsid10116035\charrsid1459857 \hich\af1\dbch\af31501\loch\f1 &lt;/OptDel&gt;&lt;/DocAmend2&gt;}{\rtlch\fcs1 \af0 \ltrch\fcs0 \insrsid10116035\charrsid1459857 _x000d__x000a_\par }\pard \ltrpar\ql \li0\ri0\widctlpar\wrapdefault\aspalpha\aspnum\faauto\adjustright\rin0\lin0\itap0\pararsid10116035 {\rtlch\fcs1 \af0 \ltrch\fcs0 \cs17\v\fs20\cf9\lang1024\langfe1024\loch\af1\hich\af1\dbch\af31501\noproof\insrsid10116035\charrsid1459857 _x000d__x000a_\hich\af1\dbch\af31501\loch\f1 &lt;Article2&gt;&lt;OptDel&gt;}{\rtlch\fcs1 \af0 \ltrch\fcs0 \insrsid10116035\charrsid1459857 #}{\rtlch\fcs1 \af1 \ltrch\fcs0 \cs18\v\f1\fs20\cf15\insrsid10116035\charrsid1459857 MNU[OPTACTPARTYES][NOTAPP]@CHOICE@AMACTMNU}{\rtlch\fcs1 _x000d__x000a_\af0 \ltrch\fcs0 \insrsid10116035\charrsid1459857 #}{\rtlch\fcs1 \af0 \ltrch\fcs0 \cs17\v\fs20\cf9\lang1024\langfe1024\loch\af1\hich\af1\dbch\af31501\noproof\insrsid10116035\charrsid1459857 \hich\af1\dbch\af31501\loch\f1 &lt;/OptDel&gt;&lt;/Article2&gt;}{\rtlch\fcs1 _x000d__x000a_\af0 \ltrch\fcs0 \insrsid10116035\charrsid145985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116035\charrsid1459857 \cell }\pard\plain \ltrpar\ql \li0\ri0\widctlpar\intbl\wrapdefault\aspalpha\aspnum\faauto\adjustright\rin0\lin0 \rtlch\fcs1 _x000d__x000a_\af0\afs20\alang1025 \ltrch\fcs0 \fs24\lang2057\langfe2057\cgrid\langnp2057\langfenp2057 {\rtlch\fcs1 \af0 \ltrch\fcs0 \insrsid10116035\charrsid1459857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4786594 \rtlch\fcs1 \af0\afs20\alang1025 \ltrch\fcs0 _x000d__x000a_\i\fs24\lang2057\langfe2057\cgrid\langnp2057\langfenp2057 {\rtlch\fcs1 \af0 \ltrch\fcs0 \insrsid10116035\charrsid1459857 #}{\rtlch\fcs1 \af1 \ltrch\fcs0 \cs18\v\f1\fs20\cf15\insrsid10116035\charrsid1459857 MNU[OPTLEFTAMACT][LEFTPROP]@CHOICE@AMACTMNU}{_x000d__x000a_\rtlch\fcs1 \af0 \ltrch\fcs0 \insrsid10116035\charrsid1459857 #\cell Amendment\cell }\pard\plain \ltrpar\ql \li0\ri0\widctlpar\intbl\wrapdefault\aspalpha\aspnum\faauto\adjustright\rin0\lin0 \rtlch\fcs1 \af0\afs20\alang1025 \ltrch\fcs0 _x000d__x000a_\fs24\lang2057\langfe2057\cgrid\langnp2057\langfenp2057 {\rtlch\fcs1 \af0 \ltrch\fcs0 \insrsid10116035\charrsid1459857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16035\charrsid1459857 ##\cell }\pard \ltrpar\s19\ql \li0\ri0\sa120\nowidctlpar\intbl\wrapdefault\aspalpha\aspnum\faauto\adjustright\rin0\lin0\pararsid4786594 {\rtlch\fcs1 \af0 \ltrch\fcs0 \insrsid10116035\charrsid1459857 ##}{\rtlch\fcs1 _x000d__x000a_\af0\afs24 \ltrch\fcs0 \insrsid10116035\charrsid1459857 \cell }\pard\plain \ltrpar\ql \li0\ri0\widctlpar\intbl\wrapdefault\aspalpha\aspnum\faauto\adjustright\rin0\lin0 \rtlch\fcs1 \af0\afs20\alang1025 \ltrch\fcs0 _x000d__x000a_\fs24\lang2057\langfe2057\cgrid\langnp2057\langfenp2057 {\rtlch\fcs1 \af0 \ltrch\fcs0 \insrsid10116035\charrsid1459857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116035 \rtlch\fcs1 \af0\afs20\alang1025 \ltrch\fcs0 \fs24\lang2057\langfe2057\cgrid\langnp2057\langfenp2057 {\rtlch\fcs1 \af0 \ltrch\fcs0 _x000d__x000a_\insrsid10116035\charrsid1459857 Or. }{\rtlch\fcs1 \af0 \ltrch\fcs0 \cs17\v\fs20\cf9\lang1024\langfe1024\loch\af1\hich\af1\dbch\af31501\noproof\insrsid10116035\charrsid1459857 \hich\af1\dbch\af31501\loch\f1 &lt;Original&gt;}{\rtlch\fcs1 \af0 \ltrch\fcs0 _x000d__x000a_\insrsid10116035\charrsid1459857 #}{\rtlch\fcs1 \af1 \ltrch\fcs0 \cs18\v\f1\fs20\cf15\insrsid10116035\charrsid1459857 KEY(MAIN/LANGMIN)sh@ORLANGMSG@}{\rtlch\fcs1 \af0 \ltrch\fcs0 \insrsid10116035\charrsid1459857 #}{\rtlch\fcs1 \af0 \ltrch\fcs0 _x000d__x000a_\cs17\v\fs20\cf9\lang1024\langfe1024\loch\af1\hich\af1\dbch\af31501\noproof\insrsid10116035\charrsid1459857 \hich\af1\dbch\af31501\loch\f1 &lt;/Original&gt;}{\rtlch\fcs1 \af0 \ltrch\fcs0 \insrsid10116035\charrsid1459857 _x000d__x000a_\par }\pard\plain \ltrpar\s22\qc \li0\ri0\sb240\sa240\nowidctlpar\wrapdefault\aspalpha\aspnum\faauto\adjustright\rin0\lin0\itap0\pararsid10116035 \rtlch\fcs1 \af0\afs20\alang1025 \ltrch\fcs0 \i\fs24\lang2057\langfe2057\cgrid\langnp2057\langfenp2057 {_x000d__x000a_\rtlch\fcs1 \af0 \ltrch\fcs0 \cs17\i0\v\fs20\cf9\lang1024\langfe1024\loch\af1\hich\af1\dbch\af31501\noproof\insrsid10116035\charrsid1459857 \hich\af1\dbch\af31501\loch\f1 &lt;OptDel&gt;}{\rtlch\fcs1 \af0 \ltrch\fcs0 \insrsid10116035\charrsid1459857 #}{_x000d__x000a_\rtlch\fcs1 \af1 \ltrch\fcs0 \cs18\v\f1\fs20\cf15\insrsid10116035\charrsid1459857 MNU[CROSSREFNO][CROSSREFYES]@CHOICE@}{\rtlch\fcs1 \af0 \ltrch\fcs0 \insrsid10116035\charrsid1459857 #}{\rtlch\fcs1 \af0 \ltrch\fcs0 _x000d__x000a_\cs17\i0\v\fs20\cf9\lang1024\langfe1024\loch\af1\hich\af1\dbch\af31501\noproof\insrsid10116035\charrsid1459857 \hich\af1\dbch\af31501\loch\f1 &lt;/OptDel&gt;}{\rtlch\fcs1 \af0 \ltrch\fcs0 \insrsid10116035\charrsid1459857 _x000d__x000a_\par }\pard\plain \ltrpar\s23\qc \li0\ri0\sb240\sa240\keepn\nowidctlpar\wrapdefault\aspalpha\aspnum\faauto\adjustright\rin0\lin0\itap0\pararsid10116035 \rtlch\fcs1 \af0\afs20\alang1025 \ltrch\fcs0 \i\fs24\lang2057\langfe2057\cgrid\langnp2057\langfenp2057 {_x000d__x000a_\rtlch\fcs1 \af0 \ltrch\fcs0 \cs17\i0\v\fs20\cf9\lang1024\langfe1024\loch\af1\hich\af1\dbch\af31501\noproof\insrsid10116035\charrsid1459857 \hich\af1\dbch\af31501\loch\f1 &lt;TitreJust&gt;}{\rtlch\fcs1 \af0 \ltrch\fcs0 \insrsid10116035\charrsid1459857 _x000d__x000a_Justification}{\rtlch\fcs1 \af0 \ltrch\fcs0 \cs17\i0\v\fs20\cf9\lang1024\langfe1024\loch\af1\hich\af1\dbch\af31501\noproof\insrsid10116035\charrsid1459857 \hich\af1\dbch\af31501\loch\f1 &lt;/TitreJust&gt;}{\rtlch\fcs1 \af0 \ltrch\fcs0 _x000d__x000a_\insrsid10116035\charrsid1459857 _x000d__x000a_\par }\pard\plain \ltrpar\s21\ql \li0\ri0\sa240\nowidctlpar\wrapdefault\aspalpha\aspnum\faauto\adjustright\rin0\lin0\itap0\pararsid10116035 \rtlch\fcs1 \af0\afs20\alang1025 \ltrch\fcs0 \i\fs24\lang2057\langfe2057\cgrid\langnp2057\langfenp2057 {\rtlch\fcs1 _x000d__x000a_\af0 \ltrch\fcs0 \cs17\i0\v\fs20\cf9\lang1024\langfe1024\loch\af1\hich\af1\dbch\af31501\noproof\insrsid10116035\charrsid1459857 \hich\af1\dbch\af31501\loch\f1 &lt;OptDelPrev&gt;}{\rtlch\fcs1 \af0 \ltrch\fcs0 \insrsid10116035\charrsid1459857 #}{\rtlch\fcs1 \af1 _x000d__x000a_\ltrch\fcs0 \cs18\v\f1\fs20\cf15\insrsid10116035\charrsid1459857 MNU[TEXTJUSTYES][TEXTJUSTNO]@CHOICE@}{\rtlch\fcs1 \af0 \ltrch\fcs0 \insrsid10116035\charrsid1459857 #}{\rtlch\fcs1 \af0 \ltrch\fcs0 _x000d__x000a_\cs17\i0\v\fs20\cf9\lang1024\langfe1024\loch\af1\hich\af1\dbch\af31501\noproof\insrsid10116035\charrsid1459857 \hich\af1\dbch\af31501\loch\f1 &lt;/OptDelPrev&gt;}{\rtlch\fcs1 \af0 \ltrch\fcs0 \insrsid10116035\charrsid1459857 _x000d__x000a_\par }\pard\plain \ltrpar\ql \li0\ri0\widctlpar\wrapdefault\aspalpha\aspnum\faauto\adjustright\rin0\lin0\itap0\pararsid10116035 \rtlch\fcs1 \af0\afs20\alang1025 \ltrch\fcs0 \fs24\lang2057\langfe2057\cgrid\langnp2057\langfenp2057 {\rtlch\fcs1 \af0 \ltrch\fcs0 _x000d__x000a_\cs17\v\fs20\cf9\lang1024\langfe1024\loch\af1\hich\af1\dbch\af31501\noproof\insrsid10116035\charrsid145985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b_x000d__x000a_54b809c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23176 HideTWBExt;}{\*\cs18 \additive \v\f1\fs20\cf15 _x000d__x000a_\spriority0 \styrsid8523176 HideTWBInt;}{\s19\ql \li0\ri0\sa120\nowidctlpar\wrapdefault\aspalpha\aspnum\faauto\adjustright\rin0\lin0\itap0 \rtlch\fcs1 \af0\afs20\alang1025 \ltrch\fcs0 \fs24\lang2057\langfe2057\cgrid\langnp2057\langfenp2057 _x000d__x000a_\sbasedon0 \snext19 \spriority0 \styrsid8523176 Normal6a;}{\s20\ql \li0\ri0\nowidctlpar\wrapdefault\aspalpha\aspnum\faauto\adjustright\rin0\lin0\itap0 \rtlch\fcs1 \af0\afs20\alang1025 \ltrch\fcs0 \b\fs24\lang2057\langfe2057\cgrid\langnp2057\langfenp2057 _x000d__x000a_\sbasedon0 \snext20 \spriority0 \styrsid8523176 NormalBold;}{\s21\ql \li0\ri0\sa240\nowidctlpar\wrapdefault\aspalpha\aspnum\faauto\adjustright\rin0\lin0\itap0 \rtlch\fcs1 \af0\afs20\alang1025 \ltrch\fcs0 _x000d__x000a_\i\fs24\lang2057\langfe2057\cgrid\langnp2057\langfenp2057 \sbasedon0 \snext21 \spriority0 \styrsid8523176 AmJustText;}{\s22\qc \li0\ri0\sb240\sa240\nowidctlpar\wrapdefault\aspalpha\aspnum\faauto\adjustright\rin0\lin0\itap0 \rtlch\fcs1 _x000d__x000a_\af0\afs20\alang1025 \ltrch\fcs0 \i\fs24\lang2057\langfe2057\cgrid\langnp2057\langfenp2057 \sbasedon0 \snext22 \spriority0 \styrsid8523176 AmCrossRef;}{_x000d__x000a_\s23\qc \li0\ri0\sb240\sa240\keepn\nowidctlpar\wrapdefault\aspalpha\aspnum\faauto\adjustright\rin0\lin0\itap0 \rtlch\fcs1 \af0\afs20\alang1025 \ltrch\fcs0 \i\fs24\lang2057\langfe2057\cgrid\langnp2057\langfenp2057 _x000d__x000a_\sbasedon0 \snext21 \spriority0 \styrsid8523176 AmJustTitle;}{\s24\qr \li0\ri0\sb240\sa240\nowidctlpar\wrapdefault\aspalpha\aspnum\faauto\adjustright\rin0\lin0\itap0 \rtlch\fcs1 \af0\afs20\alang1025 \ltrch\fcs0 _x000d__x000a_\fs24\lang2057\langfe2057\cgrid\langnp2057\langfenp2057 \sbasedon0 \snext24 \spriority0 \styrsid8523176 AmOrLang;}{\s25\qc \li0\ri0\sa240\nowidctlpar\wrapdefault\aspalpha\aspnum\faauto\adjustright\rin0\lin0\itap0 \rtlch\fcs1 \af0\afs20\alang1025 _x000d__x000a_\ltrch\fcs0 \i\fs24\lang2057\langfe2057\cgrid\langnp2057\langfenp2057 \sbasedon0 \snext25 \spriority0 \styrsid852317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23176 AmNumberTabs;}}{\*\rsidtbl \rsid24658\rsid26151\rsid223860\rsid735077\rsid1718133\rsid2892074\rsid3565327\rsid4666813\rsid6641733_x000d__x000a_\rsid7823322\rsid852317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KRIEG Milena}{\operator KRIEG Milena}{\creatim\yr2025\mo5\dy21\hr6\min48}{\revtim\yr2025\mo5\dy21\hr6\min48}{\version1}{\edmins0}{\nofpages1}{\nofwords130}{\nofchars745}{\nofcharsws87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23176\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26151 \chftnsep _x000d__x000a_\par }}{\*\ftnsepc \ltrpar \pard\plain \ltrpar\ql \li0\ri0\widctlpar\wrapdefault\aspalpha\aspnum\faauto\adjustright\rin0\lin0\itap0 \rtlch\fcs1 \af0\afs20\alang1025 \ltrch\fcs0 \fs24\lang2057\langfe2057\cgrid\langnp2057\langfenp2057 {\rtlch\fcs1 \af0 _x000d__x000a_\ltrch\fcs0 \insrsid26151 \chftnsepc _x000d__x000a_\par }}{\*\aftnsep \ltrpar \pard\plain \ltrpar\ql \li0\ri0\widctlpar\wrapdefault\aspalpha\aspnum\faauto\adjustright\rin0\lin0\itap0 \rtlch\fcs1 \af0\afs20\alang1025 \ltrch\fcs0 \fs24\lang2057\langfe2057\cgrid\langnp2057\langfenp2057 {\rtlch\fcs1 \af0 _x000d__x000a_\ltrch\fcs0 \insrsid26151 \chftnsep _x000d__x000a_\par }}{\*\aftnsepc \ltrpar \pard\plain \ltrpar\ql \li0\ri0\widctlpar\wrapdefault\aspalpha\aspnum\faauto\adjustright\rin0\lin0\itap0 \rtlch\fcs1 \af0\afs20\alang1025 \ltrch\fcs0 \fs24\lang2057\langfe2057\cgrid\langnp2057\langfenp2057 {\rtlch\fcs1 \af0 _x000d__x000a_\ltrch\fcs0 \insrsid261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523176 \rtlch\fcs1 _x000d__x000a_\af0\afs20\alang1025 \ltrch\fcs0 \b\fs24\lang2057\langfe2057\cgrid\langnp2057\langfenp2057 {\rtlch\fcs1 \af0 \ltrch\fcs0 \cs17\b0\v\fs20\cf9\lang1024\langfe1024\loch\af1\hich\af1\dbch\af31501\noproof\insrsid8523176\charrsid1459857 {\*\bkmkstart restart}_x000d__x000a_\hich\af1\dbch\af31501\loch\f1 &lt;}{\rtlch\fcs1 \af0 \ltrch\fcs0 \cs17\b0\v\fs20\cf9\lang1024\langfe1024\loch\af1\hich\af1\dbch\af31501\noproof\insrsid8523176 \hich\af1\dbch\af31501\loch\f1 Amend}{\rtlch\fcs1 \af0 \ltrch\fcs0 _x000d__x000a_\cs17\b0\v\fs20\cf9\lang1024\langfe1024\loch\af1\hich\af1\dbch\af31501\noproof\insrsid8523176\charrsid1459857 \hich\af1\dbch\af31501\loch\f1 &gt;}{\rtlch\fcs1 \af0 \ltrch\fcs0 \insrsid8523176\charrsid1459857 Amendment\tab \tab }{\rtlch\fcs1 \af0 \ltrch\fcs0 _x000d__x000a_\cs17\b0\v\fs20\cf9\lang1024\langfe1024\loch\af1\hich\af1\dbch\af31501\noproof\insrsid8523176\charrsid1459857 \hich\af1\dbch\af31501\loch\f1 &lt;}{\rtlch\fcs1 \af0 \ltrch\fcs0 _x000d__x000a_\cs17\b0\v\fs20\cf9\lang1024\langfe1024\loch\af1\hich\af1\dbch\af31501\noproof\insrsid8523176 \hich\af1\dbch\af31501\loch\f1 NumAm&gt;}{\rtlch\fcs1 \af0 \ltrch\fcs0 \insrsid8523176\charrsid1459857 #}{\rtlch\fcs1 \af1 \ltrch\fcs0 _x000d__x000a_\cs18\v\f1\fs20\cf15\insrsid8523176\charrsid1459857 ENMIENDA@NRAM@}{\rtlch\fcs1 \af0 \ltrch\fcs0 \insrsid8523176\charrsid1459857 #}{\rtlch\fcs1 \af0 \ltrch\fcs0 _x000d__x000a_\cs17\b0\v\fs20\cf9\lang1024\langfe1024\loch\af1\hich\af1\dbch\af31501\noproof\insrsid8523176\charrsid1459857 \hich\af1\dbch\af31501\loch\f1 &lt;/}{\rtlch\fcs1 \af0 \ltrch\fcs0 _x000d__x000a_\cs17\b0\v\fs20\cf9\lang1024\langfe1024\loch\af1\hich\af1\dbch\af31501\noproof\insrsid8523176 \hich\af1\dbch\af31501\loch\f1 NumAm&gt;}{\rtlch\fcs1 \af0 \ltrch\fcs0 \insrsid8523176\charrsid1459857 _x000d__x000a_\par }\pard\plain \ltrpar\s20\ql \li0\ri0\nowidctlpar\wrapdefault\aspalpha\aspnum\faauto\adjustright\rin0\lin0\itap0\pararsid8523176 \rtlch\fcs1 \af0\afs20\alang1025 \ltrch\fcs0 \b\fs24\lang2057\langfe2057\cgrid\langnp2057\langfenp2057 {\rtlch\fcs1 \af0 _x000d__x000a_\ltrch\fcs0 \cs17\b0\v\fs20\cf9\lang1024\langfe1024\loch\af1\hich\af1\dbch\af31501\noproof\insrsid8523176\charrsid1459857 \hich\af1\dbch\af31501\loch\f1 &lt;\hich\af1\dbch\af31501\loch\f1 RepeatBlock-By&gt;}{\rtlch\fcs1 \af0 \ltrch\fcs0 _x000d__x000a_\insrsid8523176\charrsid1459857 #}{\rtlch\fcs1 \af1 \ltrch\fcs0 \cs18\v\f1\fs20\cf15\insrsid8523176\charrsid1459857 (MOD@InsideLoop()}{\rtlch\fcs1 \af0 \ltrch\fcs0 \insrsid8523176\charrsid1459857 ##}{\rtlch\fcs1 \af1 \ltrch\fcs0 _x000d__x000a_\cs18\v\f1\fs20\cf15\insrsid8523176\charrsid1459857 &gt;&gt;&gt;@[ZMEMBERSMSG]@}{\rtlch\fcs1 \af0 \ltrch\fcs0 \insrsid8523176\charrsid1459857 #}{\rtlch\fcs1 \af0 \ltrch\fcs0 _x000d__x000a_\cs17\b0\v\fs20\cf9\lang1024\langfe1024\loch\af1\hich\af1\dbch\af31501\noproof\insrsid8523176\charrsid1459857 \hich\af1\dbch\af31501\loch\f1 &lt;Members&gt;}{\rtlch\fcs1 \af0 \ltrch\fcs0 \insrsid8523176\charrsid1459857 #}{\rtlch\fcs1 \af1 \ltrch\fcs0 _x000d__x000a_\cs18\v\f1\fs20\cf15\insrsid8523176\charrsid1459857 (MOD@InsideLoop(\'a7)}{\rtlch\fcs1 \af0 \ltrch\fcs0 \insrsid8523176\charrsid1459857 #}{\rtlch\fcs1 \af0 \ltrch\fcs0 \cf10\insrsid8523176\charrsid10367887 \u9668\'3f}{\rtlch\fcs1 \af0 \ltrch\fcs0 _x000d__x000a_\insrsid8523176\charrsid1459857 #}{\rtlch\fcs1 \af1 \ltrch\fcs0 \cs18\v\f1\fs20\cf15\insrsid8523176\charrsid1459857 TVTMEMBERS\'a7@MEMBERS@}{\rtlch\fcs1 \af0 \ltrch\fcs0 \insrsid8523176\charrsid1459857 #}{\rtlch\fcs1 \af0 \ltrch\fcs0 _x000d__x000a_\cf10\insrsid8523176\charrsid10367887 \u9658\'3f}{\rtlch\fcs1 \af0 \ltrch\fcs0 \cs17\b0\v\fs20\cf9\lang1024\langfe1024\loch\af1\hich\af1\dbch\af31501\noproof\insrsid8523176\charrsid1459857 \hich\af1\dbch\af31501\loch\f1 &lt;/Members&gt;}{\rtlch\fcs1 \af0 _x000d__x000a_\ltrch\fcs0 \insrsid8523176\charrsid1459857 _x000d__x000a_\par }\pard\plain \ltrpar\ql \li0\ri0\widctlpar\wrapdefault\aspalpha\aspnum\faauto\adjustright\rin0\lin0\itap0\pararsid8523176 \rtlch\fcs1 \af0\afs20\alang1025 \ltrch\fcs0 \fs24\lang2057\langfe2057\cgrid\langnp2057\langfenp2057 {\rtlch\fcs1 \af0 \ltrch\fcs0 _x000d__x000a_\cs17\v\fs20\cf9\lang1024\langfe1024\loch\af1\hich\af1\dbch\af31501\noproof\insrsid8523176\charrsid1459857 \hich\af1\dbch\af31501\loch\f1 &lt;AuNomDe&gt;&lt;OptDel&gt;}{\rtlch\fcs1 \af0 \ltrch\fcs0 \insrsid8523176\charrsid1459857 #}{\rtlch\fcs1 \af1 \ltrch\fcs0 _x000d__x000a_\cs18\v\f1\fs20\cf15\insrsid8523176\charrsid1459857 MNU[ONBEHALFYES][NOTAPP]@CHOICE@}{\rtlch\fcs1 \af0 \ltrch\fcs0 \insrsid8523176\charrsid1459857 #}{\rtlch\fcs1 \af0 \ltrch\fcs0 _x000d__x000a_\cs17\v\fs20\cf9\lang1024\langfe1024\loch\af1\hich\af1\dbch\af31501\noproof\insrsid8523176\charrsid1459857 \hich\af1\dbch\af31501\loch\f1 &lt;/OptDel&gt;&lt;/AuNomDe&gt;}{\rtlch\fcs1 \af0 \ltrch\fcs0 \insrsid8523176\charrsid1459857 _x000d__x000a_\par &lt;&lt;&lt;}{\rtlch\fcs1 \af0 \ltrch\fcs0 \cs17\v\fs20\cf9\lang1024\langfe1024\loch\af1\hich\af1\dbch\af31501\noproof\insrsid8523176\charrsid1459857 \hich\af1\dbch\af31501\loch\f1 &lt;/RepeatBlock-By&gt;}{\rtlch\fcs1 \af0 \ltrch\fcs0 \insrsid8523176\charrsid1459857 _x000d__x000a__x000d__x000a_\par }\pard\plain \ltrpar\s20\ql \li0\ri0\nowidctlpar\wrapdefault\aspalpha\aspnum\faauto\adjustright\rin0\lin0\itap0\pararsid8523176 \rtlch\fcs1 \af0\afs20\alang1025 \ltrch\fcs0 \b\fs24\lang2057\langfe2057\cgrid\langnp2057\langfenp2057 {\rtlch\fcs1 \af0 _x000d__x000a_\ltrch\fcs0 \cs17\b0\v\fs20\cf9\lang1024\langfe1024\loch\af1\hich\af1\dbch\af31501\noproof\insrsid8523176\charrsid1459857 \hich\af1\dbch\af31501\loch\f1 &lt;DocAmend&gt;}{\rtlch\fcs1 \af0 \ltrch\fcs0 \insrsid8523176\charrsid1459857 #}{\rtlch\fcs1 \af1 _x000d__x000a_\ltrch\fcs0 \cs18\v\f1\fs20\cf15\insrsid8523176\charrsid1459857 MNU[OPTPROPOSALCOD][OPTPROPOSALCNS][OPTPROPOSALNLE]@CHOICE@CODEMNU}{\rtlch\fcs1 \af0 \ltrch\fcs0 \insrsid8523176\charrsid1459857 #}{\rtlch\fcs1 \af0 \ltrch\fcs0 _x000d__x000a_\cs17\b0\v\fs20\cf9\lang1024\langfe1024\loch\af1\hich\af1\dbch\af31501\noproof\insrsid8523176\charrsid1459857 \hich\af1\dbch\af31501\loch\f1 &lt;/DocAmend&gt;}{\rtlch\fcs1 \af0 \ltrch\fcs0 \insrsid8523176\charrsid1459857 _x000d__x000a_\par }\pard \ltrpar\s20\ql \li0\ri0\keepn\nowidctlpar\wrapdefault\aspalpha\aspnum\faauto\adjustright\rin0\lin0\itap0\pararsid8523176 {\rtlch\fcs1 \af0 \ltrch\fcs0 _x000d__x000a_\cs17\b0\v\fs20\cf9\lang1024\langfe1024\loch\af1\hich\af1\dbch\af31501\noproof\insrsid8523176\charrsid1459857 \hich\af1\dbch\af31501\loch\f1 &lt;Article&gt;}{\rtlch\fcs1 \af0 \ltrch\fcs0 \insrsid8523176\charrsid1459857 #}{\rtlch\fcs1 \af1 \ltrch\fcs0 _x000d__x000a_\cs18\v\f1\fs20\cf15\insrsid8523176\charrsid1459857 MNU[AMACTPARTYES][AMACTPARTNO]@CHOICE@AMACTMNU}{\rtlch\fcs1 \af0 \ltrch\fcs0 \insrsid8523176\charrsid1459857 #}{\rtlch\fcs1 \af0 \ltrch\fcs0 _x000d__x000a_\cs17\b0\v\fs20\cf9\lang1024\langfe1024\loch\af1\hich\af1\dbch\af31501\noproof\insrsid8523176\charrsid1459857 \hich\af1\dbch\af31501\loch\f1 &lt;/Article&gt;}{\rtlch\fcs1 \af0 \ltrch\fcs0 \insrsid8523176\charrsid1459857 _x000d__x000a_\par }\pard\plain \ltrpar\ql \li0\ri0\keepn\widctlpar\wrapdefault\aspalpha\aspnum\faauto\adjustright\rin0\lin0\itap0\pararsid8523176 \rtlch\fcs1 \af0\afs20\alang1025 \ltrch\fcs0 \fs24\lang2057\langfe2057\cgrid\langnp2057\langfenp2057 {\rtlch\fcs1 \af0 _x000d__x000a_\ltrch\fcs0 \cs17\v\fs20\cf9\lang1024\langfe1024\loch\af1\hich\af1\dbch\af31501\noproof\insrsid8523176\charrsid1459857 \hich\af1\dbch\af31501\loch\f1 &lt;DocAmend2&gt;&lt;OptDel&gt;}{\rtlch\fcs1 \af0 \ltrch\fcs0 \insrsid8523176\charrsid1459857 #}{\rtlch\fcs1 \af1 _x000d__x000a_\ltrch\fcs0 \cs18\v\f1\fs20\cf15\insrsid8523176\charrsid1459857 MNU[OPTNRACTYES][NOTAPP]@CHOICE@AMACTMNU}{\rtlch\fcs1 \af0 \ltrch\fcs0 \insrsid8523176\charrsid1459857 #}{\rtlch\fcs1 \af0 \ltrch\fcs0 _x000d__x000a_\cs17\v\fs20\cf9\lang1024\langfe1024\loch\af1\hich\af1\dbch\af31501\noproof\insrsid8523176\charrsid1459857 \hich\af1\dbch\af31501\loch\f1 &lt;/OptDel&gt;&lt;/DocAmend2&gt;}{\rtlch\fcs1 \af0 \ltrch\fcs0 \insrsid8523176\charrsid1459857 _x000d__x000a_\par }\pard \ltrpar\ql \li0\ri0\widctlpar\wrapdefault\aspalpha\aspnum\faauto\adjustright\rin0\lin0\itap0\pararsid8523176 {\rtlch\fcs1 \af0 \ltrch\fcs0 \cs17\v\fs20\cf9\lang1024\langfe1024\loch\af1\hich\af1\dbch\af31501\noproof\insrsid8523176\charrsid1459857 _x000d__x000a_\hich\af1\dbch\af31501\loch\f1 &lt;Article2&gt;&lt;OptDel&gt;}{\rtlch\fcs1 \af0 \ltrch\fcs0 \insrsid8523176\charrsid1459857 #}{\rtlch\fcs1 \af1 \ltrch\fcs0 \cs18\v\f1\fs20\cf15\insrsid8523176\charrsid1459857 MNU[OPTACTPARTYES][NOTAPP]@CHOICE@AMACTMNU}{\rtlch\fcs1 _x000d__x000a_\af0 \ltrch\fcs0 \insrsid8523176\charrsid1459857 #}{\rtlch\fcs1 \af0 \ltrch\fcs0 \cs17\v\fs20\cf9\lang1024\langfe1024\loch\af1\hich\af1\dbch\af31501\noproof\insrsid8523176\charrsid1459857 \hich\af1\dbch\af31501\loch\f1 &lt;/OptDel&gt;&lt;/Article2&gt;}{\rtlch\fcs1 _x000d__x000a_\af0 \ltrch\fcs0 \insrsid8523176\charrsid145985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8523176\charrsid1459857 \cell }\pard\plain \ltrpar\ql \li0\ri0\widctlpar\intbl\wrapdefault\aspalpha\aspnum\faauto\adjustright\rin0\lin0 \rtlch\fcs1 _x000d__x000a_\af0\afs20\alang1025 \ltrch\fcs0 \fs24\lang2057\langfe2057\cgrid\langnp2057\langfenp2057 {\rtlch\fcs1 \af0 \ltrch\fcs0 \insrsid8523176\charrsid1459857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4786594 \rtlch\fcs1 \af0\afs20\alang1025 \ltrch\fcs0 _x000d__x000a_\i\fs24\lang2057\langfe2057\cgrid\langnp2057\langfenp2057 {\rtlch\fcs1 \af0 \ltrch\fcs0 \insrsid8523176\charrsid1459857 #}{\rtlch\fcs1 \af1 \ltrch\fcs0 \cs18\v\f1\fs20\cf15\insrsid8523176\charrsid1459857 MNU[OPTLEFTAMACT][LEFTPROP]@CHOICE@AMACTMNU}{_x000d__x000a_\rtlch\fcs1 \af0 \ltrch\fcs0 \insrsid8523176\charrsid1459857 #\cell Amendment\cell }\pard\plain \ltrpar\ql \li0\ri0\widctlpar\intbl\wrapdefault\aspalpha\aspnum\faauto\adjustright\rin0\lin0 \rtlch\fcs1 \af0\afs20\alang1025 \ltrch\fcs0 _x000d__x000a_\fs24\lang2057\langfe2057\cgrid\langnp2057\langfenp2057 {\rtlch\fcs1 \af0 \ltrch\fcs0 \insrsid8523176\charrsid1459857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523176\charrsid1459857 ##\cell }\pard \ltrpar\s19\ql \li0\ri0\sa120\nowidctlpar\intbl\wrapdefault\aspalpha\aspnum\faauto\adjustright\rin0\lin0\pararsid4786594 {\rtlch\fcs1 \af0 \ltrch\fcs0 \insrsid8523176\charrsid1459857 ##}{\rtlch\fcs1 _x000d__x000a_\af0\afs24 \ltrch\fcs0 \insrsid8523176\charrsid1459857 \cell }\pard\plain \ltrpar\ql \li0\ri0\widctlpar\intbl\wrapdefault\aspalpha\aspnum\faauto\adjustright\rin0\lin0 \rtlch\fcs1 \af0\afs20\alang1025 \ltrch\fcs0 _x000d__x000a_\fs24\lang2057\langfe2057\cgrid\langnp2057\langfenp2057 {\rtlch\fcs1 \af0 \ltrch\fcs0 \insrsid8523176\charrsid1459857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523176 \rtlch\fcs1 \af0\afs20\alang1025 \ltrch\fcs0 \fs24\lang2057\langfe2057\cgrid\langnp2057\langfenp2057 {\rtlch\fcs1 \af0 \ltrch\fcs0 _x000d__x000a_\insrsid8523176\charrsid1459857 Or. }{\rtlch\fcs1 \af0 \ltrch\fcs0 \cs17\v\fs20\cf9\lang1024\langfe1024\loch\af1\hich\af1\dbch\af31501\noproof\insrsid8523176\charrsid1459857 \hich\af1\dbch\af31501\loch\f1 &lt;Original&gt;}{\rtlch\fcs1 \af0 \ltrch\fcs0 _x000d__x000a_\insrsid8523176\charrsid1459857 #}{\rtlch\fcs1 \af1 \ltrch\fcs0 \cs18\v\f1\fs20\cf15\insrsid8523176\charrsid1459857 KEY(MAIN/LANGMIN)sh@ORLANGMSG@}{\rtlch\fcs1 \af0 \ltrch\fcs0 \insrsid8523176\charrsid1459857 #}{\rtlch\fcs1 \af0 \ltrch\fcs0 _x000d__x000a_\cs17\v\fs20\cf9\lang1024\langfe1024\loch\af1\hich\af1\dbch\af31501\noproof\insrsid8523176\charrsid1459857 \hich\af1\dbch\af31501\loch\f1 &lt;/Original&gt;}{\rtlch\fcs1 \af0 \ltrch\fcs0 \insrsid8523176\charrsid1459857 _x000d__x000a_\par }\pard\plain \ltrpar\s22\qc \li0\ri0\sb240\sa240\nowidctlpar\wrapdefault\aspalpha\aspnum\faauto\adjustright\rin0\lin0\itap0\pararsid8523176 \rtlch\fcs1 \af0\afs20\alang1025 \ltrch\fcs0 \i\fs24\lang2057\langfe2057\cgrid\langnp2057\langfenp2057 {_x000d__x000a_\rtlch\fcs1 \af0 \ltrch\fcs0 \cs17\i0\v\fs20\cf9\lang1024\langfe1024\loch\af1\hich\af1\dbch\af31501\noproof\insrsid8523176\charrsid1459857 \hich\af1\dbch\af31501\loch\f1 &lt;OptDel&gt;}{\rtlch\fcs1 \af0 \ltrch\fcs0 \insrsid8523176\charrsid1459857 #}{_x000d__x000a_\rtlch\fcs1 \af1 \ltrch\fcs0 \cs18\v\f1\fs20\cf15\insrsid8523176\charrsid1459857 MNU[CROSSREFNO][CROSSREFYES]@CHOICE@}{\rtlch\fcs1 \af0 \ltrch\fcs0 \insrsid8523176\charrsid1459857 #}{\rtlch\fcs1 \af0 \ltrch\fcs0 _x000d__x000a_\cs17\i0\v\fs20\cf9\lang1024\langfe1024\loch\af1\hich\af1\dbch\af31501\noproof\insrsid8523176\charrsid1459857 \hich\af1\dbch\af31501\loch\f1 &lt;/OptDel&gt;}{\rtlch\fcs1 \af0 \ltrch\fcs0 \insrsid8523176\charrsid1459857 _x000d__x000a_\par }\pard\plain \ltrpar\s23\qc \li0\ri0\sb240\sa240\keepn\nowidctlpar\wrapdefault\aspalpha\aspnum\faauto\adjustright\rin0\lin0\itap0\pararsid8523176 \rtlch\fcs1 \af0\afs20\alang1025 \ltrch\fcs0 \i\fs24\lang2057\langfe2057\cgrid\langnp2057\langfenp2057 {_x000d__x000a_\rtlch\fcs1 \af0 \ltrch\fcs0 \cs17\i0\v\fs20\cf9\lang1024\langfe1024\loch\af1\hich\af1\dbch\af31501\noproof\insrsid8523176\charrsid1459857 \hich\af1\dbch\af31501\loch\f1 &lt;TitreJust&gt;}{\rtlch\fcs1 \af0 \ltrch\fcs0 \insrsid8523176\charrsid1459857 _x000d__x000a_Justification}{\rtlch\fcs1 \af0 \ltrch\fcs0 \cs17\i0\v\fs20\cf9\lang1024\langfe1024\loch\af1\hich\af1\dbch\af31501\noproof\insrsid8523176\charrsid1459857 \hich\af1\dbch\af31501\loch\f1 &lt;/TitreJust&gt;}{\rtlch\fcs1 \af0 \ltrch\fcs0 _x000d__x000a_\insrsid8523176\charrsid1459857 _x000d__x000a_\par }\pard\plain \ltrpar\s21\ql \li0\ri0\sa240\nowidctlpar\wrapdefault\aspalpha\aspnum\faauto\adjustright\rin0\lin0\itap0\pararsid8523176 \rtlch\fcs1 \af0\afs20\alang1025 \ltrch\fcs0 \i\fs24\lang2057\langfe2057\cgrid\langnp2057\langfenp2057 {\rtlch\fcs1 \af0 _x000d__x000a_\ltrch\fcs0 \cs17\i0\v\fs20\cf9\lang1024\langfe1024\loch\af1\hich\af1\dbch\af31501\noproof\insrsid8523176\charrsid1459857 \hich\af1\dbch\af31501\loch\f1 &lt;OptDelPrev&gt;}{\rtlch\fcs1 \af0 \ltrch\fcs0 \insrsid8523176\charrsid1459857 #}{\rtlch\fcs1 \af1 _x000d__x000a_\ltrch\fcs0 \cs18\v\f1\fs20\cf15\insrsid8523176\charrsid1459857 MNU[TEXTJUSTYES][TEXTJUSTNO]@CHOICE@}{\rtlch\fcs1 \af0 \ltrch\fcs0 \insrsid8523176\charrsid1459857 #}{\rtlch\fcs1 \af0 \ltrch\fcs0 _x000d__x000a_\cs17\i0\v\fs20\cf9\lang1024\langfe1024\loch\af1\hich\af1\dbch\af31501\noproof\insrsid8523176\charrsid1459857 \hich\af1\dbch\af31501\loch\f1 &lt;/OptDelPrev&gt;}{\rtlch\fcs1 \af0 \ltrch\fcs0 \insrsid8523176\charrsid1459857 _x000d__x000a_\par }\pard\plain \ltrpar\ql \li0\ri0\widctlpar\wrapdefault\aspalpha\aspnum\faauto\adjustright\rin0\lin0\itap0\pararsid8523176 \rtlch\fcs1 \af0\afs20\alang1025 \ltrch\fcs0 \fs24\lang2057\langfe2057\cgrid\langnp2057\langfenp2057 {\rtlch\fcs1 \af0 \ltrch\fcs0 _x000d__x000a_\cs17\v\fs20\cf9\lang1024\langfe1024\loch\af1\hich\af1\dbch\af31501\noproof\insrsid8523176\charrsid1459857 \hich\af1\dbch\af31501\loch\f1 &lt;/}{\rtlch\fcs1 \af0 \ltrch\fcs0 _x000d__x000a_\cs17\v\fs20\cf9\lang1024\langfe1024\loch\af1\hich\af1\dbch\af31501\noproof\insrsid8523176 \hich\af1\dbch\af31501\loch\f1 Amend}{\rtlch\fcs1 \af0 \ltrch\fcs0 _x000d__x000a_\cs17\v\fs20\cf9\lang1024\langfe1024\loch\af1\hich\af1\dbch\af31501\noproof\insrsid8523176\charrsid145985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e_x000d__x000a_ee970bca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21"/>
    <w:docVar w:name="TVTACTPART" w:val="article"/>
    <w:docVar w:name="TVTAMACTPART" w:val="recital"/>
    <w:docVar w:name="TVTMEMBERS1" w:val="xxx"/>
    <w:docVar w:name="TXTAUTHOR" w:val="Jana Toom"/>
    <w:docVar w:name="TXTLANGUE" w:val="EN"/>
    <w:docVar w:name="TXTLANGUEMIN" w:val="en"/>
    <w:docVar w:name="TXTNRC" w:val="xxxx/xxxx"/>
    <w:docVar w:name="TXTNRCOM" w:val="(2025)0123"/>
    <w:docVar w:name="TXTNRFIRSTAM" w:val="1"/>
    <w:docVar w:name="TXTNRLASTAM" w:val="97"/>
    <w:docVar w:name="TXTNRPE" w:val="774.210"/>
    <w:docVar w:name="TXTNRPE2" w:val="xxx.xxx"/>
    <w:docVar w:name="TXTNRPROC" w:val="2025/0084(COD)"/>
    <w:docVar w:name="TXTNRREG" w:val="2024/12"/>
    <w:docVar w:name="TXTPEorAP" w:val="PE"/>
    <w:docVar w:name="TXTROUTE" w:val="AM\1321623EN.docx"/>
    <w:docVar w:name="TXTTITLE" w:val="Amending Regulations (EU) 2021/1058 and (EU) 2021/1056 as regards specific measures to address strategic challenges in the context of the mid-term review"/>
    <w:docVar w:name="TXTVERSION" w:val="01-00"/>
    <w:docVar w:name="TXTVERSION2" w:val="00-00"/>
  </w:docVars>
  <w:rsids>
    <w:rsidRoot w:val="00164691"/>
    <w:rsid w:val="00012D8D"/>
    <w:rsid w:val="0002515B"/>
    <w:rsid w:val="000661B4"/>
    <w:rsid w:val="000B0781"/>
    <w:rsid w:val="000B6F4F"/>
    <w:rsid w:val="000D1D3D"/>
    <w:rsid w:val="000F1E7D"/>
    <w:rsid w:val="000F2A80"/>
    <w:rsid w:val="00102646"/>
    <w:rsid w:val="00122C95"/>
    <w:rsid w:val="00146CF4"/>
    <w:rsid w:val="0016379F"/>
    <w:rsid w:val="00164691"/>
    <w:rsid w:val="00166CCB"/>
    <w:rsid w:val="00191477"/>
    <w:rsid w:val="00194D18"/>
    <w:rsid w:val="00196E8D"/>
    <w:rsid w:val="001A37BB"/>
    <w:rsid w:val="001A4802"/>
    <w:rsid w:val="001B761C"/>
    <w:rsid w:val="001C2054"/>
    <w:rsid w:val="001D32AE"/>
    <w:rsid w:val="001F0FDD"/>
    <w:rsid w:val="0020383A"/>
    <w:rsid w:val="00223694"/>
    <w:rsid w:val="00231EA7"/>
    <w:rsid w:val="0025435E"/>
    <w:rsid w:val="002662FF"/>
    <w:rsid w:val="00280EA6"/>
    <w:rsid w:val="00282B07"/>
    <w:rsid w:val="002A1C82"/>
    <w:rsid w:val="002B6A7B"/>
    <w:rsid w:val="003003A7"/>
    <w:rsid w:val="003743DE"/>
    <w:rsid w:val="003B259D"/>
    <w:rsid w:val="003B50B1"/>
    <w:rsid w:val="003D466C"/>
    <w:rsid w:val="003F3B0C"/>
    <w:rsid w:val="00422BB2"/>
    <w:rsid w:val="00427649"/>
    <w:rsid w:val="00441413"/>
    <w:rsid w:val="00441D7D"/>
    <w:rsid w:val="004441B8"/>
    <w:rsid w:val="00461E32"/>
    <w:rsid w:val="00475889"/>
    <w:rsid w:val="004839DB"/>
    <w:rsid w:val="004909A2"/>
    <w:rsid w:val="00495E20"/>
    <w:rsid w:val="004B1428"/>
    <w:rsid w:val="004C4DDA"/>
    <w:rsid w:val="004D01EE"/>
    <w:rsid w:val="004E59EF"/>
    <w:rsid w:val="00525FEB"/>
    <w:rsid w:val="00550DF4"/>
    <w:rsid w:val="00566CCE"/>
    <w:rsid w:val="00570FD6"/>
    <w:rsid w:val="00571479"/>
    <w:rsid w:val="00590C5E"/>
    <w:rsid w:val="005B4017"/>
    <w:rsid w:val="005C092D"/>
    <w:rsid w:val="005C16EF"/>
    <w:rsid w:val="005D3B62"/>
    <w:rsid w:val="0061473C"/>
    <w:rsid w:val="00616736"/>
    <w:rsid w:val="006337D4"/>
    <w:rsid w:val="00660A75"/>
    <w:rsid w:val="0066168A"/>
    <w:rsid w:val="00665DDA"/>
    <w:rsid w:val="006A2838"/>
    <w:rsid w:val="006B6438"/>
    <w:rsid w:val="006E28CB"/>
    <w:rsid w:val="006F4B73"/>
    <w:rsid w:val="00702F62"/>
    <w:rsid w:val="0070402D"/>
    <w:rsid w:val="00706049"/>
    <w:rsid w:val="007152AF"/>
    <w:rsid w:val="00720ECA"/>
    <w:rsid w:val="00776DE8"/>
    <w:rsid w:val="0079060C"/>
    <w:rsid w:val="007B576B"/>
    <w:rsid w:val="007C6582"/>
    <w:rsid w:val="007C6AED"/>
    <w:rsid w:val="007C71DE"/>
    <w:rsid w:val="007D2614"/>
    <w:rsid w:val="007E3349"/>
    <w:rsid w:val="007F0633"/>
    <w:rsid w:val="00806B05"/>
    <w:rsid w:val="00850579"/>
    <w:rsid w:val="008560B3"/>
    <w:rsid w:val="00891220"/>
    <w:rsid w:val="008933E8"/>
    <w:rsid w:val="00894041"/>
    <w:rsid w:val="008B1826"/>
    <w:rsid w:val="008B7C14"/>
    <w:rsid w:val="008D4D69"/>
    <w:rsid w:val="008D786A"/>
    <w:rsid w:val="008E666D"/>
    <w:rsid w:val="008E6A30"/>
    <w:rsid w:val="008F0DDD"/>
    <w:rsid w:val="00904AD5"/>
    <w:rsid w:val="00917E37"/>
    <w:rsid w:val="00927868"/>
    <w:rsid w:val="00930AFA"/>
    <w:rsid w:val="0093679B"/>
    <w:rsid w:val="0094225C"/>
    <w:rsid w:val="00944091"/>
    <w:rsid w:val="0094610B"/>
    <w:rsid w:val="00952608"/>
    <w:rsid w:val="00965D50"/>
    <w:rsid w:val="00966038"/>
    <w:rsid w:val="00975DD1"/>
    <w:rsid w:val="009A65D8"/>
    <w:rsid w:val="009B56AA"/>
    <w:rsid w:val="009E338F"/>
    <w:rsid w:val="009E551D"/>
    <w:rsid w:val="00A15973"/>
    <w:rsid w:val="00A25834"/>
    <w:rsid w:val="00A46736"/>
    <w:rsid w:val="00A507FC"/>
    <w:rsid w:val="00A5426B"/>
    <w:rsid w:val="00A55842"/>
    <w:rsid w:val="00A67B1C"/>
    <w:rsid w:val="00A75CB3"/>
    <w:rsid w:val="00A93D13"/>
    <w:rsid w:val="00AA068C"/>
    <w:rsid w:val="00AA3A5A"/>
    <w:rsid w:val="00AA6AC6"/>
    <w:rsid w:val="00AB74D6"/>
    <w:rsid w:val="00AE3E28"/>
    <w:rsid w:val="00AE4459"/>
    <w:rsid w:val="00AF2819"/>
    <w:rsid w:val="00AF4B51"/>
    <w:rsid w:val="00B163E9"/>
    <w:rsid w:val="00B36BED"/>
    <w:rsid w:val="00B41B4D"/>
    <w:rsid w:val="00B4207B"/>
    <w:rsid w:val="00B65F95"/>
    <w:rsid w:val="00B6765E"/>
    <w:rsid w:val="00B77A45"/>
    <w:rsid w:val="00B8066A"/>
    <w:rsid w:val="00B85286"/>
    <w:rsid w:val="00B90B7F"/>
    <w:rsid w:val="00BC1B1F"/>
    <w:rsid w:val="00BD3259"/>
    <w:rsid w:val="00BE1BF6"/>
    <w:rsid w:val="00C07453"/>
    <w:rsid w:val="00C10F61"/>
    <w:rsid w:val="00C11527"/>
    <w:rsid w:val="00C31206"/>
    <w:rsid w:val="00C35E35"/>
    <w:rsid w:val="00C41E32"/>
    <w:rsid w:val="00C437C9"/>
    <w:rsid w:val="00C456FF"/>
    <w:rsid w:val="00C62F56"/>
    <w:rsid w:val="00C72726"/>
    <w:rsid w:val="00C752F3"/>
    <w:rsid w:val="00C92798"/>
    <w:rsid w:val="00CA61C5"/>
    <w:rsid w:val="00CB1BAC"/>
    <w:rsid w:val="00CB34F1"/>
    <w:rsid w:val="00CD6E41"/>
    <w:rsid w:val="00CE796C"/>
    <w:rsid w:val="00D100D1"/>
    <w:rsid w:val="00D13EC2"/>
    <w:rsid w:val="00D14FCE"/>
    <w:rsid w:val="00D43627"/>
    <w:rsid w:val="00D64E40"/>
    <w:rsid w:val="00D677D5"/>
    <w:rsid w:val="00D751AE"/>
    <w:rsid w:val="00D755F1"/>
    <w:rsid w:val="00DA3847"/>
    <w:rsid w:val="00DB429F"/>
    <w:rsid w:val="00DB4CA5"/>
    <w:rsid w:val="00DB512A"/>
    <w:rsid w:val="00DC4160"/>
    <w:rsid w:val="00DC6A1B"/>
    <w:rsid w:val="00DE672F"/>
    <w:rsid w:val="00DE6A23"/>
    <w:rsid w:val="00E02DF0"/>
    <w:rsid w:val="00E12FDD"/>
    <w:rsid w:val="00E15A86"/>
    <w:rsid w:val="00E2057D"/>
    <w:rsid w:val="00E22CAA"/>
    <w:rsid w:val="00E25DC5"/>
    <w:rsid w:val="00E332A6"/>
    <w:rsid w:val="00E471BE"/>
    <w:rsid w:val="00E57464"/>
    <w:rsid w:val="00E57F50"/>
    <w:rsid w:val="00E842E0"/>
    <w:rsid w:val="00EC391A"/>
    <w:rsid w:val="00EF03A3"/>
    <w:rsid w:val="00F13954"/>
    <w:rsid w:val="00F16621"/>
    <w:rsid w:val="00F27170"/>
    <w:rsid w:val="00F31F0E"/>
    <w:rsid w:val="00F53497"/>
    <w:rsid w:val="00F57ABD"/>
    <w:rsid w:val="00F72EBB"/>
    <w:rsid w:val="00F742EE"/>
    <w:rsid w:val="00F83AF7"/>
    <w:rsid w:val="00F85528"/>
    <w:rsid w:val="00F92B49"/>
    <w:rsid w:val="00F979FF"/>
    <w:rsid w:val="00FA192C"/>
    <w:rsid w:val="00FC7406"/>
    <w:rsid w:val="00FE03B4"/>
    <w:rsid w:val="00FF306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CF0CEB"/>
  <w15:chartTrackingRefBased/>
  <w15:docId w15:val="{F9235C08-5EC8-498D-B8BD-92287BED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47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5D3B62"/>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22CAA"/>
    <w:rPr>
      <w:b/>
      <w:sz w:val="24"/>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C456FF"/>
    <w:pPr>
      <w:tabs>
        <w:tab w:val="center" w:pos="4513"/>
        <w:tab w:val="right" w:pos="9026"/>
      </w:tabs>
    </w:pPr>
  </w:style>
  <w:style w:type="character" w:customStyle="1" w:styleId="HeaderChar">
    <w:name w:val="Header Char"/>
    <w:basedOn w:val="DefaultParagraphFont"/>
    <w:link w:val="Header"/>
    <w:semiHidden/>
    <w:rsid w:val="00C456FF"/>
    <w:rPr>
      <w:sz w:val="24"/>
    </w:r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paragraph" w:styleId="Footer">
    <w:name w:val="footer"/>
    <w:basedOn w:val="Normal"/>
    <w:link w:val="FooterChar"/>
    <w:semiHidden/>
    <w:rsid w:val="008B1826"/>
    <w:pPr>
      <w:tabs>
        <w:tab w:val="center" w:pos="4513"/>
        <w:tab w:val="right" w:pos="9026"/>
      </w:tabs>
    </w:pPr>
  </w:style>
  <w:style w:type="character" w:customStyle="1" w:styleId="FooterChar">
    <w:name w:val="Footer Char"/>
    <w:basedOn w:val="DefaultParagraphFont"/>
    <w:link w:val="Footer"/>
    <w:semiHidden/>
    <w:rsid w:val="008B1826"/>
    <w:rPr>
      <w:sz w:val="24"/>
    </w:rPr>
  </w:style>
  <w:style w:type="character" w:customStyle="1" w:styleId="Normal6Char">
    <w:name w:val="Normal6 Char"/>
    <w:link w:val="Normal6"/>
    <w:locked/>
    <w:rsid w:val="00E22CAA"/>
    <w:rPr>
      <w:sz w:val="24"/>
    </w:rPr>
  </w:style>
  <w:style w:type="paragraph" w:customStyle="1" w:styleId="Normal6">
    <w:name w:val="Normal6"/>
    <w:basedOn w:val="Normal"/>
    <w:link w:val="Normal6Char"/>
    <w:rsid w:val="00E22CAA"/>
    <w:pPr>
      <w:spacing w:after="120"/>
    </w:pPr>
  </w:style>
  <w:style w:type="paragraph" w:customStyle="1" w:styleId="Olang">
    <w:name w:val="Olang"/>
    <w:basedOn w:val="Normal"/>
    <w:rsid w:val="00E22CAA"/>
    <w:pPr>
      <w:spacing w:before="240" w:after="240"/>
      <w:jc w:val="right"/>
    </w:pPr>
    <w:rPr>
      <w:noProof/>
    </w:rPr>
  </w:style>
  <w:style w:type="paragraph" w:customStyle="1" w:styleId="ColumnHeading">
    <w:name w:val="ColumnHeading"/>
    <w:basedOn w:val="Normal"/>
    <w:rsid w:val="00E22CAA"/>
    <w:pPr>
      <w:spacing w:after="240"/>
      <w:jc w:val="center"/>
    </w:pPr>
    <w:rPr>
      <w:i/>
    </w:rPr>
  </w:style>
  <w:style w:type="paragraph" w:customStyle="1" w:styleId="AMNumberTabs0">
    <w:name w:val="AMNumberTabs"/>
    <w:basedOn w:val="Normal"/>
    <w:rsid w:val="00E22C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22CAA"/>
    <w:pPr>
      <w:spacing w:before="240"/>
    </w:pPr>
    <w:rPr>
      <w:b/>
    </w:rPr>
  </w:style>
  <w:style w:type="paragraph" w:customStyle="1" w:styleId="Text1">
    <w:name w:val="Text 1"/>
    <w:basedOn w:val="Normal"/>
    <w:rsid w:val="004E59EF"/>
    <w:pPr>
      <w:widowControl/>
      <w:spacing w:before="120" w:after="120"/>
      <w:ind w:left="850"/>
      <w:jc w:val="both"/>
    </w:pPr>
    <w:rPr>
      <w:rFonts w:eastAsiaTheme="minorHAnsi"/>
      <w:szCs w:val="22"/>
      <w:lang w:eastAsia="en-US"/>
    </w:rPr>
  </w:style>
  <w:style w:type="paragraph" w:customStyle="1" w:styleId="Point0">
    <w:name w:val="Point 0"/>
    <w:basedOn w:val="Normal"/>
    <w:rsid w:val="004E59EF"/>
    <w:pPr>
      <w:widowControl/>
      <w:spacing w:before="120" w:after="120"/>
      <w:ind w:left="850" w:hanging="850"/>
      <w:jc w:val="both"/>
    </w:pPr>
    <w:rPr>
      <w:rFonts w:eastAsiaTheme="minorHAnsi"/>
      <w:szCs w:val="22"/>
      <w:lang w:eastAsia="en-US"/>
    </w:rPr>
  </w:style>
  <w:style w:type="paragraph" w:customStyle="1" w:styleId="Point1">
    <w:name w:val="Point 1"/>
    <w:basedOn w:val="Normal"/>
    <w:rsid w:val="004E59EF"/>
    <w:pPr>
      <w:widowControl/>
      <w:spacing w:before="120" w:after="120"/>
      <w:ind w:left="1417" w:hanging="567"/>
      <w:jc w:val="both"/>
    </w:pPr>
    <w:rPr>
      <w:rFonts w:eastAsiaTheme="minorHAnsi"/>
      <w:szCs w:val="22"/>
      <w:lang w:eastAsia="en-US"/>
    </w:rPr>
  </w:style>
  <w:style w:type="paragraph" w:styleId="NormalWeb">
    <w:name w:val="Normal (Web)"/>
    <w:basedOn w:val="Normal"/>
    <w:uiPriority w:val="99"/>
    <w:unhideWhenUsed/>
    <w:rsid w:val="004D01EE"/>
    <w:pPr>
      <w:widowControl/>
      <w:spacing w:before="100" w:beforeAutospacing="1" w:after="100" w:afterAutospacing="1"/>
    </w:pPr>
    <w:rPr>
      <w:szCs w:val="24"/>
    </w:rPr>
  </w:style>
  <w:style w:type="character" w:customStyle="1" w:styleId="apple-tab-span">
    <w:name w:val="apple-tab-span"/>
    <w:basedOn w:val="DefaultParagraphFont"/>
    <w:rsid w:val="004D01EE"/>
  </w:style>
  <w:style w:type="character" w:customStyle="1" w:styleId="Normal12Char">
    <w:name w:val="Normal12 Char"/>
    <w:basedOn w:val="DefaultParagraphFont"/>
    <w:link w:val="Normal12"/>
    <w:locked/>
    <w:rsid w:val="007D2614"/>
    <w:rPr>
      <w:noProof/>
      <w:sz w:val="24"/>
    </w:rPr>
  </w:style>
  <w:style w:type="paragraph" w:customStyle="1" w:styleId="Normal12">
    <w:name w:val="Normal12"/>
    <w:basedOn w:val="Normal"/>
    <w:link w:val="Normal12Char"/>
    <w:rsid w:val="007D2614"/>
    <w:pPr>
      <w:spacing w:after="240"/>
    </w:pPr>
    <w:rPr>
      <w:noProof/>
    </w:rPr>
  </w:style>
  <w:style w:type="paragraph" w:customStyle="1" w:styleId="Normal12Italic">
    <w:name w:val="Normal12Italic"/>
    <w:basedOn w:val="Normal12"/>
    <w:rsid w:val="007D2614"/>
    <w:rPr>
      <w:i/>
      <w:lang w:val="fr-FR"/>
    </w:rPr>
  </w:style>
  <w:style w:type="paragraph" w:customStyle="1" w:styleId="Footer2">
    <w:name w:val="Footer2"/>
    <w:basedOn w:val="Normal12"/>
    <w:rsid w:val="007D2614"/>
    <w:pPr>
      <w:tabs>
        <w:tab w:val="center" w:pos="4535"/>
        <w:tab w:val="right" w:pos="9923"/>
      </w:tabs>
      <w:spacing w:line="480" w:lineRule="auto"/>
      <w:ind w:left="-851"/>
    </w:pPr>
    <w:rPr>
      <w:rFonts w:ascii="Arial" w:cs="Arial"/>
      <w:b/>
      <w:sz w:val="48"/>
    </w:rPr>
  </w:style>
  <w:style w:type="paragraph" w:customStyle="1" w:styleId="EntPE">
    <w:name w:val="EntPE"/>
    <w:basedOn w:val="Normal12"/>
    <w:rsid w:val="007D2614"/>
    <w:pPr>
      <w:jc w:val="center"/>
    </w:pPr>
    <w:rPr>
      <w:noProof w:val="0"/>
      <w:sz w:val="56"/>
    </w:rPr>
  </w:style>
  <w:style w:type="paragraph" w:customStyle="1" w:styleId="JustificationTitle">
    <w:name w:val="JustificationTitle"/>
    <w:basedOn w:val="Normal"/>
    <w:next w:val="Normal12"/>
    <w:rsid w:val="007D2614"/>
    <w:pPr>
      <w:keepNext/>
      <w:spacing w:before="240" w:after="240"/>
      <w:jc w:val="center"/>
    </w:pPr>
    <w:rPr>
      <w:i/>
      <w:noProof/>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0248">
      <w:bodyDiv w:val="1"/>
      <w:marLeft w:val="0"/>
      <w:marRight w:val="0"/>
      <w:marTop w:val="0"/>
      <w:marBottom w:val="0"/>
      <w:divBdr>
        <w:top w:val="none" w:sz="0" w:space="0" w:color="auto"/>
        <w:left w:val="none" w:sz="0" w:space="0" w:color="auto"/>
        <w:bottom w:val="none" w:sz="0" w:space="0" w:color="auto"/>
        <w:right w:val="none" w:sz="0" w:space="0" w:color="auto"/>
      </w:divBdr>
    </w:div>
    <w:div w:id="192352953">
      <w:bodyDiv w:val="1"/>
      <w:marLeft w:val="0"/>
      <w:marRight w:val="0"/>
      <w:marTop w:val="0"/>
      <w:marBottom w:val="0"/>
      <w:divBdr>
        <w:top w:val="none" w:sz="0" w:space="0" w:color="auto"/>
        <w:left w:val="none" w:sz="0" w:space="0" w:color="auto"/>
        <w:bottom w:val="none" w:sz="0" w:space="0" w:color="auto"/>
        <w:right w:val="none" w:sz="0" w:space="0" w:color="auto"/>
      </w:divBdr>
    </w:div>
    <w:div w:id="224296160">
      <w:bodyDiv w:val="1"/>
      <w:marLeft w:val="0"/>
      <w:marRight w:val="0"/>
      <w:marTop w:val="0"/>
      <w:marBottom w:val="0"/>
      <w:divBdr>
        <w:top w:val="none" w:sz="0" w:space="0" w:color="auto"/>
        <w:left w:val="none" w:sz="0" w:space="0" w:color="auto"/>
        <w:bottom w:val="none" w:sz="0" w:space="0" w:color="auto"/>
        <w:right w:val="none" w:sz="0" w:space="0" w:color="auto"/>
      </w:divBdr>
    </w:div>
    <w:div w:id="481431100">
      <w:bodyDiv w:val="1"/>
      <w:marLeft w:val="0"/>
      <w:marRight w:val="0"/>
      <w:marTop w:val="0"/>
      <w:marBottom w:val="0"/>
      <w:divBdr>
        <w:top w:val="none" w:sz="0" w:space="0" w:color="auto"/>
        <w:left w:val="none" w:sz="0" w:space="0" w:color="auto"/>
        <w:bottom w:val="none" w:sz="0" w:space="0" w:color="auto"/>
        <w:right w:val="none" w:sz="0" w:space="0" w:color="auto"/>
      </w:divBdr>
    </w:div>
    <w:div w:id="560676996">
      <w:bodyDiv w:val="1"/>
      <w:marLeft w:val="0"/>
      <w:marRight w:val="0"/>
      <w:marTop w:val="0"/>
      <w:marBottom w:val="0"/>
      <w:divBdr>
        <w:top w:val="none" w:sz="0" w:space="0" w:color="auto"/>
        <w:left w:val="none" w:sz="0" w:space="0" w:color="auto"/>
        <w:bottom w:val="none" w:sz="0" w:space="0" w:color="auto"/>
        <w:right w:val="none" w:sz="0" w:space="0" w:color="auto"/>
      </w:divBdr>
    </w:div>
    <w:div w:id="618954268">
      <w:bodyDiv w:val="1"/>
      <w:marLeft w:val="0"/>
      <w:marRight w:val="0"/>
      <w:marTop w:val="0"/>
      <w:marBottom w:val="0"/>
      <w:divBdr>
        <w:top w:val="none" w:sz="0" w:space="0" w:color="auto"/>
        <w:left w:val="none" w:sz="0" w:space="0" w:color="auto"/>
        <w:bottom w:val="none" w:sz="0" w:space="0" w:color="auto"/>
        <w:right w:val="none" w:sz="0" w:space="0" w:color="auto"/>
      </w:divBdr>
    </w:div>
    <w:div w:id="753211332">
      <w:bodyDiv w:val="1"/>
      <w:marLeft w:val="0"/>
      <w:marRight w:val="0"/>
      <w:marTop w:val="0"/>
      <w:marBottom w:val="0"/>
      <w:divBdr>
        <w:top w:val="none" w:sz="0" w:space="0" w:color="auto"/>
        <w:left w:val="none" w:sz="0" w:space="0" w:color="auto"/>
        <w:bottom w:val="none" w:sz="0" w:space="0" w:color="auto"/>
        <w:right w:val="none" w:sz="0" w:space="0" w:color="auto"/>
      </w:divBdr>
    </w:div>
    <w:div w:id="920481494">
      <w:bodyDiv w:val="1"/>
      <w:marLeft w:val="0"/>
      <w:marRight w:val="0"/>
      <w:marTop w:val="0"/>
      <w:marBottom w:val="0"/>
      <w:divBdr>
        <w:top w:val="none" w:sz="0" w:space="0" w:color="auto"/>
        <w:left w:val="none" w:sz="0" w:space="0" w:color="auto"/>
        <w:bottom w:val="none" w:sz="0" w:space="0" w:color="auto"/>
        <w:right w:val="none" w:sz="0" w:space="0" w:color="auto"/>
      </w:divBdr>
    </w:div>
    <w:div w:id="1133712392">
      <w:bodyDiv w:val="1"/>
      <w:marLeft w:val="0"/>
      <w:marRight w:val="0"/>
      <w:marTop w:val="0"/>
      <w:marBottom w:val="0"/>
      <w:divBdr>
        <w:top w:val="none" w:sz="0" w:space="0" w:color="auto"/>
        <w:left w:val="none" w:sz="0" w:space="0" w:color="auto"/>
        <w:bottom w:val="none" w:sz="0" w:space="0" w:color="auto"/>
        <w:right w:val="none" w:sz="0" w:space="0" w:color="auto"/>
      </w:divBdr>
    </w:div>
    <w:div w:id="1205293045">
      <w:bodyDiv w:val="1"/>
      <w:marLeft w:val="0"/>
      <w:marRight w:val="0"/>
      <w:marTop w:val="0"/>
      <w:marBottom w:val="0"/>
      <w:divBdr>
        <w:top w:val="none" w:sz="0" w:space="0" w:color="auto"/>
        <w:left w:val="none" w:sz="0" w:space="0" w:color="auto"/>
        <w:bottom w:val="none" w:sz="0" w:space="0" w:color="auto"/>
        <w:right w:val="none" w:sz="0" w:space="0" w:color="auto"/>
      </w:divBdr>
    </w:div>
    <w:div w:id="1285964585">
      <w:bodyDiv w:val="1"/>
      <w:marLeft w:val="0"/>
      <w:marRight w:val="0"/>
      <w:marTop w:val="0"/>
      <w:marBottom w:val="0"/>
      <w:divBdr>
        <w:top w:val="none" w:sz="0" w:space="0" w:color="auto"/>
        <w:left w:val="none" w:sz="0" w:space="0" w:color="auto"/>
        <w:bottom w:val="none" w:sz="0" w:space="0" w:color="auto"/>
        <w:right w:val="none" w:sz="0" w:space="0" w:color="auto"/>
      </w:divBdr>
    </w:div>
    <w:div w:id="1312490398">
      <w:bodyDiv w:val="1"/>
      <w:marLeft w:val="0"/>
      <w:marRight w:val="0"/>
      <w:marTop w:val="0"/>
      <w:marBottom w:val="0"/>
      <w:divBdr>
        <w:top w:val="none" w:sz="0" w:space="0" w:color="auto"/>
        <w:left w:val="none" w:sz="0" w:space="0" w:color="auto"/>
        <w:bottom w:val="none" w:sz="0" w:space="0" w:color="auto"/>
        <w:right w:val="none" w:sz="0" w:space="0" w:color="auto"/>
      </w:divBdr>
    </w:div>
    <w:div w:id="1674533212">
      <w:bodyDiv w:val="1"/>
      <w:marLeft w:val="0"/>
      <w:marRight w:val="0"/>
      <w:marTop w:val="0"/>
      <w:marBottom w:val="0"/>
      <w:divBdr>
        <w:top w:val="none" w:sz="0" w:space="0" w:color="auto"/>
        <w:left w:val="none" w:sz="0" w:space="0" w:color="auto"/>
        <w:bottom w:val="none" w:sz="0" w:space="0" w:color="auto"/>
        <w:right w:val="none" w:sz="0" w:space="0" w:color="auto"/>
      </w:divBdr>
    </w:div>
    <w:div w:id="1709797073">
      <w:bodyDiv w:val="1"/>
      <w:marLeft w:val="0"/>
      <w:marRight w:val="0"/>
      <w:marTop w:val="0"/>
      <w:marBottom w:val="0"/>
      <w:divBdr>
        <w:top w:val="none" w:sz="0" w:space="0" w:color="auto"/>
        <w:left w:val="none" w:sz="0" w:space="0" w:color="auto"/>
        <w:bottom w:val="none" w:sz="0" w:space="0" w:color="auto"/>
        <w:right w:val="none" w:sz="0" w:space="0" w:color="auto"/>
      </w:divBdr>
    </w:div>
    <w:div w:id="1715813743">
      <w:bodyDiv w:val="1"/>
      <w:marLeft w:val="0"/>
      <w:marRight w:val="0"/>
      <w:marTop w:val="0"/>
      <w:marBottom w:val="0"/>
      <w:divBdr>
        <w:top w:val="none" w:sz="0" w:space="0" w:color="auto"/>
        <w:left w:val="none" w:sz="0" w:space="0" w:color="auto"/>
        <w:bottom w:val="none" w:sz="0" w:space="0" w:color="auto"/>
        <w:right w:val="none" w:sz="0" w:space="0" w:color="auto"/>
      </w:divBdr>
    </w:div>
    <w:div w:id="1804809819">
      <w:bodyDiv w:val="1"/>
      <w:marLeft w:val="0"/>
      <w:marRight w:val="0"/>
      <w:marTop w:val="0"/>
      <w:marBottom w:val="0"/>
      <w:divBdr>
        <w:top w:val="none" w:sz="0" w:space="0" w:color="auto"/>
        <w:left w:val="none" w:sz="0" w:space="0" w:color="auto"/>
        <w:bottom w:val="none" w:sz="0" w:space="0" w:color="auto"/>
        <w:right w:val="none" w:sz="0" w:space="0" w:color="auto"/>
      </w:divBdr>
    </w:div>
    <w:div w:id="202836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19223</Words>
  <Characters>110876</Characters>
  <Application>Microsoft Office Word</Application>
  <DocSecurity>0</DocSecurity>
  <Lines>4365</Lines>
  <Paragraphs>1215</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129360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KRIEG Milena</dc:creator>
  <cp:keywords/>
  <dc:description/>
  <cp:lastModifiedBy>PHILLIPS Patrick</cp:lastModifiedBy>
  <cp:revision>2</cp:revision>
  <cp:lastPrinted>2007-06-22T14:02:00Z</cp:lastPrinted>
  <dcterms:created xsi:type="dcterms:W3CDTF">2025-05-26T08:30:00Z</dcterms:created>
  <dcterms:modified xsi:type="dcterms:W3CDTF">2025-05-26T08:30:00Z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10.1.0 Build [20250401]</vt:lpwstr>
  </property>
  <property fmtid="{D5CDD505-2E9C-101B-9397-08002B2CF9AE}" pid="4" name="LastEdited with">
    <vt:lpwstr>10.1.1 Build [20250421]</vt:lpwstr>
  </property>
  <property fmtid="{D5CDD505-2E9C-101B-9397-08002B2CF9AE}" pid="5" name="&lt;FdR&gt;">
    <vt:lpwstr>1321623</vt:lpwstr>
  </property>
  <property fmtid="{D5CDD505-2E9C-101B-9397-08002B2CF9AE}" pid="6" name="&lt;Type&gt;">
    <vt:lpwstr>AM</vt:lpwstr>
  </property>
  <property fmtid="{D5CDD505-2E9C-101B-9397-08002B2CF9AE}" pid="7" name="&lt;ModelCod&gt;">
    <vt:lpwstr>\\eiciBRUpr1\pdocep$\DocEP\DOCS\General\AM\AM_Leg\AM_Com_Leg\AM_Com_LegOpinion.dotx(17/04/2020 19:26:13)</vt:lpwstr>
  </property>
  <property fmtid="{D5CDD505-2E9C-101B-9397-08002B2CF9AE}" pid="8" name="&lt;ModelTra&gt;">
    <vt:lpwstr>\\eiciBRUpr1\pdocep$\DocEP\TRANSFIL\EN\AM_Com_LegOpinion.EN(16/08/2024 18:44:02)</vt:lpwstr>
  </property>
  <property fmtid="{D5CDD505-2E9C-101B-9397-08002B2CF9AE}" pid="9" name="&lt;Model&gt;">
    <vt:lpwstr>AM_Com_LegOpinion</vt:lpwstr>
  </property>
  <property fmtid="{D5CDD505-2E9C-101B-9397-08002B2CF9AE}" pid="10" name="FooterPath">
    <vt:lpwstr>AM\1321623EN.docx</vt:lpwstr>
  </property>
  <property fmtid="{D5CDD505-2E9C-101B-9397-08002B2CF9AE}" pid="11" name="PE number">
    <vt:lpwstr>774.210</vt:lpwstr>
  </property>
  <property fmtid="{D5CDD505-2E9C-101B-9397-08002B2CF9AE}" pid="12" name="SendToEpades">
    <vt:lpwstr>OK(AMNUM) - 2025/05/21 21:18</vt:lpwstr>
  </property>
  <property fmtid="{D5CDD505-2E9C-101B-9397-08002B2CF9AE}" pid="13" name="OriLang">
    <vt:lpwstr>EN</vt:lpwstr>
  </property>
  <property fmtid="{D5CDD505-2E9C-101B-9397-08002B2CF9AE}" pid="14" name="Bookout">
    <vt:lpwstr>OK - 2025/05/26 10:30</vt:lpwstr>
  </property>
</Properties>
</file>