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Výbor pro zaměstnanost a sociální věci</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Předběžný návrh usnesení</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Druhý světový summit o sociálním rozvoji</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Mezinárodní pakt o hospodářských, sociálních a kulturních právech (ICESCR),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Právní východisko 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Akční plán pro evropský pilíř sociálních práv a jeho hlavní cíle pro rok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Právní východisko 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evropskou záruku pro děti,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Právní východisko 6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evropskou strategii pro rovnost žen a mužů a na Plán pro práva žen,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Právní východisko 6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evropskou strategii pro práva osob se zdravotním postižením,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Právní východisko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cíle udržitelného rozvoje Organizace spojených národů (OSN),</w:t>
            </w:r>
          </w:p>
        </w:tc>
        <w:tc>
          <w:tcPr>
            <w:tcW w:w="4876" w:type="dxa"/>
            <w:tcBorders>
              <w:top w:val="nil"/>
              <w:left w:val="nil"/>
              <w:bottom w:val="nil"/>
              <w:right w:val="nil"/>
            </w:tcBorders>
          </w:tcPr>
          <w:p>
            <w:pPr>
              <w:pStyle w:val="Normal6a"/>
            </w:pPr>
            <w:r>
              <w:rPr>
                <w:b/>
                <w:i/>
              </w:rPr>
              <w:t>–</w:t>
            </w:r>
            <w:r>
              <w:tab/>
            </w:r>
            <w:r>
              <w:t xml:space="preserve">s ohledem na cíle udržitelného rozvoje Organizace spojených národů (OSN), </w:t>
            </w:r>
            <w:r>
              <w:rPr>
                <w:b/>
                <w:i/>
              </w:rPr>
              <w:t>zejména cíle 1, 2, 8 a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Právní východisko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základní úmluvy MOP,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vzhledem k tomu, že udržitelný rozvoj je jednou ze základních zásad Smlouvy o Evropské unii a jedním z prioritních cílů vnitřních a vnějších politik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17 cílů udržitelného rozvoje je ústředním prvkem Agendy pro udržitelný rozvoj 2030, kterou v roce 2015 přijaly všechny členské státy OSN;</w:t>
            </w:r>
            <w:r>
              <w:t xml:space="preserve"> </w:t>
            </w:r>
            <w:r>
              <w:rPr>
                <w:b/>
                <w:i/>
              </w:rPr>
              <w:t>vzhledem k tomu, že uznávají, že odstranění chudoby a další deprivace musí jít ruku v ruce se strategiemi, které zlepšují zdraví a vzdělávání, snižují nerovnost a podporují hospodářský růst, přičemž je třeba bojovat proti změně klimatu a usilovat o ochranu životního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–A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vzhledem k tomu, že závazek EU k Agendě 2030 byl promítnut do souboru transformačních politik, mimo jiné včetně evropského pilíře sociálních práv, Zelené dohody pro Evropu, právního rámce pro klima, nové průmyslové strategie pro Evropu, ročních strategií pro udržitelný růst, aktualizované Evropské agendy dovedností nebo Evropského prostoru vzdělávání;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v celé EU přetrvávají značné nerovnosti mezi lidmi a regiony, přičemž domácnosti jsou neúměrně postiženy inflací</w:t>
            </w:r>
            <w:r>
              <w:rPr>
                <w:b/>
                <w:i/>
              </w:rPr>
              <w:t>, a vynakládají tudíž relativně více prostředků na základní potřeby, jako jsou energie a potraviny, a</w:t>
            </w:r>
            <w:r>
              <w:t xml:space="preserve"> v celé EU představuje i nadále problém krize v oblasti bydlení; vzhledem k tomu, že tyto problémy </w:t>
            </w:r>
            <w:r>
              <w:rPr>
                <w:b/>
                <w:i/>
              </w:rPr>
              <w:t>mají z dlouhodobého hlediska negativní dopad na</w:t>
            </w:r>
            <w:r>
              <w:t xml:space="preserve"> sociální </w:t>
            </w:r>
            <w:r>
              <w:rPr>
                <w:b/>
                <w:i/>
              </w:rPr>
              <w:t>soudržnost a</w:t>
            </w:r>
            <w:r>
              <w:t xml:space="preserve"> blahobyt </w:t>
            </w:r>
            <w:r>
              <w:rPr>
                <w:b/>
                <w:i/>
              </w:rPr>
              <w:t>občanů EU;</w:t>
            </w:r>
          </w:p>
        </w:tc>
        <w:tc>
          <w:tcPr>
            <w:tcW w:w="4876" w:type="dxa"/>
            <w:tcBorders>
              <w:top w:val="nil"/>
              <w:left w:val="nil"/>
              <w:bottom w:val="nil"/>
              <w:right w:val="nil"/>
            </w:tcBorders>
          </w:tcPr>
          <w:p>
            <w:pPr>
              <w:pStyle w:val="Normal6a"/>
            </w:pPr>
            <w:r>
              <w:t>A.</w:t>
            </w:r>
            <w:r>
              <w:tab/>
            </w:r>
            <w:r>
              <w:t>vzhledem k tomu, že v celé EU přetrvávají značné nerovnosti mezi lidmi a regiony, přičemž </w:t>
            </w:r>
            <w:r>
              <w:rPr>
                <w:b/>
                <w:i/>
              </w:rPr>
              <w:t>nízkopříjmové a zranitelné</w:t>
            </w:r>
            <w:r>
              <w:t xml:space="preserve"> domácnosti jsou neúměrně postiženy inflací </w:t>
            </w:r>
            <w:r>
              <w:rPr>
                <w:b/>
                <w:i/>
              </w:rPr>
              <w:t>a rostoucími životními náklady;</w:t>
            </w:r>
            <w:r>
              <w:t xml:space="preserve"> </w:t>
            </w:r>
            <w:r>
              <w:rPr>
                <w:b/>
                <w:i/>
              </w:rPr>
              <w:t>vzhledem k tomu, že</w:t>
            </w:r>
            <w:r>
              <w:t xml:space="preserve"> v celé EU představuje i nadále problém krize v oblasti bydlení; vzhledem k tomu, že tyto problémy </w:t>
            </w:r>
            <w:r>
              <w:rPr>
                <w:b/>
                <w:i/>
              </w:rPr>
              <w:t>negativně ovlivňují hospodářskou stabilitu a</w:t>
            </w:r>
            <w:r>
              <w:t xml:space="preserve"> sociální blahobyt </w:t>
            </w:r>
            <w:r>
              <w:rPr>
                <w:b/>
                <w:i/>
              </w:rPr>
              <w:t>lidí žijících v EU;</w:t>
            </w:r>
            <w:r>
              <w:t xml:space="preserve"> </w:t>
            </w:r>
            <w:r>
              <w:rPr>
                <w:b/>
                <w:i/>
              </w:rPr>
              <w:t>vzhledem k tomu, že na úrovni EU se neshromažďují žádné údaje o nerovnosti bohatství, ale některé studie ve finančním sektoru naznačují, že 10 % nejbohatších lidí na kontinentu vlastní ohromujících 67 % bohatství, zatímco dolní polovina dospělých vlastní pouze 1,2 % tohoto bohatství</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Global Wealth Report 2023</w:t>
            </w:r>
            <w:r>
              <w:t xml:space="preserve"> </w:t>
            </w:r>
            <w:r>
              <w:rPr>
                <w:b/>
                <w:i/>
              </w:rPr>
              <w:t>| 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v celé EU přetrvávají značné nerovnosti mezi lidmi a regiony, přičemž domácnosti jsou neúměrně postiženy inflací, a vynakládají tudíž relativně více prostředků na základní potřeby, jako jsou energie a potraviny, a v celé EU představuje i nadále problém krize v oblasti bydlení; vzhledem k tomu, že tyto problémy mají z dlouhodobého hlediska negativní dopad na sociální soudržnost a blahobyt občanů EU;</w:t>
            </w:r>
          </w:p>
        </w:tc>
        <w:tc>
          <w:tcPr>
            <w:tcW w:w="4876" w:type="dxa"/>
            <w:tcBorders>
              <w:top w:val="nil"/>
              <w:left w:val="nil"/>
              <w:bottom w:val="nil"/>
              <w:right w:val="nil"/>
            </w:tcBorders>
          </w:tcPr>
          <w:p>
            <w:pPr>
              <w:pStyle w:val="Normal6a"/>
            </w:pPr>
            <w:r>
              <w:t>A.</w:t>
            </w:r>
            <w:r>
              <w:tab/>
            </w:r>
            <w:r>
              <w:rPr>
                <w:b/>
                <w:i/>
              </w:rPr>
              <w:t>vzhledem k tomu, že v roce 2023 činil Giniho koeficient pro EU-27 29,6 % s mírně klesajícím trendem od roku 2014, přičemž 13 členských států tento průměr překračovalo</w:t>
            </w:r>
            <w:r>
              <w:rPr>
                <w:b/>
                <w:i/>
                <w:vertAlign w:val="superscript"/>
              </w:rPr>
              <w:t>1a</w:t>
            </w:r>
            <w:r>
              <w:rPr>
                <w:b/>
                <w:i/>
              </w:rPr>
              <w:t>;</w:t>
            </w:r>
            <w:r>
              <w:t xml:space="preserve"> vzhledem k tomu, že v celé EU přetrvávají značné nerovnosti mezi lidmi a regiony</w:t>
            </w:r>
            <w:r>
              <w:rPr>
                <w:b/>
                <w:i/>
              </w:rPr>
              <w:t>, zejména nerovnosti v příjmech a genderové nerovnosti</w:t>
            </w:r>
            <w:r>
              <w:t xml:space="preserve">, přičemž domácnosti jsou neúměrně postiženy inflací, a vynakládají tudíž relativně více prostředků na základní potřeby, jako jsou energie a potraviny, a v celé EU představuje i nadále </w:t>
            </w:r>
            <w:r>
              <w:rPr>
                <w:b/>
                <w:i/>
              </w:rPr>
              <w:t>významný</w:t>
            </w:r>
            <w:r>
              <w:t xml:space="preserve"> problém krize v oblasti bydlení; vzhledem k tomu, že tyto problémy mají z dlouhodobého hlediska negativní dopad na sociální soudržnost</w:t>
            </w:r>
            <w:r>
              <w:rPr>
                <w:b/>
                <w:i/>
              </w:rPr>
              <w:t>, vzestupnou sociální konvergenci</w:t>
            </w:r>
            <w:r>
              <w:t xml:space="preserve"> a blahobyt občanů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v celé EU přetrvávají značné nerovnosti mezi lidmi a regiony, přičemž domácnosti jsou neúměrně postiženy inflací, a vynakládají tudíž relativně více prostředků na základní potřeby, jako jsou energie a potraviny, a v celé EU představuje i nadále problém krize v oblasti bydlení; vzhledem k tomu, že tyto problémy mají z dlouhodobého hlediska negativní dopad na sociální soudržnost a blahobyt občanů EU;</w:t>
            </w:r>
          </w:p>
        </w:tc>
        <w:tc>
          <w:tcPr>
            <w:tcW w:w="4876" w:type="dxa"/>
            <w:tcBorders>
              <w:top w:val="nil"/>
              <w:left w:val="nil"/>
              <w:bottom w:val="nil"/>
              <w:right w:val="nil"/>
            </w:tcBorders>
          </w:tcPr>
          <w:p>
            <w:pPr>
              <w:pStyle w:val="Normal6a"/>
            </w:pPr>
            <w:r>
              <w:t>A.</w:t>
            </w:r>
            <w:r>
              <w:tab/>
            </w:r>
            <w:r>
              <w:t xml:space="preserve">vzhledem k tomu, že v celé EU přetrvávají značné nerovnosti mezi lidmi a regiony, přičemž domácnosti jsou neúměrně postiženy inflací, a vynakládají tudíž relativně více prostředků na základní potřeby, jako jsou energie a potraviny, a v celé EU představuje i nadále problém krize v oblasti bydlení; vzhledem k tomu, že tyto problémy mají z dlouhodobého hlediska negativní dopad na sociální soudržnost a blahobyt občanů EU; </w:t>
            </w:r>
            <w:r>
              <w:rPr>
                <w:b/>
                <w:i/>
              </w:rPr>
              <w:t>vzhledem k tomu, že výzkum nadace Eurofound potvrzuje, že nedostupnost bydlení vede k vyloučení z přístupu k bydlení, nejistotě v oblasti bydlení, problematickým nákladům na bydlení a nedostatečnému bydlení</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https://www.eurofound.europa.eu/cs/publications/2023/cenove-nedostupne-nevyhovujici-bydleni-v-evrope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w:t>
            </w:r>
            <w:r>
              <w:rPr>
                <w:b/>
                <w:i/>
              </w:rPr>
              <w:t>EU přijala cíl</w:t>
            </w:r>
            <w:r>
              <w:t xml:space="preserve"> snížit do roku 2030 počet osob ohrožených chudobou a sociálním vyloučením nejméně o 15 milionů </w:t>
            </w:r>
            <w:r>
              <w:rPr>
                <w:b/>
                <w:i/>
              </w:rPr>
              <w:t>ve srovnání s rokem 2019</w:t>
            </w:r>
            <w:r>
              <w:t xml:space="preserve">, z toho nejméně o pět milionů dětí; vzhledem k tomu, že téměř v polovině členských států </w:t>
            </w:r>
            <w:r>
              <w:rPr>
                <w:b/>
                <w:i/>
              </w:rPr>
              <w:t>jde tento trend opačným směrem</w:t>
            </w:r>
            <w:r>
              <w:t xml:space="preserve">; vzhledem k tomu, že každé páté dítě v EU je stále ohroženo chudobou a sociálním vyloučením; vzhledem k tomu, že pokud bude současný trend pokračovat, </w:t>
            </w:r>
            <w:r>
              <w:rPr>
                <w:b/>
                <w:i/>
              </w:rPr>
              <w:t>cíl snížit do roku 2030 počet osob ohrožených chudobou a sociálním vyloučením nebude možné splnit a kromě toho</w:t>
            </w:r>
            <w:r>
              <w:t xml:space="preserve"> energetická chudoba postihuje více než jednoho z deseti Evropanů;</w:t>
            </w:r>
          </w:p>
        </w:tc>
        <w:tc>
          <w:tcPr>
            <w:tcW w:w="4876" w:type="dxa"/>
            <w:tcBorders>
              <w:top w:val="nil"/>
              <w:left w:val="nil"/>
              <w:bottom w:val="nil"/>
              <w:right w:val="nil"/>
            </w:tcBorders>
          </w:tcPr>
          <w:p>
            <w:pPr>
              <w:pStyle w:val="Normal6a"/>
            </w:pPr>
            <w:r>
              <w:t>B.</w:t>
            </w:r>
            <w:r>
              <w:tab/>
            </w:r>
            <w:r>
              <w:t xml:space="preserve">vzhledem k tomu, že </w:t>
            </w:r>
            <w:r>
              <w:rPr>
                <w:b/>
                <w:i/>
              </w:rPr>
              <w:t>se EU v Akčním plánu pro EPSR zavázala</w:t>
            </w:r>
            <w:r>
              <w:t xml:space="preserve"> snížit do roku 2030 počet osob ohrožených chudobou a sociálním vyloučením nejméně o 15 milionů, z toho nejméně o pět milionů dětí; vzhledem k tomu, že téměř v polovině členských států </w:t>
            </w:r>
            <w:r>
              <w:rPr>
                <w:b/>
                <w:i/>
              </w:rPr>
              <w:t>údaje naznačují zvrat pokroku v oblasti snižování chudoby</w:t>
            </w:r>
            <w:r>
              <w:t xml:space="preserve">; vzhledem k tomu, že každé páté dítě v EU je stále ohroženo chudobou a sociálním vyloučením; vzhledem k tomu, že pokud bude současný trend pokračovat, </w:t>
            </w:r>
            <w:r>
              <w:rPr>
                <w:b/>
                <w:i/>
              </w:rPr>
              <w:t>Unie nesplní svůj cíl pro rok 2030;</w:t>
            </w:r>
            <w:r>
              <w:t xml:space="preserve"> </w:t>
            </w:r>
            <w:r>
              <w:rPr>
                <w:b/>
                <w:i/>
              </w:rPr>
              <w:t>vzhledem k tomu, že</w:t>
            </w:r>
            <w:r>
              <w:t xml:space="preserve"> energetická chudoba postihuje více než jednoho z deseti Evropanů</w:t>
            </w:r>
            <w:r>
              <w:rPr>
                <w:b/>
                <w:i/>
              </w:rPr>
              <w:t>, což prohlubuje nerovnost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EU přijala cíl snížit do roku 2030 počet osob ohrožených chudobou a sociálním vyloučením nejméně o 15 milionů ve srovnání s rokem 2019, z toho nejméně o pět milionů dětí; vzhledem k tomu, že téměř v polovině členských států jde tento trend opačným směrem; vzhledem k tomu, že každé páté dítě v EU je stále ohroženo chudobou a sociálním vyloučením; vzhledem k tomu, že pokud bude současný trend pokračovat, cíl snížit do roku 2030 počet osob ohrožených chudobou a sociálním vyloučením nebude možné splnit a kromě toho energetická chudoba postihuje více než jednoho z deseti Evropanů;</w:t>
            </w:r>
          </w:p>
        </w:tc>
        <w:tc>
          <w:tcPr>
            <w:tcW w:w="4876" w:type="dxa"/>
            <w:tcBorders>
              <w:top w:val="nil"/>
              <w:left w:val="nil"/>
              <w:bottom w:val="nil"/>
              <w:right w:val="nil"/>
            </w:tcBorders>
          </w:tcPr>
          <w:p>
            <w:pPr>
              <w:pStyle w:val="Normal6a"/>
            </w:pPr>
            <w:r>
              <w:t>B.</w:t>
            </w:r>
            <w:r>
              <w:tab/>
            </w:r>
            <w:r>
              <w:t xml:space="preserve">vzhledem k tomu, že EU přijala cíl snížit do roku 2030 počet osob ohrožených chudobou a sociálním vyloučením nejméně o 15 milionů ve srovnání s rokem 2019, z toho nejméně o pět milionů dětí; vzhledem k tomu, že téměř v polovině členských států jde tento trend </w:t>
            </w:r>
            <w:r>
              <w:rPr>
                <w:b/>
                <w:i/>
              </w:rPr>
              <w:t>bohužel</w:t>
            </w:r>
            <w:r>
              <w:t xml:space="preserve"> opačným směrem; vzhledem k tomu, že každé páté dítě v EU je stále ohroženo chudobou a sociálním vyloučením; vzhledem k tomu, že pokud bude současný trend pokračovat, cíl snížit do roku 2030 počet osob ohrožených chudobou a sociálním vyloučením nebude možné splnit a kromě toho energetická chudoba postihuje více než jednoho z deseti Evropanů;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situace na celém světě je ještě horší, neboť téměř 700 milionů lidí žije v extrémní chudobě a dalších 2,8 miliardy lidí žije mezi hranicí extrémní chudoby a úrovní 6,85 USD na den</w:t>
            </w:r>
            <w:r>
              <w:rPr>
                <w:b/>
                <w:i/>
                <w:vertAlign w:val="superscript"/>
              </w:rPr>
              <w:t>1b</w:t>
            </w:r>
            <w:r>
              <w:rPr>
                <w:b/>
                <w:i/>
              </w:rPr>
              <w:t>;</w:t>
            </w:r>
            <w:r>
              <w:t xml:space="preserve"> </w:t>
            </w:r>
            <w:r>
              <w:rPr>
                <w:b/>
                <w:i/>
              </w:rPr>
              <w:t>vzhledem k tomu, že až 35 % lidí, kteří se v posledních třech desetiletích dostali z chudoby, se v chudobě znovu ocitlo;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https://www.worldbank.org/en/publication/poverty-prosperity-and-planet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bylo dosaženo pokroku při plnění cíle EU v oblasti zaměstnanosti, konkrétně že do roku 2030 by mělo být zaměstnáno nejméně 78 % osob ve věku 20 až 64 let; vzhledem k tomu, že podle podzimní hospodářské prognózy Komise na rok 2025 dosáhla zaměstnanost v EU 75,3 %; vzhledem k tomu, že ve dvou třetinách členských států byl růst zaměstnanosti v roce 2023 na dobré cestě k dosažení vnitrostátního cíle pro rok 2030; vzhledem k tomu, že však nadále přetrvávají značné výzvy, </w:t>
            </w:r>
            <w:r>
              <w:rPr>
                <w:b/>
                <w:i/>
              </w:rPr>
              <w:t>jako je vysoká míra</w:t>
            </w:r>
            <w:r>
              <w:t xml:space="preserve"> nezaměstnanosti v některých členských státech, </w:t>
            </w:r>
            <w:r>
              <w:rPr>
                <w:b/>
                <w:i/>
              </w:rPr>
              <w:t>zejména mezi mladými lidmi a osobami se zdravotním postižením</w:t>
            </w:r>
            <w:r>
              <w:t>;</w:t>
            </w:r>
          </w:p>
        </w:tc>
        <w:tc>
          <w:tcPr>
            <w:tcW w:w="4876" w:type="dxa"/>
            <w:tcBorders>
              <w:top w:val="nil"/>
              <w:left w:val="nil"/>
              <w:bottom w:val="nil"/>
              <w:right w:val="nil"/>
            </w:tcBorders>
          </w:tcPr>
          <w:p>
            <w:pPr>
              <w:pStyle w:val="Normal6a"/>
            </w:pPr>
            <w:r>
              <w:t>C.</w:t>
            </w:r>
            <w:r>
              <w:tab/>
            </w:r>
            <w:r>
              <w:t xml:space="preserve">vzhledem k tomu, že bylo dosaženo pokroku při plnění cíle EU v oblasti zaměstnanosti, konkrétně že do roku 2030 by mělo být zaměstnáno nejméně 78 % osob ve věku 20 až 64 let; vzhledem k tomu, že podle podzimní hospodářské prognózy Komise na rok 2025 dosáhla zaměstnanost v EU 75,3 %; vzhledem k tomu, že ve dvou třetinách členských států byl růst zaměstnanosti v roce 2023 na dobré cestě k dosažení vnitrostátního cíle pro rok 2030; vzhledem k tomu, že však nadále přetrvávají značné výzvy, </w:t>
            </w:r>
            <w:r>
              <w:rPr>
                <w:b/>
                <w:i/>
              </w:rPr>
              <w:t>včetně vysoké míry</w:t>
            </w:r>
            <w:r>
              <w:t xml:space="preserve"> nezaměstnanosti v některých členských státech, </w:t>
            </w:r>
            <w:r>
              <w:rPr>
                <w:b/>
                <w:i/>
              </w:rPr>
              <w:t>přetrvávající segmentace trhu práce, vysokého výskytu nejisté a nestandardní práce a přetrvávajících rozdílů v přístupu ke kvalitnímu zaměstnání</w:t>
            </w:r>
            <w:r>
              <w:t xml:space="preserve">; </w:t>
            </w:r>
            <w:r>
              <w:rPr>
                <w:b/>
                <w:i/>
              </w:rPr>
              <w:t>vzhledem k tomu, že 66,6 % nezaměstnaných a 10,9 % zaměstnaných osob bylo v roce 2024 ohroženo chudobou</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bylo dosaženo pokroku při plnění cíle EU v oblasti zaměstnanosti, konkrétně že do roku 2030 by mělo být zaměstnáno nejméně 78 % osob ve věku 20 až 64 let; vzhledem k tomu, že podle podzimní hospodářské prognózy Komise na rok 2025 dosáhla zaměstnanost v EU 75,3 %; vzhledem k tomu, že ve dvou třetinách členských států byl růst zaměstnanosti v roce 2023 na dobré cestě k dosažení vnitrostátního cíle pro rok 2030; vzhledem k tomu, že však nadále přetrvávají značné výzvy, jako je vysoká míra nezaměstnanosti v některých členských státech, zejména mezi mladými lidmi a osobami se zdravotním postižením;</w:t>
            </w:r>
          </w:p>
        </w:tc>
        <w:tc>
          <w:tcPr>
            <w:tcW w:w="4876" w:type="dxa"/>
            <w:tcBorders>
              <w:top w:val="nil"/>
              <w:left w:val="nil"/>
              <w:bottom w:val="nil"/>
              <w:right w:val="nil"/>
            </w:tcBorders>
          </w:tcPr>
          <w:p>
            <w:pPr>
              <w:pStyle w:val="Normal6a"/>
            </w:pPr>
            <w:r>
              <w:t>C.</w:t>
            </w:r>
            <w:r>
              <w:tab/>
            </w:r>
            <w:r>
              <w:t>vzhledem k tomu, že bylo dosaženo pokroku při plnění cíle EU v oblasti zaměstnanosti, konkrétně že do roku 2030 by mělo být zaměstnáno nejméně 78 % osob ve věku 20 až 64 let; vzhledem k tomu, že podle podzimní hospodářské prognózy Komise na rok 2025 dosáhla zaměstnanost v EU 75,3 %; vzhledem k tomu, že ve dvou třetinách členských států byl růst zaměstnanosti v roce 2023 na dobré cestě k dosažení vnitrostátního cíle pro rok 2030; vzhledem k tomu, že však nadále přetrvávají značné výzvy, jako je vysoká míra nezaměstnanosti v některých členských státech, zejména mezi mladými lidmi a osobami se zdravotním postižením</w:t>
            </w:r>
            <w:r>
              <w:rPr>
                <w:b/>
                <w:i/>
              </w:rPr>
              <w:t>, stejně jako značné nerovnosti mezi odvětvími a regiony, které mohou v dlouhodobém horizontu negativně ovlivnit sociální soudržnost a dobré životní podmínky evropských občanů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bylo dosaženo pokroku při plnění cíle EU v oblasti zaměstnanosti, konkrétně že do roku 2030 by mělo být zaměstnáno nejméně 78 % osob ve věku 20 až 64 let; vzhledem k tomu, že podle podzimní hospodářské prognózy Komise na rok 2025 dosáhla zaměstnanost v EU 75,3 %; vzhledem k tomu, že ve dvou třetinách členských států byl růst zaměstnanosti v roce 2023 na dobré cestě k dosažení vnitrostátního cíle pro rok 2030; vzhledem k tomu, že však nadále přetrvávají značné výzvy, jako je vysoká míra nezaměstnanosti v některých členských státech, zejména mezi mladými lidmi a osobami se zdravotním postižením;</w:t>
            </w:r>
          </w:p>
        </w:tc>
        <w:tc>
          <w:tcPr>
            <w:tcW w:w="4876" w:type="dxa"/>
            <w:tcBorders>
              <w:top w:val="nil"/>
              <w:left w:val="nil"/>
              <w:bottom w:val="nil"/>
              <w:right w:val="nil"/>
            </w:tcBorders>
          </w:tcPr>
          <w:p>
            <w:pPr>
              <w:pStyle w:val="Normal6a"/>
            </w:pPr>
            <w:r>
              <w:t>C.</w:t>
            </w:r>
            <w:r>
              <w:tab/>
            </w:r>
            <w:r>
              <w:t xml:space="preserve">vzhledem k tomu, že bylo dosaženo pokroku při plnění cíle EU v oblasti zaměstnanosti, konkrétně že do roku 2030 by mělo být zaměstnáno nejméně 78 % osob ve věku 20 až 64 let; vzhledem k tomu, že podle podzimní hospodářské prognózy Komise na rok 2025 dosáhla zaměstnanost v EU 75,3 %; vzhledem k tomu, že ve dvou třetinách členských států byl růst zaměstnanosti v roce 2023 na dobré cestě k dosažení vnitrostátního cíle pro rok 2030; vzhledem k tomu, že však nadále přetrvávají značné výzvy, jako je </w:t>
            </w:r>
            <w:r>
              <w:rPr>
                <w:b/>
                <w:i/>
              </w:rPr>
              <w:t>rozdíl v zaměstnanosti žen a mužů a</w:t>
            </w:r>
            <w:r>
              <w:t xml:space="preserve"> vysoká míra nezaměstnanosti v některých členských státech, zejména mezi mladými lidmi a osobami se zdravotním postižením;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vzhledem k tomu, že stoupá míra výskytu nedostatečných výsledků v základních dovednostech (čtení, matematika a přírodní vědy) a že cíl na úrovni EU pro rok 2030 týkající se podílu nedostatečných výsledků pod 15 % zůstává v dohledné budoucnosti nedosažitelný;</w:t>
            </w:r>
            <w:r>
              <w:t xml:space="preserve"> </w:t>
            </w:r>
            <w:r>
              <w:rPr>
                <w:b/>
                <w:i/>
              </w:rPr>
              <w:t>vzhledem k tomu, že u znevýhodněných studentů nedostatečné výsledky převažují, což svědčí o prohlubování nerovností ve vzdělávání;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v EU narůstají nedostatečné výsledky v základních dovednostech, jako je čtení, matematika a přírodní vědy, zejména u znevýhodněných studentů;</w:t>
            </w:r>
            <w:r>
              <w:t xml:space="preserve"> </w:t>
            </w:r>
            <w:r>
              <w:rPr>
                <w:b/>
                <w:i/>
              </w:rPr>
              <w:t>vzhledem k tomu, že tato nerovnost ve vzdělávání oslabuje rovný přístup k dalšímu vzdělávání, příležitostem odborné přípravy a kvalitnímu zaměstnání a přispívá k přetrvávání sociálního vyloučení a vyloučení z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zdůrazňuje však, že pokud jde o školní rámec, pokles úrovně základních znalostí je v mnoha členských státech všeobecný a netýká se pouze znevýhodněných osob;</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vzhledem k tomu, že demografické výzvy, včetně stárnutí obyvatelstva, nízké porodnosti a vylidňování venkova, kdy se zejména mladí lidé stěhují do městských oblastí, zásadním způsobem ovlivňují ekonomickou odolnost a atraktivitu regionů EU, trhy práce, a tím i udržitelnost systémů sociálního zabezpečení, a dále prohlubují regionální rozdíly v EU, a představují tak strukturální výzvu pro hospodářství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w:t>
            </w:r>
            <w:r>
              <w:rPr>
                <w:b/>
                <w:i/>
              </w:rPr>
              <w:t>demografické výzvy</w:t>
            </w:r>
            <w:r>
              <w:t xml:space="preserve">, včetně stárnutí obyvatelstva, nízké porodnosti a vylidňování venkova, kdy se zejména mladí lidé stěhují do městských oblastí, zásadním způsobem </w:t>
            </w:r>
            <w:r>
              <w:rPr>
                <w:b/>
                <w:i/>
              </w:rPr>
              <w:t>ovlivňují</w:t>
            </w:r>
            <w:r>
              <w:t xml:space="preserve"> ekonomickou odolnost a atraktivitu regionů EU, trhy práce, a tím i udržitelnost systémů sociálního zabezpečení, a dále </w:t>
            </w:r>
            <w:r>
              <w:rPr>
                <w:b/>
                <w:i/>
              </w:rPr>
              <w:t>prohlubují</w:t>
            </w:r>
            <w:r>
              <w:t xml:space="preserve"> regionální rozdíly v EU, a </w:t>
            </w:r>
            <w:r>
              <w:rPr>
                <w:b/>
                <w:i/>
              </w:rPr>
              <w:t>představují</w:t>
            </w:r>
            <w:r>
              <w:t xml:space="preserve"> tak strukturální výzvu pro hospodářství EU;</w:t>
            </w:r>
          </w:p>
        </w:tc>
        <w:tc>
          <w:tcPr>
            <w:tcW w:w="4876" w:type="dxa"/>
            <w:tcBorders>
              <w:top w:val="nil"/>
              <w:left w:val="nil"/>
              <w:bottom w:val="nil"/>
              <w:right w:val="nil"/>
            </w:tcBorders>
          </w:tcPr>
          <w:p>
            <w:pPr>
              <w:pStyle w:val="Normal6a"/>
            </w:pPr>
            <w:r>
              <w:t>F.</w:t>
            </w:r>
            <w:r>
              <w:tab/>
            </w:r>
            <w:r>
              <w:t xml:space="preserve">vzhledem k tomu, že </w:t>
            </w:r>
            <w:r>
              <w:rPr>
                <w:b/>
                <w:i/>
              </w:rPr>
              <w:t>v důsledku demografických výzev</w:t>
            </w:r>
            <w:r>
              <w:t xml:space="preserve">, včetně stárnutí obyvatelstva, nízké porodnosti a vylidňování venkova, kdy se zejména mladí lidé stěhují do městských oblastí, </w:t>
            </w:r>
            <w:r>
              <w:rPr>
                <w:b/>
                <w:i/>
              </w:rPr>
              <w:t>růst produktivity v EU trvale zaostává za Spojenými státy, což</w:t>
            </w:r>
            <w:r>
              <w:t xml:space="preserve"> zásadním způsobem </w:t>
            </w:r>
            <w:r>
              <w:rPr>
                <w:b/>
                <w:i/>
              </w:rPr>
              <w:t>ovlivňuje</w:t>
            </w:r>
            <w:r>
              <w:t xml:space="preserve"> ekonomickou odolnost a atraktivitu regionů EU, trhy práce, a tím i udržitelnost systémů sociálního zabezpečení, a dále </w:t>
            </w:r>
            <w:r>
              <w:rPr>
                <w:b/>
                <w:i/>
              </w:rPr>
              <w:t>prohlubuje</w:t>
            </w:r>
            <w:r>
              <w:t xml:space="preserve"> regionální rozdíly v EU, a </w:t>
            </w:r>
            <w:r>
              <w:rPr>
                <w:b/>
                <w:i/>
              </w:rPr>
              <w:t>představuje</w:t>
            </w:r>
            <w:r>
              <w:t xml:space="preserve"> tak strukturální výzvu pro hospodářství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demografické výzvy, včetně stárnutí obyvatelstva, nízké porodnosti a vylidňování venkova, kdy se zejména mladí lidé stěhují do městských oblastí, zásadním způsobem ovlivňují ekonomickou odolnost a atraktivitu regionů EU, trhy práce, a tím i udržitelnost systémů sociálního zabezpečení, a dále prohlubují regionální rozdíly v EU, a představují tak strukturální výzvu pro hospodářství EU;</w:t>
            </w:r>
          </w:p>
        </w:tc>
        <w:tc>
          <w:tcPr>
            <w:tcW w:w="4876" w:type="dxa"/>
            <w:tcBorders>
              <w:top w:val="nil"/>
              <w:left w:val="nil"/>
              <w:bottom w:val="nil"/>
              <w:right w:val="nil"/>
            </w:tcBorders>
          </w:tcPr>
          <w:p>
            <w:pPr>
              <w:pStyle w:val="Normal6a"/>
            </w:pPr>
            <w:r>
              <w:t>F.</w:t>
            </w:r>
            <w:r>
              <w:tab/>
            </w:r>
            <w:r>
              <w:t xml:space="preserve">vzhledem k tomu, že demografické výzvy, včetně stárnutí obyvatelstva, nízké porodnosti a vylidňování venkova, kdy se zejména mladí lidé stěhují do městských oblastí, zásadním způsobem ovlivňují ekonomickou odolnost a atraktivitu regionů EU, trhy práce, </w:t>
            </w:r>
            <w:r>
              <w:rPr>
                <w:b/>
                <w:i/>
              </w:rPr>
              <w:t>veřejnou infrastrukturu</w:t>
            </w:r>
            <w:r>
              <w:t xml:space="preserve"> a tím i udržitelnost systémů sociálního zabezpečení, a dále prohlubují regionální rozdíly v EU, a představují tak strukturální výzvu pro hospodářství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pokud nebudou řešeny demografické výzvy, zejména stárnutí obyvatelstva, nízká porodnost a vylidňování venkova, mohlo by to vést k prohloubení hospodářských nerovností a ohrožení sociálního pokroku;</w:t>
            </w:r>
            <w:r>
              <w:t xml:space="preserve"> </w:t>
            </w:r>
            <w:r>
              <w:rPr>
                <w:b/>
                <w:i/>
              </w:rPr>
              <w:t>vzhledem k tomu, že příčinou nízké porodnosti je nedostatečný všeobecný přístup veřejnosti k péči o děti (ve věku 0–3 let) a k terciárnímu vzdělávání, chybějící nebo nedostatečné přídavky na děti a nedostatečná placená rodičovská dovolená;</w:t>
            </w:r>
            <w:r>
              <w:t xml:space="preserve"> </w:t>
            </w:r>
            <w:r>
              <w:rPr>
                <w:b/>
                <w:i/>
              </w:rPr>
              <w:t>vzhledem k tomu, že integrace migrantů na trhu práce může zlepšit nedostatek pracovních sil;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w:t>
            </w:r>
            <w:r>
              <w:rPr>
                <w:b/>
                <w:i/>
              </w:rPr>
              <w:t>v celé EU narůstá</w:t>
            </w:r>
            <w:r>
              <w:t xml:space="preserve"> nedostatek pracovních sil a dovedností</w:t>
            </w:r>
            <w:r>
              <w:rPr>
                <w:b/>
                <w:i/>
              </w:rPr>
              <w:t>, který je způsobený</w:t>
            </w:r>
            <w:r>
              <w:t xml:space="preserve"> demografickými změnami, poptávkou po nových dovednostech a </w:t>
            </w:r>
            <w:r>
              <w:rPr>
                <w:b/>
                <w:i/>
              </w:rPr>
              <w:t>špatnými pracovními podmínkami v některých odvětvích</w:t>
            </w:r>
            <w:r>
              <w:t>;</w:t>
            </w:r>
          </w:p>
        </w:tc>
        <w:tc>
          <w:tcPr>
            <w:tcW w:w="4876" w:type="dxa"/>
            <w:tcBorders>
              <w:top w:val="nil"/>
              <w:left w:val="nil"/>
              <w:bottom w:val="nil"/>
              <w:right w:val="nil"/>
            </w:tcBorders>
          </w:tcPr>
          <w:p>
            <w:pPr>
              <w:pStyle w:val="Normal6a"/>
            </w:pPr>
            <w:r>
              <w:t>G.</w:t>
            </w:r>
            <w:r>
              <w:tab/>
            </w:r>
            <w:r>
              <w:t xml:space="preserve">vzhledem k tomu, že nedostatek pracovních sil a dovedností </w:t>
            </w:r>
            <w:r>
              <w:rPr>
                <w:b/>
                <w:i/>
              </w:rPr>
              <w:t>je způsoben</w:t>
            </w:r>
            <w:r>
              <w:t xml:space="preserve"> demografickými změnami </w:t>
            </w:r>
            <w:r>
              <w:rPr>
                <w:b/>
                <w:i/>
              </w:rPr>
              <w:t>a transformacemi</w:t>
            </w:r>
            <w:r>
              <w:t xml:space="preserve">, poptávkou po nových dovednostech a </w:t>
            </w:r>
            <w:r>
              <w:rPr>
                <w:b/>
                <w:i/>
              </w:rPr>
              <w:t>kvalitním zaměstnání s vyššími mzdami a stabilitou pracovních míst, jakož i integrací státních příslušníků třetích zemí na trzích práce;</w:t>
            </w:r>
            <w:r>
              <w:t xml:space="preserve"> </w:t>
            </w:r>
            <w:r>
              <w:rPr>
                <w:b/>
                <w:i/>
              </w:rPr>
              <w:t>vzhledem k tomu, že v celé EU narůstají špatné pracovní podmínky a přímo omezují schopnost EU přilákat a udržet si talenty, a to jak ze třetích zemí, tak v rámci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v celé EU narůstá nedostatek pracovních sil </w:t>
            </w:r>
            <w:r>
              <w:rPr>
                <w:b/>
                <w:i/>
              </w:rPr>
              <w:t>a dovedností</w:t>
            </w:r>
            <w:r>
              <w:t xml:space="preserve">, který je způsobený </w:t>
            </w:r>
            <w:r>
              <w:rPr>
                <w:b/>
                <w:i/>
              </w:rPr>
              <w:t>demografickými změnami</w:t>
            </w:r>
            <w:r>
              <w:t xml:space="preserve">, poptávkou po nových dovednostech </w:t>
            </w:r>
            <w:r>
              <w:rPr>
                <w:b/>
                <w:i/>
              </w:rPr>
              <w:t>a špatnými pracovními podmínkami</w:t>
            </w:r>
            <w:r>
              <w:t xml:space="preserve"> v některých odvětvích;</w:t>
            </w:r>
          </w:p>
        </w:tc>
        <w:tc>
          <w:tcPr>
            <w:tcW w:w="4876" w:type="dxa"/>
            <w:tcBorders>
              <w:top w:val="nil"/>
              <w:left w:val="nil"/>
              <w:bottom w:val="nil"/>
              <w:right w:val="nil"/>
            </w:tcBorders>
          </w:tcPr>
          <w:p>
            <w:pPr>
              <w:pStyle w:val="Normal6a"/>
            </w:pPr>
            <w:r>
              <w:t>G.</w:t>
            </w:r>
            <w:r>
              <w:tab/>
            </w:r>
            <w:r>
              <w:t xml:space="preserve">vzhledem k tomu, že v celé EU narůstá nedostatek </w:t>
            </w:r>
            <w:r>
              <w:rPr>
                <w:b/>
                <w:i/>
              </w:rPr>
              <w:t>kvalifikovaných</w:t>
            </w:r>
            <w:r>
              <w:t xml:space="preserve"> pracovních sil, který je způsobený </w:t>
            </w:r>
            <w:r>
              <w:rPr>
                <w:b/>
                <w:i/>
              </w:rPr>
              <w:t>bezprecedentním poklesem porodnosti ve všech členských státech</w:t>
            </w:r>
            <w:r>
              <w:t xml:space="preserve">, </w:t>
            </w:r>
            <w:r>
              <w:rPr>
                <w:b/>
                <w:i/>
              </w:rPr>
              <w:t>rostoucím odchodem mladých kvalifikovaných evropských pracovníků do zahraničí a</w:t>
            </w:r>
            <w:r>
              <w:t xml:space="preserve"> poptávkou po nových dovednostech v některých odvětvích;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v celé EU narůstá nedostatek pracovních sil a dovedností, který je způsobený demografickými změnami, poptávkou po nových dovednostech a špatnými pracovními podmínkami v některých odvětvích;</w:t>
            </w:r>
          </w:p>
        </w:tc>
        <w:tc>
          <w:tcPr>
            <w:tcW w:w="4876" w:type="dxa"/>
            <w:tcBorders>
              <w:top w:val="nil"/>
              <w:left w:val="nil"/>
              <w:bottom w:val="nil"/>
              <w:right w:val="nil"/>
            </w:tcBorders>
          </w:tcPr>
          <w:p>
            <w:pPr>
              <w:pStyle w:val="Normal6a"/>
            </w:pPr>
            <w:r>
              <w:t>G.</w:t>
            </w:r>
            <w:r>
              <w:tab/>
            </w:r>
            <w:r>
              <w:t xml:space="preserve">vzhledem k tomu, že v celé EU narůstá nedostatek pracovních sil a dovedností, který je způsobený demografickými změnami, poptávkou po nových dovednostech </w:t>
            </w:r>
            <w:r>
              <w:rPr>
                <w:b/>
                <w:i/>
              </w:rPr>
              <w:t>pro zelenou a digitální transformaci</w:t>
            </w:r>
            <w:r>
              <w:t xml:space="preserve"> a špatnými pracovními podmínkami </w:t>
            </w:r>
            <w:r>
              <w:rPr>
                <w:b/>
                <w:i/>
              </w:rPr>
              <w:t>a nesouladem mezi nabízenými a požadovanými dovednostmi</w:t>
            </w:r>
            <w:r>
              <w:t xml:space="preserve"> v některých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v celé EU narůstá nedostatek pracovních sil a dovedností, který je způsobený demografickými změnami, poptávkou po nových dovednostech a špatnými pracovními podmínkami v některých odvětvích;</w:t>
            </w:r>
          </w:p>
        </w:tc>
        <w:tc>
          <w:tcPr>
            <w:tcW w:w="4876" w:type="dxa"/>
            <w:tcBorders>
              <w:top w:val="nil"/>
              <w:left w:val="nil"/>
              <w:bottom w:val="nil"/>
              <w:right w:val="nil"/>
            </w:tcBorders>
          </w:tcPr>
          <w:p>
            <w:pPr>
              <w:pStyle w:val="Normal6a"/>
            </w:pPr>
            <w:r>
              <w:t>G.</w:t>
            </w:r>
            <w:r>
              <w:tab/>
            </w:r>
            <w:r>
              <w:t xml:space="preserve">vzhledem k tomu, že v celé EU narůstá nedostatek pracovních sil a dovedností, který je způsobený demografickými změnami, poptávkou po nových dovednostech a špatnými pracovními podmínkami </w:t>
            </w:r>
            <w:r>
              <w:rPr>
                <w:b/>
                <w:i/>
              </w:rPr>
              <w:t>a nedostatkem investic do robotiky</w:t>
            </w:r>
            <w:r>
              <w:t xml:space="preserve"> v některých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zpráva nadace Eurofound z roku 2024 ukazuje, že míra sebevražd od roku 2021 po desetiletích poklesu postupně roste;</w:t>
            </w:r>
            <w:r>
              <w:t xml:space="preserve"> </w:t>
            </w:r>
            <w:r>
              <w:rPr>
                <w:b/>
                <w:i/>
              </w:rPr>
              <w:t>vzhledem k tomu, že je třeba učinit více pro řešení příčin duševních poruch v rámci pracovních a životních podmínek</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(připravuje se pro rok 2025), Duševní zdraví v Evropské unii a Norsku:</w:t>
            </w:r>
            <w:r>
              <w:t xml:space="preserve"> </w:t>
            </w:r>
            <w:r>
              <w:rPr>
                <w:b/>
                <w:i/>
              </w:rPr>
              <w:t>rizikové skupiny, trendy, služby a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G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vzhledem k tomu, že sociální ekonomika, respektive sociální podniky, zahrnuje různé typy soukromých subjektů nezávislých na veřejných orgánech, jako jsou družstva, vzájemně prospěšné společnosti, sdružení (včetně charitativních organizací), nadace (včetně sociálních podniků pro pracovní integraci) a další právní formy v závislosti na jednotlivých členských státech EU;</w:t>
            </w:r>
            <w:r>
              <w:t xml:space="preserve"> </w:t>
            </w:r>
            <w:r>
              <w:rPr>
                <w:b/>
                <w:i/>
              </w:rPr>
              <w:t>konstatuje, že tato rozmanitost podniků a organizací, které působí ve všech oblastech činnosti, sdílí silnou identitu založenou na sdílených hodnotách a charakteristikách, jako je upřednostňování jednotlivců a sociálního účelu před kapitálem, rovnost žen a mužů, místní a regionální odpovědnost, citlivost vůči výzvám v oblasti klimatu a životního prostředí, začleňování a demokratická správa věcí veřejných a opětovné investování, a tudíž omezené rozdělení zisků a aktiv mezi členy nebo akcionáře a většiny zisku za účelem dosažení cílů udržitelného rozvoje podniku nebo organizace nebo ve společném a obecném zájmu;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G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vzhledem k tomu, že v situaci, kdy se rozdíly v odměňování žen a mužů postupně zmenšují, výzkum nadace Eurofound ukazuje, že mnoho členských států dosud neprovedlo žádná opatření v oblasti transparentnosti odměňování a většina vnitrostátních nástrojů</w:t>
            </w:r>
            <w:r>
              <w:rPr>
                <w:b/>
                <w:i/>
                <w:vertAlign w:val="superscript"/>
              </w:rPr>
              <w:t>3b</w:t>
            </w:r>
            <w:r>
              <w:rPr>
                <w:b/>
                <w:i/>
              </w:rPr>
              <w:t>, které jsou v současné době zavedeny, zatím nezohledňuje zásadu stejné odměny za stejnou práci</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Výzkum nadace Eurofound (připravovaný pro rok 2025), Further experiences with pay transparency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3b</w:t>
            </w:r>
            <w:r>
              <w:t xml:space="preserve"> </w:t>
            </w:r>
            <w:r>
              <w:rPr>
                <w:b/>
                <w:i/>
              </w:rPr>
              <w:t>Eurofound (2021), Gender pay transparency:</w:t>
            </w:r>
            <w:r>
              <w:t xml:space="preserve"> </w:t>
            </w:r>
            <w:r>
              <w:rPr>
                <w:b/>
                <w:i/>
              </w:rPr>
              <w:t>Advancing the cause through a truly European proposal, článek, 18. června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vzhledem k tomu, že spravedlivá mobilita pracovních sil přináší příležitosti pro podniky a pracovníky a měla by být podporována v rámci EU i mezi pracovníky ze třetích zemí, přičemž je třeba zajistit dodržování a prosazování pracovních a sociálních práv prostřednictvím legálních způsobů migrace;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spravedlivá mobilita pracovních sil přináší příležitosti pro podniky a pracovníky a měla by být podporována v rámci EU i mezi pracovníky ze třetích zemí, přičemž je třeba zajistit dodržování a prosazování pracovních a sociálních práv prostřednictvím legálních způsobů migrace;</w:t>
            </w:r>
          </w:p>
        </w:tc>
        <w:tc>
          <w:tcPr>
            <w:tcW w:w="4876" w:type="dxa"/>
            <w:tcBorders>
              <w:top w:val="nil"/>
              <w:left w:val="nil"/>
              <w:bottom w:val="nil"/>
              <w:right w:val="nil"/>
            </w:tcBorders>
          </w:tcPr>
          <w:p>
            <w:pPr>
              <w:pStyle w:val="Normal6a"/>
            </w:pPr>
            <w:r>
              <w:t>H.</w:t>
            </w:r>
            <w:r>
              <w:tab/>
            </w:r>
            <w:r>
              <w:t>vzhledem k tomu, že spravedlivá mobilita pracovních sil přináší příležitosti pro podniky a pracovníky a měla by být podporována v rámci EU i mezi pracovníky ze třetích zemí, přičemž je třeba zajistit dodržování a prosazování pracovních a sociálních práv prostřednictvím legálních způsobů migrace</w:t>
            </w:r>
            <w:r>
              <w:rPr>
                <w:b/>
                <w:i/>
              </w:rPr>
              <w:t>, jakož i rovné zacházení a nediskriminaci, včetně přenositelnosti získaných zaměstnaneckých dávek v rámci jednotného trhu, jakož i rovné zacházení a nediskriminace, a to i pokud jde o přenositelnost získaných zaměstnaneckých výhod na jednotném trhu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w:t>
            </w:r>
            <w:r>
              <w:rPr>
                <w:b/>
                <w:i/>
              </w:rPr>
              <w:t>spravedlivá</w:t>
            </w:r>
            <w:r>
              <w:t xml:space="preserve"> mobilita pracovních sil </w:t>
            </w:r>
            <w:r>
              <w:rPr>
                <w:b/>
                <w:i/>
              </w:rPr>
              <w:t>přináší</w:t>
            </w:r>
            <w:r>
              <w:t xml:space="preserve"> příležitosti pro podniky a pracovníky a měla by být podporována v rámci EU i mezi pracovníky ze třetích zemí, přičemž je třeba zajistit dodržování a prosazování pracovních a sociálních práv prostřednictvím legálních </w:t>
            </w:r>
            <w:r>
              <w:rPr>
                <w:b/>
                <w:i/>
              </w:rPr>
              <w:t>způsobů migrace</w:t>
            </w:r>
            <w:r>
              <w:t>;</w:t>
            </w:r>
          </w:p>
        </w:tc>
        <w:tc>
          <w:tcPr>
            <w:tcW w:w="4876" w:type="dxa"/>
            <w:tcBorders>
              <w:top w:val="nil"/>
              <w:left w:val="nil"/>
              <w:bottom w:val="nil"/>
              <w:right w:val="nil"/>
            </w:tcBorders>
          </w:tcPr>
          <w:p>
            <w:pPr>
              <w:pStyle w:val="Normal6a"/>
            </w:pPr>
            <w:r>
              <w:t>H.</w:t>
            </w:r>
            <w:r>
              <w:tab/>
            </w:r>
            <w:r>
              <w:t xml:space="preserve">vzhledem k tomu, že mobilita pracovních sil </w:t>
            </w:r>
            <w:r>
              <w:rPr>
                <w:b/>
                <w:i/>
              </w:rPr>
              <w:t>je zakotvena ve Smlouvách a nabízí</w:t>
            </w:r>
            <w:r>
              <w:t xml:space="preserve"> příležitosti pro podniky a pracovníky a měla by být podporována v rámci EU i mezi pracovníky ze třetích zemí, přičemž je třeba zajistit </w:t>
            </w:r>
            <w:r>
              <w:rPr>
                <w:b/>
                <w:i/>
              </w:rPr>
              <w:t>plné</w:t>
            </w:r>
            <w:r>
              <w:t xml:space="preserve"> dodržování a prosazování pracovních a sociálních práv</w:t>
            </w:r>
            <w:r>
              <w:rPr>
                <w:b/>
                <w:i/>
              </w:rPr>
              <w:t>, a to i pro státní příslušníky třetích zemí</w:t>
            </w:r>
            <w:r>
              <w:t xml:space="preserve"> prostřednictvím legálních </w:t>
            </w:r>
            <w:r>
              <w:rPr>
                <w:b/>
                <w:i/>
              </w:rPr>
              <w:t>migračních cest a boje proti nehlášené práci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podle výzkumu nadace Eurofound průmyslová demokracie úzce souvisí s kvalitou práce, zaměstnaností a průmyslovou konkurenceschopností, aktualizované indexy průmyslové demokracie a pracovněprávních vztahů vykazují polarizovaný obraz, kdy malé skupiny členských států mají velmi vysokou nebo velmi nízkou výkonnost, přičemž v období 2008 až 2021 byla konstatována malá vzestupná divergence průmyslové demokracie</w:t>
            </w:r>
            <w:r>
              <w:rPr>
                <w:b/>
                <w:i/>
                <w:vertAlign w:val="superscript"/>
              </w:rPr>
              <w:t>4a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https://www.eurofound.europa.eu/en/publications/2023/measuring-key-dimensions-industrial-relations-and-industrial-democracy#:~:text=Executive%20summary,quality%20of%20work%20and%20employment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v souvislosti s posláním Mezinárodní organizace práce, kterým je podporovat sociální spravedlnost, její základní zásady a práva při práci spočívají v zajištění spravedlivého a důstojného pracovního prostředí pro všechny, včetně svobody sdružování a práva na kolektivní vyjednávání, odstranění všech forem nucené nebo povinné práce, účinného odstranění dětské práce, odstranění diskriminace v zaměstnání a povolání a práva na bezpečné a zdravé pracovní prostředí; vzhledem k tomu, že </w:t>
            </w:r>
            <w:r>
              <w:rPr>
                <w:b/>
                <w:i/>
              </w:rPr>
              <w:t>ne všechny</w:t>
            </w:r>
            <w:r>
              <w:t xml:space="preserve"> členské státy </w:t>
            </w:r>
            <w:r>
              <w:rPr>
                <w:b/>
                <w:i/>
              </w:rPr>
              <w:t>EU tyto povinnosti plní</w:t>
            </w:r>
            <w:r>
              <w:t>;</w:t>
            </w:r>
          </w:p>
        </w:tc>
        <w:tc>
          <w:tcPr>
            <w:tcW w:w="4876" w:type="dxa"/>
            <w:tcBorders>
              <w:top w:val="nil"/>
              <w:left w:val="nil"/>
              <w:bottom w:val="nil"/>
              <w:right w:val="nil"/>
            </w:tcBorders>
          </w:tcPr>
          <w:p>
            <w:pPr>
              <w:pStyle w:val="Normal6a"/>
            </w:pPr>
            <w:r>
              <w:t>I.</w:t>
            </w:r>
            <w:r>
              <w:tab/>
            </w:r>
            <w:r>
              <w:rPr>
                <w:b/>
                <w:i/>
              </w:rPr>
              <w:t>vzhledem k tomu, že tripartitní struktura Mezinárodní organizace práce a její široké členství ji činí lídrem v oblasti celosvětových pracovních norem;</w:t>
            </w:r>
            <w:r>
              <w:t xml:space="preserve"> vzhledem k tomu, že v souvislosti s posláním Mezinárodní organizace práce, kterým je podporovat sociální spravedlnost, její základní zásady a práva při práci spočívají v zajištění spravedlivého a důstojného pracovního prostředí pro všechny, včetně svobody sdružování a práva na kolektivní vyjednávání, odstranění všech forem nucené nebo povinné práce, účinného odstranění dětské práce, odstranění diskriminace v zaměstnání a povolání a práva na bezpečné a zdravé pracovní prostředí; vzhledem k tomu, že </w:t>
            </w:r>
            <w:r>
              <w:rPr>
                <w:b/>
                <w:i/>
              </w:rPr>
              <w:t>některé</w:t>
            </w:r>
            <w:r>
              <w:t xml:space="preserve"> členské státy </w:t>
            </w:r>
            <w:r>
              <w:rPr>
                <w:b/>
                <w:i/>
              </w:rPr>
              <w:t>čelí problémům při provádění a prosazování těchto povinností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sociální partneři a organizace občanské společnosti hrají klíčovou úlohu při zajišťování důstojných pracovních podmínek a podpoře sociální spravedlnosti a 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v kontextu EU jsou tato práva chráněna Smlouvami EU, Listinou základních práv a acquis EU v oblasti pracovního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domnívá se, že </w:t>
            </w:r>
            <w:r>
              <w:rPr>
                <w:b/>
                <w:i/>
              </w:rPr>
              <w:t>Komisi</w:t>
            </w:r>
            <w:r>
              <w:t xml:space="preserve"> a Rada by měly intenzivněji usilovat o provádění evropského pilíře sociálních práv v souladu s </w:t>
            </w:r>
            <w:r>
              <w:rPr>
                <w:b/>
                <w:i/>
              </w:rPr>
              <w:t>akčním plánem z března 2021 a</w:t>
            </w:r>
            <w:r>
              <w:t xml:space="preserve"> prohlášením z La Hulpe s cílem dosáhnout splnění hlavních cílů pro rok 2030;</w:t>
            </w:r>
          </w:p>
        </w:tc>
        <w:tc>
          <w:tcPr>
            <w:tcW w:w="4876" w:type="dxa"/>
            <w:tcBorders>
              <w:top w:val="nil"/>
              <w:left w:val="nil"/>
              <w:bottom w:val="nil"/>
              <w:right w:val="nil"/>
            </w:tcBorders>
          </w:tcPr>
          <w:p>
            <w:pPr>
              <w:pStyle w:val="Normal6a"/>
            </w:pPr>
            <w:r>
              <w:t>1.</w:t>
            </w:r>
            <w:r>
              <w:tab/>
            </w:r>
            <w:r>
              <w:t xml:space="preserve">domnívá se, že </w:t>
            </w:r>
            <w:r>
              <w:rPr>
                <w:b/>
                <w:i/>
              </w:rPr>
              <w:t>Komise</w:t>
            </w:r>
            <w:r>
              <w:t xml:space="preserve"> a Rada by měly intenzivněji usilovat o provádění evropského pilíře sociálních práv v souladu s prohlášením z La Hulpe </w:t>
            </w:r>
            <w:r>
              <w:rPr>
                <w:b/>
                <w:i/>
              </w:rPr>
              <w:t>a prostřednictvím ambiciózní aktualizace akčního plánu, s konkrétními opatřeními a návrhy na podporu sociální konvergence, zejména</w:t>
            </w:r>
            <w:r>
              <w:t xml:space="preserve"> s cílem dosáhnout splnění hlavních cílů pro rok 2030; </w:t>
            </w:r>
            <w:r>
              <w:rPr>
                <w:b/>
                <w:i/>
              </w:rPr>
              <w:t>vyzývá Komisi, aby v rámci aktualizovaného akčního plánu vyhodnotila stávající cíle a zajistila jejich trvalou relevantnost v současném sociálním a pracovním kontextu a aby je v případě potřeby aktualizovala nebo doplnila;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domnívá se, že </w:t>
            </w:r>
            <w:r>
              <w:rPr>
                <w:b/>
                <w:i/>
              </w:rPr>
              <w:t>Komisi a Rada</w:t>
            </w:r>
            <w:r>
              <w:t xml:space="preserve"> by měly intenzivněji usilovat o provádění evropského pilíře sociálních práv v souladu s akčním plánem z března 2021 a prohlášením z La Hulpe s cílem dosáhnout splnění hlavních cílů pro rok 2030;</w:t>
            </w:r>
          </w:p>
        </w:tc>
        <w:tc>
          <w:tcPr>
            <w:tcW w:w="4876" w:type="dxa"/>
            <w:tcBorders>
              <w:top w:val="nil"/>
              <w:left w:val="nil"/>
              <w:bottom w:val="nil"/>
              <w:right w:val="nil"/>
            </w:tcBorders>
          </w:tcPr>
          <w:p>
            <w:pPr>
              <w:pStyle w:val="Normal6a"/>
            </w:pPr>
            <w:r>
              <w:t>1.</w:t>
            </w:r>
            <w:r>
              <w:tab/>
            </w:r>
            <w:r>
              <w:t xml:space="preserve">domnívá se, že </w:t>
            </w:r>
            <w:r>
              <w:rPr>
                <w:b/>
                <w:i/>
              </w:rPr>
              <w:t>Komise a členské státy</w:t>
            </w:r>
            <w:r>
              <w:t xml:space="preserve"> by měly intenzivněji usilovat o provádění evropského pilíře sociálních práv v souladu s </w:t>
            </w:r>
            <w:r>
              <w:rPr>
                <w:b/>
                <w:i/>
              </w:rPr>
              <w:t>nařízením (EU) 2024/1263,</w:t>
            </w:r>
            <w:r>
              <w:t xml:space="preserve"> akčním plánem z března 2021 a prohlášením z La Hulpe s cílem dosáhnout splnění hlavních cílů pro rok 2030; </w:t>
            </w:r>
            <w:r>
              <w:rPr>
                <w:b/>
                <w:i/>
              </w:rPr>
              <w:t>vyzývá Komisi, aby předložila nový akční plán zahrnující nové hlavní cíle a legislativní iniciativy pro plné provádění evropského pilíře sociálních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vyjadřuje politování nad tím, že Evropská komise se vzdaluje svému závazku k sociálnímu pokroku a dosažení cílů udržitelného rozvoje ve prospěch programu konkurenceschopnosti, zjednodušení a deregulace, který sociální a ekologické závazky oslabuje; připomíná, že sociální a hospodářská odolnost, včetně evropského pilíře sociálních práv, patří mezi společné cíle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připomíná, že Agenda OSN pro udržitelný rozvoj 2030 a související cíle uznávají, že vymýcení chudoby ve všech jejích formách a rozměrech, včetně extrémní chudoby, je největší globální výzvou a nezbytným požadavkem pro udržitelný rozvoj a že nikdo by neměl být opomenut a nejdříve je nutné myslet na ty nejvíce opomíjené;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vyjadřuje znepokojení nad tím, že cíle udržitelného rozvoje nebyly výslovně zmíněny v politických směrech současné předsedkyně Evropské komise, a vítá skutečnost, že každý člen kolegia je pověřen zajištěním plnění cílů a záměrů EU a cílů OSN v oblasti udržitelného rozvoje v rámci svých oblastí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vyjadřuje politování nad celkově nedostatečným pokrokem v plnění cílů udržitelného rozvoje v celé EU, když tempo pokroku v plnění cílů udržitelného rozvoje bylo v období 2020–2023 více než dvakrát nižší (+0,8 bodu) než v období 2016–2019 (+1,9 bodu);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zdůrazňuje, že cíle udržitelného rozvoje jsou z velké části investičním programem, zejména do lidského kapitálu (vzdělávání, zdravotnictví, sociální ochrana a další) a fyzické infrastruktury (energie z obnovitelných zdrojů a sítě, přístup k technologiím a další);</w:t>
            </w:r>
            <w:r>
              <w:t xml:space="preserve"> </w:t>
            </w:r>
            <w:r>
              <w:rPr>
                <w:b/>
                <w:i/>
              </w:rPr>
              <w:t>je znepokojen tím, že evropské prostředky budou určeny na obranu a konkurenceschopnost na úkor agendy sociálního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vyzývá Komisi a členské státy, aby spolupracovaly s Evropským parlamentem na vypracování nové evropské sociální dohody pro budoucnost s jasnými závazky a investicemi v těchto oblastech:</w:t>
            </w:r>
            <w:r>
              <w:t xml:space="preserve"> </w:t>
            </w:r>
            <w:r>
              <w:rPr>
                <w:b/>
                <w:i/>
              </w:rPr>
              <w:t>snížení rizika chudoby a sociálního vyloučení Evropanů a dosažení nulových čistých emisí v EU do roku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uznává, že tři hlavní témata světového summitu o sociálním rozvoji, který se konal v roce 1995 v Kodani, tj. vymýcení chudoby, plná a produktivní zaměstnanost a důstojná práce pro všechny a sociální začlenění, která jsou považována za tři pilíře sociálního rozvoje, jsou i nadále relevantní a důležitá a jsou vzájemně provázaná;</w:t>
            </w:r>
          </w:p>
        </w:tc>
        <w:tc>
          <w:tcPr>
            <w:tcW w:w="4876" w:type="dxa"/>
            <w:tcBorders>
              <w:top w:val="nil"/>
              <w:left w:val="nil"/>
              <w:bottom w:val="nil"/>
              <w:right w:val="nil"/>
            </w:tcBorders>
          </w:tcPr>
          <w:p>
            <w:pPr>
              <w:pStyle w:val="Normal6a"/>
            </w:pPr>
            <w:r>
              <w:t>2.</w:t>
            </w:r>
            <w:r>
              <w:tab/>
            </w:r>
            <w:r>
              <w:t>uznává, že tři hlavní témata světového summitu o sociálním rozvoji, který se konal v roce 1995 v Kodani, tj. vymýcení chudoby, plná a produktivní zaměstnanost a důstojná práce pro všechny a sociální začlenění, která jsou považována za tři pilíře sociálního rozvoje, jsou i nadále relevantní a důležitá a jsou vzájemně provázaná</w:t>
            </w:r>
            <w:r>
              <w:rPr>
                <w:b/>
                <w:i/>
              </w:rPr>
              <w:t>, avšak zdůrazňuje, že nesmí být používány proti členským státům s přímým nebo nepřímým cílem podporovat přistěhovalectví ze třetích zemí</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uznává, že tři hlavní témata světového summitu o sociálním rozvoji, který se konal v roce 1995 v Kodani, tj. vymýcení chudoby, plná a produktivní zaměstnanost a důstojná práce pro všechny a sociální začlenění, která jsou považována za tři pilíře sociálního rozvoje, jsou i nadále relevantní a důležitá a jsou vzájemně provázaná;</w:t>
            </w:r>
          </w:p>
        </w:tc>
        <w:tc>
          <w:tcPr>
            <w:tcW w:w="4876" w:type="dxa"/>
            <w:tcBorders>
              <w:top w:val="nil"/>
              <w:left w:val="nil"/>
              <w:bottom w:val="nil"/>
              <w:right w:val="nil"/>
            </w:tcBorders>
          </w:tcPr>
          <w:p>
            <w:pPr>
              <w:pStyle w:val="Normal6a"/>
            </w:pPr>
            <w:r>
              <w:t>2.</w:t>
            </w:r>
            <w:r>
              <w:tab/>
            </w:r>
            <w:r>
              <w:t xml:space="preserve">uznává, že tři hlavní témata světového summitu o sociálním rozvoji, který se konal v roce 1995 v Kodani, tj. vymýcení chudoby, plná a produktivní zaměstnanost a důstojná práce pro všechny a sociální začlenění, která jsou považována za tři pilíře sociálního rozvoje, jsou i nadále relevantní a důležitá a jsou vzájemně provázaná </w:t>
            </w:r>
            <w:r>
              <w:rPr>
                <w:b/>
                <w:i/>
              </w:rPr>
              <w:t>a navzájem se posilují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naléhavě vyzývá členské státy OSN, aby podporovaly a prosazovaly úlohu sociálních partnerů a organizací občanské společnosti na svém území a aby zajistily jejich smysluplné zapojení do přípravy summitu a následných opatření;</w:t>
            </w:r>
            <w:r>
              <w:t xml:space="preserve"> </w:t>
            </w:r>
            <w:r>
              <w:rPr>
                <w:b/>
                <w:i/>
              </w:rPr>
              <w:t>zdůrazňuje, že úzké zapojení mnoha zainteresovaných stran do tvorby politik a účinné kolektivní vyjednávání může významně přispět k pokroku v plnění cílů sociálního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zdůrazňuje, že je důležité využívat srovnávací přehled sociálních ukazatelů a rámec sociální konvergence k identifikaci rizik a sledování pokroku </w:t>
            </w:r>
            <w:r>
              <w:rPr>
                <w:b/>
                <w:i/>
              </w:rPr>
              <w:t>při</w:t>
            </w:r>
            <w:r>
              <w:t xml:space="preserve"> snižování nerovností, posilování systémů sociální ochrany a prosazování důstojných pracovních podmínek </w:t>
            </w:r>
            <w:r>
              <w:rPr>
                <w:b/>
                <w:i/>
              </w:rPr>
              <w:t>a podpůrných opatření, která pracovníkům umožní zvládnout změny na trhu práce</w:t>
            </w:r>
            <w:r>
              <w:t>; v této souvislosti zdůrazňuje, že je nezbytné zajistit udržitelnou, sociálně spravedlivou a inkluzivní Evropu, v níž budou sociální práva plně chráněna a zaručena; připomíná, že občané EU považují sociální Evropu za jednu ze svých priorit;</w:t>
            </w:r>
          </w:p>
        </w:tc>
        <w:tc>
          <w:tcPr>
            <w:tcW w:w="4876" w:type="dxa"/>
            <w:tcBorders>
              <w:top w:val="nil"/>
              <w:left w:val="nil"/>
              <w:bottom w:val="nil"/>
              <w:right w:val="nil"/>
            </w:tcBorders>
          </w:tcPr>
          <w:p>
            <w:pPr>
              <w:pStyle w:val="Normal6a"/>
            </w:pPr>
            <w:r>
              <w:t>3.</w:t>
            </w:r>
            <w:r>
              <w:tab/>
            </w:r>
            <w:r>
              <w:rPr>
                <w:b/>
                <w:i/>
              </w:rPr>
              <w:t>zdůrazňuje, že je třeba, aby Komise urychleně předložila balíček opatření, včetně nezbytných legislativních iniciativ a investic, k zajištění kvalitních pracovních míst;</w:t>
            </w:r>
            <w:r>
              <w:t xml:space="preserve"> zdůrazňuje, že je důležité využívat srovnávací přehled sociálních ukazatelů a rámec sociální konvergence k identifikaci rizik a sledování pokroku </w:t>
            </w:r>
            <w:r>
              <w:rPr>
                <w:b/>
                <w:i/>
              </w:rPr>
              <w:t>v dosahování vzestupné sociální a mzdové konvergence,</w:t>
            </w:r>
            <w:r>
              <w:t xml:space="preserve"> snižování nerovností, posilování systémů sociální ochrany a prosazování důstojných pracovních podmínek</w:t>
            </w:r>
            <w:r>
              <w:rPr>
                <w:b/>
                <w:i/>
              </w:rPr>
              <w:t>, jež zajistí spravedlivou transformaci</w:t>
            </w:r>
            <w:r>
              <w:t>; v této souvislosti zdůrazňuje, že je nezbytné zajistit udržitelnou, sociálně spravedlivou a inkluzivní Evropu, v níž budou sociální práva plně chráněna a zaručena; připomíná, že občané EU považují sociální Evropu za jednu ze svých priorit;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zdůrazňuje, že je důležité využívat srovnávací přehled sociálních ukazatelů a rámec sociální konvergence k identifikaci rizik a sledování pokroku při snižování nerovností, posilování systémů sociální ochrany a prosazování důstojných pracovních podmínek a podpůrných opatření, která pracovníkům umožní zvládnout změny na trhu práce; v této souvislosti zdůrazňuje, že je nezbytné zajistit udržitelnou, sociálně spravedlivou a inkluzivní Evropu, v níž budou sociální práva plně chráněna a zaručena; připomíná, že občané EU považují sociální Evropu za jednu ze svých priorit;</w:t>
            </w:r>
          </w:p>
        </w:tc>
        <w:tc>
          <w:tcPr>
            <w:tcW w:w="4876" w:type="dxa"/>
            <w:tcBorders>
              <w:top w:val="nil"/>
              <w:left w:val="nil"/>
              <w:bottom w:val="nil"/>
              <w:right w:val="nil"/>
            </w:tcBorders>
          </w:tcPr>
          <w:p>
            <w:pPr>
              <w:pStyle w:val="Normal6a"/>
            </w:pPr>
            <w:r>
              <w:t>3.</w:t>
            </w:r>
            <w:r>
              <w:tab/>
            </w:r>
            <w:r>
              <w:t xml:space="preserve">zdůrazňuje, že je důležité využívat srovnávací přehled sociálních ukazatelů a rámec sociální konvergence k identifikaci rizik a sledování pokroku při snižování nerovností, posilování systémů sociální ochrany a prosazování důstojných pracovních podmínek a podpůrných opatření, která pracovníkům umožní zvládnout změny na trhu práce; v této souvislosti zdůrazňuje, že je nezbytné zajistit udržitelnou, sociálně spravedlivou a inkluzivní Evropu </w:t>
            </w:r>
            <w:r>
              <w:rPr>
                <w:b/>
                <w:i/>
              </w:rPr>
              <w:t>pro Evropany</w:t>
            </w:r>
            <w:r>
              <w:t xml:space="preserve">, v níž budou sociální práva plně chráněna a zaručena; připomíná, že občané EU považují sociální Evropu </w:t>
            </w:r>
            <w:r>
              <w:rPr>
                <w:b/>
                <w:i/>
              </w:rPr>
              <w:t>pro Evropany</w:t>
            </w:r>
            <w:r>
              <w:t xml:space="preserve"> za jednu ze svých priorit;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naléhavě vyzývá členské státy, aby podporovaly demokracii na pracovišti, sociální dialog a kolektivní vyjednávání a ochranu práv</w:t>
            </w:r>
            <w:r>
              <w:t xml:space="preserve"> pracovníků, zejména v souvislosti s ekologickou </w:t>
            </w:r>
            <w:r>
              <w:rPr>
                <w:b/>
                <w:i/>
              </w:rPr>
              <w:t>a digitální</w:t>
            </w:r>
            <w:r>
              <w:t xml:space="preserve"> transformací, a aby </w:t>
            </w:r>
            <w:r>
              <w:rPr>
                <w:b/>
                <w:i/>
              </w:rPr>
              <w:t>mužům i ženám zajistily</w:t>
            </w:r>
            <w:r>
              <w:t xml:space="preserve"> stejnou odměnu za stejnou práci</w:t>
            </w:r>
            <w:r>
              <w:rPr>
                <w:b/>
                <w:i/>
              </w:rPr>
              <w:t>, zvýšily transparentnost odměňování a řešily genderovou nerovnost s cílem odstranit rozdíly v odměňování žen a mužů v EU</w:t>
            </w:r>
            <w:r>
              <w:t>;</w:t>
            </w:r>
          </w:p>
        </w:tc>
        <w:tc>
          <w:tcPr>
            <w:tcW w:w="4876" w:type="dxa"/>
            <w:tcBorders>
              <w:top w:val="nil"/>
              <w:left w:val="nil"/>
              <w:bottom w:val="nil"/>
              <w:right w:val="nil"/>
            </w:tcBorders>
          </w:tcPr>
          <w:p>
            <w:pPr>
              <w:pStyle w:val="Normal6a"/>
            </w:pPr>
            <w:r>
              <w:t>4.</w:t>
            </w:r>
            <w:r>
              <w:tab/>
            </w:r>
            <w:r>
              <w:rPr>
                <w:b/>
                <w:i/>
              </w:rPr>
              <w:t>doporučuje členským státům, aby chránily práva</w:t>
            </w:r>
            <w:r>
              <w:t xml:space="preserve"> pracovníků, zejména v souvislosti s </w:t>
            </w:r>
            <w:r>
              <w:rPr>
                <w:b/>
                <w:i/>
              </w:rPr>
              <w:t>digitální a</w:t>
            </w:r>
            <w:r>
              <w:t xml:space="preserve"> ekologickou transformací, a aby </w:t>
            </w:r>
            <w:r>
              <w:rPr>
                <w:b/>
                <w:i/>
              </w:rPr>
              <w:t>prosazovaly</w:t>
            </w:r>
            <w:r>
              <w:t xml:space="preserve"> stejnou odměnu </w:t>
            </w:r>
            <w:r>
              <w:rPr>
                <w:b/>
                <w:i/>
              </w:rPr>
              <w:t>žen a mužů</w:t>
            </w:r>
            <w:r>
              <w:t xml:space="preserve"> za stejnou práci;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naléhavě vyzývá členské státy, aby podporovaly demokracii na pracovišti, sociální dialog a kolektivní vyjednávání a ochranu práv pracovníků, zejména v souvislosti s ekologickou a digitální transformací, a aby mužům i ženám zajistily stejnou odměnu za stejnou práci, zvýšily transparentnost odměňování a řešily genderovou nerovnost s cílem odstranit rozdíly v odměňování žen a mužů v EU;</w:t>
            </w:r>
          </w:p>
        </w:tc>
        <w:tc>
          <w:tcPr>
            <w:tcW w:w="4876" w:type="dxa"/>
            <w:tcBorders>
              <w:top w:val="nil"/>
              <w:left w:val="nil"/>
              <w:bottom w:val="nil"/>
              <w:right w:val="nil"/>
            </w:tcBorders>
          </w:tcPr>
          <w:p>
            <w:pPr>
              <w:pStyle w:val="Normal6a"/>
            </w:pPr>
            <w:r>
              <w:t>4.</w:t>
            </w:r>
            <w:r>
              <w:tab/>
            </w:r>
            <w:r>
              <w:t xml:space="preserve">naléhavě vyzývá </w:t>
            </w:r>
            <w:r>
              <w:rPr>
                <w:b/>
                <w:i/>
              </w:rPr>
              <w:t>Komisi a</w:t>
            </w:r>
            <w:r>
              <w:t xml:space="preserve"> členské státy, aby podporovaly demokracii na pracovišti, sociální dialog a kolektivní vyjednávání a ochranu práv pracovníků, zejména v souvislosti s ekologickou a digitální transformací, a aby mužům i ženám zajistily stejnou odměnu za stejnou práci, zvýšily transparentnost odměňování a řešily genderovou nerovnost s cílem odstranit rozdíly v odměňování žen a mužů v EU; </w:t>
            </w:r>
            <w:r>
              <w:rPr>
                <w:b/>
                <w:i/>
              </w:rPr>
              <w:t>zdůrazňuje, že je třeba v příštím VFR vyčlenit dostatečné zdroje na podporu sociálního dialogu a kolektivního vyjednávání a posílit budování kapacit sociálních partnerů;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naléhavě</w:t>
            </w:r>
            <w:r>
              <w:t xml:space="preserve"> vyzývá členské státy, aby podporovaly demokracii </w:t>
            </w:r>
            <w:r>
              <w:rPr>
                <w:b/>
                <w:i/>
              </w:rPr>
              <w:t>na pracovišti</w:t>
            </w:r>
            <w:r>
              <w:t>, sociální dialog a kolektivní vyjednávání a ochranu práv pracovníků, zejména v souvislosti s ekologickou a digitální transformací, a aby mužům i ženám zajistily stejnou odměnu za stejnou práci, zvýšily transparentnost odměňování a řešily genderovou nerovnost s cílem odstranit rozdíly v odměňování žen a mužů v EU;</w:t>
            </w:r>
          </w:p>
        </w:tc>
        <w:tc>
          <w:tcPr>
            <w:tcW w:w="4876" w:type="dxa"/>
            <w:tcBorders>
              <w:top w:val="nil"/>
              <w:left w:val="nil"/>
              <w:bottom w:val="nil"/>
              <w:right w:val="nil"/>
            </w:tcBorders>
          </w:tcPr>
          <w:p>
            <w:pPr>
              <w:pStyle w:val="Normal6a"/>
            </w:pPr>
            <w:r>
              <w:t>4.</w:t>
            </w:r>
            <w:r>
              <w:tab/>
            </w:r>
            <w:r>
              <w:t>vyzývá členské státy, aby podporovaly demokracii, sociální dialog a kolektivní vyjednávání a ochranu práv pracovníků, zejména v souvislosti s ekologickou a digitální transformací, a aby mužům i ženám zajistily stejnou odměnu za stejnou práci, zvýšily transparentnost odměňování</w:t>
            </w:r>
            <w:r>
              <w:rPr>
                <w:b/>
                <w:i/>
              </w:rPr>
              <w:t>, podporovaly začleňování osob se zdravotním postižením na trh práce a jejích přístup k vyhovujícímu bydlení</w:t>
            </w:r>
            <w:r>
              <w:t xml:space="preserve"> a řešily genderovou nerovnost s cílem odstranit rozdíly v odměňování žen a mužů v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naléhavě vyzývá členské státy, aby podporovaly demokracii na pracovišti, sociální dialog a </w:t>
            </w:r>
            <w:r>
              <w:rPr>
                <w:b/>
                <w:i/>
              </w:rPr>
              <w:t>kolektivní vyjednávání a</w:t>
            </w:r>
            <w:r>
              <w:t xml:space="preserve"> ochranu práv pracovníků</w:t>
            </w:r>
            <w:r>
              <w:rPr>
                <w:b/>
                <w:i/>
              </w:rPr>
              <w:t>, zejména v souvislosti s ekologickou a digitální transformací</w:t>
            </w:r>
            <w:r>
              <w:t>, a aby mužům i ženám zajistily stejnou odměnu za stejnou práci, zvýšily transparentnost odměňování a řešily genderovou nerovnost s cílem odstranit rozdíly v odměňování žen a mužů v EU;</w:t>
            </w:r>
          </w:p>
        </w:tc>
        <w:tc>
          <w:tcPr>
            <w:tcW w:w="4876" w:type="dxa"/>
            <w:tcBorders>
              <w:top w:val="nil"/>
              <w:left w:val="nil"/>
              <w:bottom w:val="nil"/>
              <w:right w:val="nil"/>
            </w:tcBorders>
          </w:tcPr>
          <w:p>
            <w:pPr>
              <w:pStyle w:val="Normal6a"/>
            </w:pPr>
            <w:r>
              <w:t>4.</w:t>
            </w:r>
            <w:r>
              <w:tab/>
            </w:r>
            <w:r>
              <w:t>naléhavě vyzývá členské státy, aby podporovaly demokracii na pracovišti, sociální dialog a ochranu práv pracovníků, a aby mužům i ženám zajistily stejnou odměnu za stejnou práci, zvýšily transparentnost odměňování a řešily genderovou nerovnost s cílem odstranit rozdíly v odměňování žen a mužů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naléhavě vyzývá členské státy, aby podporovaly demokracii na pracovišti, sociální dialog a kolektivní vyjednávání a ochranu práv pracovníků, zejména v souvislosti s ekologickou a digitální transformací, a aby mužům i ženám zajistily stejnou odměnu za stejnou práci, zvýšily transparentnost odměňování a řešily genderovou nerovnost s cílem odstranit rozdíly v odměňování žen a mužů v EU;</w:t>
            </w:r>
          </w:p>
        </w:tc>
        <w:tc>
          <w:tcPr>
            <w:tcW w:w="4876" w:type="dxa"/>
            <w:tcBorders>
              <w:top w:val="nil"/>
              <w:left w:val="nil"/>
              <w:bottom w:val="nil"/>
              <w:right w:val="nil"/>
            </w:tcBorders>
          </w:tcPr>
          <w:p>
            <w:pPr>
              <w:pStyle w:val="Normal6a"/>
            </w:pPr>
            <w:r>
              <w:t>4.</w:t>
            </w:r>
            <w:r>
              <w:tab/>
            </w:r>
            <w:r>
              <w:t>naléhavě vyzývá členské státy, aby podporovaly demokracii na pracovišti, sociální dialog a kolektivní vyjednávání a ochranu práv pracovníků, zejména v souvislosti s ekologickou a digitální transformací, a aby mužům i ženám zajistily stejnou odměnu za stejnou práci, zvýšily transparentnost odměňování a řešily genderovou nerovnost s cílem odstranit rozdíly v odměňování</w:t>
            </w:r>
            <w:r>
              <w:rPr>
                <w:b/>
                <w:i/>
              </w:rPr>
              <w:t>, důchodech a zaměstnanosti</w:t>
            </w:r>
            <w:r>
              <w:t xml:space="preserve"> žen a mužů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vyzývá ke zvýšení mezd s cílem zajistit, aby zaručily důstojnou životní úroveň, a podpořit vzestupnou konvergenci mezd, mimo jiné podporou kolektivního vyjednávání a důsledným prováděním směrnice (EU) 2022/2041 o přiměřených minimálních mzdách v Evropské unii;</w:t>
            </w:r>
            <w:r>
              <w:t xml:space="preserve"> </w:t>
            </w:r>
            <w:r>
              <w:rPr>
                <w:b/>
                <w:i/>
              </w:rPr>
              <w:t>dále opakuje, že je důležité zajistit vyplácení přiměřených důstojných mezd v rámci globálních dodavatelských řetězců, a vyzývá v tomto ohledu k odpovědnosti nadnárodních společností, mimo jiné prostřednictvím závazných právních předpisů v oblasti náležité péče, které prosazují spravedlivé mzdové postupy mimo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vyzývá k zintenzivnění úsilí v boji proti diskriminaci </w:t>
            </w:r>
            <w:r>
              <w:rPr>
                <w:b/>
                <w:i/>
              </w:rPr>
              <w:t>a</w:t>
            </w:r>
            <w:r>
              <w:t xml:space="preserve"> obtěžování </w:t>
            </w:r>
            <w:r>
              <w:rPr>
                <w:b/>
                <w:i/>
              </w:rPr>
              <w:t>ve světě</w:t>
            </w:r>
            <w:r>
              <w:t xml:space="preserve"> práce;</w:t>
            </w:r>
          </w:p>
        </w:tc>
        <w:tc>
          <w:tcPr>
            <w:tcW w:w="4876" w:type="dxa"/>
            <w:tcBorders>
              <w:top w:val="nil"/>
              <w:left w:val="nil"/>
              <w:bottom w:val="nil"/>
              <w:right w:val="nil"/>
            </w:tcBorders>
          </w:tcPr>
          <w:p>
            <w:pPr>
              <w:pStyle w:val="Normal6a"/>
            </w:pPr>
            <w:r>
              <w:t>5.</w:t>
            </w:r>
            <w:r>
              <w:tab/>
            </w:r>
            <w:r>
              <w:t xml:space="preserve">vyzývá k zintenzivnění úsilí v boji proti </w:t>
            </w:r>
            <w:r>
              <w:rPr>
                <w:b/>
                <w:i/>
              </w:rPr>
              <w:t>násilí,</w:t>
            </w:r>
            <w:r>
              <w:t xml:space="preserve"> diskriminaci </w:t>
            </w:r>
            <w:r>
              <w:rPr>
                <w:b/>
                <w:i/>
              </w:rPr>
              <w:t>nebo</w:t>
            </w:r>
            <w:r>
              <w:t xml:space="preserve"> obtěžování </w:t>
            </w:r>
            <w:r>
              <w:rPr>
                <w:b/>
                <w:i/>
              </w:rPr>
              <w:t>na trhu</w:t>
            </w:r>
            <w:r>
              <w:t xml:space="preserve"> práce</w:t>
            </w:r>
            <w:r>
              <w:rPr>
                <w:b/>
                <w:i/>
              </w:rPr>
              <w:t>, a to i v digitálním prostředí</w:t>
            </w:r>
            <w:r>
              <w:t xml:space="preserve">; </w:t>
            </w:r>
            <w:r>
              <w:rPr>
                <w:b/>
                <w:i/>
              </w:rPr>
              <w:t>zdůrazňuje význam preventivních a ochranných opatření na pracovišti pro ochranu dobrých životních podmínek a fyzického a duševního zdraví pracovníků;</w:t>
            </w:r>
            <w:r>
              <w:t xml:space="preserve"> </w:t>
            </w:r>
            <w:r>
              <w:rPr>
                <w:b/>
                <w:i/>
              </w:rPr>
              <w:t>bere na vědomí nárůst psychických potíží souvisejících s prací, včetně vyhoření, úzkosti a posttraumatického stresu, v souvislosti s novými formami organizace práce, neustálým připojením a digitálním dohledem;</w:t>
            </w:r>
            <w:r>
              <w:t xml:space="preserve"> </w:t>
            </w:r>
            <w:r>
              <w:rPr>
                <w:b/>
                <w:i/>
              </w:rPr>
              <w:t>vyzývá Komisi, aby chránila duševní zdraví pracovníků, a opakuje, že je naléhavě zapotřebí legislativní iniciativa, která by zabránila psychosociálním rizikům při 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připomíná úlohu příslušných evropských fondů, jako je ESF+, Sociální fond pro klimatická opatření a Nástroj pro oživení a odolnost, v boji proti chudobě a sociálnímu vyloučení a naléhavě vyzývá členské státy, aby s podporou Komise plně využily svého potenciálu v tomto ohledu;</w:t>
            </w:r>
            <w:r>
              <w:t xml:space="preserve"> </w:t>
            </w:r>
            <w:r>
              <w:rPr>
                <w:b/>
                <w:i/>
              </w:rPr>
              <w:t>zdůrazňuje, že v příštím VFR jsou zapotřebí robustní samostatné nástroje pro boj proti chudobě a sociálnímu vyloučení;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vyzývá Komisi a členské státy, aby začleňovaly hledisko rovnosti žen a mužů do všech oblastí politiky a právních předpisů;</w:t>
            </w:r>
            <w:r>
              <w:t xml:space="preserve"> </w:t>
            </w:r>
            <w:r>
              <w:rPr>
                <w:b/>
                <w:i/>
              </w:rPr>
              <w:t>připomíná, že bez rovného zacházení nebude nikdy skutečně dosaženo sociálního začlenění a spravedlnosti;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dále připomíná úlohu Evropské unie v sociálním rozvoji třetích zemí, mimo jiné prostřednictvím fondů, jako je Globální Evropa;</w:t>
            </w:r>
            <w:r>
              <w:t xml:space="preserve"> </w:t>
            </w:r>
            <w:r>
              <w:rPr>
                <w:b/>
                <w:i/>
              </w:rPr>
              <w:t>vyjadřuje hluboké politování nad tím, že řada zemí stáhla finanční prostředky na rozvoj, včetně sociálního rozvoje, což má ničivý dopad na životy a živobytí lidí;</w:t>
            </w:r>
            <w:r>
              <w:t xml:space="preserve"> </w:t>
            </w:r>
            <w:r>
              <w:rPr>
                <w:b/>
                <w:i/>
              </w:rPr>
              <w:t>naléhavě vyzývá Evropskou unii, aby ve stávajícím i příštím VFR pokračovala ve svém pevném odhodlání podporovat sociální rozvoj v zámoří s cílem zajistit stabilitu a stabilní financování a aby spolupracovala se všemi příslušnými aktéry s cílem zajistit trvalý závazek k plnění cílů sociálního rozvoje v celosvětovém měřítku;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vyzývá k celostnímu pohledu na sociální ochranu a začleňování a k tomu, aby byla v příštím víceletém finančním rámci (VFR) navržena ambiciózní strategie doprovázená dostatečnou podporou, která by vycházela z připravované parlamentní zprávy z vlastního podnětu o strategii EU pro boj proti chudobě, a také k ambicióznímu plánu cenově dostupného bydlení s cílem řešit krizi v oblasti bydlení a bojovat proti bezdomovectví;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k celostnímu pohledu na sociální ochranu a </w:t>
            </w:r>
            <w:r>
              <w:rPr>
                <w:b/>
                <w:i/>
              </w:rPr>
              <w:t>začleňování</w:t>
            </w:r>
            <w:r>
              <w:t xml:space="preserve"> a k tomu, aby byla v příštím víceletém finančním rámci (VFR) navržena ambiciózní strategie doprovázená dostatečnou podporou, která by vycházela z připravované parlamentní zprávy z vlastního podnětu o strategii EU pro boj proti chudobě, a také k ambicióznímu plánu cenově dostupného bydlení s cílem řešit krizi v oblasti bydlení a bojovat proti bezdomovectví;</w:t>
            </w:r>
          </w:p>
        </w:tc>
        <w:tc>
          <w:tcPr>
            <w:tcW w:w="4876" w:type="dxa"/>
            <w:tcBorders>
              <w:top w:val="nil"/>
              <w:left w:val="nil"/>
              <w:bottom w:val="nil"/>
              <w:right w:val="nil"/>
            </w:tcBorders>
          </w:tcPr>
          <w:p>
            <w:pPr>
              <w:pStyle w:val="Normal6a"/>
            </w:pPr>
            <w:r>
              <w:t>6.</w:t>
            </w:r>
            <w:r>
              <w:tab/>
            </w:r>
            <w:r>
              <w:t xml:space="preserve">vyzývá k celostnímu pohledu na </w:t>
            </w:r>
            <w:r>
              <w:rPr>
                <w:b/>
                <w:i/>
              </w:rPr>
              <w:t>vymýcení chudoby,</w:t>
            </w:r>
            <w:r>
              <w:t xml:space="preserve"> sociální ochranu a </w:t>
            </w:r>
            <w:r>
              <w:rPr>
                <w:b/>
                <w:i/>
              </w:rPr>
              <w:t>začlenění</w:t>
            </w:r>
            <w:r>
              <w:t xml:space="preserve"> a k tomu, aby byla v příštím víceletém finančním rámci (VFR) navržena ambiciózní strategie doprovázená dostatečnou podporou, která by vycházela z připravované parlamentní zprávy z vlastního podnětu o strategii EU pro boj proti chudobě, a také k ambicióznímu plánu cenově dostupného bydlení s cílem řešit krizi v oblasti bydlení a bojovat proti bezdomovectví; </w:t>
            </w:r>
            <w:r>
              <w:rPr>
                <w:b/>
                <w:i/>
              </w:rPr>
              <w:t>zdůrazňuje, že tyto nové iniciativy musí doplňovat další související strategie EU, jako je plán pro práva žen, strategie pro práva osob se zdravotním postižením a záruka pro děti, aby byl zajištěn meziodvětvový přístup k vícerozměrné povaze chudoby;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k </w:t>
            </w:r>
            <w:r>
              <w:rPr>
                <w:b/>
                <w:i/>
              </w:rPr>
              <w:t>celostnímu pohledu na</w:t>
            </w:r>
            <w:r>
              <w:t xml:space="preserve"> sociální </w:t>
            </w:r>
            <w:r>
              <w:rPr>
                <w:b/>
                <w:i/>
              </w:rPr>
              <w:t>ochranu</w:t>
            </w:r>
            <w:r>
              <w:t xml:space="preserve"> a začleňování a k tomu, aby byla v příštím víceletém finančním rámci (VFR) navržena ambiciózní strategie doprovázená dostatečnou podporou, která </w:t>
            </w:r>
            <w:r>
              <w:rPr>
                <w:b/>
                <w:i/>
              </w:rPr>
              <w:t>by vycházela z připravované parlamentní zprávy z vlastního podnětu o strategii EU pro boj proti chudobě, a také k ambicióznímu plánu</w:t>
            </w:r>
            <w:r>
              <w:t xml:space="preserve"> cenově dostupného bydlení </w:t>
            </w:r>
            <w:r>
              <w:rPr>
                <w:b/>
                <w:i/>
              </w:rPr>
              <w:t>s cílem řešit krizi v oblasti bydlení a bojovat proti bezdomovectví</w:t>
            </w:r>
            <w:r>
              <w:t>;</w:t>
            </w:r>
          </w:p>
        </w:tc>
        <w:tc>
          <w:tcPr>
            <w:tcW w:w="4876" w:type="dxa"/>
            <w:tcBorders>
              <w:top w:val="nil"/>
              <w:left w:val="nil"/>
              <w:bottom w:val="nil"/>
              <w:right w:val="nil"/>
            </w:tcBorders>
          </w:tcPr>
          <w:p>
            <w:pPr>
              <w:pStyle w:val="Normal6a"/>
            </w:pPr>
            <w:r>
              <w:t>6.</w:t>
            </w:r>
            <w:r>
              <w:tab/>
            </w:r>
            <w:r>
              <w:t xml:space="preserve">vyzývá k sociální </w:t>
            </w:r>
            <w:r>
              <w:rPr>
                <w:b/>
                <w:i/>
              </w:rPr>
              <w:t>ochraně</w:t>
            </w:r>
            <w:r>
              <w:t xml:space="preserve"> a začleňování a k tomu, aby byla v příštím víceletém finančním rámci (VFR) navržena ambiciózní strategie doprovázená dostatečnou podporou, která </w:t>
            </w:r>
            <w:r>
              <w:rPr>
                <w:b/>
                <w:i/>
              </w:rPr>
              <w:t>zajistí, aby sociální investice byly na stejné úrovni jako investice do obrany nebo konkurenceschopnosti;</w:t>
            </w:r>
            <w:r>
              <w:t xml:space="preserve"> </w:t>
            </w:r>
            <w:r>
              <w:rPr>
                <w:b/>
                <w:i/>
              </w:rPr>
              <w:t>připomíná, že již v roce 2020 Komise odhadla, že k uspokojení potřeb občanů chybí ročně sociální investice</w:t>
            </w:r>
            <w:r>
              <w:rPr>
                <w:b/>
                <w:i/>
                <w:vertAlign w:val="superscript"/>
              </w:rPr>
              <w:t>5a</w:t>
            </w:r>
            <w:r>
              <w:t xml:space="preserve"> </w:t>
            </w:r>
            <w:r>
              <w:rPr>
                <w:b/>
                <w:i/>
              </w:rPr>
              <w:t>v hodnotě 192 miliard EUR: 120 miliard EUR v oblasti zdraví, 57 miliard EUR v oblasti</w:t>
            </w:r>
            <w:r>
              <w:t xml:space="preserve"> cenově dostupného bydlení </w:t>
            </w:r>
            <w:r>
              <w:rPr>
                <w:b/>
                <w:i/>
              </w:rPr>
              <w:t>a 15 miliard EUR ve vzdělávání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https://eur-lex.europa.eu/legal-content/EN/TXT/PDF/?uri=CELEX:52020SC0098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připomíná, že výše dávek zaručujících minimální příjem je většinou výrazně pod vnitrostátními prahy chudoby;</w:t>
            </w:r>
            <w:r>
              <w:t xml:space="preserve"> </w:t>
            </w:r>
            <w:r>
              <w:rPr>
                <w:b/>
                <w:i/>
              </w:rPr>
              <w:t>naléhavě vyzývá členské státy, aby plně provedly doporučení Rady o přiměřeném minimálním příjmu;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zdůrazňuje, že rámcová směrnice EU o přiměřeném minimálním příjmu a aktivním začleňování v souladu se zásadou subsidiarity by přispěla k cílům snížení chudoby a sociálního vyloučení a k podpoře integrace osob, které nejsou na trhu práce přítomny;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naléhavě vyzývá všechny členské státy</w:t>
            </w:r>
            <w:r>
              <w:t>, aby vyvinuly další úsilí o řešení dětské chudoby prováděním svého národního akčního plánu pro evropskou záruku pro děti</w:t>
            </w:r>
            <w:r>
              <w:rPr>
                <w:b/>
                <w:i/>
              </w:rPr>
              <w:t>, a žádá, aby byl pro tuto záruku v příštím VFR vyčleněn rozpočet s dostatečnými zdroji</w:t>
            </w:r>
            <w:r>
              <w:t>;</w:t>
            </w:r>
          </w:p>
        </w:tc>
        <w:tc>
          <w:tcPr>
            <w:tcW w:w="4876" w:type="dxa"/>
            <w:tcBorders>
              <w:top w:val="nil"/>
              <w:left w:val="nil"/>
              <w:bottom w:val="nil"/>
              <w:right w:val="nil"/>
            </w:tcBorders>
          </w:tcPr>
          <w:p>
            <w:pPr>
              <w:pStyle w:val="Normal6a"/>
            </w:pPr>
            <w:r>
              <w:t>7.</w:t>
            </w:r>
            <w:r>
              <w:tab/>
            </w:r>
            <w:r>
              <w:rPr>
                <w:b/>
                <w:i/>
              </w:rPr>
              <w:t>doporučuje členským státům</w:t>
            </w:r>
            <w:r>
              <w:t>, aby vyvinuly další úsilí o řešení dětské chudoby prováděním svého národního akčního plánu pro evropskou záruku pro děti;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naléhavě vyzývá všechny členské státy, aby vyvinuly další úsilí o řešení dětské chudoby prováděním svého národního akčního plánu pro evropskou záruku pro děti, a </w:t>
            </w:r>
            <w:r>
              <w:rPr>
                <w:b/>
                <w:i/>
              </w:rPr>
              <w:t>žádá, aby byl pro tuto záruku</w:t>
            </w:r>
            <w:r>
              <w:t xml:space="preserve"> v příštím VFR </w:t>
            </w:r>
            <w:r>
              <w:rPr>
                <w:b/>
                <w:i/>
              </w:rPr>
              <w:t>vyčleněn</w:t>
            </w:r>
            <w:r>
              <w:t xml:space="preserve"> rozpočet </w:t>
            </w:r>
            <w:r>
              <w:rPr>
                <w:b/>
                <w:i/>
              </w:rPr>
              <w:t>s dostatečnými zdroji</w:t>
            </w:r>
            <w:r>
              <w:t>;</w:t>
            </w:r>
          </w:p>
        </w:tc>
        <w:tc>
          <w:tcPr>
            <w:tcW w:w="4876" w:type="dxa"/>
            <w:tcBorders>
              <w:top w:val="nil"/>
              <w:left w:val="nil"/>
              <w:bottom w:val="nil"/>
              <w:right w:val="nil"/>
            </w:tcBorders>
          </w:tcPr>
          <w:p>
            <w:pPr>
              <w:pStyle w:val="Normal6a"/>
            </w:pPr>
            <w:r>
              <w:t>7.</w:t>
            </w:r>
            <w:r>
              <w:tab/>
            </w:r>
            <w:r>
              <w:t xml:space="preserve">naléhavě vyzývá všechny členské státy, aby vyvinuly další úsilí o řešení dětské chudoby prováděním svého národního akčního plánu pro evropskou záruku pro děti, a </w:t>
            </w:r>
            <w:r>
              <w:rPr>
                <w:b/>
                <w:i/>
              </w:rPr>
              <w:t>vyzývá Komisi, aby</w:t>
            </w:r>
            <w:r>
              <w:t xml:space="preserve"> v příštím VFR </w:t>
            </w:r>
            <w:r>
              <w:rPr>
                <w:b/>
                <w:i/>
              </w:rPr>
              <w:t>zajistila vyčleněný</w:t>
            </w:r>
            <w:r>
              <w:t xml:space="preserve"> rozpočet </w:t>
            </w:r>
            <w:r>
              <w:rPr>
                <w:b/>
                <w:i/>
              </w:rPr>
              <w:t>ve výši nejméně 20 miliard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naléhavě vyzývá všechny členské státy, aby vyvinuly další úsilí o řešení dětské chudoby prováděním svého národního akčního plánu pro evropskou záruku pro děti, a žádá, aby byl pro tuto záruku v příštím VFR vyčleněn rozpočet </w:t>
            </w:r>
            <w:r>
              <w:rPr>
                <w:b/>
                <w:i/>
              </w:rPr>
              <w:t>s dostatečnými zdroji</w:t>
            </w:r>
            <w:r>
              <w:t>;</w:t>
            </w:r>
          </w:p>
        </w:tc>
        <w:tc>
          <w:tcPr>
            <w:tcW w:w="4876" w:type="dxa"/>
            <w:tcBorders>
              <w:top w:val="nil"/>
              <w:left w:val="nil"/>
              <w:bottom w:val="nil"/>
              <w:right w:val="nil"/>
            </w:tcBorders>
          </w:tcPr>
          <w:p>
            <w:pPr>
              <w:pStyle w:val="Normal6a"/>
            </w:pPr>
            <w:r>
              <w:t>7.</w:t>
            </w:r>
            <w:r>
              <w:tab/>
            </w:r>
            <w:r>
              <w:t>naléhavě vyzývá všechny členské státy, aby vyvinuly další úsilí o řešení dětské chudoby prováděním svého národního akčního plánu pro evropskou záruku pro děti, a žádá, aby byl pro tuto záruku v příštím VFR vyčleněn rozpočet </w:t>
            </w:r>
            <w:r>
              <w:rPr>
                <w:b/>
                <w:i/>
              </w:rPr>
              <w:t>ve výši nejméně 20 miliard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naléhavě vyzývá všechny členské státy, aby vyvinuly další úsilí o řešení dětské chudoby prováděním svého národního akčního plánu pro evropskou záruku pro děti, a žádá, aby byl pro tuto záruku v příštím VFR vyčleněn rozpočet </w:t>
            </w:r>
            <w:r>
              <w:rPr>
                <w:b/>
                <w:i/>
              </w:rPr>
              <w:t>s dostatečnými zdroji</w:t>
            </w:r>
            <w:r>
              <w:t>;</w:t>
            </w:r>
          </w:p>
        </w:tc>
        <w:tc>
          <w:tcPr>
            <w:tcW w:w="4876" w:type="dxa"/>
            <w:tcBorders>
              <w:top w:val="nil"/>
              <w:left w:val="nil"/>
              <w:bottom w:val="nil"/>
              <w:right w:val="nil"/>
            </w:tcBorders>
          </w:tcPr>
          <w:p>
            <w:pPr>
              <w:pStyle w:val="Normal6a"/>
            </w:pPr>
            <w:r>
              <w:t>7.</w:t>
            </w:r>
            <w:r>
              <w:tab/>
            </w:r>
            <w:r>
              <w:t>naléhavě vyzývá všechny členské státy, aby vyvinuly další úsilí o řešení dětské chudoby prováděním svého národního akčního plánu pro evropskou záruku pro děti, a žádá, aby byl pro tuto záruku v příštím VFR vyčleněn rozpočet </w:t>
            </w:r>
            <w:r>
              <w:rPr>
                <w:b/>
                <w:i/>
              </w:rPr>
              <w:t>ve výši 20 miliard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naléhavě vyzývá všechny členské státy, aby vyvinuly další úsilí o řešení dětské chudoby prováděním svého národního akčního plánu pro evropskou záruku pro děti, a žádá, aby </w:t>
            </w:r>
            <w:r>
              <w:rPr>
                <w:b/>
                <w:i/>
              </w:rPr>
              <w:t>byl pro tuto záruku</w:t>
            </w:r>
            <w:r>
              <w:t xml:space="preserve"> v příštím VFR </w:t>
            </w:r>
            <w:r>
              <w:rPr>
                <w:b/>
                <w:i/>
              </w:rPr>
              <w:t>vyčleněn rozpočet s dostatečnými zdroji</w:t>
            </w:r>
            <w:r>
              <w:t>;</w:t>
            </w:r>
          </w:p>
        </w:tc>
        <w:tc>
          <w:tcPr>
            <w:tcW w:w="4876" w:type="dxa"/>
            <w:tcBorders>
              <w:top w:val="nil"/>
              <w:left w:val="nil"/>
              <w:bottom w:val="nil"/>
              <w:right w:val="nil"/>
            </w:tcBorders>
          </w:tcPr>
          <w:p>
            <w:pPr>
              <w:pStyle w:val="Normal6a"/>
            </w:pPr>
            <w:r>
              <w:t>7.</w:t>
            </w:r>
            <w:r>
              <w:tab/>
            </w:r>
            <w:r>
              <w:t xml:space="preserve">naléhavě vyzývá všechny členské státy, aby vyvinuly další úsilí o řešení dětské chudoby prováděním svého národního akčního plánu pro evropskou záruku pro děti, a žádá, aby </w:t>
            </w:r>
            <w:r>
              <w:rPr>
                <w:b/>
                <w:i/>
              </w:rPr>
              <w:t>měla</w:t>
            </w:r>
            <w:r>
              <w:t xml:space="preserve"> v příštím VFR </w:t>
            </w:r>
            <w:r>
              <w:rPr>
                <w:b/>
                <w:i/>
              </w:rPr>
              <w:t>dostatečné zdroje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vyzývá Komisi a členské státy, aby plně provedly Evropskou strategii v oblasti péče, která zajistí kvalitní, cenově dostupné a přístupné pečovatelské služby v celé EU;</w:t>
            </w:r>
            <w:r>
              <w:t xml:space="preserve"> </w:t>
            </w:r>
            <w:r>
              <w:rPr>
                <w:b/>
                <w:i/>
              </w:rPr>
              <w:t>zdůrazňuje, že je třeba uznat péči jako sociální a hospodářskou investici v souladu se zásadou 18 evropského pilíře sociálních práv;</w:t>
            </w:r>
            <w:r>
              <w:t xml:space="preserve"> </w:t>
            </w:r>
            <w:r>
              <w:rPr>
                <w:b/>
                <w:i/>
              </w:rPr>
              <w:t>naléhavě vyzývá k vypracování závazných opatření na úrovni EU i na celosvětové úrovni s cílem uznat péči jako společný statek, zlepšit pracovní podmínky v odvětví péče, prosazovat rovnost žen a mužů a zajistit přístupné, cenově dostupné a kvalitní pečovatelské služby pro všechny;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že je třeba dále řešit dopady </w:t>
            </w:r>
            <w:r>
              <w:rPr>
                <w:b/>
                <w:i/>
              </w:rPr>
              <w:t>dvojí</w:t>
            </w:r>
            <w:r>
              <w:t xml:space="preserve"> transformace </w:t>
            </w:r>
            <w:r>
              <w:rPr>
                <w:b/>
                <w:i/>
              </w:rPr>
              <w:t>– ekologické a digitální –</w:t>
            </w:r>
            <w:r>
              <w:t xml:space="preserve"> na svět práce posílením zásady „lidské kontroly“ </w:t>
            </w:r>
            <w:r>
              <w:rPr>
                <w:b/>
                <w:i/>
              </w:rPr>
              <w:t>nad umělou inteligencí prostřednictvím nové právní iniciativy v oblasti umělé inteligence na pracovišti a algoritmického řízení</w:t>
            </w:r>
            <w:r>
              <w:t xml:space="preserve">; vyzdvihuje potřebu vytvářet udržitelná kvalitní pracovní místa </w:t>
            </w:r>
            <w:r>
              <w:rPr>
                <w:b/>
                <w:i/>
              </w:rPr>
              <w:t>a zároveň posilovat právní rámec pro řízení a předvídání příslušné transformace a současně podporovat úlohu a účast sociálních partnerů a začlenění na trhu práce</w:t>
            </w:r>
            <w:r>
              <w:t>;</w:t>
            </w:r>
          </w:p>
        </w:tc>
        <w:tc>
          <w:tcPr>
            <w:tcW w:w="4876" w:type="dxa"/>
            <w:tcBorders>
              <w:top w:val="nil"/>
              <w:left w:val="nil"/>
              <w:bottom w:val="nil"/>
              <w:right w:val="nil"/>
            </w:tcBorders>
          </w:tcPr>
          <w:p>
            <w:pPr>
              <w:pStyle w:val="Normal6a"/>
            </w:pPr>
            <w:r>
              <w:t>8.</w:t>
            </w:r>
            <w:r>
              <w:tab/>
            </w:r>
            <w:r>
              <w:t xml:space="preserve">zdůrazňuje, že je třeba dále řešit dopady </w:t>
            </w:r>
            <w:r>
              <w:rPr>
                <w:b/>
                <w:i/>
              </w:rPr>
              <w:t>digitální a ekologiické</w:t>
            </w:r>
            <w:r>
              <w:t xml:space="preserve"> transformace na svět práce posílením zásady „lidské kontroly“; vyzdvihuje potřebu vytvářet udržitelná kvalitní pracovní místa;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že je třeba </w:t>
            </w:r>
            <w:r>
              <w:rPr>
                <w:b/>
                <w:i/>
              </w:rPr>
              <w:t>dále řešit dopady dvojí transformace – ekologické a digitální – na svět práce posílením zásady</w:t>
            </w:r>
            <w:r>
              <w:t xml:space="preserve"> „lidské kontroly“ </w:t>
            </w:r>
            <w:r>
              <w:rPr>
                <w:b/>
                <w:i/>
              </w:rPr>
              <w:t>nad umělou inteligencí prostřednictvím</w:t>
            </w:r>
            <w:r>
              <w:t xml:space="preserve"> nové právní </w:t>
            </w:r>
            <w:r>
              <w:rPr>
                <w:b/>
                <w:i/>
              </w:rPr>
              <w:t>iniciativy</w:t>
            </w:r>
            <w:r>
              <w:t xml:space="preserve"> v oblasti umělé inteligence </w:t>
            </w:r>
            <w:r>
              <w:rPr>
                <w:b/>
                <w:i/>
              </w:rPr>
              <w:t>na pracovišti</w:t>
            </w:r>
            <w:r>
              <w:t xml:space="preserve"> a algoritmického řízení; vyzdvihuje potřebu vytvářet udržitelná kvalitní pracovní místa a </w:t>
            </w:r>
            <w:r>
              <w:rPr>
                <w:b/>
                <w:i/>
              </w:rPr>
              <w:t>zároveň posilovat</w:t>
            </w:r>
            <w:r>
              <w:t xml:space="preserve"> právní rámec pro řízení a předvídání </w:t>
            </w:r>
            <w:r>
              <w:rPr>
                <w:b/>
                <w:i/>
              </w:rPr>
              <w:t>příslušné</w:t>
            </w:r>
            <w:r>
              <w:t xml:space="preserve"> transformace </w:t>
            </w:r>
            <w:r>
              <w:rPr>
                <w:b/>
                <w:i/>
              </w:rPr>
              <w:t>a současně podporovat úlohu a účast</w:t>
            </w:r>
            <w:r>
              <w:t xml:space="preserve"> sociálních partnerů </w:t>
            </w:r>
            <w:r>
              <w:rPr>
                <w:b/>
                <w:i/>
              </w:rPr>
              <w:t>a začlenění na</w:t>
            </w:r>
            <w:r>
              <w:t xml:space="preserve"> trhu práce;</w:t>
            </w:r>
          </w:p>
        </w:tc>
        <w:tc>
          <w:tcPr>
            <w:tcW w:w="4876" w:type="dxa"/>
            <w:tcBorders>
              <w:top w:val="nil"/>
              <w:left w:val="nil"/>
              <w:bottom w:val="nil"/>
              <w:right w:val="nil"/>
            </w:tcBorders>
          </w:tcPr>
          <w:p>
            <w:pPr>
              <w:pStyle w:val="Normal6a"/>
            </w:pPr>
            <w:r>
              <w:t>8.</w:t>
            </w:r>
            <w:r>
              <w:tab/>
            </w:r>
            <w:r>
              <w:rPr>
                <w:b/>
                <w:i/>
              </w:rPr>
              <w:t>vítá nedávné přijetí směrnice o práci prostřednictvím platforem jako zásadní krok k ochraně pracovníků v digitální ekonomice a zajištění spravedlivých podmínek a algoritmické odpovědnosti;</w:t>
            </w:r>
            <w:r>
              <w:t xml:space="preserve"> zdůrazňuje, že je třeba </w:t>
            </w:r>
            <w:r>
              <w:rPr>
                <w:b/>
                <w:i/>
              </w:rPr>
              <w:t>rozšířit stejnou ochranu na pracovníky ve všech odvětvích, jichž se umělá inteligence týká, a zajistit, aby se zásada</w:t>
            </w:r>
            <w:r>
              <w:t xml:space="preserve"> „lidské kontroly“ </w:t>
            </w:r>
            <w:r>
              <w:rPr>
                <w:b/>
                <w:i/>
              </w:rPr>
              <w:t>stala závaznou normou, a opakuje výzvu k</w:t>
            </w:r>
            <w:r>
              <w:t xml:space="preserve"> nové právní </w:t>
            </w:r>
            <w:r>
              <w:rPr>
                <w:b/>
                <w:i/>
              </w:rPr>
              <w:t>iniciativě</w:t>
            </w:r>
            <w:r>
              <w:t xml:space="preserve"> v oblasti umělé inteligence a algoritmického řízení </w:t>
            </w:r>
            <w:r>
              <w:rPr>
                <w:b/>
                <w:i/>
              </w:rPr>
              <w:t>na pracovišti</w:t>
            </w:r>
            <w:r>
              <w:t xml:space="preserve">; vyzdvihuje potřebu vytvářet udržitelná kvalitní pracovní místa a </w:t>
            </w:r>
            <w:r>
              <w:rPr>
                <w:b/>
                <w:i/>
              </w:rPr>
              <w:t>posílit</w:t>
            </w:r>
            <w:r>
              <w:t xml:space="preserve"> právní </w:t>
            </w:r>
            <w:r>
              <w:rPr>
                <w:b/>
                <w:i/>
              </w:rPr>
              <w:t>a finanční</w:t>
            </w:r>
            <w:r>
              <w:t xml:space="preserve"> rámec pro řízení a předvídání transformace</w:t>
            </w:r>
            <w:r>
              <w:rPr>
                <w:b/>
                <w:i/>
              </w:rPr>
              <w:t>, a to i prostřednictvím zvýšených investic z ESF+;</w:t>
            </w:r>
            <w:r>
              <w:t xml:space="preserve"> </w:t>
            </w:r>
            <w:r>
              <w:rPr>
                <w:b/>
                <w:i/>
              </w:rPr>
              <w:t>zdůrazňuje význam kolektivního vyjednávání a zapojení</w:t>
            </w:r>
            <w:r>
              <w:t xml:space="preserve"> sociálních partnerů </w:t>
            </w:r>
            <w:r>
              <w:rPr>
                <w:b/>
                <w:i/>
              </w:rPr>
              <w:t>do navrhování a podpory inkluzivních politik</w:t>
            </w:r>
            <w:r>
              <w:t xml:space="preserve">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že je třeba dále řešit dopady dvojí transformace – ekologické a digitální </w:t>
            </w:r>
            <w:r>
              <w:rPr>
                <w:b/>
                <w:i/>
              </w:rPr>
              <w:t>– na svět</w:t>
            </w:r>
            <w:r>
              <w:t xml:space="preserve"> práce posílením zásady „lidské kontroly“ nad umělou </w:t>
            </w:r>
            <w:r>
              <w:rPr>
                <w:b/>
                <w:i/>
              </w:rPr>
              <w:t>inteligencí</w:t>
            </w:r>
            <w:r>
              <w:t xml:space="preserve"> prostřednictvím nové právní iniciativy v oblasti umělé inteligence na pracovišti a algoritmického řízení; vyzdvihuje potřebu vytvářet udržitelná kvalitní pracovní místa a zároveň posilovat právní rámec pro řízení a předvídání příslušné transformace a současně podporovat úlohu a účast sociálních partnerů a začlenění na trhu práce;</w:t>
            </w:r>
          </w:p>
        </w:tc>
        <w:tc>
          <w:tcPr>
            <w:tcW w:w="4876" w:type="dxa"/>
            <w:tcBorders>
              <w:top w:val="nil"/>
              <w:left w:val="nil"/>
              <w:bottom w:val="nil"/>
              <w:right w:val="nil"/>
            </w:tcBorders>
          </w:tcPr>
          <w:p>
            <w:pPr>
              <w:pStyle w:val="Normal6a"/>
            </w:pPr>
            <w:r>
              <w:t>8.</w:t>
            </w:r>
            <w:r>
              <w:tab/>
            </w:r>
            <w:r>
              <w:t>zdůrazňuje, že je třeba dále řešit dopady dvojí transformace – ekologické a digitální</w:t>
            </w:r>
            <w:r>
              <w:rPr>
                <w:b/>
                <w:i/>
              </w:rPr>
              <w:t>, které se projeví zejména ve světě</w:t>
            </w:r>
            <w:r>
              <w:t xml:space="preserve"> práce</w:t>
            </w:r>
            <w:r>
              <w:rPr>
                <w:b/>
                <w:i/>
              </w:rPr>
              <w:t>,</w:t>
            </w:r>
            <w:r>
              <w:t xml:space="preserve"> posílením zásady „lidské kontroly“ nad umělou </w:t>
            </w:r>
            <w:r>
              <w:rPr>
                <w:b/>
                <w:i/>
              </w:rPr>
              <w:t>inteligence</w:t>
            </w:r>
            <w:r>
              <w:t xml:space="preserve"> prostřednictvím nové právní iniciativy v oblasti umělé inteligence na pracovišti a algoritmického řízení; vyzdvihuje potřebu vytvářet udržitelná kvalitní pracovní místa a zároveň posilovat právní rámec pro řízení a předvídání příslušné transformace a současně podporovat úlohu a účast sociálních partnerů a začlenění na trhu práce; </w:t>
            </w:r>
            <w:r>
              <w:rPr>
                <w:b/>
                <w:i/>
              </w:rPr>
              <w:t>varuje před dopadem umělé inteligence na environmentální odpad, zejména pokud jde o masivní využívání vodních zdrojů, a vyzývá Komisi, aby provedla posouzení dopadů a regulovala systémy umělé inteligence, které nejsou v souladu s cíli ekologické transformace a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že je třeba dále řešit dopady dvojí transformace – ekologické a digitální – na svět práce posílením zásady „lidské kontroly“ nad umělou inteligencí prostřednictvím nové právní iniciativy v oblasti umělé inteligence na pracovišti a algoritmického řízení; vyzdvihuje potřebu vytvářet udržitelná kvalitní pracovní místa a zároveň posilovat právní rámec pro řízení a předvídání příslušné transformace a současně podporovat úlohu a účast sociálních partnerů a začlenění na trhu práce;</w:t>
            </w:r>
          </w:p>
        </w:tc>
        <w:tc>
          <w:tcPr>
            <w:tcW w:w="4876" w:type="dxa"/>
            <w:tcBorders>
              <w:top w:val="nil"/>
              <w:left w:val="nil"/>
              <w:bottom w:val="nil"/>
              <w:right w:val="nil"/>
            </w:tcBorders>
          </w:tcPr>
          <w:p>
            <w:pPr>
              <w:pStyle w:val="Normal6a"/>
            </w:pPr>
            <w:r>
              <w:t>8.</w:t>
            </w:r>
            <w:r>
              <w:tab/>
            </w:r>
            <w:r>
              <w:t xml:space="preserve">zdůrazňuje, že je třeba dále řešit dopady dvojí transformace – ekologické a digitální – na svět práce posílením zásady „lidské kontroly“ nad umělou inteligencí prostřednictvím nové právní iniciativy v oblasti umělé inteligence na pracovišti a algoritmického řízení </w:t>
            </w:r>
            <w:r>
              <w:rPr>
                <w:b/>
                <w:i/>
              </w:rPr>
              <w:t>a práva odpojit se s cílem zajistit rovnováhu mezi pracovním a soukromým životem</w:t>
            </w:r>
            <w:r>
              <w:t>; vyzdvihuje potřebu vytvářet udržitelná kvalitní pracovní místa</w:t>
            </w:r>
            <w:r>
              <w:rPr>
                <w:b/>
                <w:i/>
              </w:rPr>
              <w:t>, která nahradí pracovní místa ztracená nebo transformovaná v průběhu dvojí transformace,</w:t>
            </w:r>
            <w:r>
              <w:t xml:space="preserve"> a zároveň posilovat právní rámec pro řízení a předvídání příslušné transformace a současně podporovat úlohu a účast sociálních partnerů a začlenění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že je třeba dále řešit dopady dvojí transformace – ekologické a digitální – na svět práce posílením zásady „lidské kontroly“ nad umělou inteligencí prostřednictvím nové právní iniciativy v oblasti umělé inteligence na pracovišti </w:t>
            </w:r>
            <w:r>
              <w:rPr>
                <w:b/>
                <w:i/>
              </w:rPr>
              <w:t>a algoritmického řízení</w:t>
            </w:r>
            <w:r>
              <w:t>; vyzdvihuje potřebu vytvářet udržitelná kvalitní pracovní místa a zároveň posilovat právní rámec pro řízení a předvídání příslušné transformace a současně podporovat úlohu a účast sociálních partnerů a začlenění na trhu práce;</w:t>
            </w:r>
          </w:p>
        </w:tc>
        <w:tc>
          <w:tcPr>
            <w:tcW w:w="4876" w:type="dxa"/>
            <w:tcBorders>
              <w:top w:val="nil"/>
              <w:left w:val="nil"/>
              <w:bottom w:val="nil"/>
              <w:right w:val="nil"/>
            </w:tcBorders>
          </w:tcPr>
          <w:p>
            <w:pPr>
              <w:pStyle w:val="Normal6a"/>
            </w:pPr>
            <w:r>
              <w:t>8.</w:t>
            </w:r>
            <w:r>
              <w:tab/>
            </w:r>
            <w:r>
              <w:t>zdůrazňuje, že je třeba dále řešit dopady dvojí transformace – ekologické a digitální – na svět práce posílením zásady „lidské kontroly“ nad umělou inteligencí prostřednictvím nové právní iniciativy v oblasti umělé inteligence na pracovišti</w:t>
            </w:r>
            <w:r>
              <w:rPr>
                <w:b/>
                <w:i/>
              </w:rPr>
              <w:t>, jakož i dostupnosti levnější energie pro provoz serverových farem v souvislosti s algoritmickou kontrolou</w:t>
            </w:r>
            <w:r>
              <w:t>; vyzdvihuje potřebu vytvářet udržitelná kvalitní pracovní místa a zároveň posilovat právní rámec pro řízení a předvídání příslušné transformace a současně podporovat úlohu a účast sociálních partnerů a začlenění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zdůrazňuje </w:t>
            </w:r>
            <w:r>
              <w:rPr>
                <w:b/>
                <w:i/>
              </w:rPr>
              <w:t>potřebu</w:t>
            </w:r>
            <w:r>
              <w:t xml:space="preserve"> dále zajistit poskytování kvalitních politik odborné přípravy, které </w:t>
            </w:r>
            <w:r>
              <w:rPr>
                <w:b/>
                <w:i/>
              </w:rPr>
              <w:t>podporují</w:t>
            </w:r>
            <w:r>
              <w:t xml:space="preserve"> celoživotní učení</w:t>
            </w:r>
            <w:r>
              <w:rPr>
                <w:b/>
                <w:i/>
              </w:rPr>
              <w:t>, a přístup k těmto politikám</w:t>
            </w:r>
            <w:r>
              <w:t>; konstatuje, že programy zvyšování kvalifikace, rekvalifikace a odborné přípravy musí být k dispozici všem pracovníkům, včetně osob se zdravotním postižením, a měly by být rovněž přizpůsobeny potřebám a schopnostem pracovníků;</w:t>
            </w:r>
          </w:p>
        </w:tc>
        <w:tc>
          <w:tcPr>
            <w:tcW w:w="4876" w:type="dxa"/>
            <w:tcBorders>
              <w:top w:val="nil"/>
              <w:left w:val="nil"/>
              <w:bottom w:val="nil"/>
              <w:right w:val="nil"/>
            </w:tcBorders>
          </w:tcPr>
          <w:p>
            <w:pPr>
              <w:pStyle w:val="Normal6a"/>
            </w:pPr>
            <w:r>
              <w:t>9.</w:t>
            </w:r>
            <w:r>
              <w:tab/>
            </w:r>
            <w:r>
              <w:t>zdůrazňuje</w:t>
            </w:r>
            <w:r>
              <w:rPr>
                <w:b/>
                <w:i/>
              </w:rPr>
              <w:t>, že je třeba</w:t>
            </w:r>
            <w:r>
              <w:t xml:space="preserve"> dále zajistit </w:t>
            </w:r>
            <w:r>
              <w:rPr>
                <w:b/>
                <w:i/>
              </w:rPr>
              <w:t>bezplatné</w:t>
            </w:r>
            <w:r>
              <w:t xml:space="preserve"> poskytování </w:t>
            </w:r>
            <w:r>
              <w:rPr>
                <w:b/>
                <w:i/>
              </w:rPr>
              <w:t>kvalitního veřejného vzdělávání a všeobecný přístup k němu a</w:t>
            </w:r>
            <w:r>
              <w:t xml:space="preserve"> kvalitních politik odborné přípravy, které </w:t>
            </w:r>
            <w:r>
              <w:rPr>
                <w:b/>
                <w:i/>
              </w:rPr>
              <w:t>zajistí alespoň důstojnou minimální mzdu a podpoří</w:t>
            </w:r>
            <w:r>
              <w:t xml:space="preserve"> celoživotní učení; konstatuje, že programy zvyšování kvalifikace, rekvalifikace a odborné přípravy musí být k dispozici všem pracovníkům </w:t>
            </w:r>
            <w:r>
              <w:rPr>
                <w:b/>
                <w:i/>
              </w:rPr>
              <w:t>v kombinaci s příspěvkem na odbornou přípravu</w:t>
            </w:r>
            <w:r>
              <w:t xml:space="preserve">, včetně osob se zdravotním postižením, a měly by být rovněž přizpůsobeny potřebám a schopnostem pracovníků; </w:t>
            </w:r>
            <w:r>
              <w:rPr>
                <w:b/>
                <w:i/>
              </w:rPr>
              <w:t>zdůrazňuje rovněž, že studentské půjčky by měly být nahrazeny příspěvkem na studium a bezplatným vysokoškolským studiem, aby se zabránilo pasti chudoby mladých lidí s nízkými příjmy;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zdůrazňuje potřebu dále zajistit poskytování kvalitních politik odborné přípravy, které podporují celoživotní učení, a přístup k těmto politikám; konstatuje, že programy zvyšování kvalifikace, rekvalifikace a odborné přípravy musí být k dispozici všem pracovníkům, včetně osob se zdravotním postižením, a měly by být rovněž přizpůsobeny potřebám a schopnostem pracovníků;</w:t>
            </w:r>
          </w:p>
        </w:tc>
        <w:tc>
          <w:tcPr>
            <w:tcW w:w="4876" w:type="dxa"/>
            <w:tcBorders>
              <w:top w:val="nil"/>
              <w:left w:val="nil"/>
              <w:bottom w:val="nil"/>
              <w:right w:val="nil"/>
            </w:tcBorders>
          </w:tcPr>
          <w:p>
            <w:pPr>
              <w:pStyle w:val="Normal6a"/>
            </w:pPr>
            <w:r>
              <w:t>9.</w:t>
            </w:r>
            <w:r>
              <w:tab/>
            </w:r>
            <w:r>
              <w:t xml:space="preserve">zdůrazňuje potřebu dále zajistit poskytování kvalitních politik odborné přípravy, které podporují celoživotní učení, a přístup k těmto politikám; konstatuje, že </w:t>
            </w:r>
            <w:r>
              <w:rPr>
                <w:b/>
                <w:i/>
              </w:rPr>
              <w:t>strategické</w:t>
            </w:r>
            <w:r>
              <w:t xml:space="preserve"> programy zvyšování kvalifikace, rekvalifikace a odborné přípravy musí být k dispozici všem pracovníkům, včetně osob se zdravotním postižením, a měly by být rovněž přizpůsobeny potřebám a schopnostem pracovníků; </w:t>
            </w:r>
            <w:r>
              <w:rPr>
                <w:b/>
                <w:i/>
              </w:rPr>
              <w:t>vyzývá k zavedení individuálního práva na odbornou přípravu a zvyšování kvalifikace pracovníků na evropské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zdůrazňuje potřebu dále zajistit poskytování kvalitních politik odborné přípravy, které podporují celoživotní učení, a přístup k těmto politikám; konstatuje, že programy zvyšování kvalifikace, rekvalifikace a odborné přípravy musí být k dispozici </w:t>
            </w:r>
            <w:r>
              <w:rPr>
                <w:b/>
                <w:i/>
              </w:rPr>
              <w:t>všem</w:t>
            </w:r>
            <w:r>
              <w:t xml:space="preserve"> pracovníkům, včetně osob se zdravotním postižením, a měly by být rovněž přizpůsobeny potřebám a schopnostem pracovníků;</w:t>
            </w:r>
          </w:p>
        </w:tc>
        <w:tc>
          <w:tcPr>
            <w:tcW w:w="4876" w:type="dxa"/>
            <w:tcBorders>
              <w:top w:val="nil"/>
              <w:left w:val="nil"/>
              <w:bottom w:val="nil"/>
              <w:right w:val="nil"/>
            </w:tcBorders>
          </w:tcPr>
          <w:p>
            <w:pPr>
              <w:pStyle w:val="Normal6a"/>
            </w:pPr>
            <w:r>
              <w:t>9.</w:t>
            </w:r>
            <w:r>
              <w:tab/>
            </w:r>
            <w:r>
              <w:t xml:space="preserve">zdůrazňuje potřebu dále zajistit poskytování kvalitních politik odborné přípravy, které podporují celoživotní učení, a přístup k těmto politikám; konstatuje, že programy zvyšování kvalifikace, rekvalifikace a odborné přípravy musí být k dispozici </w:t>
            </w:r>
            <w:r>
              <w:rPr>
                <w:b/>
                <w:i/>
              </w:rPr>
              <w:t>pouze</w:t>
            </w:r>
            <w:r>
              <w:t xml:space="preserve"> pracovníkům </w:t>
            </w:r>
            <w:r>
              <w:rPr>
                <w:b/>
                <w:i/>
              </w:rPr>
              <w:t>z Evropy</w:t>
            </w:r>
            <w:r>
              <w:t>, včetně osob se zdravotním postižením, a měly by být rovněž přizpůsobeny potřebám a schopnostem pracovníků;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zdůrazňuje, že s ohledem na klimatickou krizi a krizi v oblasti biologické rozmanitosti a na hospodářské a demografické výzvy by žádná generace ani region v EU – ať už nyní, nebo v budoucnu – neměly být opomenuty; vyzývá k předložení iniciativ na podporu mladých i starších lidí, jakož i opatření proti vylidňování regionů, jako je lepší přístup k infrastruktuře, včetně dopravy, digitální konektivity a cenově dostupného bydlení, veřejných služeb, zdravotní péče, péče a vzdělávání, jakož i investice do lepších pracovních příležitostí s cílem zabránit vylidňování;</w:t>
            </w:r>
          </w:p>
        </w:tc>
        <w:tc>
          <w:tcPr>
            <w:tcW w:w="4876" w:type="dxa"/>
            <w:tcBorders>
              <w:top w:val="nil"/>
              <w:left w:val="nil"/>
              <w:bottom w:val="nil"/>
              <w:right w:val="nil"/>
            </w:tcBorders>
          </w:tcPr>
          <w:p>
            <w:pPr>
              <w:pStyle w:val="Normal6a"/>
            </w:pPr>
            <w:r>
              <w:t>10.</w:t>
            </w:r>
            <w:r>
              <w:tab/>
            </w:r>
            <w:r>
              <w:t xml:space="preserve">zdůrazňuje, že s ohledem na klimatickou krizi a krizi v oblasti biologické rozmanitosti a na hospodářské a demografické výzvy by žádná generace ani region v EU – ať už nyní, nebo v budoucnu – neměly být opomenuty </w:t>
            </w:r>
            <w:r>
              <w:rPr>
                <w:b/>
                <w:i/>
              </w:rPr>
              <w:t>a že by měl existovat všeobecný přístup ke spravedlivé transformaci pro všechny</w:t>
            </w:r>
            <w:r>
              <w:t xml:space="preserve">; vyzývá k předložení iniciativ na podporu mladých i starších lidí, jakož i opatření proti vylidňování regionů, jako je lepší přístup k infrastruktuře, včetně dopravy, digitální konektivity a cenově dostupného bydlení, veřejných služeb, zdravotní péče, péče a vzdělávání, jakož i investice do lepších pracovních příležitostí s cílem zabránit vylidňování; </w:t>
            </w:r>
            <w:r>
              <w:rPr>
                <w:b/>
                <w:i/>
              </w:rPr>
              <w:t>vyzývá členské státy, aby zaručily všeobecný přístup k vysoce kvalitním veřejným službám založený na právech a aby do nich investovaly;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zdůrazňuje, že </w:t>
            </w:r>
            <w:r>
              <w:rPr>
                <w:b/>
                <w:i/>
              </w:rPr>
              <w:t>s ohledem na klimatickou krizi a krizi</w:t>
            </w:r>
            <w:r>
              <w:t xml:space="preserve"> v oblasti biologické rozmanitosti a </w:t>
            </w:r>
            <w:r>
              <w:rPr>
                <w:b/>
                <w:i/>
              </w:rPr>
              <w:t>na</w:t>
            </w:r>
            <w:r>
              <w:t xml:space="preserve"> hospodářské a demografické výzvy by </w:t>
            </w:r>
            <w:r>
              <w:rPr>
                <w:b/>
                <w:i/>
              </w:rPr>
              <w:t>žádná generace</w:t>
            </w:r>
            <w:r>
              <w:t xml:space="preserve"> ani region v EU </w:t>
            </w:r>
            <w:r>
              <w:rPr>
                <w:b/>
                <w:i/>
              </w:rPr>
              <w:t>–</w:t>
            </w:r>
            <w:r>
              <w:t xml:space="preserve"> ať už nyní, nebo v budoucnu </w:t>
            </w:r>
            <w:r>
              <w:rPr>
                <w:b/>
                <w:i/>
              </w:rPr>
              <w:t>– neměly být opomenuty</w:t>
            </w:r>
            <w:r>
              <w:t xml:space="preserve">; vyzývá k předložení iniciativ na podporu mladých </w:t>
            </w:r>
            <w:r>
              <w:rPr>
                <w:b/>
                <w:i/>
              </w:rPr>
              <w:t>i</w:t>
            </w:r>
            <w:r>
              <w:t xml:space="preserve"> starších lidí, </w:t>
            </w:r>
            <w:r>
              <w:rPr>
                <w:b/>
                <w:i/>
              </w:rPr>
              <w:t>jakož i</w:t>
            </w:r>
            <w:r>
              <w:t xml:space="preserve"> opatření </w:t>
            </w:r>
            <w:r>
              <w:rPr>
                <w:b/>
                <w:i/>
              </w:rPr>
              <w:t>proti</w:t>
            </w:r>
            <w:r>
              <w:t xml:space="preserve"> vylidňování regionů, jako je lepší přístup k infrastruktuře, včetně dopravy, digitální konektivity a cenově dostupného bydlení, veřejných služeb, zdravotní péče, péče a vzdělávání, jakož i investice do lepších pracovních příležitostí s cílem zabránit vylidňování;</w:t>
            </w:r>
          </w:p>
        </w:tc>
        <w:tc>
          <w:tcPr>
            <w:tcW w:w="4876" w:type="dxa"/>
            <w:tcBorders>
              <w:top w:val="nil"/>
              <w:left w:val="nil"/>
              <w:bottom w:val="nil"/>
              <w:right w:val="nil"/>
            </w:tcBorders>
          </w:tcPr>
          <w:p>
            <w:pPr>
              <w:pStyle w:val="Normal6a"/>
            </w:pPr>
            <w:r>
              <w:t>10.</w:t>
            </w:r>
            <w:r>
              <w:tab/>
            </w:r>
            <w:r>
              <w:t xml:space="preserve">zdůrazňuje, že </w:t>
            </w:r>
            <w:r>
              <w:rPr>
                <w:b/>
                <w:i/>
              </w:rPr>
              <w:t>klimatická krize a krize</w:t>
            </w:r>
            <w:r>
              <w:t xml:space="preserve"> v oblasti biologické rozmanitosti a hospodářské a demografické výzvy by </w:t>
            </w:r>
            <w:r>
              <w:rPr>
                <w:b/>
                <w:i/>
              </w:rPr>
              <w:t>neměly opomíjet žádnou generaci</w:t>
            </w:r>
            <w:r>
              <w:t xml:space="preserve"> ani region v EU</w:t>
            </w:r>
            <w:r>
              <w:rPr>
                <w:b/>
                <w:i/>
              </w:rPr>
              <w:t>,</w:t>
            </w:r>
            <w:r>
              <w:t xml:space="preserve"> ať už nyní, nebo v budoucnu; vyzývá k předložení iniciativ na podporu mladých </w:t>
            </w:r>
            <w:r>
              <w:rPr>
                <w:b/>
                <w:i/>
              </w:rPr>
              <w:t>a</w:t>
            </w:r>
            <w:r>
              <w:t xml:space="preserve"> starších lidí, </w:t>
            </w:r>
            <w:r>
              <w:rPr>
                <w:b/>
                <w:i/>
              </w:rPr>
              <w:t>které se budou zakládat na jejich příspěvku v podobě většího počtu dětí a budou součástí posilování mezigenerační spolupráce a</w:t>
            </w:r>
            <w:r>
              <w:t xml:space="preserve"> opatření </w:t>
            </w:r>
            <w:r>
              <w:rPr>
                <w:b/>
                <w:i/>
              </w:rPr>
              <w:t>zaměřených na rodinu s cílem zvrátit</w:t>
            </w:r>
            <w:r>
              <w:t xml:space="preserve"> vylidňování regionů, jako je lepší přístup k infrastruktuře, včetně dopravy, digitální konektivity a cenově dostupného bydlení, veřejných služeb, zdravotní péče, péče a vzdělávání, jakož i investice do lepších pracovních příležitostí s cílem zabránit vylidňování;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zdůrazňuje, že s ohledem na klimatickou krizi a krizi v oblasti biologické rozmanitosti a na hospodářské a demografické výzvy by žádná generace ani region v EU – ať už nyní, nebo v budoucnu – neměly být opomenuty; vyzývá k předložení iniciativ na podporu mladých i starších lidí, jakož i opatření proti vylidňování regionů, jako je lepší přístup k infrastruktuře, včetně dopravy, digitální konektivity a cenově dostupného bydlení, veřejných služeb, zdravotní péče, péče a vzdělávání, jakož i investice do lepších pracovních příležitostí s cílem zabránit vylidňování;</w:t>
            </w:r>
          </w:p>
        </w:tc>
        <w:tc>
          <w:tcPr>
            <w:tcW w:w="4876" w:type="dxa"/>
            <w:tcBorders>
              <w:top w:val="nil"/>
              <w:left w:val="nil"/>
              <w:bottom w:val="nil"/>
              <w:right w:val="nil"/>
            </w:tcBorders>
          </w:tcPr>
          <w:p>
            <w:pPr>
              <w:pStyle w:val="Normal6a"/>
            </w:pPr>
            <w:r>
              <w:t>10.</w:t>
            </w:r>
            <w:r>
              <w:tab/>
            </w:r>
            <w:r>
              <w:t xml:space="preserve">zdůrazňuje, že s ohledem na klimatickou krizi a krizi v oblasti biologické rozmanitosti a na hospodářské a demografické výzvy by žádná generace ani region v EU – ať už nyní, nebo v budoucnu – neměly být opomenuty; </w:t>
            </w:r>
            <w:r>
              <w:rPr>
                <w:b/>
                <w:i/>
              </w:rPr>
              <w:t>vyjadřuje v této souvislosti politování nad novým přístupem Komise, která hodlá využívat politiku soudržnosti ke zvýšení výdajů na obranu;</w:t>
            </w:r>
            <w:r>
              <w:t xml:space="preserve"> vyzývá </w:t>
            </w:r>
            <w:r>
              <w:rPr>
                <w:b/>
                <w:i/>
              </w:rPr>
              <w:t>namísto toho</w:t>
            </w:r>
            <w:r>
              <w:t xml:space="preserve"> k předložení iniciativ na podporu mladých i starších lidí, jakož i opatření proti vylidňování regionů, jako je lepší přístup k </w:t>
            </w:r>
            <w:r>
              <w:rPr>
                <w:b/>
                <w:i/>
              </w:rPr>
              <w:t>bezbariérové</w:t>
            </w:r>
            <w:r>
              <w:t xml:space="preserve"> infrastruktuře, včetně dopravy, digitální konektivity a cenově dostupného bydlení, veřejných služeb, zdravotní péče, péče a vzdělávání, jakož i investice do lepších pracovních příležitostí s cílem zabránit vylidňování;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zdůrazňuje, že s ohledem na klimatickou krizi a krizi v oblasti biologické rozmanitosti a na hospodářské a demografické výzvy by žádná generace ani region v EU – ať už nyní, nebo v budoucnu – neměly být opomenuty; vyzývá k předložení iniciativ na podporu mladých i starších lidí, jakož i opatření proti vylidňování regionů, jako je lepší přístup k infrastruktuře, včetně dopravy, digitální konektivity a cenově dostupného bydlení, veřejných služeb, zdravotní péče, péče a vzdělávání, jakož i investice do lepších pracovních příležitostí s cílem zabránit vylidňování;</w:t>
            </w:r>
          </w:p>
        </w:tc>
        <w:tc>
          <w:tcPr>
            <w:tcW w:w="4876" w:type="dxa"/>
            <w:tcBorders>
              <w:top w:val="nil"/>
              <w:left w:val="nil"/>
              <w:bottom w:val="nil"/>
              <w:right w:val="nil"/>
            </w:tcBorders>
          </w:tcPr>
          <w:p>
            <w:pPr>
              <w:pStyle w:val="Normal6a"/>
            </w:pPr>
            <w:r>
              <w:t>10.</w:t>
            </w:r>
            <w:r>
              <w:tab/>
            </w:r>
            <w:r>
              <w:t>zdůrazňuje, že s ohledem na klimatickou krizi a krizi v oblasti biologické rozmanitosti a na hospodářské a demografické výzvy by žádná generace ani region v EU – ať už nyní, nebo v budoucnu – neměly být opomenuty; vyzývá k předložení iniciativ na podporu mladých i starších lidí, jakož i opatření proti vylidňování regionů, jako je lepší přístup k infrastruktuře, včetně dopravy, digitální konektivity a cenově dostupného bydlení, veřejných služeb, zdravotní péče, péče a vzdělávání, jakož i investice do lepších pracovních příležitostí s cílem zabránit vylidňování</w:t>
            </w:r>
            <w:r>
              <w:rPr>
                <w:b/>
                <w:i/>
              </w:rPr>
              <w:t>, aniž by se muselo využívat přistěhovalectví ze zemí mimo EU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zdůrazňuje, že s ohledem na klimatickou krizi a krizi v oblasti biologické rozmanitosti a na hospodářské a demografické výzvy by žádná generace ani region v EU – ať už nyní, nebo v budoucnu – neměly být opomenuty; vyzývá k předložení iniciativ na podporu mladých i starších lidí, jakož i opatření proti vylidňování regionů, jako je lepší přístup k infrastruktuře, včetně dopravy, digitální konektivity a cenově dostupného bydlení, veřejných služeb, zdravotní péče, </w:t>
            </w:r>
            <w:r>
              <w:rPr>
                <w:b/>
                <w:i/>
              </w:rPr>
              <w:t>péče a</w:t>
            </w:r>
            <w:r>
              <w:t xml:space="preserve"> vzdělávání, jakož i investice do lepších pracovních příležitostí s cílem zabránit vylidňování;</w:t>
            </w:r>
          </w:p>
        </w:tc>
        <w:tc>
          <w:tcPr>
            <w:tcW w:w="4876" w:type="dxa"/>
            <w:tcBorders>
              <w:top w:val="nil"/>
              <w:left w:val="nil"/>
              <w:bottom w:val="nil"/>
              <w:right w:val="nil"/>
            </w:tcBorders>
          </w:tcPr>
          <w:p>
            <w:pPr>
              <w:pStyle w:val="Normal6a"/>
            </w:pPr>
            <w:r>
              <w:t>10.</w:t>
            </w:r>
            <w:r>
              <w:tab/>
            </w:r>
            <w:r>
              <w:t xml:space="preserve">zdůrazňuje, že s ohledem na klimatickou krizi a krizi v oblasti biologické rozmanitosti a na hospodářské a demografické výzvy by žádná generace ani region v EU – ať už nyní, nebo v budoucnu – neměly být opomenuty; vyzývá k předložení iniciativ na podporu mladých i starších lidí, jakož i opatření proti vylidňování regionů, jako je lepší přístup k infrastruktuře, včetně </w:t>
            </w:r>
            <w:r>
              <w:rPr>
                <w:b/>
                <w:i/>
              </w:rPr>
              <w:t>veřejné</w:t>
            </w:r>
            <w:r>
              <w:t xml:space="preserve"> dopravy, digitální konektivity a cenově dostupného bydlení, veřejných služeb, zdravotní péče, </w:t>
            </w:r>
            <w:r>
              <w:rPr>
                <w:b/>
                <w:i/>
              </w:rPr>
              <w:t>dlouhodobého předškolního</w:t>
            </w:r>
            <w:r>
              <w:t xml:space="preserve"> vzdělávání</w:t>
            </w:r>
            <w:r>
              <w:rPr>
                <w:b/>
                <w:i/>
              </w:rPr>
              <w:t> a péče</w:t>
            </w:r>
            <w:r>
              <w:t>, jakož i investice do lepších pracovních příležitostí s cílem zabránit vylidňování;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zdůrazňuje, že s ohledem na klimatickou krizi a krizi v oblasti biologické rozmanitosti a na hospodářské a demografické výzvy by žádná generace ani region v EU – ať už nyní, nebo v budoucnu – neměly být opomenuty; vyzývá k předložení iniciativ na podporu mladých i starších lidí, jakož i opatření proti vylidňování regionů, jako je lepší přístup k infrastruktuře, včetně dopravy, digitální konektivity a cenově dostupného bydlení, veřejných služeb, zdravotní péče, péče a vzdělávání, jakož i investice do lepších pracovních příležitostí s cílem zabránit vylidňování;</w:t>
            </w:r>
          </w:p>
        </w:tc>
        <w:tc>
          <w:tcPr>
            <w:tcW w:w="4876" w:type="dxa"/>
            <w:tcBorders>
              <w:top w:val="nil"/>
              <w:left w:val="nil"/>
              <w:bottom w:val="nil"/>
              <w:right w:val="nil"/>
            </w:tcBorders>
          </w:tcPr>
          <w:p>
            <w:pPr>
              <w:pStyle w:val="Normal6a"/>
            </w:pPr>
            <w:r>
              <w:t>10.</w:t>
            </w:r>
            <w:r>
              <w:tab/>
            </w:r>
            <w:r>
              <w:t xml:space="preserve">zdůrazňuje, že s ohledem na klimatickou krizi a krizi v oblasti biologické rozmanitosti a na hospodářské a demografické výzvy by žádná generace ani region v EU – ať už nyní, nebo v budoucnu – neměly být opomenuty; vyzývá k předložení iniciativ na podporu mladých i starších lidí </w:t>
            </w:r>
            <w:r>
              <w:rPr>
                <w:b/>
                <w:i/>
              </w:rPr>
              <w:t>a osob se zdravotním postižením</w:t>
            </w:r>
            <w:r>
              <w:t>, jakož i opatření proti vylidňování regionů, jako je lepší přístup k infrastruktuře, včetně dopravy, digitální konektivity a cenově dostupného bydlení, veřejných služeb, zdravotní péče, péče a vzdělávání, jakož i investice do lepších pracovních příležitostí s cílem zabránit vylidňování;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zdůrazňuje, že s ohledem </w:t>
            </w:r>
            <w:r>
              <w:rPr>
                <w:b/>
                <w:i/>
              </w:rPr>
              <w:t>na klimatickou krizi a krizi v oblasti biologické rozmanitosti a</w:t>
            </w:r>
            <w:r>
              <w:t xml:space="preserve"> na hospodářské a demografické výzvy by žádná generace ani region v EU – ať už nyní, nebo v budoucnu – neměly být opomenuty; vyzývá k předložení iniciativ na podporu mladých i starších lidí, jakož i opatření proti vylidňování regionů, jako je lepší přístup k infrastruktuře, včetně dopravy, digitální konektivity a cenově dostupného bydlení, veřejných služeb, zdravotní péče, péče a vzdělávání, jakož i investice do lepších pracovních příležitostí s cílem zabránit vylidňování;</w:t>
            </w:r>
          </w:p>
        </w:tc>
        <w:tc>
          <w:tcPr>
            <w:tcW w:w="4876" w:type="dxa"/>
            <w:tcBorders>
              <w:top w:val="nil"/>
              <w:left w:val="nil"/>
              <w:bottom w:val="nil"/>
              <w:right w:val="nil"/>
            </w:tcBorders>
          </w:tcPr>
          <w:p>
            <w:pPr>
              <w:pStyle w:val="Normal6a"/>
            </w:pPr>
            <w:r>
              <w:t>10.</w:t>
            </w:r>
            <w:r>
              <w:tab/>
            </w:r>
            <w:r>
              <w:t>zdůrazňuje, že s ohledem na hospodářské a demografické výzvy by žádná generace ani region v EU – ať už nyní, nebo v budoucnu – neměly být opomenuty; vyzývá k předložení iniciativ na podporu mladých i starších lidí, jakož i opatření proti vylidňování regionů, jako je lepší přístup k infrastruktuře, včetně dopravy, digitální konektivity a cenově dostupného bydlení, veřejných služeb, zdravotní péče, péče a vzdělávání, jakož i investice do lepších pracovních příležitostí s cílem zabránit vylidňování;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naléhavě vyzývá k podpoře spravedlivé transformace pracovní síly a podniků v EU při přechodu na zelenou ekonomiku;</w:t>
            </w:r>
            <w:r>
              <w:t xml:space="preserve"> </w:t>
            </w:r>
            <w:r>
              <w:rPr>
                <w:b/>
                <w:i/>
              </w:rPr>
              <w:t>konstatuje, že bude-li proces přizpůsobování se změně klimatu a jejího zmírňování pečlivě navržen prostřednictvím silného sociálního dialogu, může vytvořit silnější ekosystémy, nová důstojná pracovní místa a udržitelné podniky a inkluzivnější společnosti, aniž by byl někdo opomenut;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naléhavě vyzývá k podpoře spravedlivé transformace pracovní síly a podniků v EU při přechodu na zelenou ekonomiku;</w:t>
            </w:r>
            <w:r>
              <w:t xml:space="preserve"> </w:t>
            </w:r>
            <w:r>
              <w:rPr>
                <w:b/>
                <w:i/>
              </w:rPr>
              <w:t>konstatuje, že bude-li proces přizpůsobování se změně klimatu a jejího zmírňování pečlivě navržen prostřednictvím silného sociálního dialogu, může vytvořit silnější ekosystémy, nová důstojná pracovní místa a udržitelné podniky a inkluzivnější společnosti, aniž by byl někdo opomenut;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naléhavě vyzývá </w:t>
            </w:r>
            <w:r>
              <w:rPr>
                <w:b/>
                <w:i/>
              </w:rPr>
              <w:t>k podpoře spravedlivé</w:t>
            </w:r>
            <w:r>
              <w:t xml:space="preserve"> transformace </w:t>
            </w:r>
            <w:r>
              <w:rPr>
                <w:b/>
                <w:i/>
              </w:rPr>
              <w:t>pracovní síly a podniků v EU při přechodu na zelenou ekonomiku</w:t>
            </w:r>
            <w:r>
              <w:t xml:space="preserve">; konstatuje, že </w:t>
            </w:r>
            <w:r>
              <w:rPr>
                <w:b/>
                <w:i/>
              </w:rPr>
              <w:t>bude-li proces přizpůsobování</w:t>
            </w:r>
            <w:r>
              <w:t xml:space="preserve"> se změně klimatu a </w:t>
            </w:r>
            <w:r>
              <w:rPr>
                <w:b/>
                <w:i/>
              </w:rPr>
              <w:t>jejího</w:t>
            </w:r>
            <w:r>
              <w:t xml:space="preserve"> zmírňování </w:t>
            </w:r>
            <w:r>
              <w:rPr>
                <w:b/>
                <w:i/>
              </w:rPr>
              <w:t>pečlivě navržen</w:t>
            </w:r>
            <w:r>
              <w:t xml:space="preserve"> prostřednictvím silného sociálního dialogu, </w:t>
            </w:r>
            <w:r>
              <w:rPr>
                <w:b/>
                <w:i/>
              </w:rPr>
              <w:t>může vytvořit silnější</w:t>
            </w:r>
            <w:r>
              <w:t xml:space="preserve"> ekosystémy, </w:t>
            </w:r>
            <w:r>
              <w:rPr>
                <w:b/>
                <w:i/>
              </w:rPr>
              <w:t>nová důstojná</w:t>
            </w:r>
            <w:r>
              <w:t xml:space="preserve"> pracovní místa </w:t>
            </w:r>
            <w:r>
              <w:rPr>
                <w:b/>
                <w:i/>
              </w:rPr>
              <w:t>a</w:t>
            </w:r>
            <w:r>
              <w:t xml:space="preserve"> udržitelné </w:t>
            </w:r>
            <w:r>
              <w:rPr>
                <w:b/>
                <w:i/>
              </w:rPr>
              <w:t>podniky</w:t>
            </w:r>
            <w:r>
              <w:t xml:space="preserve"> a inkluzivnější společnosti, </w:t>
            </w:r>
            <w:r>
              <w:rPr>
                <w:b/>
                <w:i/>
              </w:rPr>
              <w:t>aniž by byl někdo</w:t>
            </w:r>
            <w:r>
              <w:t xml:space="preserve"> opomenut;</w:t>
            </w:r>
          </w:p>
        </w:tc>
        <w:tc>
          <w:tcPr>
            <w:tcW w:w="4876" w:type="dxa"/>
            <w:tcBorders>
              <w:top w:val="nil"/>
              <w:left w:val="nil"/>
              <w:bottom w:val="nil"/>
              <w:right w:val="nil"/>
            </w:tcBorders>
          </w:tcPr>
          <w:p>
            <w:pPr>
              <w:pStyle w:val="Normal6a"/>
            </w:pPr>
            <w:r>
              <w:t>11.</w:t>
            </w:r>
            <w:r>
              <w:tab/>
            </w:r>
            <w:r>
              <w:t xml:space="preserve">naléhavě vyzývá </w:t>
            </w:r>
            <w:r>
              <w:rPr>
                <w:b/>
                <w:i/>
              </w:rPr>
              <w:t>EU a členské státy, aby zajistily, že ekologická</w:t>
            </w:r>
            <w:r>
              <w:t xml:space="preserve"> transformace </w:t>
            </w:r>
            <w:r>
              <w:rPr>
                <w:b/>
                <w:i/>
              </w:rPr>
              <w:t>bude sociálně spravedlivá, se zvláštní podporou pro pracovníky, domácnosti, regiony a podniky postižené strukturálními změnami a novými požadavky trhu práce</w:t>
            </w:r>
            <w:r>
              <w:t xml:space="preserve">; konstatuje, že </w:t>
            </w:r>
            <w:r>
              <w:rPr>
                <w:b/>
                <w:i/>
              </w:rPr>
              <w:t>jsou-li strategie pro přizpůsobení</w:t>
            </w:r>
            <w:r>
              <w:t xml:space="preserve"> se změně klimatu a </w:t>
            </w:r>
            <w:r>
              <w:rPr>
                <w:b/>
                <w:i/>
              </w:rPr>
              <w:t>její</w:t>
            </w:r>
            <w:r>
              <w:t xml:space="preserve"> zmírňování </w:t>
            </w:r>
            <w:r>
              <w:rPr>
                <w:b/>
                <w:i/>
              </w:rPr>
              <w:t>utvářeny</w:t>
            </w:r>
            <w:r>
              <w:t xml:space="preserve"> prostřednictvím silného sociálního dialogu, </w:t>
            </w:r>
            <w:r>
              <w:rPr>
                <w:b/>
                <w:i/>
              </w:rPr>
              <w:t>mohou vytvářet odolné hospodářské</w:t>
            </w:r>
            <w:r>
              <w:t xml:space="preserve"> ekosystémy, </w:t>
            </w:r>
            <w:r>
              <w:rPr>
                <w:b/>
                <w:i/>
              </w:rPr>
              <w:t>kvalitní</w:t>
            </w:r>
            <w:r>
              <w:t xml:space="preserve"> pracovní místa</w:t>
            </w:r>
            <w:r>
              <w:rPr>
                <w:b/>
                <w:i/>
              </w:rPr>
              <w:t>,</w:t>
            </w:r>
            <w:r>
              <w:t xml:space="preserve"> udržitelné </w:t>
            </w:r>
            <w:r>
              <w:rPr>
                <w:b/>
                <w:i/>
              </w:rPr>
              <w:t>obchodní modely</w:t>
            </w:r>
            <w:r>
              <w:t xml:space="preserve"> a inkluzivnější společnosti, </w:t>
            </w:r>
            <w:r>
              <w:rPr>
                <w:b/>
                <w:i/>
              </w:rPr>
              <w:t>přičemž nikdo nesmí být</w:t>
            </w:r>
            <w:r>
              <w:t xml:space="preserve"> opomenut; </w:t>
            </w:r>
            <w:r>
              <w:rPr>
                <w:b/>
                <w:i/>
              </w:rPr>
              <w:t>vyzývá k urychlenému zavedení ekologických systémů sociální ochrany a investic s cílem zajistit environmentální spravedlnost a chránit občany před dopady změny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naléhavě vyzývá k podpoře spravedlivé transformace pracovní síly a podniků v EU při přechodu na zelenou ekonomiku; konstatuje, že bude-li proces přizpůsobování se změně klimatu a jejího zmírňování pečlivě navržen prostřednictvím silného sociálního dialogu, může vytvořit silnější ekosystémy, nová důstojná pracovní místa a udržitelné podniky a inkluzivnější společnosti, aniž by byl někdo opomenut;</w:t>
            </w:r>
          </w:p>
        </w:tc>
        <w:tc>
          <w:tcPr>
            <w:tcW w:w="4876" w:type="dxa"/>
            <w:tcBorders>
              <w:top w:val="nil"/>
              <w:left w:val="nil"/>
              <w:bottom w:val="nil"/>
              <w:right w:val="nil"/>
            </w:tcBorders>
          </w:tcPr>
          <w:p>
            <w:pPr>
              <w:pStyle w:val="Normal6a"/>
            </w:pPr>
            <w:r>
              <w:t>11.</w:t>
            </w:r>
            <w:r>
              <w:tab/>
            </w:r>
            <w:r>
              <w:t xml:space="preserve">naléhavě vyzývá k podpoře spravedlivé transformace pracovní síly a podniků v EU při přechodu na zelenou ekonomiku; konstatuje, že bude-li proces přizpůsobování se změně klimatu a jejího zmírňování pečlivě navržen prostřednictvím silného sociálního dialogu, může vytvořit silnější ekosystémy, nová důstojná pracovní místa a udržitelné podniky a inkluzivnější společnosti, aniž by byl někdo opomenut; </w:t>
            </w:r>
            <w:r>
              <w:rPr>
                <w:b/>
                <w:i/>
              </w:rPr>
              <w:t>vyzývá Komisi, aby navrhla směrnici o spravedlivé transformaci ve světě práce s cílem zajistit zachování těchto zásad na úrovni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naléhavě vyzývá k podpoře spravedlivé transformace pracovní síly a podniků v EU při přechodu na zelenou ekonomiku; konstatuje, že bude-li proces přizpůsobování se změně klimatu a jejího zmírňování pečlivě navržen prostřednictvím silného sociálního dialogu, může vytvořit silnější ekosystémy, nová důstojná pracovní místa a udržitelné podniky a inkluzivnější společnosti, aniž by byl někdo opomenut;</w:t>
            </w:r>
          </w:p>
        </w:tc>
        <w:tc>
          <w:tcPr>
            <w:tcW w:w="4876" w:type="dxa"/>
            <w:tcBorders>
              <w:top w:val="nil"/>
              <w:left w:val="nil"/>
              <w:bottom w:val="nil"/>
              <w:right w:val="nil"/>
            </w:tcBorders>
          </w:tcPr>
          <w:p>
            <w:pPr>
              <w:pStyle w:val="Normal6a"/>
            </w:pPr>
            <w:r>
              <w:t>11.</w:t>
            </w:r>
            <w:r>
              <w:tab/>
            </w:r>
            <w:r>
              <w:t xml:space="preserve">naléhavě vyzývá k podpoře spravedlivé transformace pracovní síly a podniků v EU při </w:t>
            </w:r>
            <w:r>
              <w:rPr>
                <w:b/>
                <w:i/>
              </w:rPr>
              <w:t>přiměřeném</w:t>
            </w:r>
            <w:r>
              <w:t xml:space="preserve"> přechodu na zelenou ekonomiku; konstatuje, že bude-li proces přizpůsobování se změně klimatu a jejího zmírňování pečlivě navržen prostřednictvím silného sociálního dialogu, může vytvořit silnější ekosystémy, nová důstojná pracovní místa a udržitelné podniky a inkluzivnější společnosti, aniž by byl někdo opomenut;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úlohu, kterou hraje sociální ekonomika při přispívání k ekologické transformaci;</w:t>
            </w:r>
            <w:r>
              <w:t xml:space="preserve"> </w:t>
            </w:r>
            <w:r>
              <w:rPr>
                <w:b/>
                <w:i/>
              </w:rPr>
              <w:t>konstatuje, že mnoho organizací sociální ekonomiky vyvíjí udržitelné a ekologické postupy a pomáhá lidem přizpůsobit se ekologičtějšímu hospodářství a přispívat k němu;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vyzývá k další podpoře státních příslušníků třetích zemí, aby se mohli začlenit na trh práce EU a plně využívat svůj talent, kdy současně budou účinnou integrační politikou posíleny dobré pracovní podmínky, přičemž bude zajištěna plná doplňkovost s využíváním talentů z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 další podpoře státních příslušníků třetích zemí, aby se mohli začlenit na trh práce EU a plně využívat svůj talent, kdy současně budou účinnou integrační politikou posíleny dobré pracovní podmínky, přičemž bude zajištěna plná doplňkovost s využíváním talentů z EU;</w:t>
            </w:r>
          </w:p>
        </w:tc>
        <w:tc>
          <w:tcPr>
            <w:tcW w:w="4876" w:type="dxa"/>
            <w:tcBorders>
              <w:top w:val="nil"/>
              <w:left w:val="nil"/>
              <w:bottom w:val="nil"/>
              <w:right w:val="nil"/>
            </w:tcBorders>
          </w:tcPr>
          <w:p>
            <w:pPr>
              <w:pStyle w:val="Normal6a"/>
            </w:pPr>
            <w:r>
              <w:t>12.</w:t>
            </w:r>
            <w:r>
              <w:tab/>
            </w:r>
            <w:r>
              <w:t xml:space="preserve">vyzývá k další podpoře státních příslušníků třetích zemí, aby se mohli začlenit na trh práce EU a plně využívat svůj talent, kdy současně budou účinnou integrační politikou posíleny dobré pracovní podmínky </w:t>
            </w:r>
            <w:r>
              <w:rPr>
                <w:b/>
                <w:i/>
              </w:rPr>
              <w:t>a zajištěno rovné nakládání s nimi</w:t>
            </w:r>
            <w:r>
              <w:t xml:space="preserve">, přičemž bude zajištěna plná doplňkovost s využíváním talentů z EU; </w:t>
            </w:r>
            <w:r>
              <w:rPr>
                <w:b/>
                <w:i/>
              </w:rPr>
              <w:t>vyzývá k legalizaci migrantů bez dokladů v EU s cílem zajistit cestu k jejich sociální integraci a integraci do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 další podpoře státních příslušníků třetích zemí, aby se mohli začlenit na trh práce EU a plně využívat svůj talent, kdy současně budou účinnou integrační politikou posíleny dobré pracovní podmínky, přičemž bude zajištěna plná doplňkovost s využíváním talentů z EU;</w:t>
            </w:r>
          </w:p>
        </w:tc>
        <w:tc>
          <w:tcPr>
            <w:tcW w:w="4876" w:type="dxa"/>
            <w:tcBorders>
              <w:top w:val="nil"/>
              <w:left w:val="nil"/>
              <w:bottom w:val="nil"/>
              <w:right w:val="nil"/>
            </w:tcBorders>
          </w:tcPr>
          <w:p>
            <w:pPr>
              <w:pStyle w:val="Normal6a"/>
            </w:pPr>
            <w:r>
              <w:t>12.</w:t>
            </w:r>
            <w:r>
              <w:tab/>
            </w:r>
            <w:r>
              <w:t>vyzývá k další podpoře státních příslušníků třetích zemí</w:t>
            </w:r>
            <w:r>
              <w:rPr>
                <w:b/>
                <w:i/>
              </w:rPr>
              <w:t>, kteří jsou v EU legálně</w:t>
            </w:r>
            <w:r>
              <w:t>, aby se mohli začlenit na trh práce EU a plně využívat svůj talent, kdy současně budou účinnou integrační politikou posíleny dobré pracovní podmínky, přičemž bude zajištěna plná doplňkovost s využíváním talentů z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 další podpoře státních příslušníků třetích zemí, aby se mohli začlenit na trh práce EU a plně využívat svůj talent, kdy současně budou účinnou integrační politikou posíleny dobré pracovní podmínky, přičemž bude zajištěna plná doplňkovost s využíváním talentů z EU;</w:t>
            </w:r>
          </w:p>
        </w:tc>
        <w:tc>
          <w:tcPr>
            <w:tcW w:w="4876" w:type="dxa"/>
            <w:tcBorders>
              <w:top w:val="nil"/>
              <w:left w:val="nil"/>
              <w:bottom w:val="nil"/>
              <w:right w:val="nil"/>
            </w:tcBorders>
          </w:tcPr>
          <w:p>
            <w:pPr>
              <w:pStyle w:val="Normal6a"/>
            </w:pPr>
            <w:r>
              <w:t>12.</w:t>
            </w:r>
            <w:r>
              <w:tab/>
            </w:r>
            <w:r>
              <w:t xml:space="preserve">vyzývá k další podpoře státních příslušníků třetích zemí, aby se mohli začlenit na trh práce EU a plně využívat svůj talent, kdy současně budou účinnou integrační politikou posíleny dobré pracovní podmínky </w:t>
            </w:r>
            <w:r>
              <w:rPr>
                <w:b/>
                <w:i/>
              </w:rPr>
              <w:t>a vysoce kvalitní pracovní místa</w:t>
            </w:r>
            <w:r>
              <w:t>, přičemž bude zajištěna plná doplňkovost s využíváním talentů z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vyzývá k pečlivému sledování aktivních opatření na trhu práce, jakož i k přiměřené </w:t>
            </w:r>
            <w:r>
              <w:rPr>
                <w:b/>
                <w:i/>
              </w:rPr>
              <w:t>podpoře</w:t>
            </w:r>
            <w:r>
              <w:t xml:space="preserve"> příjmu a </w:t>
            </w:r>
            <w:r>
              <w:rPr>
                <w:b/>
                <w:i/>
              </w:rPr>
              <w:t>poskytování</w:t>
            </w:r>
            <w:r>
              <w:t xml:space="preserve"> sociálního zabezpečení s cílem zajistit </w:t>
            </w:r>
            <w:r>
              <w:rPr>
                <w:b/>
                <w:i/>
              </w:rPr>
              <w:t>rovnocennou míru účasti</w:t>
            </w:r>
            <w:r>
              <w:t xml:space="preserve"> osob nejvíce vzdálených trhu práce, zejména osob se zdravotním postižením a Romů;</w:t>
            </w:r>
          </w:p>
        </w:tc>
        <w:tc>
          <w:tcPr>
            <w:tcW w:w="4876" w:type="dxa"/>
            <w:tcBorders>
              <w:top w:val="nil"/>
              <w:left w:val="nil"/>
              <w:bottom w:val="nil"/>
              <w:right w:val="nil"/>
            </w:tcBorders>
          </w:tcPr>
          <w:p>
            <w:pPr>
              <w:pStyle w:val="Normal6a"/>
            </w:pPr>
            <w:r>
              <w:t>13.</w:t>
            </w:r>
            <w:r>
              <w:tab/>
            </w:r>
            <w:r>
              <w:t xml:space="preserve">vyzývá k pečlivému sledování aktivních opatření na trhu práce, jakož i k </w:t>
            </w:r>
            <w:r>
              <w:rPr>
                <w:b/>
                <w:i/>
              </w:rPr>
              <w:t>zajištění</w:t>
            </w:r>
            <w:r>
              <w:t xml:space="preserve"> přiměřené </w:t>
            </w:r>
            <w:r>
              <w:rPr>
                <w:b/>
                <w:i/>
              </w:rPr>
              <w:t>podpory</w:t>
            </w:r>
            <w:r>
              <w:t xml:space="preserve"> příjmu a sociálního zabezpečení s cílem zajistit </w:t>
            </w:r>
            <w:r>
              <w:rPr>
                <w:b/>
                <w:i/>
              </w:rPr>
              <w:t>rovnou účast</w:t>
            </w:r>
            <w:r>
              <w:t xml:space="preserve"> osob nejvíce vzdálených trhu práce, zejména </w:t>
            </w:r>
            <w:r>
              <w:rPr>
                <w:b/>
                <w:i/>
              </w:rPr>
              <w:t>žen,</w:t>
            </w:r>
            <w:r>
              <w:t xml:space="preserve"> osob se zdravotním postižením </w:t>
            </w:r>
            <w:r>
              <w:rPr>
                <w:b/>
                <w:i/>
              </w:rPr>
              <w:t>migrujících pracovníků, osob z komunity LGBTIQ+, mladých lidí vstupujících na trh práce</w:t>
            </w:r>
            <w:r>
              <w:t xml:space="preserve"> a Romů; </w:t>
            </w:r>
            <w:r>
              <w:rPr>
                <w:b/>
                <w:i/>
              </w:rPr>
              <w:t>lidí, mimo jiné těch, kteří mohou potřebovat dodatečnou podporu;</w:t>
            </w:r>
            <w:r>
              <w:t xml:space="preserve"> </w:t>
            </w:r>
            <w:r>
              <w:rPr>
                <w:b/>
                <w:i/>
              </w:rPr>
              <w:t>v této souvislosti připomíná výzvu Parlamentu k přijetí směrnice o minimálním příjmu</w:t>
            </w:r>
            <w:r>
              <w:rPr>
                <w:b/>
                <w:i/>
                <w:vertAlign w:val="superscript"/>
              </w:rPr>
              <w:t>1a</w:t>
            </w:r>
            <w:r>
              <w:rPr>
                <w:b/>
                <w:i/>
              </w:rPr>
              <w:t>, která by dále zlepšila dostupnost, přiměřenost a účinnost systémů minimálního příjmu, a podpořila tak vzestupnou sociální konvergenci;</w:t>
            </w:r>
            <w:r>
              <w:t xml:space="preserve"> </w:t>
            </w:r>
            <w:r>
              <w:rPr>
                <w:b/>
                <w:i/>
              </w:rPr>
              <w:t>připomíná, že systémy minimálního příjmu by měly chránit lidi, kteří nemají dostatek prostředků, před chudobou a sociálním vyloučením;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https://www.europarl.europa.eu/doceo/document/TA-9-2023-0076_CS.html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vyzývá k pečlivému sledování aktivních opatření na trhu práce, jakož i </w:t>
            </w:r>
            <w:r>
              <w:rPr>
                <w:b/>
                <w:i/>
              </w:rPr>
              <w:t>k</w:t>
            </w:r>
            <w:r>
              <w:t xml:space="preserve"> přiměřené </w:t>
            </w:r>
            <w:r>
              <w:rPr>
                <w:b/>
                <w:i/>
              </w:rPr>
              <w:t>podpoře</w:t>
            </w:r>
            <w:r>
              <w:t xml:space="preserve"> příjmu a poskytování sociálního zabezpečení s cílem zajistit </w:t>
            </w:r>
            <w:r>
              <w:rPr>
                <w:b/>
                <w:i/>
              </w:rPr>
              <w:t>rovnocennou míru účasti</w:t>
            </w:r>
            <w:r>
              <w:t xml:space="preserve"> osob nejvíce vzdálených trhu práce</w:t>
            </w:r>
            <w:r>
              <w:rPr>
                <w:b/>
                <w:i/>
              </w:rPr>
              <w:t>, zejména osob se zdravotním postižením a Romů</w:t>
            </w:r>
            <w:r>
              <w:t>;</w:t>
            </w:r>
          </w:p>
        </w:tc>
        <w:tc>
          <w:tcPr>
            <w:tcW w:w="4876" w:type="dxa"/>
            <w:tcBorders>
              <w:top w:val="nil"/>
              <w:left w:val="nil"/>
              <w:bottom w:val="nil"/>
              <w:right w:val="nil"/>
            </w:tcBorders>
          </w:tcPr>
          <w:p>
            <w:pPr>
              <w:pStyle w:val="Normal6a"/>
            </w:pPr>
            <w:r>
              <w:t>13.</w:t>
            </w:r>
            <w:r>
              <w:tab/>
            </w:r>
            <w:r>
              <w:t xml:space="preserve">vyzývá k pečlivému sledování aktivních opatření na trhu práce, </w:t>
            </w:r>
            <w:r>
              <w:rPr>
                <w:b/>
                <w:i/>
              </w:rPr>
              <w:t>včetně rovného přístupu ke kvalitním pracovním místům,</w:t>
            </w:r>
            <w:r>
              <w:t xml:space="preserve"> jakož i přiměřené </w:t>
            </w:r>
            <w:r>
              <w:rPr>
                <w:b/>
                <w:i/>
              </w:rPr>
              <w:t>podpory</w:t>
            </w:r>
            <w:r>
              <w:t xml:space="preserve"> příjmu a poskytování sociálního zabezpečení s cílem zajistit </w:t>
            </w:r>
            <w:r>
              <w:rPr>
                <w:b/>
                <w:i/>
              </w:rPr>
              <w:t>rovnou účast zranitelných skupin a</w:t>
            </w:r>
            <w:r>
              <w:t xml:space="preserve"> osob nejvíce vzdálených trhu práce</w:t>
            </w:r>
            <w:r>
              <w:rPr>
                <w:b/>
                <w:i/>
              </w:rPr>
              <w:t>;</w:t>
            </w:r>
            <w:r>
              <w:t xml:space="preserve"> </w:t>
            </w:r>
            <w:r>
              <w:rPr>
                <w:b/>
                <w:i/>
              </w:rPr>
              <w:t>v této souvislosti zdůrazňuje, že je důležité vytvořit závazný rámec EU pro systémy přiměřeného minimálního příjmu, jak to požaduje usnesení Evropského parlamentu, s cílem zaručit jistotu příjmu, snížit chudobu a podpořit začlenění na trh práce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vyzývá k pečlivému sledování aktivních opatření na trhu práce, jakož i k přiměřené podpoře příjmu a poskytování sociálního zabezpečení s cílem zajistit rovnocennou míru účasti osob nejvíce vzdálených trhu práce, zejména osob se zdravotním postižením </w:t>
            </w:r>
            <w:r>
              <w:rPr>
                <w:b/>
                <w:i/>
              </w:rPr>
              <w:t>a Romů</w:t>
            </w:r>
            <w:r>
              <w:t>;</w:t>
            </w:r>
          </w:p>
        </w:tc>
        <w:tc>
          <w:tcPr>
            <w:tcW w:w="4876" w:type="dxa"/>
            <w:tcBorders>
              <w:top w:val="nil"/>
              <w:left w:val="nil"/>
              <w:bottom w:val="nil"/>
              <w:right w:val="nil"/>
            </w:tcBorders>
          </w:tcPr>
          <w:p>
            <w:pPr>
              <w:pStyle w:val="Normal6a"/>
            </w:pPr>
            <w:r>
              <w:t>13.</w:t>
            </w:r>
            <w:r>
              <w:tab/>
            </w:r>
            <w:r>
              <w:t xml:space="preserve">vyzývá k pečlivému sledování aktivních opatření na trhu práce, jakož i k přiměřené podpoře </w:t>
            </w:r>
            <w:r>
              <w:rPr>
                <w:b/>
                <w:i/>
              </w:rPr>
              <w:t>minimálního</w:t>
            </w:r>
            <w:r>
              <w:t xml:space="preserve"> příjmu a poskytování </w:t>
            </w:r>
            <w:r>
              <w:rPr>
                <w:b/>
                <w:i/>
              </w:rPr>
              <w:t>univerzálního</w:t>
            </w:r>
            <w:r>
              <w:t xml:space="preserve"> sociálního zabezpečení s cílem zajistit rovnocennou míru účasti osob nejvíce vzdálených trhu práce, zejména osob se zdravotním postižením</w:t>
            </w:r>
            <w:r>
              <w:rPr>
                <w:b/>
                <w:i/>
              </w:rPr>
              <w:t>, Romů a dlouhodobě nezaměstnaných osob</w:t>
            </w:r>
            <w:r>
              <w:t xml:space="preserve">; </w:t>
            </w:r>
            <w:r>
              <w:rPr>
                <w:b/>
                <w:i/>
              </w:rPr>
              <w:t>zdůrazňuje potřebu řádné sociální ochrany a podpory i pro osoby samostatně výdělečně činné;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vyzývá k pečlivému sledování aktivních opatření na trhu práce, jakož i k přiměřené podpoře</w:t>
            </w:r>
            <w:r>
              <w:t xml:space="preserve"> příjmu a </w:t>
            </w:r>
            <w:r>
              <w:rPr>
                <w:b/>
                <w:i/>
              </w:rPr>
              <w:t>poskytování</w:t>
            </w:r>
            <w:r>
              <w:t xml:space="preserve"> sociálního zabezpečení s cílem zajistit </w:t>
            </w:r>
            <w:r>
              <w:rPr>
                <w:b/>
                <w:i/>
              </w:rPr>
              <w:t>rovnocennou míru účasti osob nejvíce vzdálených trhu práce, zejména</w:t>
            </w:r>
            <w:r>
              <w:t xml:space="preserve"> osob se zdravotním postižením </w:t>
            </w:r>
            <w:r>
              <w:rPr>
                <w:b/>
                <w:i/>
              </w:rPr>
              <w:t>a Romů</w:t>
            </w:r>
            <w:r>
              <w:t>;</w:t>
            </w:r>
          </w:p>
        </w:tc>
        <w:tc>
          <w:tcPr>
            <w:tcW w:w="4876" w:type="dxa"/>
            <w:tcBorders>
              <w:top w:val="nil"/>
              <w:left w:val="nil"/>
              <w:bottom w:val="nil"/>
              <w:right w:val="nil"/>
            </w:tcBorders>
          </w:tcPr>
          <w:p>
            <w:pPr>
              <w:pStyle w:val="Normal6a"/>
            </w:pPr>
            <w:r>
              <w:t>13.</w:t>
            </w:r>
            <w:r>
              <w:tab/>
            </w:r>
            <w:r>
              <w:rPr>
                <w:b/>
                <w:i/>
              </w:rPr>
              <w:t>doporučuje, aby členské státy, které na to dosud nemají zvláštní program, zavedly podporu</w:t>
            </w:r>
            <w:r>
              <w:t xml:space="preserve"> příjmu a </w:t>
            </w:r>
            <w:r>
              <w:rPr>
                <w:b/>
                <w:i/>
              </w:rPr>
              <w:t>odpovídající dávky</w:t>
            </w:r>
            <w:r>
              <w:t xml:space="preserve"> sociálního zabezpečení s cílem zajistit </w:t>
            </w:r>
            <w:r>
              <w:rPr>
                <w:b/>
                <w:i/>
              </w:rPr>
              <w:t>rovnou účast</w:t>
            </w:r>
            <w:r>
              <w:t xml:space="preserve"> osob se zdravotním postižením </w:t>
            </w:r>
            <w:r>
              <w:rPr>
                <w:b/>
                <w:i/>
              </w:rPr>
              <w:t>na trhu práce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vyzývá k pečlivému sledování aktivních opatření na trhu práce, jakož i k přiměřené podpoře příjmu a poskytování sociálního zabezpečení s cílem zajistit rovnocennou míru účasti osob nejvíce vzdálených trhu práce, </w:t>
            </w:r>
            <w:r>
              <w:rPr>
                <w:b/>
                <w:i/>
              </w:rPr>
              <w:t>zejména</w:t>
            </w:r>
            <w:r>
              <w:t xml:space="preserve"> osob se zdravotním postižením a </w:t>
            </w:r>
            <w:r>
              <w:rPr>
                <w:b/>
                <w:i/>
              </w:rPr>
              <w:t>Romů</w:t>
            </w:r>
            <w:r>
              <w:t>;</w:t>
            </w:r>
          </w:p>
        </w:tc>
        <w:tc>
          <w:tcPr>
            <w:tcW w:w="4876" w:type="dxa"/>
            <w:tcBorders>
              <w:top w:val="nil"/>
              <w:left w:val="nil"/>
              <w:bottom w:val="nil"/>
              <w:right w:val="nil"/>
            </w:tcBorders>
          </w:tcPr>
          <w:p>
            <w:pPr>
              <w:pStyle w:val="Normal6a"/>
            </w:pPr>
            <w:r>
              <w:t>13.</w:t>
            </w:r>
            <w:r>
              <w:tab/>
            </w:r>
            <w:r>
              <w:t xml:space="preserve">vyzývá k pečlivému sledování aktivních opatření na trhu práce, jakož i k přiměřené podpoře příjmu a poskytování sociálního zabezpečení s cílem zajistit rovnocennou míru účasti osob nejvíce vzdálených trhu práce, </w:t>
            </w:r>
            <w:r>
              <w:rPr>
                <w:b/>
                <w:i/>
              </w:rPr>
              <w:t>včetně</w:t>
            </w:r>
            <w:r>
              <w:t xml:space="preserve"> osob se zdravotním postižením a </w:t>
            </w:r>
            <w:r>
              <w:rPr>
                <w:b/>
                <w:i/>
              </w:rPr>
              <w:t>příslušníků menšin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domnívá se, že sociální ekonomika je zásadní hnací silou provádění evropského pilíře sociálních práv a jeho cílů, přičemž často poskytuje zaměstnání zranitelným a vyloučeným skupinám; vyzývá Komisi a členské státy, aby posílily svou podporu všem podnikům sociální ekonomiky, </w:t>
            </w:r>
            <w:r>
              <w:rPr>
                <w:b/>
                <w:i/>
              </w:rPr>
              <w:t>zejména neziskovým podnikům,</w:t>
            </w:r>
            <w:r>
              <w:t xml:space="preserve"> s cílem prosazovat kvalitní a důstojnou práci podporující začlenění;</w:t>
            </w:r>
          </w:p>
        </w:tc>
        <w:tc>
          <w:tcPr>
            <w:tcW w:w="4876" w:type="dxa"/>
            <w:tcBorders>
              <w:top w:val="nil"/>
              <w:left w:val="nil"/>
              <w:bottom w:val="nil"/>
              <w:right w:val="nil"/>
            </w:tcBorders>
          </w:tcPr>
          <w:p>
            <w:pPr>
              <w:pStyle w:val="Normal6a"/>
            </w:pPr>
            <w:r>
              <w:t>14.</w:t>
            </w:r>
            <w:r>
              <w:tab/>
            </w:r>
            <w:r>
              <w:t>domnívá se, že sociální ekonomika je zásadní hnací silou provádění evropského pilíře sociálních práv a jeho cílů, přičemž často poskytuje zaměstnání zranitelným a vyloučeným skupinám; vyzývá Komisi a členské státy, aby posílily svou podporu všem podnikům sociální ekonomiky, s cílem prosazovat kvalitní a důstojnou práci podporující začlenění;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domnívá se, že sociální ekonomika </w:t>
            </w:r>
            <w:r>
              <w:rPr>
                <w:b/>
                <w:i/>
              </w:rPr>
              <w:t>je zásadní hnací silou provádění evropského pilíře</w:t>
            </w:r>
            <w:r>
              <w:t xml:space="preserve"> sociálních práv </w:t>
            </w:r>
            <w:r>
              <w:rPr>
                <w:b/>
                <w:i/>
              </w:rPr>
              <w:t>a jeho cílů, přičemž často poskytuje</w:t>
            </w:r>
            <w:r>
              <w:t xml:space="preserve"> zaměstnání </w:t>
            </w:r>
            <w:r>
              <w:rPr>
                <w:b/>
                <w:i/>
              </w:rPr>
              <w:t>zranitelným a vyloučeným skupinám;</w:t>
            </w:r>
            <w:r>
              <w:t xml:space="preserve"> </w:t>
            </w:r>
            <w:r>
              <w:rPr>
                <w:b/>
                <w:i/>
              </w:rPr>
              <w:t>vyzývá Komisi a</w:t>
            </w:r>
            <w:r>
              <w:t xml:space="preserve"> členské státy</w:t>
            </w:r>
            <w:r>
              <w:rPr>
                <w:b/>
                <w:i/>
              </w:rPr>
              <w:t>, aby posílily svou podporu všem podnikům</w:t>
            </w:r>
            <w:r>
              <w:t xml:space="preserve"> sociální </w:t>
            </w:r>
            <w:r>
              <w:rPr>
                <w:b/>
                <w:i/>
              </w:rPr>
              <w:t>ekonomiky, zejména neziskovým podnikům</w:t>
            </w:r>
            <w:r>
              <w:t xml:space="preserve">, s cílem </w:t>
            </w:r>
            <w:r>
              <w:rPr>
                <w:b/>
                <w:i/>
              </w:rPr>
              <w:t>prosazovat kvalitní a</w:t>
            </w:r>
            <w:r>
              <w:t xml:space="preserve"> důstojnou práci </w:t>
            </w:r>
            <w:r>
              <w:rPr>
                <w:b/>
                <w:i/>
              </w:rPr>
              <w:t>podporující začlenění</w:t>
            </w:r>
            <w:r>
              <w:t>;</w:t>
            </w:r>
          </w:p>
        </w:tc>
        <w:tc>
          <w:tcPr>
            <w:tcW w:w="4876" w:type="dxa"/>
            <w:tcBorders>
              <w:top w:val="nil"/>
              <w:left w:val="nil"/>
              <w:bottom w:val="nil"/>
              <w:right w:val="nil"/>
            </w:tcBorders>
          </w:tcPr>
          <w:p>
            <w:pPr>
              <w:pStyle w:val="Normal6a"/>
            </w:pPr>
            <w:r>
              <w:t>14.</w:t>
            </w:r>
            <w:r>
              <w:tab/>
            </w:r>
            <w:r>
              <w:t xml:space="preserve">domnívá se, že sociální </w:t>
            </w:r>
            <w:r>
              <w:rPr>
                <w:b/>
                <w:i/>
              </w:rPr>
              <w:t>a solidární</w:t>
            </w:r>
            <w:r>
              <w:t xml:space="preserve"> ekonomika </w:t>
            </w:r>
            <w:r>
              <w:rPr>
                <w:b/>
                <w:i/>
              </w:rPr>
              <w:t>přispívá k dodržování</w:t>
            </w:r>
            <w:r>
              <w:t xml:space="preserve"> sociálních práv </w:t>
            </w:r>
            <w:r>
              <w:rPr>
                <w:b/>
                <w:i/>
              </w:rPr>
              <w:t>pracovníků v řadě zařízení péče o děti, včetně zařízení poskytujících</w:t>
            </w:r>
            <w:r>
              <w:t xml:space="preserve"> zaměstnání </w:t>
            </w:r>
            <w:r>
              <w:rPr>
                <w:b/>
                <w:i/>
              </w:rPr>
              <w:t>osobám se zdravotním postižením;</w:t>
            </w:r>
            <w:r>
              <w:t xml:space="preserve"> </w:t>
            </w:r>
            <w:r>
              <w:rPr>
                <w:b/>
                <w:i/>
              </w:rPr>
              <w:t>doporučuje, aby</w:t>
            </w:r>
            <w:r>
              <w:t xml:space="preserve"> členské státy </w:t>
            </w:r>
            <w:r>
              <w:rPr>
                <w:b/>
                <w:i/>
              </w:rPr>
              <w:t>podporovaly</w:t>
            </w:r>
            <w:r>
              <w:t xml:space="preserve"> sociální </w:t>
            </w:r>
            <w:r>
              <w:rPr>
                <w:b/>
                <w:i/>
              </w:rPr>
              <w:t>a solidární podniky, které přispívají k začleňování osob se zdravotním postižením</w:t>
            </w:r>
            <w:r>
              <w:t xml:space="preserve">, s cílem </w:t>
            </w:r>
            <w:r>
              <w:rPr>
                <w:b/>
                <w:i/>
              </w:rPr>
              <w:t>zajistit jim</w:t>
            </w:r>
            <w:r>
              <w:t xml:space="preserve"> důstojnou </w:t>
            </w:r>
            <w:r>
              <w:rPr>
                <w:b/>
                <w:i/>
              </w:rPr>
              <w:t>a kvalitní</w:t>
            </w:r>
            <w:r>
              <w:t xml:space="preserve"> práci;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konstatuje, že plný potenciál odvětví sociální ekonomiky pro řešení socioekonomických výzev vyžaduje, aby veřejné orgány jasně určily sociální priority;</w:t>
            </w:r>
            <w:r>
              <w:t xml:space="preserve"> </w:t>
            </w:r>
            <w:r>
              <w:rPr>
                <w:b/>
                <w:i/>
              </w:rPr>
              <w:t>a poskytovatele sociálních služeb v první linii;</w:t>
            </w:r>
            <w:r>
              <w:t xml:space="preserve"> </w:t>
            </w:r>
            <w:r>
              <w:rPr>
                <w:b/>
                <w:i/>
              </w:rPr>
              <w:t>zdůrazňuje, že projekty sociální ekonomiky obecně vyžadují úzké partnerství s veřejnými subjekty, a vyzývá proto Komisi a členské státy, aby v rámci makroekonomické správy na úrovni EU vypracovaly (novou) strategii sociálních investic, která nebude zasahovat do stávajících nástrojů financování a v níž budou jasně stanoveny sociální priority v souladu s evropským pilířem sociálních práv a která bude moci poskytnout rámec pro spolupráci mezi veřejnými orgány a organizacemi sociální ekonomiky;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zdůrazňuje, že dosažení cílů pro rok 2030 rovněž vyžaduje uplatňování zásad řádné správy věcí veřejných založených na právním státu, odpovědných institucích, účinné regulaci a zamezení právní nejistotě;</w:t>
            </w:r>
          </w:p>
        </w:tc>
        <w:tc>
          <w:tcPr>
            <w:tcW w:w="4876" w:type="dxa"/>
            <w:tcBorders>
              <w:top w:val="nil"/>
              <w:left w:val="nil"/>
              <w:bottom w:val="nil"/>
              <w:right w:val="nil"/>
            </w:tcBorders>
          </w:tcPr>
          <w:p>
            <w:pPr>
              <w:pStyle w:val="Normal6a"/>
            </w:pPr>
            <w:r>
              <w:t>15.</w:t>
            </w:r>
            <w:r>
              <w:tab/>
            </w:r>
            <w:r>
              <w:t xml:space="preserve">zdůrazňuje, že dosažení cílů pro rok 2030 rovněž vyžaduje uplatňování zásad řádné správy věcí veřejných založených na právním státu, odpovědných institucích, účinné regulaci a zamezení právní nejistotě; </w:t>
            </w:r>
            <w:r>
              <w:rPr>
                <w:b/>
                <w:i/>
              </w:rPr>
              <w:t>je znepokojen tím, že deregulační program Komise by mohl vést ke zrušení stávajících sociálních a environmentálních norem, což by bránilo pokroku Unie při plnění cílů pro rok 2030;</w:t>
            </w:r>
            <w:r>
              <w:t xml:space="preserve"> </w:t>
            </w:r>
            <w:r>
              <w:rPr>
                <w:b/>
                <w:i/>
              </w:rPr>
              <w:t>vyzývá Komisi a členské státy, aby dostály svému závazku ke společným cílům Unie, a zejména k článku 3 Smlouvy o Evropské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zdůrazňuje, že dosažení cílů pro rok 2030 rovněž vyžaduje uplatňování zásad řádné správy věcí veřejných založených na právním státu, odpovědných institucích, </w:t>
            </w:r>
            <w:r>
              <w:rPr>
                <w:b/>
                <w:i/>
              </w:rPr>
              <w:t>účinné regulaci a zamezení</w:t>
            </w:r>
            <w:r>
              <w:t xml:space="preserve"> právní nejistotě;</w:t>
            </w:r>
          </w:p>
        </w:tc>
        <w:tc>
          <w:tcPr>
            <w:tcW w:w="4876" w:type="dxa"/>
            <w:tcBorders>
              <w:top w:val="nil"/>
              <w:left w:val="nil"/>
              <w:bottom w:val="nil"/>
              <w:right w:val="nil"/>
            </w:tcBorders>
          </w:tcPr>
          <w:p>
            <w:pPr>
              <w:pStyle w:val="Normal6a"/>
            </w:pPr>
            <w:r>
              <w:t>15.</w:t>
            </w:r>
            <w:r>
              <w:tab/>
            </w:r>
            <w:r>
              <w:t xml:space="preserve">zdůrazňuje, že dosažení cílů pro rok 2030 rovněž vyžaduje uplatňování zásad řádné správy věcí veřejných založených na právním státu, odpovědných institucích, </w:t>
            </w:r>
            <w:r>
              <w:rPr>
                <w:b/>
                <w:i/>
              </w:rPr>
              <w:t>i na jejich účinném provádění, monitorování a prosazování a předcházení</w:t>
            </w:r>
            <w:r>
              <w:t xml:space="preserve"> právní nejistotě; </w:t>
            </w:r>
            <w:r>
              <w:rPr>
                <w:b/>
                <w:i/>
              </w:rPr>
              <w:t>v této souvislosti vyzývá k tomu, aby politické prohlášení vyplývající z druhého světového summitu obsahovalo smysluplné závazky týkající se prosazování cílů udržitelného rozvoje a řešení přetrvávajících nedostatků v sociálním rozvoji, jakož i silné mechanismy monitorování a přezkumu;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zdůrazňuje, že dosažení cílů pro rok 2030 rovněž </w:t>
            </w:r>
            <w:r>
              <w:rPr>
                <w:b/>
                <w:i/>
              </w:rPr>
              <w:t>vyžaduje uplatňování zásad</w:t>
            </w:r>
            <w:r>
              <w:t xml:space="preserve"> řádné správy věcí veřejných </w:t>
            </w:r>
            <w:r>
              <w:rPr>
                <w:b/>
                <w:i/>
              </w:rPr>
              <w:t>založených</w:t>
            </w:r>
            <w:r>
              <w:t xml:space="preserve"> na právním státu, odpovědných institucích</w:t>
            </w:r>
            <w:r>
              <w:rPr>
                <w:b/>
                <w:i/>
              </w:rPr>
              <w:t>,</w:t>
            </w:r>
            <w:r>
              <w:t xml:space="preserve"> účinné regulaci a </w:t>
            </w:r>
            <w:r>
              <w:rPr>
                <w:b/>
                <w:i/>
              </w:rPr>
              <w:t>zamezení</w:t>
            </w:r>
            <w:r>
              <w:t xml:space="preserve"> právní nejistotě;</w:t>
            </w:r>
          </w:p>
        </w:tc>
        <w:tc>
          <w:tcPr>
            <w:tcW w:w="4876" w:type="dxa"/>
            <w:tcBorders>
              <w:top w:val="nil"/>
              <w:left w:val="nil"/>
              <w:bottom w:val="nil"/>
              <w:right w:val="nil"/>
            </w:tcBorders>
          </w:tcPr>
          <w:p>
            <w:pPr>
              <w:pStyle w:val="Normal6a"/>
            </w:pPr>
            <w:r>
              <w:t>15.</w:t>
            </w:r>
            <w:r>
              <w:tab/>
            </w:r>
            <w:r>
              <w:t xml:space="preserve">zdůrazňuje, že </w:t>
            </w:r>
            <w:r>
              <w:rPr>
                <w:b/>
                <w:i/>
              </w:rPr>
              <w:t>k</w:t>
            </w:r>
            <w:r>
              <w:t xml:space="preserve"> dosažení cílů pro rok 2030 </w:t>
            </w:r>
            <w:r>
              <w:rPr>
                <w:b/>
                <w:i/>
              </w:rPr>
              <w:t>je</w:t>
            </w:r>
            <w:r>
              <w:t xml:space="preserve"> rovněž </w:t>
            </w:r>
            <w:r>
              <w:rPr>
                <w:b/>
                <w:i/>
              </w:rPr>
              <w:t>nezbytné uplatňovat zásady</w:t>
            </w:r>
            <w:r>
              <w:t xml:space="preserve"> řádné správy věcí veřejných </w:t>
            </w:r>
            <w:r>
              <w:rPr>
                <w:b/>
                <w:i/>
              </w:rPr>
              <w:t>založené</w:t>
            </w:r>
            <w:r>
              <w:t xml:space="preserve"> na právním státu, odpovědných institucích </w:t>
            </w:r>
            <w:r>
              <w:rPr>
                <w:b/>
                <w:i/>
              </w:rPr>
              <w:t>a</w:t>
            </w:r>
            <w:r>
              <w:t xml:space="preserve"> účinné regulaci a </w:t>
            </w:r>
            <w:r>
              <w:rPr>
                <w:b/>
                <w:i/>
              </w:rPr>
              <w:t>zároveň bránit</w:t>
            </w:r>
            <w:r>
              <w:t xml:space="preserve"> právní nejistotě</w:t>
            </w:r>
            <w:r>
              <w:rPr>
                <w:b/>
                <w:i/>
              </w:rPr>
              <w:t>, a to i v případě kandidátských zemí EU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zdůrazňuje rovněž, že tyto zásady jsou založeny na svrchovanosti členských států, zahrnují boj proti zahraničnímu vměšování a jsou podmíněny svobodou jednání států, aby byla zaručena práva jejich národů;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zdůrazňuje, že vedoucího postavení v oblasti mezinárodních lidských práv lze nejlépe dosáhnout vlastním příkladem, což zahrnuje ochotu ratifikovat mezinárodní nástroje v oblasti lidských práv a plně a účinně je provádět;</w:t>
            </w:r>
            <w:r>
              <w:t xml:space="preserve"> </w:t>
            </w:r>
            <w:r>
              <w:rPr>
                <w:b/>
                <w:i/>
              </w:rPr>
              <w:t>konstatuje, že globální závazek v oblasti lidských práv musí být posílen také využíváním diplomatických a hospodářských příležitostí k tomu, aby se posílila angažovanost v oblasti lidskoprávních nástrojů a umožnilo se ostatním aktérům – jako jsou nevládní organizace a odborové organizace – svobodně pracovat na prosazování norem v oblasti lidských práv na celém světě;</w:t>
            </w:r>
            <w:r>
              <w:t xml:space="preserve"> </w:t>
            </w:r>
            <w:r>
              <w:rPr>
                <w:b/>
                <w:i/>
              </w:rPr>
              <w:t>připomíná, že lidská práva a sociální práva mohou věrohodně prosazovat pouze země, které samy plní své povinnosti;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zdůrazňuje, že vedoucího postavení v oblasti mezinárodních lidských práv lze nejlépe dosáhnout vlastním příkladem, což zahrnuje ochotu ratifikovat mezinárodní nástroje v oblasti lidských práv a plně a účinně je provádět; konstatuje, že globální závazek v oblasti lidských práv musí být posílen </w:t>
            </w:r>
            <w:r>
              <w:rPr>
                <w:b/>
                <w:i/>
              </w:rPr>
              <w:t>také</w:t>
            </w:r>
            <w:r>
              <w:t xml:space="preserve"> využíváním diplomatických a hospodářských příležitostí k </w:t>
            </w:r>
            <w:r>
              <w:rPr>
                <w:b/>
                <w:i/>
              </w:rPr>
              <w:t>tomu, aby se posílila angažovanost</w:t>
            </w:r>
            <w:r>
              <w:t xml:space="preserve"> v oblasti </w:t>
            </w:r>
            <w:r>
              <w:rPr>
                <w:b/>
                <w:i/>
              </w:rPr>
              <w:t>lidskoprávních nástrojů a umožnilo se ostatním aktérům</w:t>
            </w:r>
            <w:r>
              <w:t xml:space="preserve"> – jako jsou nevládní organizace a </w:t>
            </w:r>
            <w:r>
              <w:rPr>
                <w:b/>
                <w:i/>
              </w:rPr>
              <w:t>odborové organizace –</w:t>
            </w:r>
            <w:r>
              <w:t xml:space="preserve"> svobodně pracovat na prosazování norem v oblasti lidských práv na celém světě; připomíná, že lidská práva a sociální práva mohou věrohodně prosazovat pouze země, které samy plní své povinnosti;</w:t>
            </w:r>
          </w:p>
        </w:tc>
        <w:tc>
          <w:tcPr>
            <w:tcW w:w="4876" w:type="dxa"/>
            <w:tcBorders>
              <w:top w:val="nil"/>
              <w:left w:val="nil"/>
              <w:bottom w:val="nil"/>
              <w:right w:val="nil"/>
            </w:tcBorders>
          </w:tcPr>
          <w:p>
            <w:pPr>
              <w:pStyle w:val="Normal6a"/>
            </w:pPr>
            <w:r>
              <w:t>16.</w:t>
            </w:r>
            <w:r>
              <w:tab/>
            </w:r>
            <w:r>
              <w:t>zdůrazňuje, že vedoucího postavení v oblasti mezinárodních lidských práv lze nejlépe dosáhnout vlastním příkladem</w:t>
            </w:r>
            <w:r>
              <w:rPr>
                <w:b/>
                <w:i/>
              </w:rPr>
              <w:t>, zejména příkladem orgánů EU</w:t>
            </w:r>
            <w:r>
              <w:t xml:space="preserve">, což zahrnuje ochotu ratifikovat mezinárodní nástroje v oblasti lidských práv a plně a účinně je provádět; konstatuje, že globální závazek v oblasti lidských práv musí být </w:t>
            </w:r>
            <w:r>
              <w:rPr>
                <w:b/>
                <w:i/>
              </w:rPr>
              <w:t>rovněž</w:t>
            </w:r>
            <w:r>
              <w:t xml:space="preserve"> posílen využíváním diplomatických a hospodářských příležitostí k </w:t>
            </w:r>
            <w:r>
              <w:rPr>
                <w:b/>
                <w:i/>
              </w:rPr>
              <w:t>posílení závazků vůči nástrojům</w:t>
            </w:r>
            <w:r>
              <w:t xml:space="preserve"> v oblasti </w:t>
            </w:r>
            <w:r>
              <w:rPr>
                <w:b/>
                <w:i/>
              </w:rPr>
              <w:t>lidských práv a k tomu, aby ostatní</w:t>
            </w:r>
            <w:r>
              <w:t xml:space="preserve"> – jako jsou nevládní organizace a </w:t>
            </w:r>
            <w:r>
              <w:rPr>
                <w:b/>
                <w:i/>
              </w:rPr>
              <w:t>odbory podporované z rozpočtu EU – mohli</w:t>
            </w:r>
            <w:r>
              <w:t xml:space="preserve"> svobodně </w:t>
            </w:r>
            <w:r>
              <w:rPr>
                <w:b/>
                <w:i/>
              </w:rPr>
              <w:t>a v souladu se Smlouvami</w:t>
            </w:r>
            <w:r>
              <w:t xml:space="preserve"> pracovat na prosazování norem v oblasti lidských práv na celém světě</w:t>
            </w:r>
            <w:r>
              <w:rPr>
                <w:b/>
                <w:i/>
              </w:rPr>
              <w:t>, aniž by byly vážně ohroženy hospodářské zájmy Unie v globálních soutěžích</w:t>
            </w:r>
            <w:r>
              <w:t xml:space="preserve">; připomíná, že lidská práva a sociální práva mohou věrohodně prosazovat pouze </w:t>
            </w:r>
            <w:r>
              <w:rPr>
                <w:b/>
                <w:i/>
              </w:rPr>
              <w:t>ty</w:t>
            </w:r>
            <w:r>
              <w:t xml:space="preserve"> země, které samy plní své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zdůrazňuje, že vedoucího postavení v oblasti mezinárodních lidských práv lze nejlépe dosáhnout vlastním příkladem, což zahrnuje ochotu ratifikovat mezinárodní nástroje v oblasti lidských práv a plně a účinně je provádět; konstatuje, že globální závazek v oblasti lidských práv musí být posílen také využíváním diplomatických a hospodářských příležitostí k tomu, aby se posílila angažovanost v oblasti lidskoprávních nástrojů </w:t>
            </w:r>
            <w:r>
              <w:rPr>
                <w:b/>
                <w:i/>
              </w:rPr>
              <w:t>a umožnilo se ostatním aktérům – jako jsou nevládní organizace a odborové organizace – svobodně pracovat na prosazování norem v oblasti lidských práv na celém světě</w:t>
            </w:r>
            <w:r>
              <w:t>; připomíná, že lidská práva a sociální práva mohou věrohodně prosazovat pouze země, které samy plní své povinnosti;</w:t>
            </w:r>
          </w:p>
        </w:tc>
        <w:tc>
          <w:tcPr>
            <w:tcW w:w="4876" w:type="dxa"/>
            <w:tcBorders>
              <w:top w:val="nil"/>
              <w:left w:val="nil"/>
              <w:bottom w:val="nil"/>
              <w:right w:val="nil"/>
            </w:tcBorders>
          </w:tcPr>
          <w:p>
            <w:pPr>
              <w:pStyle w:val="Normal6a"/>
            </w:pPr>
            <w:r>
              <w:t>16.</w:t>
            </w:r>
            <w:r>
              <w:tab/>
            </w:r>
            <w:r>
              <w:t>zdůrazňuje, že vedoucího postavení v oblasti mezinárodních lidských práv lze nejlépe dosáhnout vlastním příkladem, což zahrnuje ochotu ratifikovat mezinárodní nástroje v oblasti lidských práv a plně a účinně je provádět; konstatuje, že globální závazek v oblasti lidských práv musí být posílen také využíváním diplomatických a hospodářských příležitostí k tomu, aby se posílila angažovanost v oblasti lidskoprávních nástrojů; připomíná, že lidská práva a sociální práva mohou věrohodně prosazovat pouze země, které samy plní své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zdůrazňuje, že vedoucího postavení v oblasti mezinárodních lidských práv lze nejlépe dosáhnout vlastním příkladem, což zahrnuje ochotu ratifikovat mezinárodní nástroje v oblasti lidských práv a plně a účinně je provádět; konstatuje, že globální závazek v oblasti lidských práv musí být posílen také využíváním diplomatických a hospodářských příležitostí k tomu, aby se posílila angažovanost v oblasti lidskoprávních nástrojů a umožnilo se ostatním aktérům – jako jsou nevládní organizace a odborové organizace – svobodně pracovat na prosazování norem v oblasti lidských práv na celém světě; připomíná, že lidská práva a sociální práva mohou věrohodně prosazovat pouze země, které samy plní své povinnosti;</w:t>
            </w:r>
          </w:p>
        </w:tc>
        <w:tc>
          <w:tcPr>
            <w:tcW w:w="4876" w:type="dxa"/>
            <w:tcBorders>
              <w:top w:val="nil"/>
              <w:left w:val="nil"/>
              <w:bottom w:val="nil"/>
              <w:right w:val="nil"/>
            </w:tcBorders>
          </w:tcPr>
          <w:p>
            <w:pPr>
              <w:pStyle w:val="Normal6a"/>
            </w:pPr>
            <w:r>
              <w:t>16.</w:t>
            </w:r>
            <w:r>
              <w:tab/>
            </w:r>
            <w:r>
              <w:rPr>
                <w:b/>
                <w:i/>
              </w:rPr>
              <w:t>připomíná, že mír a globální spolupráce jsou základními podmínkami pro dosažení udržitelného rozvoje v Evropě i na celém světě;</w:t>
            </w:r>
            <w:r>
              <w:t xml:space="preserve"> zdůrazňuje, že vedoucího postavení v oblasti mezinárodních lidských práv lze nejlépe dosáhnout vlastním příkladem, což zahrnuje ochotu ratifikovat mezinárodní nástroje v oblasti lidských práv a plně a účinně je provádět; konstatuje, že globální závazek v oblasti lidských práv musí být posílen také využíváním diplomatických a hospodářských příležitostí k tomu, aby se posílila angažovanost v oblasti lidskoprávních nástrojů a umožnilo se ostatním aktérům – jako jsou nevládní organizace a odborové organizace – svobodně pracovat na prosazování norem v oblasti lidských práv na celém světě; připomíná, že lidská práva a sociální práva mohou věrohodně prosazovat pouze země, které samy plní své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zdůrazňuje, že </w:t>
            </w:r>
            <w:r>
              <w:rPr>
                <w:b/>
                <w:i/>
              </w:rPr>
              <w:t>vedoucího postavení</w:t>
            </w:r>
            <w:r>
              <w:t xml:space="preserve"> v oblasti mezinárodních lidských práv </w:t>
            </w:r>
            <w:r>
              <w:rPr>
                <w:b/>
                <w:i/>
              </w:rPr>
              <w:t>lze nejlépe dosáhnout vlastním příkladem, což zahrnuje ochotu ratifikovat</w:t>
            </w:r>
            <w:r>
              <w:t xml:space="preserve"> mezinárodní nástroje v oblasti lidských práv </w:t>
            </w:r>
            <w:r>
              <w:rPr>
                <w:b/>
                <w:i/>
              </w:rPr>
              <w:t>a plně a účinně je provádět</w:t>
            </w:r>
            <w:r>
              <w:t xml:space="preserve">; konstatuje, že globální závazek v oblasti lidských práv musí být posílen </w:t>
            </w:r>
            <w:r>
              <w:rPr>
                <w:b/>
                <w:i/>
              </w:rPr>
              <w:t>také</w:t>
            </w:r>
            <w:r>
              <w:t xml:space="preserve"> využíváním diplomatických a hospodářských příležitostí </w:t>
            </w:r>
            <w:r>
              <w:rPr>
                <w:b/>
                <w:i/>
              </w:rPr>
              <w:t>k tomu, aby se posílila angažovanost v oblasti lidskoprávních nástrojů a umožnilo se</w:t>
            </w:r>
            <w:r>
              <w:t xml:space="preserve"> ostatním </w:t>
            </w:r>
            <w:r>
              <w:rPr>
                <w:b/>
                <w:i/>
              </w:rPr>
              <w:t>aktérům</w:t>
            </w:r>
            <w:r>
              <w:t xml:space="preserve"> – jako jsou nevládní organizace a odborové </w:t>
            </w:r>
            <w:r>
              <w:rPr>
                <w:b/>
                <w:i/>
              </w:rPr>
              <w:t>organizace</w:t>
            </w:r>
            <w:r>
              <w:t xml:space="preserve"> – svobodně pracovat na prosazování </w:t>
            </w:r>
            <w:r>
              <w:rPr>
                <w:b/>
                <w:i/>
              </w:rPr>
              <w:t>norem v oblasti</w:t>
            </w:r>
            <w:r>
              <w:t xml:space="preserve"> lidských práv na celém světě; připomíná, že lidská práva a sociální práva mohou věrohodně prosazovat pouze země, které samy plní své povinnosti;</w:t>
            </w:r>
          </w:p>
        </w:tc>
        <w:tc>
          <w:tcPr>
            <w:tcW w:w="4876" w:type="dxa"/>
            <w:tcBorders>
              <w:top w:val="nil"/>
              <w:left w:val="nil"/>
              <w:bottom w:val="nil"/>
              <w:right w:val="nil"/>
            </w:tcBorders>
          </w:tcPr>
          <w:p>
            <w:pPr>
              <w:pStyle w:val="Normal6a"/>
            </w:pPr>
            <w:r>
              <w:t>16.</w:t>
            </w:r>
            <w:r>
              <w:tab/>
            </w:r>
            <w:r>
              <w:t xml:space="preserve">zdůrazňuje, že </w:t>
            </w:r>
            <w:r>
              <w:rPr>
                <w:b/>
                <w:i/>
              </w:rPr>
              <w:t>EU musí hrát vedoucí úlohu</w:t>
            </w:r>
            <w:r>
              <w:t xml:space="preserve"> v oblasti mezinárodních lidských práv </w:t>
            </w:r>
            <w:r>
              <w:rPr>
                <w:b/>
                <w:i/>
              </w:rPr>
              <w:t>tím, že bude plně a účinně provádět</w:t>
            </w:r>
            <w:r>
              <w:t xml:space="preserve"> mezinárodní nástroje v oblasti lidských práv; konstatuje, že globální závazek </w:t>
            </w:r>
            <w:r>
              <w:rPr>
                <w:b/>
                <w:i/>
              </w:rPr>
              <w:t>k nástrojům</w:t>
            </w:r>
            <w:r>
              <w:t xml:space="preserve"> v oblasti lidských práv musí být </w:t>
            </w:r>
            <w:r>
              <w:rPr>
                <w:b/>
                <w:i/>
              </w:rPr>
              <w:t>rovněž</w:t>
            </w:r>
            <w:r>
              <w:t xml:space="preserve"> posílen využíváním diplomatických a hospodářských příležitostí </w:t>
            </w:r>
            <w:r>
              <w:rPr>
                <w:b/>
                <w:i/>
              </w:rPr>
              <w:t>a také s cílem umožnit</w:t>
            </w:r>
            <w:r>
              <w:t xml:space="preserve"> ostatním – jako jsou nevládní organizace a odborové </w:t>
            </w:r>
            <w:r>
              <w:rPr>
                <w:b/>
                <w:i/>
              </w:rPr>
              <w:t>svazy</w:t>
            </w:r>
            <w:r>
              <w:t xml:space="preserve"> – svobodně pracovat na prosazování lidských práv </w:t>
            </w:r>
            <w:r>
              <w:rPr>
                <w:b/>
                <w:i/>
              </w:rPr>
              <w:t>a sociálních norem</w:t>
            </w:r>
            <w:r>
              <w:t xml:space="preserve"> na celém světě; připomíná, že lidská práva a sociální práva mohou věrohodně prosazovat pouze země, které samy plní své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zdůrazňuje, že iniciativy zaměřené na stimulaci hospodářského růstu nelze provádět na úkor sociální spravedlnosti, pracovních práv a ochrany životního prostředí;</w:t>
            </w:r>
            <w:r>
              <w:t xml:space="preserve"> </w:t>
            </w:r>
            <w:r>
              <w:rPr>
                <w:b/>
                <w:i/>
              </w:rPr>
              <w:t>vyzývá EU, aby konstruktivně usilovala o přijetí Smlouvy OSN o podnikání a lidských právech s cílem regulovat činnost nadnárodních korporací a dalších podniků a umožnit obětem domáhat se nápravy;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zdůrazňuje, že je třeba přistoupit k pravidelnému důkladnému přezkumu s cílem posuzovat pokrok, určovat nedostatky a obnovovat závazky;</w:t>
            </w:r>
            <w:r>
              <w:t xml:space="preserve"> </w:t>
            </w:r>
            <w:r>
              <w:rPr>
                <w:b/>
                <w:i/>
              </w:rPr>
              <w:t>vyzývá Mezinárodní organizaci práce (MOP), aby jednala jako hlavní subjekt navazující na závazky v oblasti sociálního rozvoje a aby posílila svou úlohu v procesu přezkumu;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za Výbor pro zaměstnanost a sociální věci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vyzývá OSN, aby zajistila plné dodržování pracovních a sociálních práv v zemích, které hostí sociální summity; </w:t>
            </w:r>
            <w:r>
              <w:rPr>
                <w:b/>
                <w:i/>
              </w:rPr>
              <w:t>vyzývá proto k rozhodnějším krokům s cílem učinit vše pro dosažení hlavních cílů EU a cílů udržitelného rozvoje v celé EU do roku 2030 a více se zasazovat o to, aby cílů udržitelného rozvoje bylo dosaženo na celém světě;</w:t>
            </w:r>
          </w:p>
        </w:tc>
        <w:tc>
          <w:tcPr>
            <w:tcW w:w="4876" w:type="dxa"/>
            <w:tcBorders>
              <w:top w:val="nil"/>
              <w:left w:val="nil"/>
              <w:bottom w:val="nil"/>
              <w:right w:val="nil"/>
            </w:tcBorders>
          </w:tcPr>
          <w:p>
            <w:pPr>
              <w:pStyle w:val="Normal6a"/>
            </w:pPr>
            <w:r>
              <w:t>17.</w:t>
            </w:r>
            <w:r>
              <w:tab/>
            </w:r>
            <w:r>
              <w:t>vyzývá OSN, aby zajistila plné dodržování pracovních a sociálních práv v zemích, které hostí sociální summity;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vyzývá OSN</w:t>
            </w:r>
            <w:r>
              <w:rPr>
                <w:b/>
                <w:i/>
              </w:rPr>
              <w:t>, aby zajistila plné dodržování pracovních a sociálních práv v zemích, které hostí</w:t>
            </w:r>
            <w:r>
              <w:t xml:space="preserve"> sociální </w:t>
            </w:r>
            <w:r>
              <w:rPr>
                <w:b/>
                <w:i/>
              </w:rPr>
              <w:t>summity</w:t>
            </w:r>
            <w:r>
              <w:t xml:space="preserve">; vyzývá proto k </w:t>
            </w:r>
            <w:r>
              <w:rPr>
                <w:b/>
                <w:i/>
              </w:rPr>
              <w:t>rozhodnějším krokům s cílem učinit vše pro</w:t>
            </w:r>
            <w:r>
              <w:t xml:space="preserve"> dosažení </w:t>
            </w:r>
            <w:r>
              <w:rPr>
                <w:b/>
                <w:i/>
              </w:rPr>
              <w:t>hlavních</w:t>
            </w:r>
            <w:r>
              <w:t xml:space="preserve"> cílů EU </w:t>
            </w:r>
            <w:r>
              <w:rPr>
                <w:b/>
                <w:i/>
              </w:rPr>
              <w:t>a cílů udržitelného rozvoje v celé EU do roku 2030 a více se zasazovat o to, aby</w:t>
            </w:r>
            <w:r>
              <w:t xml:space="preserve"> cílů udržitelného rozvoje </w:t>
            </w:r>
            <w:r>
              <w:rPr>
                <w:b/>
                <w:i/>
              </w:rPr>
              <w:t>bylo dosaženo</w:t>
            </w:r>
            <w:r>
              <w:t xml:space="preserve"> na celém světě;</w:t>
            </w:r>
          </w:p>
        </w:tc>
        <w:tc>
          <w:tcPr>
            <w:tcW w:w="4876" w:type="dxa"/>
            <w:tcBorders>
              <w:top w:val="nil"/>
              <w:left w:val="nil"/>
              <w:bottom w:val="nil"/>
              <w:right w:val="nil"/>
            </w:tcBorders>
          </w:tcPr>
          <w:p>
            <w:pPr>
              <w:pStyle w:val="Normal6a"/>
            </w:pPr>
            <w:r>
              <w:t>17.</w:t>
            </w:r>
            <w:r>
              <w:tab/>
            </w:r>
            <w:r>
              <w:t xml:space="preserve">vyzývá OSN </w:t>
            </w:r>
            <w:r>
              <w:rPr>
                <w:b/>
                <w:i/>
              </w:rPr>
              <w:t>a všechny zúčastněné země, aby plně dodržovaly pracovní a</w:t>
            </w:r>
            <w:r>
              <w:t xml:space="preserve"> sociální </w:t>
            </w:r>
            <w:r>
              <w:rPr>
                <w:b/>
                <w:i/>
              </w:rPr>
              <w:t>práva, mimo jiné ratifikací základních úmluv MOP, dodržováním rovnosti žen a mužů a dodržováním hodnot sociální deklarace</w:t>
            </w:r>
            <w:r>
              <w:t xml:space="preserve">; vyzývá proto k </w:t>
            </w:r>
            <w:r>
              <w:rPr>
                <w:b/>
                <w:i/>
              </w:rPr>
              <w:t>většímu celosvětovému sladění se zásadami evropského pilíře sociálních práv a prohlášení z La Hulpe;</w:t>
            </w:r>
            <w:r>
              <w:t xml:space="preserve"> </w:t>
            </w:r>
            <w:r>
              <w:rPr>
                <w:b/>
                <w:i/>
              </w:rPr>
              <w:t>zdůrazňuje, že je třeba obnovit závazek k</w:t>
            </w:r>
            <w:r>
              <w:t xml:space="preserve"> dosažení </w:t>
            </w:r>
            <w:r>
              <w:rPr>
                <w:b/>
                <w:i/>
              </w:rPr>
              <w:t>sociálních</w:t>
            </w:r>
            <w:r>
              <w:t xml:space="preserve"> cílů EU </w:t>
            </w:r>
            <w:r>
              <w:rPr>
                <w:b/>
                <w:i/>
              </w:rPr>
              <w:t>i</w:t>
            </w:r>
            <w:r>
              <w:t xml:space="preserve"> cílů udržitelného rozvoje </w:t>
            </w:r>
            <w:r>
              <w:rPr>
                <w:b/>
                <w:i/>
              </w:rPr>
              <w:t>do roku 2030 v Evropě i</w:t>
            </w:r>
            <w:r>
              <w:t xml:space="preserve">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vyzývá OSN, aby zajistila plné dodržování pracovních a sociálních práv v zemích, které hostí sociální summity; vyzývá proto k rozhodnějším krokům s cílem učinit vše pro dosažení hlavních cílů EU a cílů udržitelného rozvoje v celé EU do roku 2030 a více se zasazovat o to, aby cílů udržitelného rozvoje bylo dosaženo na celém světě;</w:t>
            </w:r>
          </w:p>
        </w:tc>
        <w:tc>
          <w:tcPr>
            <w:tcW w:w="4876" w:type="dxa"/>
            <w:tcBorders>
              <w:top w:val="nil"/>
              <w:left w:val="nil"/>
              <w:bottom w:val="nil"/>
              <w:right w:val="nil"/>
            </w:tcBorders>
          </w:tcPr>
          <w:p>
            <w:pPr>
              <w:pStyle w:val="Normal6a"/>
            </w:pPr>
            <w:r>
              <w:t>17.</w:t>
            </w:r>
            <w:r>
              <w:tab/>
            </w:r>
            <w:r>
              <w:t xml:space="preserve">vyzývá OSN, aby zajistila plné dodržování pracovních a sociálních práv </w:t>
            </w:r>
            <w:r>
              <w:rPr>
                <w:b/>
                <w:i/>
              </w:rPr>
              <w:t>ve všech členských státech a zejména</w:t>
            </w:r>
            <w:r>
              <w:t xml:space="preserve"> v zemích, které hostí sociální summity; vyzývá proto k rozhodnějším krokům s cílem učinit vše pro dosažení hlavních cílů EU a cílů udržitelného rozvoje v celé EU do roku 2030 a více se zasazovat o to, aby cílů udržitelného rozvoje bylo dosaženo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EU, aby v souladu s doporučením MOP č. 204 podporovala celosvětový přechod od neformálního k formálnímu zaměstnání tím, že bude prosazovat spravedlivé pracovní normy, důstojnou práci a přístup k sociální ochraně;</w:t>
            </w:r>
            <w:r>
              <w:t xml:space="preserve"> </w:t>
            </w:r>
            <w:r>
              <w:rPr>
                <w:b/>
                <w:i/>
              </w:rPr>
              <w:t>vybízí k začlenění tohoto cíle do politik EU v oblasti rozvoje, obchodu a vnější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vyzývá OSN, aby vytvořila pevný rámec navazující na Světový sociální summit, včetně prohlášení ministrů, která se vydávají každé dva roky, a posílených monitorovacích struktur;</w:t>
            </w:r>
            <w:r>
              <w:t xml:space="preserve"> </w:t>
            </w:r>
            <w:r>
              <w:rPr>
                <w:b/>
                <w:i/>
              </w:rPr>
              <w:t>podporuje oživení Komise OSN pro sociální rozvoj a větší zapojení ministerstev práce a sociálních partnerů;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66</w:t>
    </w:r>
    <w:r>
      <w:fldChar w:fldCharType="end"/>
    </w:r>
    <w:r>
      <w:t>/</w:t>
    </w:r>
    <w:r>
      <w:fldChar w:fldCharType="begin"/>
    </w:r>
    <w:r>
      <w:instrText xml:space="preserve"> NUMPAGES </w:instrText>
    </w:r>
    <w:r>
      <w:fldChar w:fldCharType="separate"/>
    </w:r>
    <w:r>
      <w:t>67</w:t>
    </w:r>
    <w:r>
      <w:fldChar w:fldCharType="end"/>
    </w:r>
    <w:r>
      <w:tab/>
    </w:r>
    <w:r>
      <w:rPr>
        <w:rStyle w:val="HideTWBExt"/>
      </w:rPr>
      <w:t>&lt;PathFdR&gt;</w:t>
    </w:r>
    <w:r>
      <w:t>AM\1322547CS.docx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AM\1322547CS.docx</w:t>
    </w:r>
    <w:r>
      <w:rPr>
        <w:rStyle w:val="HideTWBExt"/>
      </w:rPr>
      <w:t>&lt;/PathFdR&gt;</w:t>
    </w:r>
    <w:r>
      <w:tab/>
    </w:r>
    <w:r>
      <w:fldChar w:fldCharType="begin"/>
    </w:r>
    <w:r>
      <w:instrText xml:space="preserve"> PAGE </w:instrText>
    </w:r>
    <w:r>
      <w:fldChar w:fldCharType="separate"/>
    </w:r>
    <w:r>
      <w:t>67</w:t>
    </w:r>
    <w:r>
      <w:fldChar w:fldCharType="end"/>
    </w:r>
    <w:r>
      <w:t>/</w:t>
    </w:r>
    <w:r>
      <w:fldChar w:fldCharType="begin"/>
    </w:r>
    <w:r>
      <w:instrText xml:space="preserve"> NUMPAGES </w:instrText>
    </w:r>
    <w:r>
      <w:fldChar w:fldCharType="separate"/>
    </w:r>
    <w:r>
      <w:t>67</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AM\1322547CS.docx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67</Pages>
  <Words>15326</Words>
  <Characters>91381</Characters>
  <Application>Microsoft Office Word</Application>
  <DocSecurity>0</DocSecurity>
  <Lines>1</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199853</vt:lpwstr>
  </property>
  <property fmtid="{D5CDD505-2E9C-101B-9397-08002B2CF9AE}" pid="7" name="dmxml.render.traceId">
    <vt:lpwstr>685417ab7047d190be03ec1d9ba1449d</vt:lpwstr>
  </property>
  <property fmtid="{D5CDD505-2E9C-101B-9397-08002B2CF9AE}" pid="8" name="FooterPath">
    <vt:lpwstr>AM\1322547CS.docx</vt:lpwstr>
  </property>
  <property fmtid="{D5CDD505-2E9C-101B-9397-08002B2CF9AE}" pid="9" name="PE Number">
    <vt:lpwstr>774.385</vt:lpwstr>
  </property>
  <property fmtid="{D5CDD505-2E9C-101B-9397-08002B2CF9AE}" pid="10" name="UID">
    <vt:lpwstr>eu.europa.europarl-DIN1-2025-0000118099_01.00-cs-01.00_text-xml</vt:lpwstr>
  </property>
</Properties>
</file>