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Udvalget om Beskæftigelse og Sociale Anliggender</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Udkast til forslag til beslutning</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Andet verdenstopmøde om social udvikling</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4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den internationale konvention om økonomiske, sociale og kulturelle rettigheder,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5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handlingsplanen for den europæiske søjle for sociale rettigheder og dens overordnede mål for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6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den europæiske børnegaranti,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6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EU-strategien for ligestilling mellem kønnene og køreplanen for kvinders rettigheder,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6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EU's strategi for rettigheder for personer med handicap,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der henviser til FN's verdensmål for bæredygtig udvikling,</w:t>
            </w:r>
          </w:p>
        </w:tc>
        <w:tc>
          <w:tcPr>
            <w:tcW w:w="4876" w:type="dxa"/>
            <w:tcBorders>
              <w:top w:val="nil"/>
              <w:left w:val="nil"/>
              <w:bottom w:val="nil"/>
              <w:right w:val="nil"/>
            </w:tcBorders>
          </w:tcPr>
          <w:p>
            <w:pPr>
              <w:pStyle w:val="Normal6a"/>
            </w:pPr>
            <w:r>
              <w:rPr>
                <w:b/>
                <w:i/>
              </w:rPr>
              <w:t>–</w:t>
            </w:r>
            <w:r>
              <w:tab/>
            </w:r>
            <w:r>
              <w:t xml:space="preserve">der henviser til FN's verdensmål for bæredygtig udvikling </w:t>
            </w:r>
            <w:r>
              <w:rPr>
                <w:b/>
                <w:i/>
              </w:rPr>
              <w:t>(SDG)</w:t>
            </w:r>
            <w:r>
              <w:t xml:space="preserve">, </w:t>
            </w:r>
            <w:r>
              <w:rPr>
                <w:b/>
                <w:i/>
              </w:rPr>
              <w:t>navnlig mål nr. 1, 2, 8 og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8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ILO's grundlæggende konventioner,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der henviser til, at bæredygtig udvikling er et centralt princip i traktaten om Den Europæiske Union og et prioriteret mål for EU's interne og eksterne politikker;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-A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der henviser til, at de 17 verdensmål for bæredygtig udvikling (SDG) er kernen i 2030-dagsordenen for bæredygtig udvikling, der blev vedtaget af alle FN's medlemsstater i 2015;</w:t>
            </w:r>
            <w:r>
              <w:t xml:space="preserve"> </w:t>
            </w:r>
            <w:r>
              <w:rPr>
                <w:b/>
                <w:i/>
              </w:rPr>
              <w:t>der henviser til, at de anerkender, at afskaffelse af fattigdom og andre former for nød skal gå hånd i hånd med strategier, der forbedrer sundhed og uddannelse, mindsker ulighed og fremmer økonomisk vækst, samtidig med at de tackler klimaændringer og arbejder på at bevare miljøet;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-A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der henviser til, at EU's engagement i 2030-dagsordenen blev omsat til en række transformative politikker, herunder bl.a. den europæiske søjle for sociale rettigheder, den europæiske grønne pagt, klimaloven, en ny industristrategi for Europa, de årlige strategier for bæredygtig vækst, den ajourførte europæiske dagsorden for færdigheder samt det europæiske uddannelsesområde;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der henviser til, at der i hele EU fortsat er betydelige uligheder mellem mennesker og regioner, </w:t>
            </w:r>
            <w:r>
              <w:rPr>
                <w:b/>
                <w:i/>
              </w:rPr>
              <w:t>at</w:t>
            </w:r>
            <w:r>
              <w:t xml:space="preserve"> inflationen i uforholdsmæssig høj grad påvirker </w:t>
            </w:r>
            <w:r>
              <w:rPr>
                <w:b/>
                <w:i/>
              </w:rPr>
              <w:t>husholdninger, der bruger relativt flere penge på basale fornødenheder såsom energi og fødevarer</w:t>
            </w:r>
            <w:r>
              <w:t xml:space="preserve">, </w:t>
            </w:r>
            <w:r>
              <w:rPr>
                <w:b/>
                <w:i/>
              </w:rPr>
              <w:t>og</w:t>
            </w:r>
            <w:r>
              <w:t xml:space="preserve"> at boligkrisen fortsat er en udfordring i hele EU; der henviser til, at disse problemer har en negativ indvirkning på den sociale </w:t>
            </w:r>
            <w:r>
              <w:rPr>
                <w:b/>
                <w:i/>
              </w:rPr>
              <w:t>samhørighed og EU-borgernes trivsel på lang sigt</w:t>
            </w:r>
            <w:r>
              <w:t>;</w:t>
            </w:r>
          </w:p>
        </w:tc>
        <w:tc>
          <w:tcPr>
            <w:tcW w:w="4876" w:type="dxa"/>
            <w:tcBorders>
              <w:top w:val="nil"/>
              <w:left w:val="nil"/>
              <w:bottom w:val="nil"/>
              <w:right w:val="nil"/>
            </w:tcBorders>
          </w:tcPr>
          <w:p>
            <w:pPr>
              <w:pStyle w:val="Normal6a"/>
            </w:pPr>
            <w:r>
              <w:t>A.</w:t>
            </w:r>
            <w:r>
              <w:tab/>
            </w:r>
            <w:r>
              <w:t xml:space="preserve">der henviser til, at der i hele EU fortsat er betydelige uligheder mellem mennesker og regioner, </w:t>
            </w:r>
            <w:r>
              <w:rPr>
                <w:b/>
                <w:i/>
              </w:rPr>
              <w:t>mens</w:t>
            </w:r>
            <w:r>
              <w:t xml:space="preserve"> inflationen </w:t>
            </w:r>
            <w:r>
              <w:rPr>
                <w:b/>
                <w:i/>
              </w:rPr>
              <w:t>og de stigende leveomkostninger</w:t>
            </w:r>
            <w:r>
              <w:t xml:space="preserve"> i uforholdsmæssig høj grad påvirker </w:t>
            </w:r>
            <w:r>
              <w:rPr>
                <w:b/>
                <w:i/>
              </w:rPr>
              <w:t>lavindkomsthusstande og sårbare husstande;</w:t>
            </w:r>
            <w:r>
              <w:t xml:space="preserve"> </w:t>
            </w:r>
            <w:r>
              <w:rPr>
                <w:b/>
                <w:i/>
              </w:rPr>
              <w:t>der henviser til</w:t>
            </w:r>
            <w:r>
              <w:t xml:space="preserve">, at boligkrisen fortsat er en udfordring i hele EU; der henviser til, at disse problemer har en negativ indvirkning på den </w:t>
            </w:r>
            <w:r>
              <w:rPr>
                <w:b/>
                <w:i/>
              </w:rPr>
              <w:t>økonomiske stabilitet og den</w:t>
            </w:r>
            <w:r>
              <w:t xml:space="preserve"> sociale </w:t>
            </w:r>
            <w:r>
              <w:rPr>
                <w:b/>
                <w:i/>
              </w:rPr>
              <w:t>velfærd for mennesker, der bor i EU;</w:t>
            </w:r>
            <w:r>
              <w:t xml:space="preserve"> </w:t>
            </w:r>
            <w:r>
              <w:rPr>
                <w:b/>
                <w:i/>
              </w:rPr>
              <w:t>der henviser til, at der ikke indsamles data om ulighed i velstand på EU-plan, men at nogle undersøgelser i den finansielle sektor tyder på, at de rigeste 10 % i Europa tegner sig for så meget som 67 % af velstanden, mens den fattigste halvdel kun tegner sig for 1,2 % af velstanden</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Global Wealth Report 2023</w:t>
            </w:r>
            <w:r>
              <w:t xml:space="preserve"> </w:t>
            </w:r>
            <w:r>
              <w:rPr>
                <w:b/>
                <w:i/>
              </w:rPr>
              <w:t>| 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der henviser til, at der i hele EU fortsat er betydelige uligheder mellem mennesker og regioner, at inflationen i uforholdsmæssig høj grad påvirker husholdninger, der bruger relativt flere penge på basale fornødenheder såsom energi og fødevarer, og at boligkrisen fortsat er en udfordring i hele EU; der henviser til, at disse problemer har en negativ indvirkning på den sociale samhørighed og EU-borgernes trivsel på lang sigt;</w:t>
            </w:r>
          </w:p>
        </w:tc>
        <w:tc>
          <w:tcPr>
            <w:tcW w:w="4876" w:type="dxa"/>
            <w:tcBorders>
              <w:top w:val="nil"/>
              <w:left w:val="nil"/>
              <w:bottom w:val="nil"/>
              <w:right w:val="nil"/>
            </w:tcBorders>
          </w:tcPr>
          <w:p>
            <w:pPr>
              <w:pStyle w:val="Normal6a"/>
            </w:pPr>
            <w:r>
              <w:t>A.</w:t>
            </w:r>
            <w:r>
              <w:tab/>
            </w:r>
            <w:r>
              <w:rPr>
                <w:b/>
                <w:i/>
              </w:rPr>
              <w:t>der henviser til, at Ginikoefficienten for EU27 i 2023 var 29,6 % og har været let faldende siden 2014, mens 13 medlemsstater lå over dette gennemsnit</w:t>
            </w:r>
            <w:r>
              <w:rPr>
                <w:b/>
                <w:i/>
                <w:vertAlign w:val="superscript"/>
              </w:rPr>
              <w:t>1a</w:t>
            </w:r>
            <w:r>
              <w:rPr>
                <w:b/>
                <w:i/>
              </w:rPr>
              <w:t>;</w:t>
            </w:r>
            <w:r>
              <w:t xml:space="preserve"> der henviser til, at der i hele EU fortsat er betydelige uligheder mellem mennesker og regioner</w:t>
            </w:r>
            <w:r>
              <w:rPr>
                <w:b/>
                <w:i/>
              </w:rPr>
              <w:t>, navnlig indkomstuligheder og uligheder mellem kønnene</w:t>
            </w:r>
            <w:r>
              <w:t xml:space="preserve">, at inflationen i uforholdsmæssig høj grad påvirker husholdninger, der bruger relativt flere penge på basale fornødenheder såsom energi og fødevarer, og at boligkrisen fortsat er en </w:t>
            </w:r>
            <w:r>
              <w:rPr>
                <w:b/>
                <w:i/>
              </w:rPr>
              <w:t>betydelig</w:t>
            </w:r>
            <w:r>
              <w:t xml:space="preserve"> udfordring i hele EU; der henviser til, at disse problemer har en negativ indvirkning på den sociale samhørighed</w:t>
            </w:r>
            <w:r>
              <w:rPr>
                <w:b/>
                <w:i/>
              </w:rPr>
              <w:t>, opadgående social konvergens</w:t>
            </w:r>
            <w:r>
              <w:t xml:space="preserve"> og EU-borgernes trivsel på lang sigt;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der henviser til, at der i hele EU fortsat er betydelige uligheder mellem mennesker og regioner, at inflationen i uforholdsmæssig høj grad påvirker husholdninger, der bruger relativt flere penge på basale fornødenheder såsom energi og fødevarer, og at boligkrisen fortsat er en udfordring i hele EU; der henviser til, at disse problemer har en negativ indvirkning på den sociale samhørighed og EU-borgernes trivsel på lang sigt;</w:t>
            </w:r>
          </w:p>
        </w:tc>
        <w:tc>
          <w:tcPr>
            <w:tcW w:w="4876" w:type="dxa"/>
            <w:tcBorders>
              <w:top w:val="nil"/>
              <w:left w:val="nil"/>
              <w:bottom w:val="nil"/>
              <w:right w:val="nil"/>
            </w:tcBorders>
          </w:tcPr>
          <w:p>
            <w:pPr>
              <w:pStyle w:val="Normal6a"/>
            </w:pPr>
            <w:r>
              <w:t>A.</w:t>
            </w:r>
            <w:r>
              <w:tab/>
            </w:r>
            <w:r>
              <w:t xml:space="preserve">der henviser til, at der i hele EU fortsat er betydelige uligheder mellem mennesker og regioner, at inflationen i uforholdsmæssig høj grad påvirker husholdninger, der bruger relativt flere penge på basale fornødenheder såsom energi og fødevarer, og at boligkrisen fortsat er en udfordring i hele EU; der henviser til, at disse problemer har en negativ indvirkning på den sociale samhørighed og EU-borgernes trivsel på lang sigt; </w:t>
            </w:r>
            <w:r>
              <w:rPr>
                <w:b/>
                <w:i/>
              </w:rPr>
              <w:t>der henviser til, at forskning foretaget af Eurofound bekræfter, at manglen på økonomisk overkommelige boliger fører til udelukkelse fra boligmarkedet, boligusikkerhed, problematiske boligudgifter og boligmangel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https://www.eurofound.europa.eu/en/publications/2023/unaffordable-and-inadequate-housing-europe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der henviser til, at EU </w:t>
            </w:r>
            <w:r>
              <w:rPr>
                <w:b/>
                <w:i/>
              </w:rPr>
              <w:t>har vedtaget 2030-målet om</w:t>
            </w:r>
            <w:r>
              <w:t xml:space="preserve"> at nedbringe antallet af personer i risiko for fattigdom og social udstødelse med mindst 15 millioner </w:t>
            </w:r>
            <w:r>
              <w:rPr>
                <w:b/>
                <w:i/>
              </w:rPr>
              <w:t>i forhold til 2019</w:t>
            </w:r>
            <w:r>
              <w:t xml:space="preserve">, herunder mindst fem millioner børn; der henviser til, at </w:t>
            </w:r>
            <w:r>
              <w:rPr>
                <w:b/>
                <w:i/>
              </w:rPr>
              <w:t>tendensen</w:t>
            </w:r>
            <w:r>
              <w:t xml:space="preserve"> i næsten halvdelen af medlemsstaterne </w:t>
            </w:r>
            <w:r>
              <w:rPr>
                <w:b/>
                <w:i/>
              </w:rPr>
              <w:t>går i den modsatte retning</w:t>
            </w:r>
            <w:r>
              <w:t xml:space="preserve">; der henviser til, at ét ud af fem børn i EU stadig er i risiko for fattigdom og social udstødelse; der henviser til, at hvis den nuværende tendens fortsætter, vil </w:t>
            </w:r>
            <w:r>
              <w:rPr>
                <w:b/>
                <w:i/>
              </w:rPr>
              <w:t>det ikke være muligt at</w:t>
            </w:r>
            <w:r>
              <w:t xml:space="preserve"> nå 2030-</w:t>
            </w:r>
            <w:r>
              <w:rPr>
                <w:b/>
                <w:i/>
              </w:rPr>
              <w:t>målet om at reducere antallet af personer, der er truet af fattigdom og social udstødelse</w:t>
            </w:r>
            <w:r>
              <w:t xml:space="preserve">, </w:t>
            </w:r>
            <w:r>
              <w:rPr>
                <w:b/>
                <w:i/>
              </w:rPr>
              <w:t>og</w:t>
            </w:r>
            <w:r>
              <w:t xml:space="preserve"> at energifattigdom desuden rammer mere end én ud af ti europæere;</w:t>
            </w:r>
          </w:p>
        </w:tc>
        <w:tc>
          <w:tcPr>
            <w:tcW w:w="4876" w:type="dxa"/>
            <w:tcBorders>
              <w:top w:val="nil"/>
              <w:left w:val="nil"/>
              <w:bottom w:val="nil"/>
              <w:right w:val="nil"/>
            </w:tcBorders>
          </w:tcPr>
          <w:p>
            <w:pPr>
              <w:pStyle w:val="Normal6a"/>
            </w:pPr>
            <w:r>
              <w:t>B.</w:t>
            </w:r>
            <w:r>
              <w:tab/>
            </w:r>
            <w:r>
              <w:t>der henviser til, at EU </w:t>
            </w:r>
            <w:r>
              <w:rPr>
                <w:b/>
                <w:i/>
              </w:rPr>
              <w:t>i handlingsplanen for den europæiske søjle for sociale rettigheder har forpligtet sig til</w:t>
            </w:r>
            <w:r>
              <w:t xml:space="preserve"> at nedbringe antallet af personer i risiko for fattigdom og social udstødelse med mindst 15 millioner </w:t>
            </w:r>
            <w:r>
              <w:rPr>
                <w:b/>
                <w:i/>
              </w:rPr>
              <w:t>senest i 2030</w:t>
            </w:r>
            <w:r>
              <w:t xml:space="preserve">, herunder mindst fem millioner børn; der henviser til, at </w:t>
            </w:r>
            <w:r>
              <w:rPr>
                <w:b/>
                <w:i/>
              </w:rPr>
              <w:t>data</w:t>
            </w:r>
            <w:r>
              <w:t xml:space="preserve"> i næsten halvdelen af medlemsstaterne </w:t>
            </w:r>
            <w:r>
              <w:rPr>
                <w:b/>
                <w:i/>
              </w:rPr>
              <w:t>tyder på en tilbagegang i bekæmpelsen af fattigdom</w:t>
            </w:r>
            <w:r>
              <w:t xml:space="preserve">; der henviser til, at ét ud af fem børn i EU stadig er i risiko for fattigdom og social udstødelse; der henviser til, at hvis den nuværende tendens fortsætter, vil </w:t>
            </w:r>
            <w:r>
              <w:rPr>
                <w:b/>
                <w:i/>
              </w:rPr>
              <w:t>Unionen ikke</w:t>
            </w:r>
            <w:r>
              <w:t xml:space="preserve"> nå </w:t>
            </w:r>
            <w:r>
              <w:rPr>
                <w:b/>
                <w:i/>
              </w:rPr>
              <w:t>sit</w:t>
            </w:r>
            <w:r>
              <w:t xml:space="preserve"> 2030-</w:t>
            </w:r>
            <w:r>
              <w:rPr>
                <w:b/>
                <w:i/>
              </w:rPr>
              <w:t>mål;</w:t>
            </w:r>
            <w:r>
              <w:t xml:space="preserve"> </w:t>
            </w:r>
            <w:r>
              <w:rPr>
                <w:b/>
                <w:i/>
              </w:rPr>
              <w:t>der henviser til</w:t>
            </w:r>
            <w:r>
              <w:t>, at energifattigdom desuden rammer mere end én ud af ti europæere</w:t>
            </w:r>
            <w:r>
              <w:rPr>
                <w:b/>
                <w:i/>
              </w:rPr>
              <w:t>, hvilket forværrer uligheden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der henviser til, at EU har vedtaget 2030-målet om at nedbringe antallet af personer i risiko for fattigdom og social udstødelse med mindst 15 millioner i forhold til 2019, herunder mindst fem millioner børn; der henviser til, at tendensen i næsten halvdelen af medlemsstaterne går i den modsatte retning; der henviser til, at ét ud af fem børn i EU stadig er i risiko for fattigdom og social udstødelse; der henviser til, at hvis den nuværende tendens fortsætter, vil det ikke være muligt at nå 2030-målet om at reducere antallet af personer, der er truet af fattigdom og social udstødelse, og at energifattigdom desuden rammer mere end én ud af ti europæere;</w:t>
            </w:r>
          </w:p>
        </w:tc>
        <w:tc>
          <w:tcPr>
            <w:tcW w:w="4876" w:type="dxa"/>
            <w:tcBorders>
              <w:top w:val="nil"/>
              <w:left w:val="nil"/>
              <w:bottom w:val="nil"/>
              <w:right w:val="nil"/>
            </w:tcBorders>
          </w:tcPr>
          <w:p>
            <w:pPr>
              <w:pStyle w:val="Normal6a"/>
            </w:pPr>
            <w:r>
              <w:t>B.</w:t>
            </w:r>
            <w:r>
              <w:tab/>
            </w:r>
            <w:r>
              <w:t xml:space="preserve">der henviser til, at EU har vedtaget 2030-målet om at nedbringe antallet af personer i risiko for fattigdom og social udstødelse med mindst 15 millioner i forhold til 2019, herunder mindst fem millioner børn; der henviser til, at tendensen i næsten halvdelen af medlemsstaterne </w:t>
            </w:r>
            <w:r>
              <w:rPr>
                <w:b/>
                <w:i/>
              </w:rPr>
              <w:t>beklageligvis</w:t>
            </w:r>
            <w:r>
              <w:t xml:space="preserve"> går i den modsatte retning; der henviser til, at ét ud af fem børn i EU stadig er i risiko for fattigdom og social udstødelse; der henviser til, at hvis den nuværende tendens fortsætter, vil det ikke være muligt at nå 2030-målet om at reducere antallet af personer, der er truet af fattigdom og social udstødelse, og at energifattigdom desuden rammer mere end én ud af ti europæere;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der henviser til, at situationen på verdensplan er endnu værre, idet næsten 700 millioner mennesker lever i ekstrem fattigdom, og yderligere 2,8 milliarder mennesker lever mellem den ekstreme fattigdomsgrænse og standarden på 6,85 USD om dagen</w:t>
            </w:r>
            <w:r>
              <w:rPr>
                <w:b/>
                <w:i/>
                <w:vertAlign w:val="superscript"/>
              </w:rPr>
              <w:t>1b</w:t>
            </w:r>
            <w:r>
              <w:rPr>
                <w:b/>
                <w:i/>
              </w:rPr>
              <w:t>;</w:t>
            </w:r>
            <w:r>
              <w:t xml:space="preserve"> </w:t>
            </w:r>
            <w:r>
              <w:rPr>
                <w:b/>
                <w:i/>
              </w:rPr>
              <w:t>der henviser til, at op til 35 % af de mennesker, der har klaret sig ud af fattigdom, er faldet tilbage i fattigdom i løbet af de seneste tre årtier;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der henviser til, at der er gjort fremskridt med hensyn til at nå EU's beskæftigelsesmål, nemlig at mindst 78 % af befolkningen i alderen 20-64 år bør være i beskæftigelse senest i 2030; der henviser til, at beskæftigelsesgraden i EU ifølge Kommissionens økonomiske efterårsprognose for 2025 er nået op på 75,3 %; der henviser til, at væksten i beskæftigelsen i 2023 i to tredjedele af medlemsstaterne var godt på vej til at nå det nationale mål for 2030; der henviser til, at der ikke desto mindre fortsat er betydelige udfordringer </w:t>
            </w:r>
            <w:r>
              <w:rPr>
                <w:b/>
                <w:i/>
              </w:rPr>
              <w:t>såsom</w:t>
            </w:r>
            <w:r>
              <w:t xml:space="preserve"> høj arbejdsløshed i nogle medlemsstater, </w:t>
            </w:r>
            <w:r>
              <w:rPr>
                <w:b/>
                <w:i/>
              </w:rPr>
              <w:t>navnlig blandt unge og personer med handicap</w:t>
            </w:r>
            <w:r>
              <w:t>;</w:t>
            </w:r>
          </w:p>
        </w:tc>
        <w:tc>
          <w:tcPr>
            <w:tcW w:w="4876" w:type="dxa"/>
            <w:tcBorders>
              <w:top w:val="nil"/>
              <w:left w:val="nil"/>
              <w:bottom w:val="nil"/>
              <w:right w:val="nil"/>
            </w:tcBorders>
          </w:tcPr>
          <w:p>
            <w:pPr>
              <w:pStyle w:val="Normal6a"/>
            </w:pPr>
            <w:r>
              <w:t>C.</w:t>
            </w:r>
            <w:r>
              <w:tab/>
            </w:r>
            <w:r>
              <w:t>der henviser til, at der er gjort fremskridt med hensyn til at nå EU's beskæftigelsesmål, nemlig at mindst 78 % af befolkningen i alderen 20-64 år bør være i beskæftigelse senest i 2030; der henviser til, at beskæftigelsesgraden i EU ifølge Kommissionens økonomiske efterårsprognose for 2025 er nået op på 75,3 %; der henviser til, at væksten i beskæftigelsen i 2023 i to tredjedele af medlemsstaterne var godt på vej til at nå det nationale mål for 2030; der henviser til, at der ikke desto mindre fortsat er betydelige udfordringer</w:t>
            </w:r>
            <w:r>
              <w:rPr>
                <w:b/>
                <w:i/>
              </w:rPr>
              <w:t>, herunder</w:t>
            </w:r>
            <w:r>
              <w:t xml:space="preserve"> høj arbejdsløshed i nogle medlemsstater, </w:t>
            </w:r>
            <w:r>
              <w:rPr>
                <w:b/>
                <w:i/>
              </w:rPr>
              <w:t>vedvarende segmentering af arbejdsmarkedet, en høj forekomst af usikre ansættelsesforhold og atypiske arbejdsformer og fortsatte forskelle i adgangen til beskæftigelse af høj kvalitet</w:t>
            </w:r>
            <w:r>
              <w:t xml:space="preserve">; </w:t>
            </w:r>
            <w:r>
              <w:rPr>
                <w:b/>
                <w:i/>
              </w:rPr>
              <w:t>der henviser til, at 66,6 % af de arbejdsløse og 10,9 % af de beskæftigede var i risiko for fattigdom i 2024</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https://ec.europa.eu/eurostat/statistics-explained/index.php?title=Living_conditions_in_Europe_-_poverty_and_social_exclusion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der henviser til, at der er gjort fremskridt med hensyn til at nå EU's beskæftigelsesmål, nemlig at mindst 78 % af befolkningen i alderen 20-64 år bør være i beskæftigelse senest i 2030; der henviser til, at beskæftigelsesgraden i EU ifølge Kommissionens økonomiske efterårsprognose for 2025 er nået op på 75,3 %; der henviser til, at væksten i beskæftigelsen i 2023 i to tredjedele af medlemsstaterne var godt på vej til at nå det nationale mål for 2030; der henviser til, at der ikke desto mindre fortsat er betydelige udfordringer såsom høj arbejdsløshed i nogle medlemsstater, navnlig blandt unge og personer med handicap;</w:t>
            </w:r>
          </w:p>
        </w:tc>
        <w:tc>
          <w:tcPr>
            <w:tcW w:w="4876" w:type="dxa"/>
            <w:tcBorders>
              <w:top w:val="nil"/>
              <w:left w:val="nil"/>
              <w:bottom w:val="nil"/>
              <w:right w:val="nil"/>
            </w:tcBorders>
          </w:tcPr>
          <w:p>
            <w:pPr>
              <w:pStyle w:val="Normal6a"/>
            </w:pPr>
            <w:r>
              <w:t>C.</w:t>
            </w:r>
            <w:r>
              <w:tab/>
            </w:r>
            <w:r>
              <w:t>der henviser til, at der er gjort fremskridt med hensyn til at nå EU's beskæftigelsesmål, nemlig at mindst 78 % af befolkningen i alderen 20-64 år bør være i beskæftigelse senest i 2030; der henviser til, at beskæftigelsesgraden i EU ifølge Kommissionens økonomiske efterårsprognose for 2025 er nået op på 75,3 %; der henviser til, at væksten i beskæftigelsen i 2023 i to tredjedele af medlemsstaterne var godt på vej til at nå det nationale mål for 2030; der henviser til, at der ikke desto mindre fortsat er betydelige udfordringer såsom høj arbejdsløshed i nogle medlemsstater, navnlig blandt unge og personer med handicap</w:t>
            </w:r>
            <w:r>
              <w:rPr>
                <w:b/>
                <w:i/>
              </w:rPr>
              <w:t>, ligesom der er betydelige uligheder mellem sektorer og regioner og huller i den sociale beskyttelse, hvilket kan have en negativ indvirkning på den sociale samhørighed og de europæiske borgeres velfærd på lang sigt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der henviser til, at der er gjort fremskridt med hensyn til at nå EU's beskæftigelsesmål, nemlig at mindst 78 % af befolkningen i alderen 20-64 år bør være i beskæftigelse senest i 2030; der henviser til, at beskæftigelsesgraden i EU ifølge Kommissionens økonomiske efterårsprognose for 2025 er nået op på 75,3 %; der henviser til, at væksten i beskæftigelsen i 2023 i to tredjedele af medlemsstaterne var godt på vej til at nå det nationale mål for 2030; der henviser til, at der ikke desto mindre fortsat er betydelige udfordringer såsom høj arbejdsløshed i nogle medlemsstater, navnlig blandt unge og personer med handicap;</w:t>
            </w:r>
          </w:p>
        </w:tc>
        <w:tc>
          <w:tcPr>
            <w:tcW w:w="4876" w:type="dxa"/>
            <w:tcBorders>
              <w:top w:val="nil"/>
              <w:left w:val="nil"/>
              <w:bottom w:val="nil"/>
              <w:right w:val="nil"/>
            </w:tcBorders>
          </w:tcPr>
          <w:p>
            <w:pPr>
              <w:pStyle w:val="Normal6a"/>
            </w:pPr>
            <w:r>
              <w:t>C.</w:t>
            </w:r>
            <w:r>
              <w:tab/>
            </w:r>
            <w:r>
              <w:t xml:space="preserve">der henviser til, at der er gjort fremskridt med hensyn til at nå EU's beskæftigelsesmål, nemlig at mindst 78 % af befolkningen i alderen 20-64 år bør være i beskæftigelse senest i 2030; der henviser til, at beskæftigelsesgraden i EU ifølge Kommissionens økonomiske efterårsprognose for 2025 er nået op på 75,3 %; der henviser til, at væksten i beskæftigelsen i 2023 i to tredjedele af medlemsstaterne var godt på vej til at nå det nationale mål for 2030; der henviser til, at der ikke desto mindre fortsat er betydelige udfordringer såsom </w:t>
            </w:r>
            <w:r>
              <w:rPr>
                <w:b/>
                <w:i/>
              </w:rPr>
              <w:t>den kønsbetingede forskel i beskæftigelsesgraden og</w:t>
            </w:r>
            <w:r>
              <w:t xml:space="preserve"> høj arbejdsløshed i nogle medlemsstater, navnlig blandt unge og personer med handicap;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der henviser til, at andelen af personer med ringe grundlæggende færdigheder (læsning, matematik og naturvidenskab) er stigende, og at det fastsatte mål på EU-plan for 2030 om, at denne andel bør være mindre end 15 % fortsat er uden for rækkevidde i en overskuelig fremtid;</w:t>
            </w:r>
            <w:r>
              <w:t xml:space="preserve"> </w:t>
            </w:r>
            <w:r>
              <w:rPr>
                <w:b/>
                <w:i/>
              </w:rPr>
              <w:t>der henviser til, at underpræstation er mest udbredt blandt dårligt stillede elever, og det vidner om øget ulighed på uddannelsesområdet;</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D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der henviser til, at underpræstation i grundlæggende færdigheder såsom læsning, matematik og naturvidenskab er stigende i EU, navnlig blandt dårligt stillede elever;</w:t>
            </w:r>
            <w:r>
              <w:t xml:space="preserve"> </w:t>
            </w:r>
            <w:r>
              <w:rPr>
                <w:b/>
                <w:i/>
              </w:rPr>
              <w:t>der henviser til, at denne uddannelsesmæssige ulighed hindrer lige adgang til videreuddannelse, muligheder for erhvervsuddannelse og beskæftigelse af høj kvalitet og bidrager til vedvarende social eksklusion og udelukkelse fra arbejdsmarkedet;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D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fremhæver dog, at tilbagegangen i skoleregi i grundlæggende færdigheder er omfattende i mange medlemsstater, og at det ikke kun omhandler dårligt stillede personer;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der henviser til, at demografiske udfordringer, herunder en aldrende befolkning, lave fødselstal og affolkning af landdistrikterne, hvor især de unge flytter til byområder, indvirker kraftigt på EU-regionernes økonomiske vitalitet og tiltrækningskraft, arbejdsmarkederne og dermed velfærdssystemernes bæredygtighed, forværrer de regionale forskelle i EU yderligere og dermed udgør en strukturel udfordring for EU's økonomi;</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der henviser til, at demografiske udfordringer, herunder en aldrende befolkning, lave fødselstal og affolkning af landdistrikterne, hvor især de unge flytter til byområder, indvirker kraftigt på EU-regionernes økonomiske vitalitet og tiltrækningskraft, arbejdsmarkederne og dermed velfærdssystemernes bæredygtighed, forværrer de regionale forskelle i EU yderligere og dermed udgør en strukturel udfordring for EU's økonomi;</w:t>
            </w:r>
          </w:p>
        </w:tc>
        <w:tc>
          <w:tcPr>
            <w:tcW w:w="4876" w:type="dxa"/>
            <w:tcBorders>
              <w:top w:val="nil"/>
              <w:left w:val="nil"/>
              <w:bottom w:val="nil"/>
              <w:right w:val="nil"/>
            </w:tcBorders>
          </w:tcPr>
          <w:p>
            <w:pPr>
              <w:pStyle w:val="Normal6a"/>
            </w:pPr>
            <w:r>
              <w:t>F.</w:t>
            </w:r>
            <w:r>
              <w:tab/>
            </w:r>
            <w:r>
              <w:t xml:space="preserve">der henviser til, at </w:t>
            </w:r>
            <w:r>
              <w:rPr>
                <w:b/>
                <w:i/>
              </w:rPr>
              <w:t>grundet</w:t>
            </w:r>
            <w:r>
              <w:t xml:space="preserve"> demografiske udfordringer, herunder en aldrende befolkning, lave fødselstal og affolkning af landdistrikterne, hvor især de unge flytter til byområder, </w:t>
            </w:r>
            <w:r>
              <w:rPr>
                <w:b/>
                <w:i/>
              </w:rPr>
              <w:t>har EU's produktivitetsvækst konsekvent haltet bagefter USA's, hvilket</w:t>
            </w:r>
            <w:r>
              <w:t xml:space="preserve"> indvirker kraftigt på EU-regionernes økonomiske vitalitet og tiltrækningskraft, arbejdsmarkederne og dermed velfærdssystemernes bæredygtighed, forværrer de regionale forskelle i EU yderligere og dermed udgør en strukturel udfordring for EU's økonomi;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der henviser til, at demografiske udfordringer, herunder en aldrende befolkning, lave fødselstal og affolkning af landdistrikterne, hvor især de unge flytter til byområder, indvirker kraftigt på EU-regionernes økonomiske vitalitet og tiltrækningskraft, arbejdsmarkederne og dermed velfærdssystemernes bæredygtighed, forværrer de regionale forskelle i EU yderligere og dermed udgør en strukturel udfordring for EU's økonomi;</w:t>
            </w:r>
          </w:p>
        </w:tc>
        <w:tc>
          <w:tcPr>
            <w:tcW w:w="4876" w:type="dxa"/>
            <w:tcBorders>
              <w:top w:val="nil"/>
              <w:left w:val="nil"/>
              <w:bottom w:val="nil"/>
              <w:right w:val="nil"/>
            </w:tcBorders>
          </w:tcPr>
          <w:p>
            <w:pPr>
              <w:pStyle w:val="Normal6a"/>
            </w:pPr>
            <w:r>
              <w:t>F.</w:t>
            </w:r>
            <w:r>
              <w:tab/>
            </w:r>
            <w:r>
              <w:t>der henviser til, at demografiske udfordringer, herunder en aldrende befolkning, lave fødselstal og affolkning af landdistrikterne, hvor især de unge flytter til byområder, indvirker kraftigt på EU-regionernes økonomiske vitalitet og tiltrækningskraft, arbejdsmarkederne og dermed velfærdssystemernes bæredygtighed, forværrer de regionale forskelle i EU yderligere og dermed udgør en strukturel udfordring for EU's økonomi;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F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der henviser til, at demografiske udfordringer, navnlig den aldrende befolkning, lave fødselstal og affolkning af landdistrikterne kan forværre de økonomiske uligheder og skade de sociale fremskridt, hvis de ikke håndteres;</w:t>
            </w:r>
            <w:r>
              <w:t xml:space="preserve"> </w:t>
            </w:r>
            <w:r>
              <w:rPr>
                <w:b/>
                <w:i/>
              </w:rPr>
              <w:t>der henviser til, at manglen på universel adgang til børnepasning (0-3 år) og til videregående uddannelse, manglende eller utilstrækkelige børnetilskud og utilstrækkelig betalt forældreorlov er de underliggende årsager til lave fødselstal;</w:t>
            </w:r>
            <w:r>
              <w:t xml:space="preserve"> </w:t>
            </w:r>
            <w:r>
              <w:rPr>
                <w:b/>
                <w:i/>
              </w:rPr>
              <w:t>der henviser til, at integrationen af migranter på arbejdsmarkedet kan afhjælpe manglen på arbejdskraft;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der henviser til, at manglen på arbejdskraft og færdigheder </w:t>
            </w:r>
            <w:r>
              <w:rPr>
                <w:b/>
                <w:i/>
              </w:rPr>
              <w:t>som</w:t>
            </w:r>
            <w:r>
              <w:t xml:space="preserve"> skyldes demografiske ændringer</w:t>
            </w:r>
            <w:r>
              <w:rPr>
                <w:b/>
                <w:i/>
              </w:rPr>
              <w:t>, efterspørgslen</w:t>
            </w:r>
            <w:r>
              <w:t xml:space="preserve"> efter nye færdigheder og dårlige arbejdsvilkår </w:t>
            </w:r>
            <w:r>
              <w:rPr>
                <w:b/>
                <w:i/>
              </w:rPr>
              <w:t>i visse sektorer</w:t>
            </w:r>
            <w:r>
              <w:t xml:space="preserve"> er stigende i hele EU;</w:t>
            </w:r>
          </w:p>
        </w:tc>
        <w:tc>
          <w:tcPr>
            <w:tcW w:w="4876" w:type="dxa"/>
            <w:tcBorders>
              <w:top w:val="nil"/>
              <w:left w:val="nil"/>
              <w:bottom w:val="nil"/>
              <w:right w:val="nil"/>
            </w:tcBorders>
          </w:tcPr>
          <w:p>
            <w:pPr>
              <w:pStyle w:val="Normal6a"/>
            </w:pPr>
            <w:r>
              <w:t>G.</w:t>
            </w:r>
            <w:r>
              <w:tab/>
            </w:r>
            <w:r>
              <w:t xml:space="preserve">der henviser til, at manglen på arbejdskraft og færdigheder skyldes demografiske ændringer </w:t>
            </w:r>
            <w:r>
              <w:rPr>
                <w:b/>
                <w:i/>
              </w:rPr>
              <w:t>og omstillinger, efterspørgsel</w:t>
            </w:r>
            <w:r>
              <w:t xml:space="preserve"> efter nye færdigheder og </w:t>
            </w:r>
            <w:r>
              <w:rPr>
                <w:b/>
                <w:i/>
              </w:rPr>
              <w:t>beskæftigelse af høj kvalitet med højere lønninger og jobstabilitet samt integration af tredjelandsstatsborgere på arbejdsmarkedet;</w:t>
            </w:r>
            <w:r>
              <w:t xml:space="preserve"> </w:t>
            </w:r>
            <w:r>
              <w:rPr>
                <w:b/>
                <w:i/>
              </w:rPr>
              <w:t>der henviser til, at</w:t>
            </w:r>
            <w:r>
              <w:t xml:space="preserve"> dårlige arbejdsvilkår er stigende i hele EU</w:t>
            </w:r>
            <w:r>
              <w:rPr>
                <w:b/>
                <w:i/>
              </w:rPr>
              <w:t>, og at det direkte begrænser EU's evne til at tiltrække og fastholde talenter, både fra tredjelande og inden for Unionen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der henviser til, at manglen på arbejdskraft </w:t>
            </w:r>
            <w:r>
              <w:rPr>
                <w:b/>
                <w:i/>
              </w:rPr>
              <w:t>og færdigheder</w:t>
            </w:r>
            <w:r>
              <w:t xml:space="preserve"> som skyldes </w:t>
            </w:r>
            <w:r>
              <w:rPr>
                <w:b/>
                <w:i/>
              </w:rPr>
              <w:t>demografiske ændringer</w:t>
            </w:r>
            <w:r>
              <w:t xml:space="preserve">, efterspørgslen efter nye færdigheder </w:t>
            </w:r>
            <w:r>
              <w:rPr>
                <w:b/>
                <w:i/>
              </w:rPr>
              <w:t>og dårlige arbejdsvilkår</w:t>
            </w:r>
            <w:r>
              <w:t xml:space="preserve"> i visse sektorer er stigende i hele EU;</w:t>
            </w:r>
          </w:p>
        </w:tc>
        <w:tc>
          <w:tcPr>
            <w:tcW w:w="4876" w:type="dxa"/>
            <w:tcBorders>
              <w:top w:val="nil"/>
              <w:left w:val="nil"/>
              <w:bottom w:val="nil"/>
              <w:right w:val="nil"/>
            </w:tcBorders>
          </w:tcPr>
          <w:p>
            <w:pPr>
              <w:pStyle w:val="Normal6a"/>
            </w:pPr>
            <w:r>
              <w:t>G.</w:t>
            </w:r>
            <w:r>
              <w:tab/>
            </w:r>
            <w:r>
              <w:t xml:space="preserve">der henviser til, at manglen på </w:t>
            </w:r>
            <w:r>
              <w:rPr>
                <w:b/>
                <w:i/>
              </w:rPr>
              <w:t>kvalificeret</w:t>
            </w:r>
            <w:r>
              <w:t xml:space="preserve"> arbejdskraft</w:t>
            </w:r>
            <w:r>
              <w:rPr>
                <w:b/>
                <w:i/>
              </w:rPr>
              <w:t>,</w:t>
            </w:r>
            <w:r>
              <w:t xml:space="preserve"> som skyldes </w:t>
            </w:r>
            <w:r>
              <w:rPr>
                <w:b/>
                <w:i/>
              </w:rPr>
              <w:t>et hidtil uset fald i fødselstallet i alle medlemsstater</w:t>
            </w:r>
            <w:r>
              <w:t xml:space="preserve">, </w:t>
            </w:r>
            <w:r>
              <w:rPr>
                <w:b/>
                <w:i/>
              </w:rPr>
              <w:t>den voksende andel af unge, velkvalificerede europæiske arbejdstagere, der udrejser og</w:t>
            </w:r>
            <w:r>
              <w:t xml:space="preserve"> efterspørgslen efter nye færdigheder i visse sektorer</w:t>
            </w:r>
            <w:r>
              <w:rPr>
                <w:b/>
                <w:i/>
              </w:rPr>
              <w:t>,</w:t>
            </w:r>
            <w:r>
              <w:t xml:space="preserve"> er stigende i hele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der henviser til, at manglen på arbejdskraft og færdigheder som skyldes demografiske ændringer, efterspørgslen efter nye færdigheder og dårlige arbejdsvilkår i visse sektorer er stigende i hele EU;</w:t>
            </w:r>
          </w:p>
        </w:tc>
        <w:tc>
          <w:tcPr>
            <w:tcW w:w="4876" w:type="dxa"/>
            <w:tcBorders>
              <w:top w:val="nil"/>
              <w:left w:val="nil"/>
              <w:bottom w:val="nil"/>
              <w:right w:val="nil"/>
            </w:tcBorders>
          </w:tcPr>
          <w:p>
            <w:pPr>
              <w:pStyle w:val="Normal6a"/>
            </w:pPr>
            <w:r>
              <w:t>G.</w:t>
            </w:r>
            <w:r>
              <w:tab/>
            </w:r>
            <w:r>
              <w:t xml:space="preserve">der henviser til, at manglen på arbejdskraft og færdigheder som skyldes demografiske ændringer, efterspørgslen efter nye færdigheder </w:t>
            </w:r>
            <w:r>
              <w:rPr>
                <w:b/>
                <w:i/>
              </w:rPr>
              <w:t>til den grønne og den digitale omstilling</w:t>
            </w:r>
            <w:r>
              <w:t xml:space="preserve"> og dårlige arbejdsvilkår </w:t>
            </w:r>
            <w:r>
              <w:rPr>
                <w:b/>
                <w:i/>
              </w:rPr>
              <w:t>samt færdigheds- og kompetencemismatch</w:t>
            </w:r>
            <w:r>
              <w:t xml:space="preserve"> i visse sektorer er stigende i hele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der henviser til, at manglen på arbejdskraft og færdigheder som skyldes demografiske ændringer, efterspørgslen efter nye færdigheder og dårlige arbejdsvilkår i visse sektorer er stigende i hele EU;</w:t>
            </w:r>
          </w:p>
        </w:tc>
        <w:tc>
          <w:tcPr>
            <w:tcW w:w="4876" w:type="dxa"/>
            <w:tcBorders>
              <w:top w:val="nil"/>
              <w:left w:val="nil"/>
              <w:bottom w:val="nil"/>
              <w:right w:val="nil"/>
            </w:tcBorders>
          </w:tcPr>
          <w:p>
            <w:pPr>
              <w:pStyle w:val="Normal6a"/>
            </w:pPr>
            <w:r>
              <w:t>G.</w:t>
            </w:r>
            <w:r>
              <w:tab/>
            </w:r>
            <w:r>
              <w:t xml:space="preserve">der henviser til, at manglen på arbejdskraft og færdigheder som skyldes demografiske ændringer, efterspørgslen efter nye færdigheder og dårlige arbejdsvilkår </w:t>
            </w:r>
            <w:r>
              <w:rPr>
                <w:b/>
                <w:i/>
              </w:rPr>
              <w:t>samt mangel på investering i robotteknologi</w:t>
            </w:r>
            <w:r>
              <w:t xml:space="preserve"> i visse sektorer er stigende i hele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G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der henviser til, at Eurofounds rapport fra 2024 viser, at selvmordsraten er steget siden 2021 efter årtiers nedgang;</w:t>
            </w:r>
            <w:r>
              <w:t xml:space="preserve"> </w:t>
            </w:r>
            <w:r>
              <w:rPr>
                <w:b/>
                <w:i/>
              </w:rPr>
              <w:t>der henviser til, at der skal gøres mere for at tackle årsagerne til psykiske lidelser i relation til arbejds- og levevilkår</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(2025 under udarbejdelse), Mental sundhed i EU og Norge:</w:t>
            </w:r>
            <w:r>
              <w:t xml:space="preserve"> </w:t>
            </w:r>
            <w:r>
              <w:rPr>
                <w:b/>
                <w:i/>
              </w:rPr>
              <w:t>risikogrupper, tendenser, tjenester og politikker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G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der henviser til, at henholdsvis den sociale økonomi og sociale virksomheder omfatter forskellige typer af private enheder, der er uafhængige af offentlige myndigheder, såsom kooperativer, gensidige selskaber, foreninger (herunder velgørende organisationer), fonde (herunder sociale virksomheder med henblik på integration på arbejdsmarkedet) og andre retlige former afhængigt af den enkelte EU-medlemsstat;</w:t>
            </w:r>
            <w:r>
              <w:t xml:space="preserve"> </w:t>
            </w:r>
            <w:r>
              <w:rPr>
                <w:b/>
                <w:i/>
              </w:rPr>
              <w:t>bemærker, at denne mangfoldighed af virksomheder og organisationer, som opererer inden for alle aktivitetsområder, deler en stærk identitet på grundlag af fælles værdier og karakteristika såsom individets og sociale formåls forrang for kapital, ligestilling mellem kønnene, lokal og regional ansvarlighed, følsomhed over for klima- og miljømæssige udfordringer, inklusion og demokratisk forvaltning og geninvestering, og at de derfor kun fordeler en lille del af deres overskud og aktiver blandt medlemmer eller aktionærer for i stedet at opfylde virksomhedens eller organisationens målsætninger for bæredygtig udvikling og for at handle i den kollektive og almene interesse;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G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der henviser til, at Eurofounds forskning på baggrund af et vedvarende langsomt fald i lønforskellen mellem kønnene viser, at mange medlemsstater endnu ikke har gennemført nogen tiltag for at skabe løngennemsigtighed, og at de fleste gældende nationale instrumenter</w:t>
            </w:r>
            <w:r>
              <w:rPr>
                <w:b/>
                <w:i/>
                <w:vertAlign w:val="superscript"/>
              </w:rPr>
              <w:t>3b</w:t>
            </w:r>
            <w:r>
              <w:rPr>
                <w:b/>
                <w:i/>
              </w:rPr>
              <w:t> endnu ikke tager hensyn til lige løn for lige arbejde</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forthcoming 2025 research, Further experiences with pay transparency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3b</w:t>
            </w:r>
            <w:r>
              <w:t xml:space="preserve"> </w:t>
            </w:r>
            <w:r>
              <w:rPr>
                <w:b/>
                <w:i/>
              </w:rPr>
              <w:t>Eurofound (2021), Gender pay transparency:</w:t>
            </w:r>
            <w:r>
              <w:t xml:space="preserve"> </w:t>
            </w:r>
            <w:r>
              <w:rPr>
                <w:b/>
                <w:i/>
              </w:rPr>
              <w:t>Advancing the cause through a truly European proposal, Artikel, 18. juni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der henviser til, at fair arbejdskraftmobilitet skaber muligheder for virksomheder og arbejdstagere og bør fremmes inden for EU samt blandt arbejdstagere fra tredjelande, samtidig med at der sikres respekt for og håndhævelse af arbejdstagerrettigheder og sociale rettigheder gennem lovlige migrationsveje;</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der henviser til, at fair arbejdskraftmobilitet </w:t>
            </w:r>
            <w:r>
              <w:rPr>
                <w:b/>
                <w:i/>
              </w:rPr>
              <w:t>skaber muligheder for</w:t>
            </w:r>
            <w:r>
              <w:t xml:space="preserve"> virksomheder og arbejdstagere og bør fremmes inden for EU samt blandt arbejdstagere fra tredjelande, samtidig med at der sikres respekt for og håndhævelse af arbejdstagerrettigheder og sociale rettigheder gennem lovlige migrationsveje;</w:t>
            </w:r>
          </w:p>
        </w:tc>
        <w:tc>
          <w:tcPr>
            <w:tcW w:w="4876" w:type="dxa"/>
            <w:tcBorders>
              <w:top w:val="nil"/>
              <w:left w:val="nil"/>
              <w:bottom w:val="nil"/>
              <w:right w:val="nil"/>
            </w:tcBorders>
          </w:tcPr>
          <w:p>
            <w:pPr>
              <w:pStyle w:val="Normal6a"/>
            </w:pPr>
            <w:r>
              <w:t>H.</w:t>
            </w:r>
            <w:r>
              <w:tab/>
            </w:r>
            <w:r>
              <w:t xml:space="preserve">der henviser til, at fair arbejdskraftmobilitet </w:t>
            </w:r>
            <w:r>
              <w:rPr>
                <w:b/>
                <w:i/>
              </w:rPr>
              <w:t>giver</w:t>
            </w:r>
            <w:r>
              <w:t xml:space="preserve"> virksomheder og arbejdstagere </w:t>
            </w:r>
            <w:r>
              <w:rPr>
                <w:b/>
                <w:i/>
              </w:rPr>
              <w:t>muligheder</w:t>
            </w:r>
            <w:r>
              <w:t xml:space="preserve"> og bør fremmes inden for EU samt blandt arbejdstagere fra tredjelande, samtidig med at der sikres respekt for og håndhævelse af arbejdstagerrettigheder og sociale rettigheder gennem lovlige migrationsveje </w:t>
            </w:r>
            <w:r>
              <w:rPr>
                <w:b/>
                <w:i/>
              </w:rPr>
              <w:t>samt ligebehandling og ikkeforskelsbehandling, herunder med hensyn til overførsel af erhvervede beskæftigelsesmæssige fordele på det indre marked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der henviser til, at </w:t>
            </w:r>
            <w:r>
              <w:rPr>
                <w:b/>
                <w:i/>
              </w:rPr>
              <w:t>fair</w:t>
            </w:r>
            <w:r>
              <w:t xml:space="preserve"> arbejdskraftmobilitet </w:t>
            </w:r>
            <w:r>
              <w:rPr>
                <w:b/>
                <w:i/>
              </w:rPr>
              <w:t>skaber</w:t>
            </w:r>
            <w:r>
              <w:t xml:space="preserve"> muligheder for virksomheder og arbejdstagere og bør fremmes inden for EU samt blandt arbejdstagere fra tredjelande, samtidig med at der sikres respekt for og håndhævelse af arbejdstagerrettigheder og sociale rettigheder gennem lovlige migrationsveje;</w:t>
            </w:r>
          </w:p>
        </w:tc>
        <w:tc>
          <w:tcPr>
            <w:tcW w:w="4876" w:type="dxa"/>
            <w:tcBorders>
              <w:top w:val="nil"/>
              <w:left w:val="nil"/>
              <w:bottom w:val="nil"/>
              <w:right w:val="nil"/>
            </w:tcBorders>
          </w:tcPr>
          <w:p>
            <w:pPr>
              <w:pStyle w:val="Normal6a"/>
            </w:pPr>
            <w:r>
              <w:t>H.</w:t>
            </w:r>
            <w:r>
              <w:tab/>
            </w:r>
            <w:r>
              <w:t xml:space="preserve">der henviser til, at arbejdskraftmobilitet </w:t>
            </w:r>
            <w:r>
              <w:rPr>
                <w:b/>
                <w:i/>
              </w:rPr>
              <w:t>er nedfældet i traktaterne og giver</w:t>
            </w:r>
            <w:r>
              <w:t xml:space="preserve"> muligheder for virksomheder og arbejdstagere og bør fremmes inden for EU samt blandt arbejdstagere fra tredjelande, samtidig med at der sikres </w:t>
            </w:r>
            <w:r>
              <w:rPr>
                <w:b/>
                <w:i/>
              </w:rPr>
              <w:t>fuld</w:t>
            </w:r>
            <w:r>
              <w:t xml:space="preserve"> respekt for og håndhævelse af arbejdstagerrettigheder og sociale rettigheder</w:t>
            </w:r>
            <w:r>
              <w:rPr>
                <w:b/>
                <w:i/>
              </w:rPr>
              <w:t>, herunder for tredjelandsstatsborgere</w:t>
            </w:r>
            <w:r>
              <w:t xml:space="preserve"> gennem lovlige migrationsveje</w:t>
            </w:r>
            <w:r>
              <w:rPr>
                <w:b/>
                <w:i/>
              </w:rPr>
              <w:t>, og bekæmpelse af sort arbejde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H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der henviser til, at industrielt demokrati ifølge Eurofounds forskning er tæt forbundet med kvaliteten af arbejde, beskæftigelse og industriel konkurrenceevne, at de opdaterede indekser for industrielt demokrati og industrielle relationer viser et polariseret billede, hvor små grupper af medlemsstater har meget høje eller meget lave resultater, og at der mellem 2008 og 2021</w:t>
            </w:r>
            <w:r>
              <w:rPr>
                <w:b/>
                <w:i/>
                <w:vertAlign w:val="superscript"/>
              </w:rPr>
              <w:t>4a</w:t>
            </w:r>
            <w:r>
              <w:rPr>
                <w:b/>
                <w:i/>
              </w:rPr>
              <w:t> blev konstateret et mønster med små opadgående forskelle i industrielt demokrati;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https://www.eurofound.europa.eu/da/publications/2023/measuring-key-dimensions-industrial-relations-and-industrial-democracy#:~:text=Executive%20summary,quality%20of%20work%20and%20employment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der henviser til, at Den Internationale Arbejdsorganisations mission om at fremme grundlæggende principper og rettigheder på arbejdspladsen fokuserer på at sikre et retfærdigt og anstændigt arbejdsmiljø for alle, herunder foreningsfrihed og retten til kollektive forhandlinger, afskaffelse af alle former for tvangsarbejde, effektiv afskaffelse af børnearbejde, afskaffelse af forskelsbehandling med hensyn til beskæftigelse og erhverv og retten til et sikkert og sundt arbejdsmiljø; der henviser til, at </w:t>
            </w:r>
            <w:r>
              <w:rPr>
                <w:b/>
                <w:i/>
              </w:rPr>
              <w:t>ikke alle EU-medlemsstater overholder</w:t>
            </w:r>
            <w:r>
              <w:t xml:space="preserve"> disse forpligtelser;</w:t>
            </w:r>
          </w:p>
        </w:tc>
        <w:tc>
          <w:tcPr>
            <w:tcW w:w="4876" w:type="dxa"/>
            <w:tcBorders>
              <w:top w:val="nil"/>
              <w:left w:val="nil"/>
              <w:bottom w:val="nil"/>
              <w:right w:val="nil"/>
            </w:tcBorders>
          </w:tcPr>
          <w:p>
            <w:pPr>
              <w:pStyle w:val="Normal6a"/>
            </w:pPr>
            <w:r>
              <w:t>I.</w:t>
            </w:r>
            <w:r>
              <w:tab/>
            </w:r>
            <w:r>
              <w:rPr>
                <w:b/>
                <w:i/>
              </w:rPr>
              <w:t>der henviser til, at Den Internationale Arbejdsorganisations trepartsstruktur og brede medlemskab markerer den som førende inden for globale arbejdsstandarder;</w:t>
            </w:r>
            <w:r>
              <w:t xml:space="preserve"> der henviser til, at Den Internationale Arbejdsorganisations mission om at fremme grundlæggende principper og rettigheder på arbejdspladsen fokuserer på at sikre et retfærdigt og anstændigt arbejdsmiljø for alle, herunder foreningsfrihed og retten til kollektive forhandlinger, afskaffelse af alle former for tvangsarbejde, effektiv afskaffelse af børnearbejde, afskaffelse af forskelsbehandling med hensyn til beskæftigelse og erhverv og retten til et sikkert og sundt arbejdsmiljø; der henviser til, at </w:t>
            </w:r>
            <w:r>
              <w:rPr>
                <w:b/>
                <w:i/>
              </w:rPr>
              <w:t>nogle medlemsstater står over for udfordringer i forbindelse med gennemførelsen og håndhævelsen af</w:t>
            </w:r>
            <w:r>
              <w:t xml:space="preserve"> disse forpligtelser;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I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der henviser til, at arbejdsmarkedets parter og civilsamfundsorganisationer spiller en central rolle med hensyn til at sikre anstændige arbejdsvilkår og fremme social retfærdighed og lighed;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I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der henviser til, at disse rettigheder inden for EU er beskyttet af EU-traktaterne, chartret om grundlæggende rettigheder og gældende EU-ret på arbejdsretsområdet;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mener, at Kommissionen og Rådet </w:t>
            </w:r>
            <w:r>
              <w:rPr>
                <w:b/>
                <w:i/>
              </w:rPr>
              <w:t>i overensstemmelse med handlingsplanen fra marts 2021 og La Hulpe-erklæringen bør øge indsatsen for</w:t>
            </w:r>
            <w:r>
              <w:t xml:space="preserve"> at gennemføre den europæiske søjle for sociale rettigheder for at nå de overordnede mål for 2030;</w:t>
            </w:r>
          </w:p>
        </w:tc>
        <w:tc>
          <w:tcPr>
            <w:tcW w:w="4876" w:type="dxa"/>
            <w:tcBorders>
              <w:top w:val="nil"/>
              <w:left w:val="nil"/>
              <w:bottom w:val="nil"/>
              <w:right w:val="nil"/>
            </w:tcBorders>
          </w:tcPr>
          <w:p>
            <w:pPr>
              <w:pStyle w:val="Normal6a"/>
            </w:pPr>
            <w:r>
              <w:t>1.</w:t>
            </w:r>
            <w:r>
              <w:tab/>
            </w:r>
            <w:r>
              <w:t xml:space="preserve">mener, at Kommissionen og Rådet </w:t>
            </w:r>
            <w:r>
              <w:rPr>
                <w:b/>
                <w:i/>
              </w:rPr>
              <w:t>bør styrke deres bestræbelser på</w:t>
            </w:r>
            <w:r>
              <w:t xml:space="preserve"> at gennemføre den europæiske søjle for sociale rettigheder </w:t>
            </w:r>
            <w:r>
              <w:rPr>
                <w:b/>
                <w:i/>
              </w:rPr>
              <w:t>i overensstemmelse med La Hulpe-erklæringen og gennem en ambitiøs ajourføring af handlingsplanen med konkrete tiltag og forslag til fremme af social konvergens, navnlig</w:t>
            </w:r>
            <w:r>
              <w:t xml:space="preserve"> for at nå de overordnede mål for 2030; </w:t>
            </w:r>
            <w:r>
              <w:rPr>
                <w:b/>
                <w:i/>
              </w:rPr>
              <w:t>opfordrer Kommissionen til som led i den ajourførte handlingsplan at vurdere de nuværende mål med henblik på at sikre, at de fortsat er relevante i den nuværende sociale og arbejdsmæssige kontekst, og til at ajourføre eller supplere dem, hvor det er nødvendigt;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mener, at Kommissionen og </w:t>
            </w:r>
            <w:r>
              <w:rPr>
                <w:b/>
                <w:i/>
              </w:rPr>
              <w:t>Rådet</w:t>
            </w:r>
            <w:r>
              <w:t xml:space="preserve"> i overensstemmelse med handlingsplanen fra marts 2021 og La Hulpe-erklæringen bør øge indsatsen for at gennemføre den europæiske søjle for sociale rettigheder for at nå de overordnede mål for 2030;</w:t>
            </w:r>
          </w:p>
        </w:tc>
        <w:tc>
          <w:tcPr>
            <w:tcW w:w="4876" w:type="dxa"/>
            <w:tcBorders>
              <w:top w:val="nil"/>
              <w:left w:val="nil"/>
              <w:bottom w:val="nil"/>
              <w:right w:val="nil"/>
            </w:tcBorders>
          </w:tcPr>
          <w:p>
            <w:pPr>
              <w:pStyle w:val="Normal6a"/>
            </w:pPr>
            <w:r>
              <w:t>1.</w:t>
            </w:r>
            <w:r>
              <w:tab/>
            </w:r>
            <w:r>
              <w:t xml:space="preserve">mener, at Kommissionen og </w:t>
            </w:r>
            <w:r>
              <w:rPr>
                <w:b/>
                <w:i/>
              </w:rPr>
              <w:t>medlemsstaterne</w:t>
            </w:r>
            <w:r>
              <w:t xml:space="preserve"> i overensstemmelse med </w:t>
            </w:r>
            <w:r>
              <w:rPr>
                <w:b/>
                <w:i/>
              </w:rPr>
              <w:t>forordning (EU) 2024/1263,</w:t>
            </w:r>
            <w:r>
              <w:t xml:space="preserve"> handlingsplanen fra marts 2021 og La Hulpe-erklæringen bør øge indsatsen for at gennemføre den europæiske søjle for sociale rettigheder for at nå de overordnede mål for 2030; </w:t>
            </w:r>
            <w:r>
              <w:rPr>
                <w:b/>
                <w:i/>
              </w:rPr>
              <w:t>opfordrer Kommissionen til at fremlægge en ny handlingsplan, der omfatter nye overordnede mål samt lovgivningsinitiativer til fuld gennemførelse af den europæiske søjle for sociale rettigheder;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beklager dybt, at Kommissionen har bevæget sig væk fra sit engagement i sociale fremskridt og opfyldelsen af målene for bæredygtig udvikling til en dagsorden for konkurrenceevne, forenkling og deregulering og dumping af de sociale og grønne forpligtelser; minder om, at social og økonomisk modstandsdygtighed, herunder den europæiske søjle for sociale rettigheder, er blandt Unionens fælles 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minder om, at FN's 2030-dagsorden for bæredygtig udvikling og relaterede mål anerkender, at udryddelse af fattigdom i alle dens former og dimensioner, herunder ekstrem fattigdom, er den største globale udfordring og en uomgængelig forudsætning for bæredygtig udvikling, og at ingen bør lades i stikken, og at behovene hos dem, der er længst bagefter, først skal imødekommes;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udtrykker bekymring over, at målene for bæredygtig udvikling ikke udtrykkeligt blev nævnt i de politiske retningslinjer fra den nuværende formand for Kommissionen, og glæder sig over, at det i opgavebeskrivelserne præciseres, at hvert medlem af kollegiet skal sikre opfyldelsen af EU's mål og målsætninger samt af FN's mål for bæredygtig udvikling inden for deres politikområder;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 c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beklager forsinkelsen generelt i fremskridtene med verdensmålene for bæredygtig udvikling i hele EU, idet det gik mere end dobbelt så langsomt (+ 0,8 procentpoint) med fremskridtene i perioden 2020-2023 end det gjorde i perioden 2016-2019 (+ 1,9 procentpoint);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 d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understreger, at verdensmålene for bæredygtig udvikling i vid udstrækning er en investeringsdagsorden, navnlig i menneskelig kapital (uddannelse, sundhed, social beskyttelse m.m.) og fysisk infrastruktur (vedvarende energi og energinet, adgang til teknologi, m.m.);</w:t>
            </w:r>
            <w:r>
              <w:t xml:space="preserve"> </w:t>
            </w:r>
            <w:r>
              <w:rPr>
                <w:b/>
                <w:i/>
              </w:rPr>
              <w:t>er bekymret over, at de europæiske midler vil blive afsat til forsvar og konkurrenceevne på bekostning af dagsordenen for social udvikling;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 e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opfordrer Kommissionen og medlemsstaterne til at samarbejde med Europa-Parlamentet om at udvikle en ny europæisk socialpagt for fremtiden med klare forpligtelser og investeringer på følgende områder:</w:t>
            </w:r>
            <w:r>
              <w:t xml:space="preserve"> </w:t>
            </w:r>
            <w:r>
              <w:rPr>
                <w:b/>
                <w:i/>
              </w:rPr>
              <w:t>reducere risikoen for fattigdom og social udstødelse for europæere og opnåelse af nettonulemissioner i EU senest i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anerkender den fortsatte relevans og betydning og den indbyrdes forbundne karakter af de tre centrale temaer fra verdenstopmødet om social udvikling i København i 1995, der blev anset for at være de tre søjler i den sociale udvikling, nemlig udryddelse af fattigdom, fuld og produktiv beskæftigelse og anstændigt arbejde for alle samt social inklusion;</w:t>
            </w:r>
          </w:p>
        </w:tc>
        <w:tc>
          <w:tcPr>
            <w:tcW w:w="4876" w:type="dxa"/>
            <w:tcBorders>
              <w:top w:val="nil"/>
              <w:left w:val="nil"/>
              <w:bottom w:val="nil"/>
              <w:right w:val="nil"/>
            </w:tcBorders>
          </w:tcPr>
          <w:p>
            <w:pPr>
              <w:pStyle w:val="Normal6a"/>
            </w:pPr>
            <w:r>
              <w:t>2.</w:t>
            </w:r>
            <w:r>
              <w:tab/>
            </w:r>
            <w:r>
              <w:t xml:space="preserve">anerkender den fortsatte relevans og betydning og den indbyrdes forbundne karakter af de tre centrale temaer fra verdenstopmødet om social udvikling i København i 1995, der blev anset for at være de tre søjler i den sociale udvikling, nemlig udryddelse af fattigdom, fuld og produktiv beskæftigelse og anstændigt arbejde for alle samt social inklusion; </w:t>
            </w:r>
            <w:r>
              <w:rPr>
                <w:b/>
                <w:i/>
              </w:rPr>
              <w:t>men understreger, at de ikke må bruges imod medlemsstater med det direkte eller indirekte formål at fremme indvandring fra tredjelande;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anerkender den fortsatte relevans og betydning og den indbyrdes forbundne karakter af de tre centrale temaer fra verdenstopmødet om social udvikling i København i 1995, der blev anset for at være de tre søjler i den sociale udvikling, nemlig udryddelse af fattigdom, fuld og produktiv beskæftigelse og anstændigt arbejde for alle samt social inklusion;</w:t>
            </w:r>
          </w:p>
        </w:tc>
        <w:tc>
          <w:tcPr>
            <w:tcW w:w="4876" w:type="dxa"/>
            <w:tcBorders>
              <w:top w:val="nil"/>
              <w:left w:val="nil"/>
              <w:bottom w:val="nil"/>
              <w:right w:val="nil"/>
            </w:tcBorders>
          </w:tcPr>
          <w:p>
            <w:pPr>
              <w:pStyle w:val="Normal6a"/>
            </w:pPr>
            <w:r>
              <w:t>2.</w:t>
            </w:r>
            <w:r>
              <w:tab/>
            </w:r>
            <w:r>
              <w:t xml:space="preserve">anerkender den fortsatte relevans og betydning og den indbyrdes forbundne </w:t>
            </w:r>
            <w:r>
              <w:rPr>
                <w:b/>
                <w:i/>
              </w:rPr>
              <w:t>og gensidigt forstærkende</w:t>
            </w:r>
            <w:r>
              <w:t xml:space="preserve"> karakter af de tre centrale temaer fra verdenstopmødet om social udvikling i København i 1995, der blev anset for at være de tre søjler i den sociale udvikling, nemlig udryddelse af fattigdom, fuld og produktiv beskæftigelse og anstændigt arbejde for alle samt social inklusion;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2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opfordrer indtrængende FN's medlemsstater til at støtte og fremme den rolle, som arbejdsmarkedets parter og civilsamfundsorganisationer spiller på deres område, og til at sikre deres meningsfulde inddragelse i forberedelsen af og opfølgningen på topmødet;</w:t>
            </w:r>
            <w:r>
              <w:t xml:space="preserve"> </w:t>
            </w:r>
            <w:r>
              <w:rPr>
                <w:b/>
                <w:i/>
              </w:rPr>
              <w:t>fremhæver, at en stærk inddragelse af flere interessenter i politikudformningen og effektive kollektive overenskomstforhandlinger kan bidrage væsentligt til fremskridt hen imod målene for social udvikling;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understreger vigtigheden af at bruge den sociale resultattavle og rammen for social konvergens til at kortlægge risici og spore fremskridt med hensyn til at reducere uligheder, styrke sociale beskyttelsessystemer og fremme anstændige arbejdsvilkår </w:t>
            </w:r>
            <w:r>
              <w:rPr>
                <w:b/>
                <w:i/>
              </w:rPr>
              <w:t>og støtteforanstaltninger, hvorigennem arbejdstagerne kan tackle omstillingerne</w:t>
            </w:r>
            <w:r>
              <w:t>; understreger, at det i denne forbindelse er nødvendigt at sikre et bæredygtigt, socialt retfærdigt og inklusivt Europa, hvor sociale rettigheder sikres og beskyttes fuldt ud; minder om, at EU-borgerne peger på et socialt Europa som en af deres prioriteter;</w:t>
            </w:r>
          </w:p>
        </w:tc>
        <w:tc>
          <w:tcPr>
            <w:tcW w:w="4876" w:type="dxa"/>
            <w:tcBorders>
              <w:top w:val="nil"/>
              <w:left w:val="nil"/>
              <w:bottom w:val="nil"/>
              <w:right w:val="nil"/>
            </w:tcBorders>
          </w:tcPr>
          <w:p>
            <w:pPr>
              <w:pStyle w:val="Normal6a"/>
            </w:pPr>
            <w:r>
              <w:t>3.</w:t>
            </w:r>
            <w:r>
              <w:tab/>
            </w:r>
            <w:r>
              <w:rPr>
                <w:b/>
                <w:i/>
              </w:rPr>
              <w:t>fremhæver behovet for, at Kommissionen hurtigst muligt fremlægger en pakke om kvalitetsjob, herunder de nødvendige lovgivningsinitiativer og investeringer for at sikre kvalitetsjob;</w:t>
            </w:r>
            <w:r>
              <w:t xml:space="preserve"> understreger vigtigheden af at bruge den sociale resultattavle og rammen for social konvergens til at kortlægge risici og spore fremskridt med hensyn til at </w:t>
            </w:r>
            <w:r>
              <w:rPr>
                <w:b/>
                <w:i/>
              </w:rPr>
              <w:t>sikre opadgående social konvergens,</w:t>
            </w:r>
            <w:r>
              <w:t xml:space="preserve"> reducere uligheder, styrke sociale beskyttelsessystemer og fremme anstændige arbejdsvilkår </w:t>
            </w:r>
            <w:r>
              <w:rPr>
                <w:b/>
                <w:i/>
              </w:rPr>
              <w:t>for at sikre en retfærdig omstilling</w:t>
            </w:r>
            <w:r>
              <w:t>; understreger, at det i denne forbindelse er nødvendigt at sikre et bæredygtigt, socialt retfærdigt og inklusivt Europa, hvor sociale rettigheder sikres og beskyttes fuldt ud; minder om, at EU-borgerne peger på et socialt Europa som en af deres prioriteter;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understreger vigtigheden af at bruge den sociale resultattavle og rammen for social konvergens til at kortlægge risici og spore fremskridt med hensyn til at reducere uligheder, styrke sociale beskyttelsessystemer og fremme anstændige arbejdsvilkår og støtteforanstaltninger, hvorigennem arbejdstagerne kan tackle </w:t>
            </w:r>
            <w:r>
              <w:rPr>
                <w:b/>
                <w:i/>
              </w:rPr>
              <w:t>omstillingerne</w:t>
            </w:r>
            <w:r>
              <w:t>; understreger, at det i denne forbindelse er nødvendigt at sikre et bæredygtigt, socialt retfærdigt og inklusivt Europa, hvor sociale rettigheder sikres og beskyttes fuldt ud; minder om, at EU-borgerne peger på et socialt Europa som en af deres prioriteter;</w:t>
            </w:r>
          </w:p>
        </w:tc>
        <w:tc>
          <w:tcPr>
            <w:tcW w:w="4876" w:type="dxa"/>
            <w:tcBorders>
              <w:top w:val="nil"/>
              <w:left w:val="nil"/>
              <w:bottom w:val="nil"/>
              <w:right w:val="nil"/>
            </w:tcBorders>
          </w:tcPr>
          <w:p>
            <w:pPr>
              <w:pStyle w:val="Normal6a"/>
            </w:pPr>
            <w:r>
              <w:t>3.</w:t>
            </w:r>
            <w:r>
              <w:tab/>
            </w:r>
            <w:r>
              <w:t xml:space="preserve">understreger vigtigheden af at bruge den sociale resultattavle og rammen for social konvergens til at kortlægge risici og spore fremskridt med hensyn til at reducere uligheder, styrke sociale beskyttelsessystemer og fremme anstændige arbejdsvilkår og støtteforanstaltninger, hvorigennem arbejdstagerne kan tackle </w:t>
            </w:r>
            <w:r>
              <w:rPr>
                <w:b/>
                <w:i/>
              </w:rPr>
              <w:t>erhvervsmæssige omstillinger</w:t>
            </w:r>
            <w:r>
              <w:t xml:space="preserve">; understreger, at det i denne forbindelse er nødvendigt at sikre et bæredygtigt, socialt retfærdigt og inklusivt Europa </w:t>
            </w:r>
            <w:r>
              <w:rPr>
                <w:b/>
                <w:i/>
              </w:rPr>
              <w:t>for europæere</w:t>
            </w:r>
            <w:r>
              <w:t xml:space="preserve">, hvor sociale rettigheder sikres og beskyttes fuldt ud; minder om, at EU-borgerne peger på et socialt Europa som en af deres prioriteter </w:t>
            </w:r>
            <w:r>
              <w:rPr>
                <w:b/>
                <w:i/>
              </w:rPr>
              <w:t>for sig selv</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opfordrer indtrængende</w:t>
            </w:r>
            <w:r>
              <w:t xml:space="preserve"> medlemsstaterne </w:t>
            </w:r>
            <w:r>
              <w:rPr>
                <w:b/>
                <w:i/>
              </w:rPr>
              <w:t>til at fremme demokrati på arbejdspladsen, social dialog og kollektive overenskomstforhandlinger samt beskyttelse af</w:t>
            </w:r>
            <w:r>
              <w:t xml:space="preserve"> arbejdstagernes rettigheder, navnlig i forbindelse med den grønne og den digitale omstilling, og </w:t>
            </w:r>
            <w:r>
              <w:rPr>
                <w:b/>
                <w:i/>
              </w:rPr>
              <w:t>til at sikre</w:t>
            </w:r>
            <w:r>
              <w:t xml:space="preserve"> lige løn for lige arbejde uanset køn</w:t>
            </w:r>
            <w:r>
              <w:rPr>
                <w:b/>
                <w:i/>
              </w:rPr>
              <w:t>, øge løngennemsigtigheden og bekæmpe kønsbaseret ulighed for at sætte en stopper for kønsbestemte lønforskelle i EU</w:t>
            </w:r>
            <w:r>
              <w:t>;</w:t>
            </w:r>
          </w:p>
        </w:tc>
        <w:tc>
          <w:tcPr>
            <w:tcW w:w="4876" w:type="dxa"/>
            <w:tcBorders>
              <w:top w:val="nil"/>
              <w:left w:val="nil"/>
              <w:bottom w:val="nil"/>
              <w:right w:val="nil"/>
            </w:tcBorders>
          </w:tcPr>
          <w:p>
            <w:pPr>
              <w:pStyle w:val="Normal6a"/>
            </w:pPr>
            <w:r>
              <w:t>4.</w:t>
            </w:r>
            <w:r>
              <w:tab/>
            </w:r>
            <w:r>
              <w:rPr>
                <w:b/>
                <w:i/>
              </w:rPr>
              <w:t>anbefaler, at</w:t>
            </w:r>
            <w:r>
              <w:t xml:space="preserve"> medlemsstaterne </w:t>
            </w:r>
            <w:r>
              <w:rPr>
                <w:b/>
                <w:i/>
              </w:rPr>
              <w:t>beskytter</w:t>
            </w:r>
            <w:r>
              <w:t xml:space="preserve"> arbejdstagernes rettigheder, navnlig i forbindelse med den grønne og den digitale omstilling, og </w:t>
            </w:r>
            <w:r>
              <w:rPr>
                <w:b/>
                <w:i/>
              </w:rPr>
              <w:t>sikrer</w:t>
            </w:r>
            <w:r>
              <w:t xml:space="preserve"> lige løn for lige arbejde uanset køn;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opfordrer indtrængende medlemsstaterne til at fremme demokrati på arbejdspladsen, social dialog og kollektive overenskomstforhandlinger samt beskyttelse af arbejdstagernes rettigheder, navnlig i forbindelse med den grønne og den digitale omstilling, og til at sikre lige løn for lige arbejde uanset køn, øge løngennemsigtigheden og bekæmpe kønsbaseret ulighed for at sætte en stopper for kønsbestemte lønforskelle i EU;</w:t>
            </w:r>
          </w:p>
        </w:tc>
        <w:tc>
          <w:tcPr>
            <w:tcW w:w="4876" w:type="dxa"/>
            <w:tcBorders>
              <w:top w:val="nil"/>
              <w:left w:val="nil"/>
              <w:bottom w:val="nil"/>
              <w:right w:val="nil"/>
            </w:tcBorders>
          </w:tcPr>
          <w:p>
            <w:pPr>
              <w:pStyle w:val="Normal6a"/>
            </w:pPr>
            <w:r>
              <w:t>4.</w:t>
            </w:r>
            <w:r>
              <w:tab/>
            </w:r>
            <w:r>
              <w:t xml:space="preserve">opfordrer indtrængende </w:t>
            </w:r>
            <w:r>
              <w:rPr>
                <w:b/>
                <w:i/>
              </w:rPr>
              <w:t>Kommissionen og</w:t>
            </w:r>
            <w:r>
              <w:t xml:space="preserve"> medlemsstaterne til at fremme demokrati på arbejdspladsen, social dialog og kollektive overenskomstforhandlinger samt beskyttelse af arbejdstagernes rettigheder, navnlig i forbindelse med den grønne og den digitale omstilling, og til at sikre lige løn for lige arbejde uanset køn, øge løngennemsigtigheden og bekæmpe kønsbaseret ulighed for at sætte en stopper for kønsbestemte lønforskelle i EU; </w:t>
            </w:r>
            <w:r>
              <w:rPr>
                <w:b/>
                <w:i/>
              </w:rPr>
              <w:t>fremhæver behovet for at afsætte tilstrækkelige ressourcer i den næste FFR til at støtte den sociale dialog og kollektive overenskomstforhandlinger og styrke kapacitetsopbygningen for arbejdsmarkedets parter;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opfordrer </w:t>
            </w:r>
            <w:r>
              <w:rPr>
                <w:b/>
                <w:i/>
              </w:rPr>
              <w:t>indtrængende</w:t>
            </w:r>
            <w:r>
              <w:t xml:space="preserve"> medlemsstaterne til at fremme demokrati </w:t>
            </w:r>
            <w:r>
              <w:rPr>
                <w:b/>
                <w:i/>
              </w:rPr>
              <w:t>på arbejdspladsen</w:t>
            </w:r>
            <w:r>
              <w:t>, social dialog og kollektive overenskomstforhandlinger samt beskyttelse af arbejdstagernes rettigheder, navnlig i forbindelse med den grønne og den digitale omstilling, og til at sikre lige løn for lige arbejde uanset køn, øge løngennemsigtigheden og bekæmpe kønsbaseret ulighed for at sætte en stopper for kønsbestemte lønforskelle i EU;</w:t>
            </w:r>
          </w:p>
        </w:tc>
        <w:tc>
          <w:tcPr>
            <w:tcW w:w="4876" w:type="dxa"/>
            <w:tcBorders>
              <w:top w:val="nil"/>
              <w:left w:val="nil"/>
              <w:bottom w:val="nil"/>
              <w:right w:val="nil"/>
            </w:tcBorders>
          </w:tcPr>
          <w:p>
            <w:pPr>
              <w:pStyle w:val="Normal6a"/>
            </w:pPr>
            <w:r>
              <w:t>4.</w:t>
            </w:r>
            <w:r>
              <w:tab/>
            </w:r>
            <w:r>
              <w:t>opfordrer medlemsstaterne til at fremme demokrati, social dialog og kollektive overenskomstforhandlinger samt beskyttelse af arbejdstagernes rettigheder, navnlig i forbindelse med den grønne og den digitale omstilling, og til at sikre lige løn for lige arbejde uanset køn, øge løngennemsigtigheden</w:t>
            </w:r>
            <w:r>
              <w:rPr>
                <w:b/>
                <w:i/>
              </w:rPr>
              <w:t>, støtte integrationen af personer med handicap på arbejdsmarkedet og deres adgang til en passende bolig</w:t>
            </w:r>
            <w:r>
              <w:t xml:space="preserve"> og bekæmpe kønsbaseret ulighed for at sætte en stopper for kønsbestemte lønforskelle i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opfordrer indtrængende medlemsstaterne til at fremme demokrati på arbejdspladsen, social dialog og </w:t>
            </w:r>
            <w:r>
              <w:rPr>
                <w:b/>
                <w:i/>
              </w:rPr>
              <w:t>kollektive overenskomstforhandlinger samt</w:t>
            </w:r>
            <w:r>
              <w:t xml:space="preserve"> beskyttelse af arbejdstagernes rettigheder</w:t>
            </w:r>
            <w:r>
              <w:rPr>
                <w:b/>
                <w:i/>
              </w:rPr>
              <w:t>, navnlig i forbindelse med den grønne og den digitale omstilling,</w:t>
            </w:r>
            <w:r>
              <w:t xml:space="preserve"> og til at sikre lige løn for lige arbejde uanset køn, øge løngennemsigtigheden og bekæmpe kønsbaseret ulighed for at sætte en stopper for kønsbestemte lønforskelle i EU;</w:t>
            </w:r>
          </w:p>
        </w:tc>
        <w:tc>
          <w:tcPr>
            <w:tcW w:w="4876" w:type="dxa"/>
            <w:tcBorders>
              <w:top w:val="nil"/>
              <w:left w:val="nil"/>
              <w:bottom w:val="nil"/>
              <w:right w:val="nil"/>
            </w:tcBorders>
          </w:tcPr>
          <w:p>
            <w:pPr>
              <w:pStyle w:val="Normal6a"/>
            </w:pPr>
            <w:r>
              <w:t>4.</w:t>
            </w:r>
            <w:r>
              <w:tab/>
            </w:r>
            <w:r>
              <w:t>opfordrer indtrængende medlemsstaterne til at fremme demokrati på arbejdspladsen, social dialog og beskyttelse af arbejdstagernes rettigheder og til at sikre lige løn for lige arbejde uanset køn, øge løngennemsigtigheden og bekæmpe kønsbaseret ulighed for at sætte en stopper for kønsbestemte lønforskelle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opfordrer indtrængende medlemsstaterne til at fremme demokrati på arbejdspladsen, social dialog og kollektive overenskomstforhandlinger samt beskyttelse af arbejdstagernes rettigheder, navnlig i forbindelse med den grønne og den digitale omstilling, og til at sikre lige løn for lige arbejde uanset køn, øge løngennemsigtigheden og bekæmpe kønsbaseret ulighed for at sætte en stopper for kønsbestemte lønforskelle i EU;</w:t>
            </w:r>
          </w:p>
        </w:tc>
        <w:tc>
          <w:tcPr>
            <w:tcW w:w="4876" w:type="dxa"/>
            <w:tcBorders>
              <w:top w:val="nil"/>
              <w:left w:val="nil"/>
              <w:bottom w:val="nil"/>
              <w:right w:val="nil"/>
            </w:tcBorders>
          </w:tcPr>
          <w:p>
            <w:pPr>
              <w:pStyle w:val="Normal6a"/>
            </w:pPr>
            <w:r>
              <w:t>4.</w:t>
            </w:r>
            <w:r>
              <w:tab/>
            </w:r>
            <w:r>
              <w:t xml:space="preserve">opfordrer indtrængende medlemsstaterne til at fremme demokrati på arbejdspladsen, social dialog og kollektive overenskomstforhandlinger samt beskyttelse af arbejdstagernes rettigheder, navnlig i forbindelse med den grønne og den digitale omstilling, og til at sikre lige løn for lige arbejde uanset køn, øge løngennemsigtigheden og bekæmpe kønsbaseret ulighed for at sætte en stopper for kønsbestemte lønforskelle </w:t>
            </w:r>
            <w:r>
              <w:rPr>
                <w:b/>
                <w:i/>
              </w:rPr>
              <w:t>og pensions- og beskæftigelsesgabet</w:t>
            </w:r>
            <w:r>
              <w:t xml:space="preserve">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opfordrer til lønstigninger for at sikre, at lønninger garanterer en anstændig levestandard, og til at fremme opadgående lønkonvergens, herunder ved at fremme kollektive overenskomstforhandlinger og fuldt ud gennemføre direktiv (EU) 2022/2041 om passende mindstelønninger i EU;</w:t>
            </w:r>
            <w:r>
              <w:t xml:space="preserve"> </w:t>
            </w:r>
            <w:r>
              <w:rPr>
                <w:b/>
                <w:i/>
              </w:rPr>
              <w:t>gentager endvidere betydningen af at sikre betaling af anstændige og passende lønninger på tværs af globale forsyningskæder og opfordrer til multinationale virksomheders ansvarlighed i denne henseende, herunder gennem bindende due diligence-lovgivning, der opretholder fair lønpraksis uden for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opfordrer til, at indsatsen for </w:t>
            </w:r>
            <w:r>
              <w:rPr>
                <w:b/>
                <w:i/>
              </w:rPr>
              <w:t>bekæmpelse af</w:t>
            </w:r>
            <w:r>
              <w:t xml:space="preserve"> forskelsbehandling </w:t>
            </w:r>
            <w:r>
              <w:rPr>
                <w:b/>
                <w:i/>
              </w:rPr>
              <w:t>og</w:t>
            </w:r>
            <w:r>
              <w:t xml:space="preserve"> chikane i arbejdslivet </w:t>
            </w:r>
            <w:r>
              <w:rPr>
                <w:b/>
                <w:i/>
              </w:rPr>
              <w:t>øges</w:t>
            </w:r>
            <w:r>
              <w:t>;</w:t>
            </w:r>
          </w:p>
        </w:tc>
        <w:tc>
          <w:tcPr>
            <w:tcW w:w="4876" w:type="dxa"/>
            <w:tcBorders>
              <w:top w:val="nil"/>
              <w:left w:val="nil"/>
              <w:bottom w:val="nil"/>
              <w:right w:val="nil"/>
            </w:tcBorders>
          </w:tcPr>
          <w:p>
            <w:pPr>
              <w:pStyle w:val="Normal6a"/>
            </w:pPr>
            <w:r>
              <w:t>5.</w:t>
            </w:r>
            <w:r>
              <w:tab/>
            </w:r>
            <w:r>
              <w:t xml:space="preserve">opfordrer til, at indsatsen for </w:t>
            </w:r>
            <w:r>
              <w:rPr>
                <w:b/>
                <w:i/>
              </w:rPr>
              <w:t>at bekæmpe vold,</w:t>
            </w:r>
            <w:r>
              <w:t xml:space="preserve"> forskelsbehandling </w:t>
            </w:r>
            <w:r>
              <w:rPr>
                <w:b/>
                <w:i/>
              </w:rPr>
              <w:t>eller</w:t>
            </w:r>
            <w:r>
              <w:t xml:space="preserve"> chikane i arbejdslivet </w:t>
            </w:r>
            <w:r>
              <w:rPr>
                <w:b/>
                <w:i/>
              </w:rPr>
              <w:t>intensiveres, herunder i digitale miljøer</w:t>
            </w:r>
            <w:r>
              <w:t xml:space="preserve">; </w:t>
            </w:r>
            <w:r>
              <w:rPr>
                <w:b/>
                <w:i/>
              </w:rPr>
              <w:t>understreger betydningen af forebyggende og beskyttende foranstaltninger på arbejdspladsen for at beskytte arbejdstagernes trivsel og fysiske og mentale sundhed;</w:t>
            </w:r>
            <w:r>
              <w:t xml:space="preserve"> </w:t>
            </w:r>
            <w:r>
              <w:rPr>
                <w:b/>
                <w:i/>
              </w:rPr>
              <w:t>bemærker stigningen i arbejdsrelaterede psykiske lidelser, herunder udbrændthed, angst og posttraumatisk stress, i forbindelse med nye former for arbejdstilrettelæggelse, konstant opkobling og digital overvågning;</w:t>
            </w:r>
            <w:r>
              <w:t xml:space="preserve"> </w:t>
            </w:r>
            <w:r>
              <w:rPr>
                <w:b/>
                <w:i/>
              </w:rPr>
              <w:t>opfordrer Kommissionen til at beskytte arbejdstagernes mentale sundhed og gentager det presserende behov for et lovgivningsinitiativ til forebyggelse af psykosociale risici på arbejdspladsen;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minder om den rolle, som relevante europæiske fonde såsom ESF +, Den Sociale Klimafond og genopretnings- og resiliensfaciliteten spiller i bekæmpelsen af fattigdom og social udstødelse, og opfordrer indtrængende medlemsstaterne til med støtte fra Kommissionen fuldt ud at udnytte deres potentiale i denne henseende;</w:t>
            </w:r>
            <w:r>
              <w:t xml:space="preserve"> </w:t>
            </w:r>
            <w:r>
              <w:rPr>
                <w:b/>
                <w:i/>
              </w:rPr>
              <w:t>understreger behovet for stærke selvstændige instrumenter til bekæmpelse af fattigdom og social udstødelse i den næste FFR;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opfordrer Kommissionen og medlemsstaterne til at integrere kønsaspektet på tværs af alle politikområder og retsakter;</w:t>
            </w:r>
            <w:r>
              <w:t xml:space="preserve"> </w:t>
            </w:r>
            <w:r>
              <w:rPr>
                <w:b/>
                <w:i/>
              </w:rPr>
              <w:t>minder om, at social inklusion og retfærdighed aldrig vil blive en realitet uden ligebehandling.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5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minder endvidere om den rolle, som EU spiller for den sociale udvikling i tredjelande, herunder gennem fonde som f.eks. et globalt Europa;</w:t>
            </w:r>
            <w:r>
              <w:t xml:space="preserve"> </w:t>
            </w:r>
            <w:r>
              <w:rPr>
                <w:b/>
                <w:i/>
              </w:rPr>
              <w:t>beklager dybt, at en række lande har trukket midler til udvikling, herunder social udvikling, tilbage, hvilket har ødelæggende konsekvenser for menneskers liv og levebrød;</w:t>
            </w:r>
            <w:r>
              <w:t xml:space="preserve"> </w:t>
            </w:r>
            <w:r>
              <w:rPr>
                <w:b/>
                <w:i/>
              </w:rPr>
              <w:t>opfordrer indtrængende EU til at fortsætte sit stærke engagement i at støtte social udvikling i udlandet i den nuværende og næste FFR for at sikre stabilitet og stabil finansiering og til at samarbejde med alle relevante aktører for at sikre et fortsat engagement i målene for social udvikling på globalt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opfordrer til et holistisk syn på social beskyttelse og inklusion og til, at der foreslås en ambitiøs strategi ledsaget af tilstrækkelig støtte i den næste flerårige finansielle ramme (FFR) på grundlag af Parlamentets kommende initiativbetænkning om EU's strategi for bekæmpelse af fattigdom og en ambitiøs plan for økonomisk overkommelige boliger til håndtering af boligkrisen og bekæmpelse af hjemløshed;</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opfordrer til et holistisk syn på social beskyttelse og inklusion og til, at der foreslås en ambitiøs strategi ledsaget af tilstrækkelig støtte i den næste flerårige finansielle ramme (FFR) på grundlag af Parlamentets kommende initiativbetænkning om EU's strategi for bekæmpelse af fattigdom og en ambitiøs plan for økonomisk overkommelige boliger til håndtering af boligkrisen og bekæmpelse af hjemløshed;</w:t>
            </w:r>
          </w:p>
        </w:tc>
        <w:tc>
          <w:tcPr>
            <w:tcW w:w="4876" w:type="dxa"/>
            <w:tcBorders>
              <w:top w:val="nil"/>
              <w:left w:val="nil"/>
              <w:bottom w:val="nil"/>
              <w:right w:val="nil"/>
            </w:tcBorders>
          </w:tcPr>
          <w:p>
            <w:pPr>
              <w:pStyle w:val="Normal6a"/>
            </w:pPr>
            <w:r>
              <w:t>6.</w:t>
            </w:r>
            <w:r>
              <w:tab/>
            </w:r>
            <w:r>
              <w:t xml:space="preserve">opfordrer til et holistisk syn på </w:t>
            </w:r>
            <w:r>
              <w:rPr>
                <w:b/>
                <w:i/>
              </w:rPr>
              <w:t>udryddelse af fattigdom,</w:t>
            </w:r>
            <w:r>
              <w:t xml:space="preserve"> social beskyttelse og inklusion og til, at der foreslås en ambitiøs strategi ledsaget af tilstrækkelig støtte i den næste flerårige finansielle ramme (FFR) på grundlag af Parlamentets kommende initiativbetænkning om EU's strategi for bekæmpelse af fattigdom og en ambitiøs plan for økonomisk overkommelige boliger til håndtering af boligkrisen og bekæmpelse af hjemløshed; </w:t>
            </w:r>
            <w:r>
              <w:rPr>
                <w:b/>
                <w:i/>
              </w:rPr>
              <w:t>understreger, at disse nye initiativer skal supplere andre relaterede EU-strategier såsom køreplanen for kvinders rettigheder, strategien for rettigheder for personer med handicap og børnegarantien for at sikre en intersektionel tilgang til fattigdommens flerdimensionelle karakter;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opfordrer til </w:t>
            </w:r>
            <w:r>
              <w:rPr>
                <w:b/>
                <w:i/>
              </w:rPr>
              <w:t>et holistisk syn på</w:t>
            </w:r>
            <w:r>
              <w:t xml:space="preserve"> social beskyttelse og inklusion og til, at der foreslås en ambitiøs strategi ledsaget af tilstrækkelig støtte i den næste flerårige finansielle ramme (FFR) </w:t>
            </w:r>
            <w:r>
              <w:rPr>
                <w:b/>
                <w:i/>
              </w:rPr>
              <w:t>på grundlag af Parlamentets kommende initiativbetænkning om EU's strategi for bekæmpelse af fattigdom og en ambitiøs plan for</w:t>
            </w:r>
            <w:r>
              <w:t xml:space="preserve"> økonomisk overkommelige boliger </w:t>
            </w:r>
            <w:r>
              <w:rPr>
                <w:b/>
                <w:i/>
              </w:rPr>
              <w:t>til håndtering af boligkrisen og bekæmpelse af hjemløshed</w:t>
            </w:r>
            <w:r>
              <w:t>;</w:t>
            </w:r>
          </w:p>
        </w:tc>
        <w:tc>
          <w:tcPr>
            <w:tcW w:w="4876" w:type="dxa"/>
            <w:tcBorders>
              <w:top w:val="nil"/>
              <w:left w:val="nil"/>
              <w:bottom w:val="nil"/>
              <w:right w:val="nil"/>
            </w:tcBorders>
          </w:tcPr>
          <w:p>
            <w:pPr>
              <w:pStyle w:val="Normal6a"/>
            </w:pPr>
            <w:r>
              <w:t>6.</w:t>
            </w:r>
            <w:r>
              <w:tab/>
            </w:r>
            <w:r>
              <w:t>opfordrer til social beskyttelse og inklusion og til, at der foreslås en ambitiøs strategi ledsaget af tilstrækkelig støtte i den næste flerårige finansielle ramme (FFR)</w:t>
            </w:r>
            <w:r>
              <w:rPr>
                <w:b/>
                <w:i/>
              </w:rPr>
              <w:t>, der sikrer, at sociale investeringer er på samme niveau som investeringer i forsvar eller konkurrenceevne;</w:t>
            </w:r>
            <w:r>
              <w:t xml:space="preserve"> </w:t>
            </w:r>
            <w:r>
              <w:rPr>
                <w:b/>
                <w:i/>
              </w:rPr>
              <w:t>minder om, at Kommissionens estimat af den sociale investeringskløft</w:t>
            </w:r>
            <w:r>
              <w:rPr>
                <w:b/>
                <w:i/>
                <w:vertAlign w:val="superscript"/>
              </w:rPr>
              <w:t>5a</w:t>
            </w:r>
            <w:r>
              <w:rPr>
                <w:b/>
                <w:i/>
              </w:rPr>
              <w:t> allerede i 2020 viste, at der manglede 192 mia. EUR om året for at imødekomme borgernes behov: 120 mia. EUR til sundhed, 57 mia. EUR til</w:t>
            </w:r>
            <w:r>
              <w:t xml:space="preserve"> økonomisk overkommelige boliger </w:t>
            </w:r>
            <w:r>
              <w:rPr>
                <w:b/>
                <w:i/>
              </w:rPr>
              <w:t>og 15 mia. EUR til uddannelse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https://eur-lex.europa.eu/legal-content/DA/TXT/PDF/?uri=CELEX:52020SC0098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minder om, at niveauet for minimumsindkomstydelser for det meste ligger et godt stykke under de nationale fattigdomsgrænser;</w:t>
            </w:r>
            <w:r>
              <w:t xml:space="preserve"> </w:t>
            </w:r>
            <w:r>
              <w:rPr>
                <w:b/>
                <w:i/>
              </w:rPr>
              <w:t>opfordrer indtrængende medlemsstaterne til fuldt ud at gennemføre Rådets henstilling om en tilstrækkelig minimumsindkomst;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understreger, at et EU-rammedirektiv om passende minimumslønninger og aktiv inklusion i overensstemmelse med nærhedsprincippet vil bidrage til målene om at reducere fattigdom og fremme integration af mennesker, der ikke er en del af arbejdsmarkedet;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opfordrer indtrængende alle medlemsstater til at gøre</w:t>
            </w:r>
            <w:r>
              <w:t xml:space="preserve"> en yderligere indsats for at bekæmpe børnefattigdom ved at gennemføre deres nationale handlingsplan </w:t>
            </w:r>
            <w:r>
              <w:rPr>
                <w:b/>
                <w:i/>
              </w:rPr>
              <w:t>for den europæiske børnegaranti og opfordrer til, at den har et særligt budget med tilstrækkelige ressourcer i den næste FFR</w:t>
            </w:r>
            <w:r>
              <w:t>;</w:t>
            </w:r>
          </w:p>
        </w:tc>
        <w:tc>
          <w:tcPr>
            <w:tcW w:w="4876" w:type="dxa"/>
            <w:tcBorders>
              <w:top w:val="nil"/>
              <w:left w:val="nil"/>
              <w:bottom w:val="nil"/>
              <w:right w:val="nil"/>
            </w:tcBorders>
          </w:tcPr>
          <w:p>
            <w:pPr>
              <w:pStyle w:val="Normal6a"/>
            </w:pPr>
            <w:r>
              <w:t>7.</w:t>
            </w:r>
            <w:r>
              <w:tab/>
            </w:r>
            <w:r>
              <w:rPr>
                <w:b/>
                <w:i/>
              </w:rPr>
              <w:t>anbefaler, at medlemsstaterne gør</w:t>
            </w:r>
            <w:r>
              <w:t xml:space="preserve"> en yderligere indsats for at bekæmpe børnefattigdom ved at gennemføre deres nationale handlingsplan;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opfordrer indtrængende alle medlemsstater til at gøre en yderligere indsats for at bekæmpe børnefattigdom ved at gennemføre deres nationale handlingsplan for den europæiske børnegaranti og opfordrer </w:t>
            </w:r>
            <w:r>
              <w:rPr>
                <w:b/>
                <w:i/>
              </w:rPr>
              <w:t>til</w:t>
            </w:r>
            <w:r>
              <w:t xml:space="preserve">, at den har et særligt budget </w:t>
            </w:r>
            <w:r>
              <w:rPr>
                <w:b/>
                <w:i/>
              </w:rPr>
              <w:t>med tilstrækkelige ressourcer</w:t>
            </w:r>
            <w:r>
              <w:t xml:space="preserve"> i den næste FFR;</w:t>
            </w:r>
          </w:p>
        </w:tc>
        <w:tc>
          <w:tcPr>
            <w:tcW w:w="4876" w:type="dxa"/>
            <w:tcBorders>
              <w:top w:val="nil"/>
              <w:left w:val="nil"/>
              <w:bottom w:val="nil"/>
              <w:right w:val="nil"/>
            </w:tcBorders>
          </w:tcPr>
          <w:p>
            <w:pPr>
              <w:pStyle w:val="Normal6a"/>
            </w:pPr>
            <w:r>
              <w:t>7.</w:t>
            </w:r>
            <w:r>
              <w:tab/>
            </w:r>
            <w:r>
              <w:t xml:space="preserve">opfordrer indtrængende alle medlemsstater til at gøre en yderligere indsats for at bekæmpe børnefattigdom ved at gennemføre deres nationale handlingsplan for den europæiske børnegaranti og opfordrer </w:t>
            </w:r>
            <w:r>
              <w:rPr>
                <w:b/>
                <w:i/>
              </w:rPr>
              <w:t>Kommissionen til at sikre</w:t>
            </w:r>
            <w:r>
              <w:t xml:space="preserve">, at den har et særligt budget </w:t>
            </w:r>
            <w:r>
              <w:rPr>
                <w:b/>
                <w:i/>
              </w:rPr>
              <w:t>hertil på mindst 20 mia. EUR</w:t>
            </w:r>
            <w:r>
              <w:t xml:space="preserve"> i den næste FFR;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opfordrer indtrængende alle medlemsstater til at gøre en yderligere indsats for at bekæmpe børnefattigdom ved at gennemføre deres nationale handlingsplan for den europæiske børnegaranti og opfordrer til, at den har et særligt budget </w:t>
            </w:r>
            <w:r>
              <w:rPr>
                <w:b/>
                <w:i/>
              </w:rPr>
              <w:t>med tilstrækkelige ressourcer</w:t>
            </w:r>
            <w:r>
              <w:t xml:space="preserve"> i den næste FFR;</w:t>
            </w:r>
          </w:p>
        </w:tc>
        <w:tc>
          <w:tcPr>
            <w:tcW w:w="4876" w:type="dxa"/>
            <w:tcBorders>
              <w:top w:val="nil"/>
              <w:left w:val="nil"/>
              <w:bottom w:val="nil"/>
              <w:right w:val="nil"/>
            </w:tcBorders>
          </w:tcPr>
          <w:p>
            <w:pPr>
              <w:pStyle w:val="Normal6a"/>
            </w:pPr>
            <w:r>
              <w:t>7.</w:t>
            </w:r>
            <w:r>
              <w:tab/>
            </w:r>
            <w:r>
              <w:t xml:space="preserve">opfordrer indtrængende alle medlemsstater til at gøre en yderligere indsats for at bekæmpe børnefattigdom ved at gennemføre deres nationale handlingsplan for den europæiske børnegaranti og opfordrer til, at den har et særligt budget </w:t>
            </w:r>
            <w:r>
              <w:rPr>
                <w:b/>
                <w:i/>
              </w:rPr>
              <w:t>hertil på mindst 20 mia. EUR</w:t>
            </w:r>
            <w:r>
              <w:t xml:space="preserve"> i den næste FFR;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opfordrer indtrængende alle medlemsstater til at gøre en yderligere indsats for at bekæmpe børnefattigdom ved at gennemføre deres nationale handlingsplan for den europæiske børnegaranti og opfordrer til, at den har et særligt budget </w:t>
            </w:r>
            <w:r>
              <w:rPr>
                <w:b/>
                <w:i/>
              </w:rPr>
              <w:t>med tilstrækkelige ressourcer</w:t>
            </w:r>
            <w:r>
              <w:t xml:space="preserve"> i den næste FFR;</w:t>
            </w:r>
          </w:p>
        </w:tc>
        <w:tc>
          <w:tcPr>
            <w:tcW w:w="4876" w:type="dxa"/>
            <w:tcBorders>
              <w:top w:val="nil"/>
              <w:left w:val="nil"/>
              <w:bottom w:val="nil"/>
              <w:right w:val="nil"/>
            </w:tcBorders>
          </w:tcPr>
          <w:p>
            <w:pPr>
              <w:pStyle w:val="Normal6a"/>
            </w:pPr>
            <w:r>
              <w:t>7.</w:t>
            </w:r>
            <w:r>
              <w:tab/>
            </w:r>
            <w:r>
              <w:t xml:space="preserve">opfordrer indtrængende alle medlemsstater til at gøre en yderligere indsats for at bekæmpe børnefattigdom ved at gennemføre deres nationale handlingsplan for den europæiske børnegaranti og opfordrer til, at den har et særligt budget </w:t>
            </w:r>
            <w:r>
              <w:rPr>
                <w:b/>
                <w:i/>
              </w:rPr>
              <w:t>hertil på 20 mia. EUR</w:t>
            </w:r>
            <w:r>
              <w:t xml:space="preserve"> i den næste FFR;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opfordrer indtrængende alle medlemsstater til at gøre en yderligere indsats for at bekæmpe børnefattigdom ved at gennemføre deres nationale handlingsplan for den europæiske børnegaranti og opfordrer til, at den har </w:t>
            </w:r>
            <w:r>
              <w:rPr>
                <w:b/>
                <w:i/>
              </w:rPr>
              <w:t>et særligt budget med</w:t>
            </w:r>
            <w:r>
              <w:t xml:space="preserve"> tilstrækkelige ressourcer i den næste FFR;</w:t>
            </w:r>
          </w:p>
        </w:tc>
        <w:tc>
          <w:tcPr>
            <w:tcW w:w="4876" w:type="dxa"/>
            <w:tcBorders>
              <w:top w:val="nil"/>
              <w:left w:val="nil"/>
              <w:bottom w:val="nil"/>
              <w:right w:val="nil"/>
            </w:tcBorders>
          </w:tcPr>
          <w:p>
            <w:pPr>
              <w:pStyle w:val="Normal6a"/>
            </w:pPr>
            <w:r>
              <w:t>7.</w:t>
            </w:r>
            <w:r>
              <w:tab/>
            </w:r>
            <w:r>
              <w:t>opfordrer indtrængende alle medlemsstater til at gøre en yderligere indsats for at bekæmpe børnefattigdom ved at gennemføre deres nationale handlingsplan for den europæiske børnegaranti og opfordrer til, at den har tilstrækkelige ressourcer i den næste FFR;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opfordrer Kommissionen og medlemsstaterne til fuldt ud at gennemføre den europæiske plejestrategi, der sikrer økonomisk overkommelige og tilgængelige plejeydelser af høj kvalitet i hele EU;</w:t>
            </w:r>
            <w:r>
              <w:t xml:space="preserve"> </w:t>
            </w:r>
            <w:r>
              <w:rPr>
                <w:b/>
                <w:i/>
              </w:rPr>
              <w:t>understreger behovet for at anerkende omsorg som en social og økonomisk investering i overensstemmelse med princip 18 i den europæiske søjle for sociale rettigheder;</w:t>
            </w:r>
            <w:r>
              <w:t xml:space="preserve"> </w:t>
            </w:r>
            <w:r>
              <w:rPr>
                <w:b/>
                <w:i/>
              </w:rPr>
              <w:t>opfordrer indtrængende til, at der udvikles bindende foranstaltninger på EU-plan og globalt plan for at anerkende omsorg som et fælles gode, forbedre arbejdsvilkårene i omsorgssektoren, fremme ligestilling mellem kønnene og sikre tilgængelige og økonomisk overkommelige plejetjenester af høj kvalitet for alle;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understreger behovet for yderligere at håndtere virkningerne af den </w:t>
            </w:r>
            <w:r>
              <w:rPr>
                <w:b/>
                <w:i/>
              </w:rPr>
              <w:t>dobbelte</w:t>
            </w:r>
            <w:r>
              <w:t xml:space="preserve"> omstilling </w:t>
            </w:r>
            <w:r>
              <w:rPr>
                <w:b/>
                <w:i/>
              </w:rPr>
              <w:t>– grøn og digital –</w:t>
            </w:r>
            <w:r>
              <w:t xml:space="preserve"> i arbejdslivet ved at styrke princippet om "menneskelig kontrol" </w:t>
            </w:r>
            <w:r>
              <w:rPr>
                <w:b/>
                <w:i/>
              </w:rPr>
              <w:t>af kunstig intelligens gennem et nyt lovgivningsinitiativ om kunstig intelligens på arbejdspladsen og algoritmisk styring;</w:t>
            </w:r>
            <w:r>
              <w:t xml:space="preserve"> fremhæver behovet for at skabe bæredygtige kvalitetsjob </w:t>
            </w:r>
            <w:r>
              <w:rPr>
                <w:b/>
                <w:i/>
              </w:rPr>
              <w:t>og samtidig styrke den retlige ramme for styring og foregribelse af omstillingen, samtidig med at arbejdsmarkedets parters rolle og deltagelse fremmes, og integration på arbejdsmarkedet fremmes</w:t>
            </w:r>
            <w:r>
              <w:t>;</w:t>
            </w:r>
          </w:p>
        </w:tc>
        <w:tc>
          <w:tcPr>
            <w:tcW w:w="4876" w:type="dxa"/>
            <w:tcBorders>
              <w:top w:val="nil"/>
              <w:left w:val="nil"/>
              <w:bottom w:val="nil"/>
              <w:right w:val="nil"/>
            </w:tcBorders>
          </w:tcPr>
          <w:p>
            <w:pPr>
              <w:pStyle w:val="Normal6a"/>
            </w:pPr>
            <w:r>
              <w:t>8.</w:t>
            </w:r>
            <w:r>
              <w:tab/>
            </w:r>
            <w:r>
              <w:t xml:space="preserve">understreger behovet for yderligere at håndtere virkningerne af den </w:t>
            </w:r>
            <w:r>
              <w:rPr>
                <w:b/>
                <w:i/>
              </w:rPr>
              <w:t>digitale og den grønne</w:t>
            </w:r>
            <w:r>
              <w:t xml:space="preserve"> omstilling i arbejdslivet ved at styrke princippet om "menneskelig kontrol" fremhæver behovet for at skabe bæredygtige kvalitetsjob;</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understreger behovet for </w:t>
            </w:r>
            <w:r>
              <w:rPr>
                <w:b/>
                <w:i/>
              </w:rPr>
              <w:t>yderligere at håndtere virkningerne af den dobbelte omstilling – grøn og digital – i arbejdslivet ved at styrke</w:t>
            </w:r>
            <w:r>
              <w:t xml:space="preserve"> princippet om "menneskelig kontrol" </w:t>
            </w:r>
            <w:r>
              <w:rPr>
                <w:b/>
                <w:i/>
              </w:rPr>
              <w:t>af kunstig intelligens gennem</w:t>
            </w:r>
            <w:r>
              <w:t xml:space="preserve"> et nyt lovgivningsinitiativ om kunstig intelligens </w:t>
            </w:r>
            <w:r>
              <w:rPr>
                <w:b/>
                <w:i/>
              </w:rPr>
              <w:t>på arbejdspladsen</w:t>
            </w:r>
            <w:r>
              <w:t xml:space="preserve"> og algoritmisk styring; fremhæver behovet for at skabe bæredygtige kvalitetsjob og </w:t>
            </w:r>
            <w:r>
              <w:rPr>
                <w:b/>
                <w:i/>
              </w:rPr>
              <w:t>samtidig</w:t>
            </w:r>
            <w:r>
              <w:t xml:space="preserve"> styrke den retlige ramme for </w:t>
            </w:r>
            <w:r>
              <w:rPr>
                <w:b/>
                <w:i/>
              </w:rPr>
              <w:t>styring</w:t>
            </w:r>
            <w:r>
              <w:t xml:space="preserve"> og foregribelse af </w:t>
            </w:r>
            <w:r>
              <w:rPr>
                <w:b/>
                <w:i/>
              </w:rPr>
              <w:t>omstillingen, samtidig med at</w:t>
            </w:r>
            <w:r>
              <w:t xml:space="preserve"> arbejdsmarkedets </w:t>
            </w:r>
            <w:r>
              <w:rPr>
                <w:b/>
                <w:i/>
              </w:rPr>
              <w:t>parters rolle og deltagelse fremmes, og integration på arbejdsmarkedet fremmes</w:t>
            </w:r>
            <w:r>
              <w:t>;</w:t>
            </w:r>
          </w:p>
        </w:tc>
        <w:tc>
          <w:tcPr>
            <w:tcW w:w="4876" w:type="dxa"/>
            <w:tcBorders>
              <w:top w:val="nil"/>
              <w:left w:val="nil"/>
              <w:bottom w:val="nil"/>
              <w:right w:val="nil"/>
            </w:tcBorders>
          </w:tcPr>
          <w:p>
            <w:pPr>
              <w:pStyle w:val="Normal6a"/>
            </w:pPr>
            <w:r>
              <w:t>8.</w:t>
            </w:r>
            <w:r>
              <w:tab/>
            </w:r>
            <w:r>
              <w:rPr>
                <w:b/>
                <w:i/>
              </w:rPr>
              <w:t>glæder sig over den nylige vedtagelse af direktivet om platformsarbejde som et skelsættende skridt i retning af at beskytte arbejdstagerne i den digitale økonomi og sikre rimelige betingelser og algoritmisk ansvarlighed;</w:t>
            </w:r>
            <w:r>
              <w:t xml:space="preserve"> understreger behovet for </w:t>
            </w:r>
            <w:r>
              <w:rPr>
                <w:b/>
                <w:i/>
              </w:rPr>
              <w:t>at udvide den samme beskyttelse til arbejdstagere i alle sektorer, der er berørt af kunstig intelligens, og sikre, at</w:t>
            </w:r>
            <w:r>
              <w:t xml:space="preserve"> princippet om "menneskelig kontrol" </w:t>
            </w:r>
            <w:r>
              <w:rPr>
                <w:b/>
                <w:i/>
              </w:rPr>
              <w:t>bliver en bindende standard, og gentager opfordringen til</w:t>
            </w:r>
            <w:r>
              <w:t xml:space="preserve"> et nyt lovgivningsinitiativ om kunstig intelligens og algoritmisk styring </w:t>
            </w:r>
            <w:r>
              <w:rPr>
                <w:b/>
                <w:i/>
              </w:rPr>
              <w:t>på arbejdspladsen</w:t>
            </w:r>
            <w:r>
              <w:t xml:space="preserve">; fremhæver behovet for at skabe bæredygtige kvalitetsjob og styrke den retlige </w:t>
            </w:r>
            <w:r>
              <w:rPr>
                <w:b/>
                <w:i/>
              </w:rPr>
              <w:t>og finansielle</w:t>
            </w:r>
            <w:r>
              <w:t xml:space="preserve"> ramme for </w:t>
            </w:r>
            <w:r>
              <w:rPr>
                <w:b/>
                <w:i/>
              </w:rPr>
              <w:t>forvaltning</w:t>
            </w:r>
            <w:r>
              <w:t xml:space="preserve"> og foregribelse af </w:t>
            </w:r>
            <w:r>
              <w:rPr>
                <w:b/>
                <w:i/>
              </w:rPr>
              <w:t>omstillinger, herunder gennem øgede ESF+-investeringer;</w:t>
            </w:r>
            <w:r>
              <w:t xml:space="preserve"> </w:t>
            </w:r>
            <w:r>
              <w:rPr>
                <w:b/>
                <w:i/>
              </w:rPr>
              <w:t>understreger betydningen af kollektive overenskomstforhandlinger og inddragelsen af</w:t>
            </w:r>
            <w:r>
              <w:t xml:space="preserve"> arbejdsmarkedets </w:t>
            </w:r>
            <w:r>
              <w:rPr>
                <w:b/>
                <w:i/>
              </w:rPr>
              <w:t>parter i udformningen og fremme af inkluderende arbejdsmarkedspolitikker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understreger behovet for yderligere at håndtere virkningerne af den dobbelte omstilling – grøn og digital – i arbejdslivet ved at styrke princippet om "menneskelig kontrol" af kunstig intelligens gennem et nyt lovgivningsinitiativ om kunstig intelligens på arbejdspladsen og algoritmisk styring; fremhæver behovet for at skabe bæredygtige kvalitetsjob og samtidig styrke den retlige ramme for styring og foregribelse af omstillingen, samtidig med at arbejdsmarkedets parters rolle og deltagelse fremmes, og integration på arbejdsmarkedet fremmes;</w:t>
            </w:r>
          </w:p>
        </w:tc>
        <w:tc>
          <w:tcPr>
            <w:tcW w:w="4876" w:type="dxa"/>
            <w:tcBorders>
              <w:top w:val="nil"/>
              <w:left w:val="nil"/>
              <w:bottom w:val="nil"/>
              <w:right w:val="nil"/>
            </w:tcBorders>
          </w:tcPr>
          <w:p>
            <w:pPr>
              <w:pStyle w:val="Normal6a"/>
            </w:pPr>
            <w:r>
              <w:t>8.</w:t>
            </w:r>
            <w:r>
              <w:tab/>
            </w:r>
            <w:r>
              <w:t xml:space="preserve">understreger behovet for yderligere at håndtere virkningerne af den dobbelte omstilling – grøn og digital – </w:t>
            </w:r>
            <w:r>
              <w:rPr>
                <w:b/>
                <w:i/>
              </w:rPr>
              <w:t>fremhævet</w:t>
            </w:r>
            <w:r>
              <w:t xml:space="preserve"> i arbejdslivet</w:t>
            </w:r>
            <w:r>
              <w:rPr>
                <w:b/>
                <w:i/>
              </w:rPr>
              <w:t>,</w:t>
            </w:r>
            <w:r>
              <w:t xml:space="preserve"> ved at styrke princippet om "menneskelig kontrol" af kunstig intelligens gennem et nyt lovgivningsinitiativ om kunstig intelligens på arbejdspladsen og algoritmisk styring; fremhæver behovet for at skabe bæredygtige kvalitetsjob og samtidig styrke den retlige ramme for styring og foregribelse af omstillingen, samtidig med at arbejdsmarkedets parters rolle og deltagelse fremmes, og integration på arbejdsmarkedet fremmes; </w:t>
            </w:r>
            <w:r>
              <w:rPr>
                <w:b/>
                <w:i/>
              </w:rPr>
              <w:t>advarer mod kunstig intelligens' indvirkning på miljøaffald, navnlig den massive brug af vandressourcer, og opfordrer Kommissionen til at foretage en konsekvensanalyse og regulere AI-systemer, der ikke er i overensstemmelse med den grønne omstilling og klimamålene;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understreger behovet for yderligere at håndtere virkningerne af den dobbelte omstilling – grøn og digital – i arbejdslivet ved at styrke princippet om "menneskelig kontrol" af kunstig intelligens gennem et nyt lovgivningsinitiativ om kunstig intelligens på arbejdspladsen og algoritmisk styring; fremhæver behovet for at skabe bæredygtige kvalitetsjob og samtidig styrke den retlige ramme for styring og foregribelse af omstillingen, samtidig med at arbejdsmarkedets parters rolle og deltagelse fremmes, og integration på arbejdsmarkedet fremmes;</w:t>
            </w:r>
          </w:p>
        </w:tc>
        <w:tc>
          <w:tcPr>
            <w:tcW w:w="4876" w:type="dxa"/>
            <w:tcBorders>
              <w:top w:val="nil"/>
              <w:left w:val="nil"/>
              <w:bottom w:val="nil"/>
              <w:right w:val="nil"/>
            </w:tcBorders>
          </w:tcPr>
          <w:p>
            <w:pPr>
              <w:pStyle w:val="Normal6a"/>
            </w:pPr>
            <w:r>
              <w:t>8.</w:t>
            </w:r>
            <w:r>
              <w:tab/>
            </w:r>
            <w:r>
              <w:t xml:space="preserve">understreger behovet for yderligere at håndtere virkningerne af den dobbelte omstilling – grøn og digital – i arbejdslivet ved at styrke princippet om "menneskelig kontrol" af kunstig intelligens gennem et nyt lovgivningsinitiativ om kunstig intelligens på arbejdspladsen og algoritmisk styring </w:t>
            </w:r>
            <w:r>
              <w:rPr>
                <w:b/>
                <w:i/>
              </w:rPr>
              <w:t>og retten til at koble af fra arbejdet for at sikre balance mellem arbejdsliv og privatliv</w:t>
            </w:r>
            <w:r>
              <w:t xml:space="preserve">; fremhæver behovet for at skabe bæredygtige kvalitetsjob </w:t>
            </w:r>
            <w:r>
              <w:rPr>
                <w:b/>
                <w:i/>
              </w:rPr>
              <w:t>for at erstatte job, som er gået tabt eller er ændret i forbindelse med den dobbelte omstilling,</w:t>
            </w:r>
            <w:r>
              <w:t xml:space="preserve"> og samtidig styrke den retlige ramme for styring og foregribelse af omstillingen, samtidig med at arbejdsmarkedets parters rolle og deltagelse fremmes, og integration på arbejdsmarkedet fremmes;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understreger behovet for yderligere at håndtere virkningerne af den dobbelte omstilling – grøn og digital – i arbejdslivet ved at styrke princippet om "menneskelig kontrol" af kunstig intelligens gennem et nyt lovgivningsinitiativ om kunstig intelligens på arbejdspladsen </w:t>
            </w:r>
            <w:r>
              <w:rPr>
                <w:b/>
                <w:i/>
              </w:rPr>
              <w:t>og</w:t>
            </w:r>
            <w:r>
              <w:t xml:space="preserve"> algoritmisk </w:t>
            </w:r>
            <w:r>
              <w:rPr>
                <w:b/>
                <w:i/>
              </w:rPr>
              <w:t>styring</w:t>
            </w:r>
            <w:r>
              <w:t>; fremhæver behovet for at skabe bæredygtige kvalitetsjob og samtidig styrke den retlige ramme for styring og foregribelse af omstillingen, samtidig med at arbejdsmarkedets parters rolle og deltagelse fremmes, og integration på arbejdsmarkedet fremmes;</w:t>
            </w:r>
          </w:p>
        </w:tc>
        <w:tc>
          <w:tcPr>
            <w:tcW w:w="4876" w:type="dxa"/>
            <w:tcBorders>
              <w:top w:val="nil"/>
              <w:left w:val="nil"/>
              <w:bottom w:val="nil"/>
              <w:right w:val="nil"/>
            </w:tcBorders>
          </w:tcPr>
          <w:p>
            <w:pPr>
              <w:pStyle w:val="Normal6a"/>
            </w:pPr>
            <w:r>
              <w:t>8.</w:t>
            </w:r>
            <w:r>
              <w:tab/>
            </w:r>
            <w:r>
              <w:t xml:space="preserve">understreger behovet for yderligere at håndtere virkningerne af den dobbelte omstilling – grøn og digital – i arbejdslivet ved at styrke princippet om "menneskelig kontrol" af kunstig intelligens gennem et nyt lovgivningsinitiativ om kunstig intelligens på arbejdspladsen </w:t>
            </w:r>
            <w:r>
              <w:rPr>
                <w:b/>
                <w:i/>
              </w:rPr>
              <w:t>såvel som tilgængelighed af billigere energi til at drive serverfarme til</w:t>
            </w:r>
            <w:r>
              <w:t xml:space="preserve"> algoritmisk </w:t>
            </w:r>
            <w:r>
              <w:rPr>
                <w:b/>
                <w:i/>
              </w:rPr>
              <w:t>kontrol</w:t>
            </w:r>
            <w:r>
              <w:t>; fremhæver behovet for at skabe bæredygtige kvalitetsjob og samtidig styrke den retlige ramme for styring og foregribelse af omstillingen, samtidig med at arbejdsmarkedets parters rolle og deltagelse fremmes, og integration på arbejdsmarkedet fremmes;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fremhæver</w:t>
            </w:r>
            <w:r>
              <w:rPr>
                <w:b/>
                <w:i/>
              </w:rPr>
              <w:t>, at der er behov for yderligere bestræbelser for</w:t>
            </w:r>
            <w:r>
              <w:t xml:space="preserve"> at sikre </w:t>
            </w:r>
            <w:r>
              <w:rPr>
                <w:b/>
                <w:i/>
              </w:rPr>
              <w:t>udbuddet</w:t>
            </w:r>
            <w:r>
              <w:t xml:space="preserve"> af og </w:t>
            </w:r>
            <w:r>
              <w:rPr>
                <w:b/>
                <w:i/>
              </w:rPr>
              <w:t>adgangen til</w:t>
            </w:r>
            <w:r>
              <w:t xml:space="preserve"> uddannelsespolitikker af høj kvalitet, der fremmer livslang læring; bemærker, at opkvalificerings-, omskolings- og uddannelsesprogrammer skal være tilgængelige for alle arbejdstagere, herunder arbejdstagere med handicap, og at de endvidere bør tilpasses arbejdstagernes behov og evner;</w:t>
            </w:r>
          </w:p>
        </w:tc>
        <w:tc>
          <w:tcPr>
            <w:tcW w:w="4876" w:type="dxa"/>
            <w:tcBorders>
              <w:top w:val="nil"/>
              <w:left w:val="nil"/>
              <w:bottom w:val="nil"/>
              <w:right w:val="nil"/>
            </w:tcBorders>
          </w:tcPr>
          <w:p>
            <w:pPr>
              <w:pStyle w:val="Normal6a"/>
            </w:pPr>
            <w:r>
              <w:t>9.</w:t>
            </w:r>
            <w:r>
              <w:tab/>
            </w:r>
            <w:r>
              <w:t>fremhæver</w:t>
            </w:r>
            <w:r>
              <w:rPr>
                <w:b/>
                <w:i/>
              </w:rPr>
              <w:t> behovet for stadig</w:t>
            </w:r>
            <w:r>
              <w:t xml:space="preserve"> at sikre </w:t>
            </w:r>
            <w:r>
              <w:rPr>
                <w:b/>
                <w:i/>
              </w:rPr>
              <w:t>tilvejebringelse</w:t>
            </w:r>
            <w:r>
              <w:t xml:space="preserve"> af og </w:t>
            </w:r>
            <w:r>
              <w:rPr>
                <w:b/>
                <w:i/>
              </w:rPr>
              <w:t>universel adgang til gratis offentlig uddannelse af høj kvalitet og</w:t>
            </w:r>
            <w:r>
              <w:t xml:space="preserve"> uddannelsespolitikker af høj kvalitet, der </w:t>
            </w:r>
            <w:r>
              <w:rPr>
                <w:b/>
                <w:i/>
              </w:rPr>
              <w:t>som minimum sikrer en anstændig mindsteløn og</w:t>
            </w:r>
            <w:r>
              <w:t xml:space="preserve"> fremmer livslang læring; bemærker, at opkvalificerings-, omskolings- og uddannelsesprogrammer skal være tilgængelige for alle arbejdstagere, herunder arbejdstagere med handicap, og </w:t>
            </w:r>
            <w:r>
              <w:rPr>
                <w:b/>
                <w:i/>
              </w:rPr>
              <w:t>de skal være kombineret med et kursustillæg, og</w:t>
            </w:r>
            <w:r>
              <w:t xml:space="preserve"> at de endvidere bør tilpasses arbejdstagernes behov og evner; </w:t>
            </w:r>
            <w:r>
              <w:rPr>
                <w:b/>
                <w:i/>
              </w:rPr>
              <w:t>fremhæver også, at studiegæld bør erstattes af studiestøtte, og at der ikke bør være gebyrbetaling for universitetsuddannelser for at undgå en fattigdomsfælde for unge med lav indkomst;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fremhæver, at der er behov for yderligere bestræbelser for at sikre udbuddet af og adgangen til uddannelsespolitikker af høj kvalitet, der fremmer livslang læring; bemærker, at opkvalificerings-, omskolings- og uddannelsesprogrammer skal være tilgængelige for alle arbejdstagere, herunder arbejdstagere med handicap, og at de endvidere bør tilpasses arbejdstagernes behov og evner;</w:t>
            </w:r>
          </w:p>
        </w:tc>
        <w:tc>
          <w:tcPr>
            <w:tcW w:w="4876" w:type="dxa"/>
            <w:tcBorders>
              <w:top w:val="nil"/>
              <w:left w:val="nil"/>
              <w:bottom w:val="nil"/>
              <w:right w:val="nil"/>
            </w:tcBorders>
          </w:tcPr>
          <w:p>
            <w:pPr>
              <w:pStyle w:val="Normal6a"/>
            </w:pPr>
            <w:r>
              <w:t>9.</w:t>
            </w:r>
            <w:r>
              <w:tab/>
            </w:r>
            <w:r>
              <w:t xml:space="preserve">fremhæver, at der er behov for yderligere bestræbelser for at sikre udbuddet af og adgangen til uddannelsespolitikker af høj kvalitet, der fremmer livslang læring; bemærker, at </w:t>
            </w:r>
            <w:r>
              <w:rPr>
                <w:b/>
                <w:i/>
              </w:rPr>
              <w:t>strategisk</w:t>
            </w:r>
            <w:r>
              <w:t xml:space="preserve"> opkvalificerings-, omskolings- og uddannelsesprogrammer skal være tilgængelige for alle arbejdstagere, herunder arbejdstagere med handicap, og at de endvidere bør tilpasses arbejdstagernes behov og evner; </w:t>
            </w:r>
            <w:r>
              <w:rPr>
                <w:b/>
                <w:i/>
              </w:rPr>
              <w:t>opfordrer til, at der indføres en individuel ret til uddannelse og opkvalificering af arbejdstagere på europæisk 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fremhæver, at der er behov for yderligere bestræbelser for at sikre udbuddet af og adgangen til uddannelsespolitikker af høj kvalitet, der fremmer livslang læring; bemærker, at opkvalificerings-, omskolings- og uddannelsesprogrammer skal være tilgængelige for </w:t>
            </w:r>
            <w:r>
              <w:rPr>
                <w:b/>
                <w:i/>
              </w:rPr>
              <w:t>alle</w:t>
            </w:r>
            <w:r>
              <w:t xml:space="preserve"> arbejdstagere, herunder arbejdstagere med handicap, og at de endvidere bør tilpasses arbejdstagernes behov og evner;</w:t>
            </w:r>
          </w:p>
        </w:tc>
        <w:tc>
          <w:tcPr>
            <w:tcW w:w="4876" w:type="dxa"/>
            <w:tcBorders>
              <w:top w:val="nil"/>
              <w:left w:val="nil"/>
              <w:bottom w:val="nil"/>
              <w:right w:val="nil"/>
            </w:tcBorders>
          </w:tcPr>
          <w:p>
            <w:pPr>
              <w:pStyle w:val="Normal6a"/>
            </w:pPr>
            <w:r>
              <w:t>9.</w:t>
            </w:r>
            <w:r>
              <w:tab/>
            </w:r>
            <w:r>
              <w:t xml:space="preserve">fremhæver, at der er behov for yderligere bestræbelser for at sikre udbuddet af og adgangen til uddannelsespolitikker af høj kvalitet, der fremmer livslang læring; bemærker, at opkvalificerings-, omskolings- og uddannelsesprogrammer </w:t>
            </w:r>
            <w:r>
              <w:rPr>
                <w:b/>
                <w:i/>
              </w:rPr>
              <w:t>kun</w:t>
            </w:r>
            <w:r>
              <w:t xml:space="preserve"> skal være tilgængelige for </w:t>
            </w:r>
            <w:r>
              <w:rPr>
                <w:b/>
                <w:i/>
              </w:rPr>
              <w:t>europæiske</w:t>
            </w:r>
            <w:r>
              <w:t xml:space="preserve"> arbejdstagere, herunder arbejdstagere med handicap, og at de endvidere bør tilpasses arbejdstagernes behov og evner;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understreger, at i lyset af klima- og biodiversitetskrisen og de økonomiske og demografiske udfordringer bør ingen generation eller region i EU lades i stikken hverken nu eller i fremtiden; opfordrer til, at der fremlægges initiativer til støtte for både unge og ældre, støtteforanstaltninger til regioner, der oplever affolkning, såsom forbedret adgang til infrastruktur, herunder transport, digital konnektivitet og økonomisk overkommelige boliger, offentlige tjenester, sundhedspleje, pleje og uddannelse, samt investering i bedre jobmuligheder for at forhindre affolkning;</w:t>
            </w:r>
          </w:p>
        </w:tc>
        <w:tc>
          <w:tcPr>
            <w:tcW w:w="4876" w:type="dxa"/>
            <w:tcBorders>
              <w:top w:val="nil"/>
              <w:left w:val="nil"/>
              <w:bottom w:val="nil"/>
              <w:right w:val="nil"/>
            </w:tcBorders>
          </w:tcPr>
          <w:p>
            <w:pPr>
              <w:pStyle w:val="Normal6a"/>
            </w:pPr>
            <w:r>
              <w:t>10.</w:t>
            </w:r>
            <w:r>
              <w:tab/>
            </w:r>
            <w:r>
              <w:t>understreger, at i lyset af klima- og biodiversitetskrisen og de økonomiske og demografiske udfordringer bør ingen generation eller region i EU lades i stikken hverken nu eller i fremtiden</w:t>
            </w:r>
            <w:r>
              <w:rPr>
                <w:b/>
                <w:i/>
              </w:rPr>
              <w:t>, og at der bør være universel adgang til en retfærdig omstilling for alle</w:t>
            </w:r>
            <w:r>
              <w:t xml:space="preserve">; opfordrer til, at der fremlægges initiativer til støtte for både unge og ældre, støtteforanstaltninger til regioner, der oplever affolkning, såsom forbedret adgang til infrastruktur, herunder transport, digital konnektivitet og økonomisk overkommelige boliger, offentlige tjenester, sundhedspleje, pleje og uddannelse, samt investering i bedre jobmuligheder for at forhindre affolkning; </w:t>
            </w:r>
            <w:r>
              <w:rPr>
                <w:b/>
                <w:i/>
              </w:rPr>
              <w:t>opfordrer medlemsstaterne til at sikre universel rettighedsbaseret adgang til offentlige tjenesteydelser af høj kvalitet og investeringer i disse;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understreger, at </w:t>
            </w:r>
            <w:r>
              <w:rPr>
                <w:b/>
                <w:i/>
              </w:rPr>
              <w:t>i lyset af</w:t>
            </w:r>
            <w:r>
              <w:t xml:space="preserve"> klima- og biodiversitetskrisen og de økonomiske og demografiske udfordringer </w:t>
            </w:r>
            <w:r>
              <w:rPr>
                <w:b/>
                <w:i/>
              </w:rPr>
              <w:t>bør ingen</w:t>
            </w:r>
            <w:r>
              <w:t xml:space="preserve"> generation eller region i EU </w:t>
            </w:r>
            <w:r>
              <w:rPr>
                <w:b/>
                <w:i/>
              </w:rPr>
              <w:t>lades</w:t>
            </w:r>
            <w:r>
              <w:t xml:space="preserve"> i stikken hverken </w:t>
            </w:r>
            <w:r>
              <w:rPr>
                <w:b/>
                <w:i/>
              </w:rPr>
              <w:t>nu</w:t>
            </w:r>
            <w:r>
              <w:t xml:space="preserve"> eller </w:t>
            </w:r>
            <w:r>
              <w:rPr>
                <w:b/>
                <w:i/>
              </w:rPr>
              <w:t>i fremtiden</w:t>
            </w:r>
            <w:r>
              <w:t xml:space="preserve">; opfordrer til, at der </w:t>
            </w:r>
            <w:r>
              <w:rPr>
                <w:b/>
                <w:i/>
              </w:rPr>
              <w:t>fremlægges</w:t>
            </w:r>
            <w:r>
              <w:t xml:space="preserve"> initiativer til støtte </w:t>
            </w:r>
            <w:r>
              <w:rPr>
                <w:b/>
                <w:i/>
              </w:rPr>
              <w:t>for både</w:t>
            </w:r>
            <w:r>
              <w:t xml:space="preserve"> unge og ældre</w:t>
            </w:r>
            <w:r>
              <w:rPr>
                <w:b/>
                <w:i/>
              </w:rPr>
              <w:t>, støtteforanstaltninger til</w:t>
            </w:r>
            <w:r>
              <w:t xml:space="preserve"> regioner</w:t>
            </w:r>
            <w:r>
              <w:rPr>
                <w:b/>
                <w:i/>
              </w:rPr>
              <w:t>, der oplever affolkning</w:t>
            </w:r>
            <w:r>
              <w:t>, såsom forbedret adgang til infrastruktur, herunder transport, digital konnektivitet og økonomisk overkommelige boliger, offentlige tjenester, sundhedspleje, pleje og uddannelse, samt investering i bedre jobmuligheder for at forhindre affolkning;</w:t>
            </w:r>
          </w:p>
        </w:tc>
        <w:tc>
          <w:tcPr>
            <w:tcW w:w="4876" w:type="dxa"/>
            <w:tcBorders>
              <w:top w:val="nil"/>
              <w:left w:val="nil"/>
              <w:bottom w:val="nil"/>
              <w:right w:val="nil"/>
            </w:tcBorders>
          </w:tcPr>
          <w:p>
            <w:pPr>
              <w:pStyle w:val="Normal6a"/>
            </w:pPr>
            <w:r>
              <w:t>10.</w:t>
            </w:r>
            <w:r>
              <w:tab/>
            </w:r>
            <w:r>
              <w:t xml:space="preserve">understreger, at klima- og biodiversitetskrisen og de økonomiske og demografiske udfordringer </w:t>
            </w:r>
            <w:r>
              <w:rPr>
                <w:b/>
                <w:i/>
              </w:rPr>
              <w:t>ikke bør lade nogen</w:t>
            </w:r>
            <w:r>
              <w:t xml:space="preserve"> generation eller region i EU i stikken</w:t>
            </w:r>
            <w:r>
              <w:rPr>
                <w:b/>
                <w:i/>
              </w:rPr>
              <w:t>,</w:t>
            </w:r>
            <w:r>
              <w:t xml:space="preserve"> hverken </w:t>
            </w:r>
            <w:r>
              <w:rPr>
                <w:b/>
                <w:i/>
              </w:rPr>
              <w:t>nuværende borgere</w:t>
            </w:r>
            <w:r>
              <w:t xml:space="preserve"> eller </w:t>
            </w:r>
            <w:r>
              <w:rPr>
                <w:b/>
                <w:i/>
              </w:rPr>
              <w:t>fremtidens borgere</w:t>
            </w:r>
            <w:r>
              <w:t xml:space="preserve">; opfordrer til, at der </w:t>
            </w:r>
            <w:r>
              <w:rPr>
                <w:b/>
                <w:i/>
              </w:rPr>
              <w:t>fremsættes</w:t>
            </w:r>
            <w:r>
              <w:t xml:space="preserve"> initiativer til </w:t>
            </w:r>
            <w:r>
              <w:rPr>
                <w:b/>
                <w:i/>
              </w:rPr>
              <w:t>at</w:t>
            </w:r>
            <w:r>
              <w:t xml:space="preserve"> støtte unge og ældre </w:t>
            </w:r>
            <w:r>
              <w:rPr>
                <w:b/>
                <w:i/>
              </w:rPr>
              <w:t>i overensstemmelse med deres bidrag til at få flere børn i forbindelse med styrkelsen af samarbejdet mellem generationerne og familieorienterede foranstaltninger for at vende affolkningen af</w:t>
            </w:r>
            <w:r>
              <w:t xml:space="preserve"> regioner, såsom forbedret adgang til infrastruktur, herunder transport, digital konnektivitet og økonomisk overkommelige boliger, offentlige tjenester, sundhedspleje, pleje og uddannelse, samt investering i bedre jobmuligheder for at forhindre affolkning;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understreger, at i lyset af klima- og biodiversitetskrisen og de økonomiske og demografiske udfordringer bør ingen generation eller region i EU lades i stikken hverken nu eller i fremtiden; opfordrer til, at der fremlægges initiativer til støtte for både unge og ældre, støtteforanstaltninger til regioner, der oplever affolkning, såsom forbedret adgang til infrastruktur, herunder transport, digital konnektivitet og økonomisk overkommelige boliger, offentlige tjenester, sundhedspleje, pleje og uddannelse, samt investering i bedre jobmuligheder for at forhindre affolkning;</w:t>
            </w:r>
          </w:p>
        </w:tc>
        <w:tc>
          <w:tcPr>
            <w:tcW w:w="4876" w:type="dxa"/>
            <w:tcBorders>
              <w:top w:val="nil"/>
              <w:left w:val="nil"/>
              <w:bottom w:val="nil"/>
              <w:right w:val="nil"/>
            </w:tcBorders>
          </w:tcPr>
          <w:p>
            <w:pPr>
              <w:pStyle w:val="Normal6a"/>
            </w:pPr>
            <w:r>
              <w:t>10.</w:t>
            </w:r>
            <w:r>
              <w:tab/>
            </w:r>
            <w:r>
              <w:t xml:space="preserve">understreger, at i lyset af klima- og biodiversitetskrisen og de økonomiske og demografiske udfordringer bør ingen generation eller region i EU lades i stikken hverken nu eller i fremtiden; </w:t>
            </w:r>
            <w:r>
              <w:rPr>
                <w:b/>
                <w:i/>
              </w:rPr>
              <w:t>beklager i denne forbindelse Kommissionens nye tilgang til at anvende samhørighedspolitikken til at øge forsvarsudgifterne;</w:t>
            </w:r>
            <w:r>
              <w:t xml:space="preserve"> opfordrer </w:t>
            </w:r>
            <w:r>
              <w:rPr>
                <w:b/>
                <w:i/>
              </w:rPr>
              <w:t>i stedet</w:t>
            </w:r>
            <w:r>
              <w:t xml:space="preserve"> til, at der fremlægges initiativer til støtte for både unge og ældre, støtteforanstaltninger til regioner, der oplever affolkning, såsom forbedret </w:t>
            </w:r>
            <w:r>
              <w:rPr>
                <w:b/>
                <w:i/>
              </w:rPr>
              <w:t>og barrierefri</w:t>
            </w:r>
            <w:r>
              <w:t xml:space="preserve"> adgang til infrastruktur, herunder transport, digital konnektivitet og økonomisk overkommelige boliger, offentlige tjenester, sundhedspleje, pleje og uddannelse, samt investering i bedre jobmuligheder for at forhindre affolkning;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understreger, at i lyset af klima- og biodiversitetskrisen og de økonomiske og demografiske udfordringer bør ingen generation eller region i EU lades i stikken hverken nu eller i fremtiden; opfordrer til, at der fremlægges initiativer til støtte for både unge og ældre, støtteforanstaltninger til regioner, der oplever affolkning, såsom forbedret adgang til infrastruktur, herunder transport, digital konnektivitet og økonomisk overkommelige boliger, offentlige tjenester, sundhedspleje, pleje og uddannelse, samt investering i bedre jobmuligheder for at forhindre affolkning;</w:t>
            </w:r>
          </w:p>
        </w:tc>
        <w:tc>
          <w:tcPr>
            <w:tcW w:w="4876" w:type="dxa"/>
            <w:tcBorders>
              <w:top w:val="nil"/>
              <w:left w:val="nil"/>
              <w:bottom w:val="nil"/>
              <w:right w:val="nil"/>
            </w:tcBorders>
          </w:tcPr>
          <w:p>
            <w:pPr>
              <w:pStyle w:val="Normal6a"/>
            </w:pPr>
            <w:r>
              <w:t>10.</w:t>
            </w:r>
            <w:r>
              <w:tab/>
            </w:r>
            <w:r>
              <w:t>understreger, at i lyset af klima- og biodiversitetskrisen og de økonomiske og demografiske udfordringer bør ingen generation eller region i EU lades i stikken</w:t>
            </w:r>
            <w:r>
              <w:rPr>
                <w:b/>
                <w:i/>
              </w:rPr>
              <w:t>,</w:t>
            </w:r>
            <w:r>
              <w:t xml:space="preserve"> hverken nu eller i fremtiden; opfordrer til, at der fremlægges initiativer til støtte for både unge og ældre, støtteforanstaltninger til regioner, der oplever affolkning, såsom forbedret adgang til infrastruktur, herunder transport, digital konnektivitet og økonomisk overkommelige boliger, offentlige tjenester, sundhedspleje, pleje og uddannelse, samt investering i bedre jobmuligheder for at forhindre affolkning</w:t>
            </w:r>
            <w:r>
              <w:rPr>
                <w:b/>
                <w:i/>
              </w:rPr>
              <w:t>, uden indvandring fra lande uden for EU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understreger, at i lyset af klima- og biodiversitetskrisen og de økonomiske og demografiske udfordringer bør ingen generation eller region i EU lades i stikken hverken nu eller i fremtiden; opfordrer til, at der fremlægges initiativer til støtte for både unge og ældre, støtteforanstaltninger til regioner, der oplever affolkning, såsom forbedret adgang til infrastruktur, herunder transport, digital konnektivitet og økonomisk overkommelige boliger, offentlige tjenester, sundhedspleje, pleje og uddannelse, samt investering i bedre jobmuligheder for at forhindre affolkning;</w:t>
            </w:r>
          </w:p>
        </w:tc>
        <w:tc>
          <w:tcPr>
            <w:tcW w:w="4876" w:type="dxa"/>
            <w:tcBorders>
              <w:top w:val="nil"/>
              <w:left w:val="nil"/>
              <w:bottom w:val="nil"/>
              <w:right w:val="nil"/>
            </w:tcBorders>
          </w:tcPr>
          <w:p>
            <w:pPr>
              <w:pStyle w:val="Normal6a"/>
            </w:pPr>
            <w:r>
              <w:t>10.</w:t>
            </w:r>
            <w:r>
              <w:tab/>
            </w:r>
            <w:r>
              <w:t xml:space="preserve">understreger, at i lyset af klima- og biodiversitetskrisen og de økonomiske og demografiske udfordringer bør ingen generation eller region i EU lades i stikken hverken nu eller i fremtiden; opfordrer til, at der fremlægges initiativer til støtte for både unge og ældre, støtteforanstaltninger til regioner, der oplever affolkning, såsom forbedret adgang til infrastruktur, herunder </w:t>
            </w:r>
            <w:r>
              <w:rPr>
                <w:b/>
                <w:i/>
              </w:rPr>
              <w:t>offentlig</w:t>
            </w:r>
            <w:r>
              <w:t xml:space="preserve"> transport, digital konnektivitet og økonomisk overkommelige boliger, offentlige tjenester, sundhedspleje, pleje </w:t>
            </w:r>
            <w:r>
              <w:rPr>
                <w:b/>
                <w:i/>
              </w:rPr>
              <w:t>af ubegrænset varighed, børnepasning </w:t>
            </w:r>
            <w:r>
              <w:t>og uddannelse, samt investering i bedre jobmuligheder for at forhindre affolkning;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understreger, at i lyset af klima- og biodiversitetskrisen og de økonomiske og demografiske udfordringer bør ingen generation eller region i EU lades i stikken hverken nu eller i fremtiden; opfordrer til, at der fremlægges initiativer til støtte for både unge og ældre</w:t>
            </w:r>
            <w:r>
              <w:rPr>
                <w:b/>
                <w:i/>
              </w:rPr>
              <w:t>,</w:t>
            </w:r>
            <w:r>
              <w:t xml:space="preserve"> støtteforanstaltninger til regioner, der oplever affolkning, såsom forbedret adgang til infrastruktur, herunder transport, digital konnektivitet og økonomisk overkommelige boliger, offentlige tjenester, sundhedspleje, pleje og uddannelse, samt investering i bedre jobmuligheder for at forhindre affolkning;</w:t>
            </w:r>
          </w:p>
        </w:tc>
        <w:tc>
          <w:tcPr>
            <w:tcW w:w="4876" w:type="dxa"/>
            <w:tcBorders>
              <w:top w:val="nil"/>
              <w:left w:val="nil"/>
              <w:bottom w:val="nil"/>
              <w:right w:val="nil"/>
            </w:tcBorders>
          </w:tcPr>
          <w:p>
            <w:pPr>
              <w:pStyle w:val="Normal6a"/>
            </w:pPr>
            <w:r>
              <w:t>10.</w:t>
            </w:r>
            <w:r>
              <w:tab/>
            </w:r>
            <w:r>
              <w:t xml:space="preserve">understreger, at i lyset af klima- og biodiversitetskrisen og de økonomiske og demografiske udfordringer bør ingen generation eller region i EU lades i stikken hverken nu eller i fremtiden; opfordrer til, at der fremlægges initiativer til støtte for både unge og ældre </w:t>
            </w:r>
            <w:r>
              <w:rPr>
                <w:b/>
                <w:i/>
              </w:rPr>
              <w:t>og personer med handicap samt</w:t>
            </w:r>
            <w:r>
              <w:t xml:space="preserve"> støtteforanstaltninger til regioner, der oplever affolkning, såsom forbedret adgang til infrastruktur, herunder transport, digital konnektivitet og økonomisk overkommelige boliger, offentlige tjenester, sundhedspleje, pleje og uddannelse, samt investering i bedre jobmuligheder for at forhindre affolkning;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understreger, at i lyset af </w:t>
            </w:r>
            <w:r>
              <w:rPr>
                <w:b/>
                <w:i/>
              </w:rPr>
              <w:t>klima- og biodiversitetskrisen og</w:t>
            </w:r>
            <w:r>
              <w:t xml:space="preserve"> de økonomiske og demografiske udfordringer bør ingen generation eller region i EU lades i stikken hverken nu eller i fremtiden; opfordrer til, at der fremlægges initiativer til støtte for både unge og ældre, støtteforanstaltninger til regioner, der oplever affolkning, såsom forbedret adgang til infrastruktur, herunder transport, digital konnektivitet og økonomisk overkommelige boliger, offentlige tjenester, sundhedspleje, pleje og uddannelse, samt investering i bedre jobmuligheder for at forhindre affolkning;</w:t>
            </w:r>
          </w:p>
        </w:tc>
        <w:tc>
          <w:tcPr>
            <w:tcW w:w="4876" w:type="dxa"/>
            <w:tcBorders>
              <w:top w:val="nil"/>
              <w:left w:val="nil"/>
              <w:bottom w:val="nil"/>
              <w:right w:val="nil"/>
            </w:tcBorders>
          </w:tcPr>
          <w:p>
            <w:pPr>
              <w:pStyle w:val="Normal6a"/>
            </w:pPr>
            <w:r>
              <w:t>10.</w:t>
            </w:r>
            <w:r>
              <w:tab/>
            </w:r>
            <w:r>
              <w:t>understreger, at i lyset af de økonomiske og demografiske udfordringer bør ingen generation eller region i EU lades i stikken hverken nu eller i fremtiden; opfordrer til, at der fremlægges initiativer til støtte for både unge og ældre, støtteforanstaltninger til regioner, der oplever affolkning, såsom forbedret adgang til infrastruktur, herunder transport, digital konnektivitet og økonomisk overkommelige boliger, offentlige tjenester, sundhedspleje, pleje og uddannelse, samt investering i bedre jobmuligheder for at forhindre affolkning;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opfordrer indtrængende til, at man understøtter en retfærdig omstilling for arbejdsstyrken og virksomhederne i EU i forbindelse med overgangen til en grøn økonomi;</w:t>
            </w:r>
            <w:r>
              <w:t xml:space="preserve"> </w:t>
            </w:r>
            <w:r>
              <w:rPr>
                <w:b/>
                <w:i/>
              </w:rPr>
              <w:t>bemærker, at hvis tilpasningsprocessen til og afbødningen af klimaændringer omhyggeligt udformes gennem en solid social dialog, kan den skabe mere robuste økosystemer, nye anstændige job og bæredygtige virksomheder og mere inklusive samfund, samtidig med at ingen lades i stikken;</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opfordrer indtrængende til, at man understøtter en retfærdig omstilling for arbejdsstyrken og virksomhederne i EU i forbindelse med overgangen til en grøn økonomi;</w:t>
            </w:r>
            <w:r>
              <w:t xml:space="preserve"> </w:t>
            </w:r>
            <w:r>
              <w:rPr>
                <w:b/>
                <w:i/>
              </w:rPr>
              <w:t>bemærker, at hvis tilpasningsprocessen til og afbødningen af klimaændringer omhyggeligt udformes gennem en solid social dialog, kan den skabe mere robuste økosystemer, nye anstændige job og bæredygtige virksomheder og mere inklusive samfund, samtidig med at ingen lades i stikken;</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opfordrer indtrængende </w:t>
            </w:r>
            <w:r>
              <w:rPr>
                <w:b/>
                <w:i/>
              </w:rPr>
              <w:t>til, at man understøtter en retfærdig</w:t>
            </w:r>
            <w:r>
              <w:t xml:space="preserve"> omstilling </w:t>
            </w:r>
            <w:r>
              <w:rPr>
                <w:b/>
                <w:i/>
              </w:rPr>
              <w:t>for arbejdsstyrken og virksomhederne i EU i forbindelse med overgangen til en grøn økonomi</w:t>
            </w:r>
            <w:r>
              <w:t xml:space="preserve">; bemærker, at </w:t>
            </w:r>
            <w:r>
              <w:rPr>
                <w:b/>
                <w:i/>
              </w:rPr>
              <w:t>hvis tilpasningsprocessen til og afbødningen af klimaændringer omhyggeligt</w:t>
            </w:r>
            <w:r>
              <w:t xml:space="preserve"> udformes gennem en solid social dialog, kan </w:t>
            </w:r>
            <w:r>
              <w:rPr>
                <w:b/>
                <w:i/>
              </w:rPr>
              <w:t>den</w:t>
            </w:r>
            <w:r>
              <w:t xml:space="preserve"> skabe </w:t>
            </w:r>
            <w:r>
              <w:rPr>
                <w:b/>
                <w:i/>
              </w:rPr>
              <w:t>mere robuste</w:t>
            </w:r>
            <w:r>
              <w:t xml:space="preserve"> økosystemer, </w:t>
            </w:r>
            <w:r>
              <w:rPr>
                <w:b/>
                <w:i/>
              </w:rPr>
              <w:t>nye anstændige job og</w:t>
            </w:r>
            <w:r>
              <w:t xml:space="preserve"> bæredygtige </w:t>
            </w:r>
            <w:r>
              <w:rPr>
                <w:b/>
                <w:i/>
              </w:rPr>
              <w:t>virksomheder</w:t>
            </w:r>
            <w:r>
              <w:t xml:space="preserve"> og mere inklusive samfund, </w:t>
            </w:r>
            <w:r>
              <w:rPr>
                <w:b/>
                <w:i/>
              </w:rPr>
              <w:t>samtidig med at</w:t>
            </w:r>
            <w:r>
              <w:t xml:space="preserve"> ingen lades i stikken;</w:t>
            </w:r>
          </w:p>
        </w:tc>
        <w:tc>
          <w:tcPr>
            <w:tcW w:w="4876" w:type="dxa"/>
            <w:tcBorders>
              <w:top w:val="nil"/>
              <w:left w:val="nil"/>
              <w:bottom w:val="nil"/>
              <w:right w:val="nil"/>
            </w:tcBorders>
          </w:tcPr>
          <w:p>
            <w:pPr>
              <w:pStyle w:val="Normal6a"/>
            </w:pPr>
            <w:r>
              <w:t>11.</w:t>
            </w:r>
            <w:r>
              <w:tab/>
            </w:r>
            <w:r>
              <w:t xml:space="preserve">opfordrer indtrængende </w:t>
            </w:r>
            <w:r>
              <w:rPr>
                <w:b/>
                <w:i/>
              </w:rPr>
              <w:t>EU og medlemsstaterne til at sikre, at den grønne</w:t>
            </w:r>
            <w:r>
              <w:t xml:space="preserve"> omstilling </w:t>
            </w:r>
            <w:r>
              <w:rPr>
                <w:b/>
                <w:i/>
              </w:rPr>
              <w:t>er socialt retfærdig med særlig støtte til arbejdstagere, husholdninger, regioner og virksomheder, der er berørt af strukturelle ændringer og nye krav på arbejdsmarkedet</w:t>
            </w:r>
            <w:r>
              <w:t xml:space="preserve">; bemærker, at </w:t>
            </w:r>
            <w:r>
              <w:rPr>
                <w:b/>
                <w:i/>
              </w:rPr>
              <w:t>klimatilpasnings- og afbødningsstrategier, når de</w:t>
            </w:r>
            <w:r>
              <w:t xml:space="preserve"> udformes gennem en solid social dialog, kan skabe </w:t>
            </w:r>
            <w:r>
              <w:rPr>
                <w:b/>
                <w:i/>
              </w:rPr>
              <w:t>modstandsdygtige økonomiske</w:t>
            </w:r>
            <w:r>
              <w:t xml:space="preserve"> økosystemer, </w:t>
            </w:r>
            <w:r>
              <w:rPr>
                <w:b/>
                <w:i/>
              </w:rPr>
              <w:t>kvalitetsjob,</w:t>
            </w:r>
            <w:r>
              <w:t xml:space="preserve"> bæredygtige </w:t>
            </w:r>
            <w:r>
              <w:rPr>
                <w:b/>
                <w:i/>
              </w:rPr>
              <w:t>forretningsmodeller</w:t>
            </w:r>
            <w:r>
              <w:t xml:space="preserve"> og mere inklusive samfund, </w:t>
            </w:r>
            <w:r>
              <w:rPr>
                <w:b/>
                <w:i/>
              </w:rPr>
              <w:t>så</w:t>
            </w:r>
            <w:r>
              <w:t xml:space="preserve"> ingen lades i stikken; </w:t>
            </w:r>
            <w:r>
              <w:rPr>
                <w:b/>
                <w:i/>
              </w:rPr>
              <w:t>opfordrer til, at der hurtigst muligt etableres grønne sociale beskyttelsesordninger og investeringer for at sikre miljømæssig retfærdighed og for at beskytte mennesker mod virkningerne af klimaændringer;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opfordrer indtrængende til, at man understøtter en retfærdig omstilling for arbejdsstyrken og virksomhederne i EU i forbindelse med overgangen til en grøn økonomi; bemærker, at hvis tilpasningsprocessen til og afbødningen af klimaændringer omhyggeligt udformes gennem en solid social dialog, kan den skabe mere robuste økosystemer, nye anstændige job og bæredygtige virksomheder og mere inklusive samfund, samtidig med at ingen lades i stikken;</w:t>
            </w:r>
          </w:p>
        </w:tc>
        <w:tc>
          <w:tcPr>
            <w:tcW w:w="4876" w:type="dxa"/>
            <w:tcBorders>
              <w:top w:val="nil"/>
              <w:left w:val="nil"/>
              <w:bottom w:val="nil"/>
              <w:right w:val="nil"/>
            </w:tcBorders>
          </w:tcPr>
          <w:p>
            <w:pPr>
              <w:pStyle w:val="Normal6a"/>
            </w:pPr>
            <w:r>
              <w:t>11.</w:t>
            </w:r>
            <w:r>
              <w:tab/>
            </w:r>
            <w:r>
              <w:t xml:space="preserve">opfordrer indtrængende til, at man understøtter en retfærdig omstilling for arbejdsstyrken og virksomhederne i EU i forbindelse med overgangen til en grøn økonomi; bemærker, at hvis tilpasningsprocessen til og afbødningen af klimaændringer omhyggeligt udformes gennem en solid social dialog, kan den skabe mere robuste økosystemer, nye anstændige job og bæredygtige virksomheder og mere inklusive samfund, samtidig med at ingen lades i stikken; </w:t>
            </w:r>
            <w:r>
              <w:rPr>
                <w:b/>
                <w:i/>
              </w:rPr>
              <w:t>opfordrer Kommissionen til at foreslå et direktiv om retfærdig omstilling i arbejdslivet for at sikre, at disse principper beskyttes på EU-plan;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opfordrer indtrængende til, at man understøtter en retfærdig omstilling for arbejdsstyrken og virksomhederne i EU i forbindelse med overgangen til en grøn økonomi; bemærker, at hvis tilpasningsprocessen til og afbødningen af klimaændringer omhyggeligt udformes gennem en solid social dialog, kan den skabe mere robuste økosystemer, nye anstændige job og bæredygtige virksomheder og mere inklusive samfund, samtidig med at ingen lades i stikken;</w:t>
            </w:r>
          </w:p>
        </w:tc>
        <w:tc>
          <w:tcPr>
            <w:tcW w:w="4876" w:type="dxa"/>
            <w:tcBorders>
              <w:top w:val="nil"/>
              <w:left w:val="nil"/>
              <w:bottom w:val="nil"/>
              <w:right w:val="nil"/>
            </w:tcBorders>
          </w:tcPr>
          <w:p>
            <w:pPr>
              <w:pStyle w:val="Normal6a"/>
            </w:pPr>
            <w:r>
              <w:t>11.</w:t>
            </w:r>
            <w:r>
              <w:tab/>
            </w:r>
            <w:r>
              <w:t xml:space="preserve">opfordrer indtrængende til, at man understøtter en retfærdig omstilling for arbejdsstyrken og virksomhederne i EU i forbindelse med overgangen til en grøn økonomi </w:t>
            </w:r>
            <w:r>
              <w:rPr>
                <w:b/>
                <w:i/>
              </w:rPr>
              <w:t>på fornuftig vis</w:t>
            </w:r>
            <w:r>
              <w:t>; bemærker, at hvis tilpasningsprocessen til og afbødningen af klimaændringer omhyggeligt udformes gennem en solid social dialog, kan den skabe mere robuste økosystemer, nye anstændige job og bæredygtige virksomheder og mere inklusive samfund, samtidig med at ingen lades i stikken;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fremhæver den rolle, som den sociale økonomi spiller for at bidrage til den grønne omstilling;</w:t>
            </w:r>
            <w:r>
              <w:t xml:space="preserve"> </w:t>
            </w:r>
            <w:r>
              <w:rPr>
                <w:b/>
                <w:i/>
              </w:rPr>
              <w:t>bemærker, at mange socialøkonomiske organisationer udvikler bæredygtige og grønne praksisser og hjælper folk med at tilpasse sig og bidrage til en grønnere økonomi;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opfordrer til yderligere støtte til tredjelandsstatsborgere med henblik på integration på EU's arbejdsmarked og udnyttelse af deres talenter fuldt ud under gode arbejdsvilkår, der bør understøttes af en effektiv integrationspolitik, i fuld komplementaritet med udnyttelsen af talenter fra EU;</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opfordrer til yderligere støtte til tredjelandsstatsborgere med henblik på integration på EU's arbejdsmarked og udnyttelse af deres talenter fuldt ud under gode arbejdsvilkår, der bør understøttes af en effektiv integrationspolitik, i fuld komplementaritet med udnyttelsen af talenter fra EU;</w:t>
            </w:r>
          </w:p>
        </w:tc>
        <w:tc>
          <w:tcPr>
            <w:tcW w:w="4876" w:type="dxa"/>
            <w:tcBorders>
              <w:top w:val="nil"/>
              <w:left w:val="nil"/>
              <w:bottom w:val="nil"/>
              <w:right w:val="nil"/>
            </w:tcBorders>
          </w:tcPr>
          <w:p>
            <w:pPr>
              <w:pStyle w:val="Normal6a"/>
            </w:pPr>
            <w:r>
              <w:t>12.</w:t>
            </w:r>
            <w:r>
              <w:tab/>
            </w:r>
            <w:r>
              <w:t xml:space="preserve">opfordrer til yderligere støtte til tredjelandsstatsborgere med henblik på integration på EU's arbejdsmarked og </w:t>
            </w:r>
            <w:r>
              <w:rPr>
                <w:b/>
                <w:i/>
              </w:rPr>
              <w:t>til</w:t>
            </w:r>
            <w:r>
              <w:t xml:space="preserve"> udnyttelse af deres talenter fuldt ud under gode arbejdsvilkår </w:t>
            </w:r>
            <w:r>
              <w:rPr>
                <w:b/>
                <w:i/>
              </w:rPr>
              <w:t>og sikring af ligebehandling</w:t>
            </w:r>
            <w:r>
              <w:t xml:space="preserve">, der bør understøttes af en effektiv integrationspolitik, i fuld komplementaritet med udnyttelsen af talenter fra EU; </w:t>
            </w:r>
            <w:r>
              <w:rPr>
                <w:b/>
                <w:i/>
              </w:rPr>
              <w:t>opfordrer til legalisering af papirløse migranter i EU for at sikre en vej til social og beskæftigelsesmæssig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opfordrer til </w:t>
            </w:r>
            <w:r>
              <w:rPr>
                <w:b/>
                <w:i/>
              </w:rPr>
              <w:t>yderligere</w:t>
            </w:r>
            <w:r>
              <w:t xml:space="preserve"> støtte til tredjelandsstatsborgere med henblik på integration på EU's arbejdsmarked og udnyttelse af deres talenter fuldt ud under gode arbejdsvilkår, der bør understøttes af en effektiv integrationspolitik, i fuld komplementaritet med udnyttelsen af talenter fra EU;</w:t>
            </w:r>
          </w:p>
        </w:tc>
        <w:tc>
          <w:tcPr>
            <w:tcW w:w="4876" w:type="dxa"/>
            <w:tcBorders>
              <w:top w:val="nil"/>
              <w:left w:val="nil"/>
              <w:bottom w:val="nil"/>
              <w:right w:val="nil"/>
            </w:tcBorders>
          </w:tcPr>
          <w:p>
            <w:pPr>
              <w:pStyle w:val="Normal6a"/>
            </w:pPr>
            <w:r>
              <w:t>12.</w:t>
            </w:r>
            <w:r>
              <w:tab/>
            </w:r>
            <w:r>
              <w:t xml:space="preserve">opfordrer til støtte til tredjelandsstatsborgere </w:t>
            </w:r>
            <w:r>
              <w:rPr>
                <w:b/>
                <w:i/>
              </w:rPr>
              <w:t>med lovligt ophold i EU</w:t>
            </w:r>
            <w:r>
              <w:t xml:space="preserve"> med henblik på integration på EU's arbejdsmarked og udnyttelse af deres talenter fuldt ud under gode arbejdsvilkår, der bør understøttes af en effektiv integrationspolitik, i fuld komplementaritet med udnyttelsen af talenter fra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opfordrer til yderligere støtte til tredjelandsstatsborgere med henblik på integration på EU's arbejdsmarked og udnyttelse af deres talenter fuldt ud under gode arbejdsvilkår, der bør understøttes af en effektiv integrationspolitik, i fuld komplementaritet med udnyttelsen af talenter fra EU;</w:t>
            </w:r>
          </w:p>
        </w:tc>
        <w:tc>
          <w:tcPr>
            <w:tcW w:w="4876" w:type="dxa"/>
            <w:tcBorders>
              <w:top w:val="nil"/>
              <w:left w:val="nil"/>
              <w:bottom w:val="nil"/>
              <w:right w:val="nil"/>
            </w:tcBorders>
          </w:tcPr>
          <w:p>
            <w:pPr>
              <w:pStyle w:val="Normal6a"/>
            </w:pPr>
            <w:r>
              <w:t>12.</w:t>
            </w:r>
            <w:r>
              <w:tab/>
            </w:r>
            <w:r>
              <w:t>opfordrer til yderligere støtte til tredjelandsstatsborgere med henblik på integration på EU's arbejdsmarked og udnyttelse af deres talenter fuldt ud</w:t>
            </w:r>
            <w:r>
              <w:rPr>
                <w:b/>
                <w:i/>
              </w:rPr>
              <w:t>, med kvalitetsjob og</w:t>
            </w:r>
            <w:r>
              <w:t xml:space="preserve"> under gode arbejdsvilkår, der bør understøttes af en effektiv integrationspolitik, i fuld komplementaritet med udnyttelsen af talenter fra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opfordrer til nøje overvågning af aktive arbejdsmarkedsforanstaltninger samt passende indkomststøtte og social sikringsydelse for at sikre lige deltagelse af dem, der befinder sig længst væk fra arbejdsmarkedet, navnlig personer med handicap og romaer;</w:t>
            </w:r>
          </w:p>
        </w:tc>
        <w:tc>
          <w:tcPr>
            <w:tcW w:w="4876" w:type="dxa"/>
            <w:tcBorders>
              <w:top w:val="nil"/>
              <w:left w:val="nil"/>
              <w:bottom w:val="nil"/>
              <w:right w:val="nil"/>
            </w:tcBorders>
          </w:tcPr>
          <w:p>
            <w:pPr>
              <w:pStyle w:val="Normal6a"/>
            </w:pPr>
            <w:r>
              <w:t>13.</w:t>
            </w:r>
            <w:r>
              <w:tab/>
            </w:r>
            <w:r>
              <w:t xml:space="preserve">opfordrer til nøje overvågning af aktive arbejdsmarkedsforanstaltninger samt passende indkomststøtte og social sikringsydelse for at sikre lige deltagelse af dem, der befinder sig længst væk fra arbejdsmarkedet, navnlig </w:t>
            </w:r>
            <w:r>
              <w:rPr>
                <w:b/>
                <w:i/>
              </w:rPr>
              <w:t>kvinder,</w:t>
            </w:r>
            <w:r>
              <w:t xml:space="preserve"> personer med handicap</w:t>
            </w:r>
            <w:r>
              <w:rPr>
                <w:b/>
                <w:i/>
              </w:rPr>
              <w:t>, vandrende arbejdstagere, personer fra LGBTIQ+‑samfundet, unge, der er nye på arbejdsmarkedet</w:t>
            </w:r>
            <w:r>
              <w:t xml:space="preserve"> og romaer; </w:t>
            </w:r>
            <w:r>
              <w:rPr>
                <w:b/>
                <w:i/>
              </w:rPr>
              <w:t>personer, der, blandt andre, kan have brug for ekstra støtte;</w:t>
            </w:r>
            <w:r>
              <w:t xml:space="preserve"> </w:t>
            </w:r>
            <w:r>
              <w:rPr>
                <w:b/>
                <w:i/>
              </w:rPr>
              <w:t>minder i denne forbindelse om Parlamentets opfordring til et direktiv om minimumsindkomst</w:t>
            </w:r>
            <w:r>
              <w:rPr>
                <w:b/>
                <w:i/>
                <w:vertAlign w:val="superscript"/>
              </w:rPr>
              <w:t>1a</w:t>
            </w:r>
            <w:r>
              <w:t xml:space="preserve"> </w:t>
            </w:r>
            <w:r>
              <w:rPr>
                <w:b/>
                <w:i/>
              </w:rPr>
              <w:t>for yderligere at forbedre minimumsindkomstordningernes tilgængelighed, tilstrækkelighed og effektivitet for at fremme opadgående social konvergens;</w:t>
            </w:r>
            <w:r>
              <w:t xml:space="preserve"> </w:t>
            </w:r>
            <w:r>
              <w:rPr>
                <w:b/>
                <w:i/>
              </w:rPr>
              <w:t>minder om, at minimumsindkomstordningerne bør beskytte mennesker, som ikke har tilstrækkelige midler, mod fattigdom og social udstødelse;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https://www.europarl.europa.eu/doceo/document/TA-9-2023-0076_DA.html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opfordrer til nøje overvågning af aktive arbejdsmarkedsforanstaltninger samt passende indkomststøtte og social </w:t>
            </w:r>
            <w:r>
              <w:rPr>
                <w:b/>
                <w:i/>
              </w:rPr>
              <w:t>sikringsydelse</w:t>
            </w:r>
            <w:r>
              <w:t xml:space="preserve"> for at sikre lige deltagelse af </w:t>
            </w:r>
            <w:r>
              <w:rPr>
                <w:b/>
                <w:i/>
              </w:rPr>
              <w:t>dem</w:t>
            </w:r>
            <w:r>
              <w:t>, der befinder sig længst væk fra arbejdsmarkedet</w:t>
            </w:r>
            <w:r>
              <w:rPr>
                <w:b/>
                <w:i/>
              </w:rPr>
              <w:t>, navnlig personer med handicap og romaer</w:t>
            </w:r>
            <w:r>
              <w:t>;</w:t>
            </w:r>
          </w:p>
        </w:tc>
        <w:tc>
          <w:tcPr>
            <w:tcW w:w="4876" w:type="dxa"/>
            <w:tcBorders>
              <w:top w:val="nil"/>
              <w:left w:val="nil"/>
              <w:bottom w:val="nil"/>
              <w:right w:val="nil"/>
            </w:tcBorders>
          </w:tcPr>
          <w:p>
            <w:pPr>
              <w:pStyle w:val="Normal6a"/>
            </w:pPr>
            <w:r>
              <w:t>13.</w:t>
            </w:r>
            <w:r>
              <w:tab/>
            </w:r>
            <w:r>
              <w:t>opfordrer til nøje overvågning af aktive arbejdsmarkedsforanstaltninger</w:t>
            </w:r>
            <w:r>
              <w:rPr>
                <w:b/>
                <w:i/>
              </w:rPr>
              <w:t>, herunder lige adgang til kvalitetsjob,</w:t>
            </w:r>
            <w:r>
              <w:t xml:space="preserve"> samt passende indkomststøtte og social </w:t>
            </w:r>
            <w:r>
              <w:rPr>
                <w:b/>
                <w:i/>
              </w:rPr>
              <w:t>sikring</w:t>
            </w:r>
            <w:r>
              <w:t xml:space="preserve"> for at sikre lige deltagelse af </w:t>
            </w:r>
            <w:r>
              <w:rPr>
                <w:b/>
                <w:i/>
              </w:rPr>
              <w:t>sårbare grupper og de personer</w:t>
            </w:r>
            <w:r>
              <w:t>, der befinder sig længst væk fra arbejdsmarkedet</w:t>
            </w:r>
            <w:r>
              <w:rPr>
                <w:b/>
                <w:i/>
              </w:rPr>
              <w:t>;</w:t>
            </w:r>
            <w:r>
              <w:t xml:space="preserve"> </w:t>
            </w:r>
            <w:r>
              <w:rPr>
                <w:b/>
                <w:i/>
              </w:rPr>
              <w:t>fremhæver i denne forbindelse betydningen af at etablere en bindende EU-ramme for passende minimumsindkomstordninger, som Europa-Parlamentets beslutning opfordrer til, med henblik på at garantere indkomstsikkerhed, bekæmpe fattigdom og støtte inklusion på arbejdsmarkedet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opfordrer til nøje overvågning af aktive arbejdsmarkedsforanstaltninger samt passende </w:t>
            </w:r>
            <w:r>
              <w:rPr>
                <w:b/>
                <w:i/>
              </w:rPr>
              <w:t>indkomststøtte og</w:t>
            </w:r>
            <w:r>
              <w:t xml:space="preserve"> social sikringsydelse for at sikre lige deltagelse af dem, der befinder sig længst væk fra arbejdsmarkedet, navnlig personer med handicap </w:t>
            </w:r>
            <w:r>
              <w:rPr>
                <w:b/>
                <w:i/>
              </w:rPr>
              <w:t>og</w:t>
            </w:r>
            <w:r>
              <w:t xml:space="preserve"> romaer;</w:t>
            </w:r>
          </w:p>
        </w:tc>
        <w:tc>
          <w:tcPr>
            <w:tcW w:w="4876" w:type="dxa"/>
            <w:tcBorders>
              <w:top w:val="nil"/>
              <w:left w:val="nil"/>
              <w:bottom w:val="nil"/>
              <w:right w:val="nil"/>
            </w:tcBorders>
          </w:tcPr>
          <w:p>
            <w:pPr>
              <w:pStyle w:val="Normal6a"/>
            </w:pPr>
            <w:r>
              <w:t>13.</w:t>
            </w:r>
            <w:r>
              <w:tab/>
            </w:r>
            <w:r>
              <w:t xml:space="preserve">opfordrer til nøje overvågning af aktive arbejdsmarkedsforanstaltninger samt passende </w:t>
            </w:r>
            <w:r>
              <w:rPr>
                <w:b/>
                <w:i/>
              </w:rPr>
              <w:t>minimumsindkomststøtte og universel</w:t>
            </w:r>
            <w:r>
              <w:t xml:space="preserve"> social sikringsydelse for at sikre lige deltagelse af dem, der befinder sig længst væk fra arbejdsmarkedet, navnlig personer med handicap</w:t>
            </w:r>
            <w:r>
              <w:rPr>
                <w:b/>
                <w:i/>
              </w:rPr>
              <w:t>,</w:t>
            </w:r>
            <w:r>
              <w:t xml:space="preserve"> romaer </w:t>
            </w:r>
            <w:r>
              <w:rPr>
                <w:b/>
                <w:i/>
              </w:rPr>
              <w:t>og langtidsledige</w:t>
            </w:r>
            <w:r>
              <w:t xml:space="preserve">; </w:t>
            </w:r>
            <w:r>
              <w:rPr>
                <w:b/>
                <w:i/>
              </w:rPr>
              <w:t>understreger behovet for passende social beskyttelse og støtte, også for selvstændige;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opfordrer til nøje overvågning af aktive arbejdsmarkedsforanstaltninger samt passende</w:t>
            </w:r>
            <w:r>
              <w:t xml:space="preserve"> indkomststøtte og social sikringsydelse for at sikre lige deltagelse af </w:t>
            </w:r>
            <w:r>
              <w:rPr>
                <w:b/>
                <w:i/>
              </w:rPr>
              <w:t>dem, der befinder sig længst væk fra arbejdsmarkedet, navnlig</w:t>
            </w:r>
            <w:r>
              <w:t xml:space="preserve"> personer med handicap </w:t>
            </w:r>
            <w:r>
              <w:rPr>
                <w:b/>
                <w:i/>
              </w:rPr>
              <w:t>og romaer</w:t>
            </w:r>
            <w:r>
              <w:t>;</w:t>
            </w:r>
          </w:p>
        </w:tc>
        <w:tc>
          <w:tcPr>
            <w:tcW w:w="4876" w:type="dxa"/>
            <w:tcBorders>
              <w:top w:val="nil"/>
              <w:left w:val="nil"/>
              <w:bottom w:val="nil"/>
              <w:right w:val="nil"/>
            </w:tcBorders>
          </w:tcPr>
          <w:p>
            <w:pPr>
              <w:pStyle w:val="Normal6a"/>
            </w:pPr>
            <w:r>
              <w:t>13.</w:t>
            </w:r>
            <w:r>
              <w:tab/>
            </w:r>
            <w:r>
              <w:rPr>
                <w:b/>
                <w:i/>
              </w:rPr>
              <w:t>anbefaler, at medlemsstater, som endnu ikke har gjort det, til at indføre et særligt program for</w:t>
            </w:r>
            <w:r>
              <w:t xml:space="preserve"> indkomststøtte og social sikringsydelse for at sikre lige deltagelse af personer med handicap </w:t>
            </w:r>
            <w:r>
              <w:rPr>
                <w:b/>
                <w:i/>
              </w:rPr>
              <w:t>på arbejdsmarkedet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opfordrer til nøje overvågning af aktive arbejdsmarkedsforanstaltninger samt passende indkomststøtte og social sikringsydelse for at sikre lige deltagelse af dem, der befinder sig længst væk fra arbejdsmarkedet, </w:t>
            </w:r>
            <w:r>
              <w:rPr>
                <w:b/>
                <w:i/>
              </w:rPr>
              <w:t>navnlig</w:t>
            </w:r>
            <w:r>
              <w:t xml:space="preserve"> personer med handicap og </w:t>
            </w:r>
            <w:r>
              <w:rPr>
                <w:b/>
                <w:i/>
              </w:rPr>
              <w:t>romaer</w:t>
            </w:r>
            <w:r>
              <w:t>;</w:t>
            </w:r>
          </w:p>
        </w:tc>
        <w:tc>
          <w:tcPr>
            <w:tcW w:w="4876" w:type="dxa"/>
            <w:tcBorders>
              <w:top w:val="nil"/>
              <w:left w:val="nil"/>
              <w:bottom w:val="nil"/>
              <w:right w:val="nil"/>
            </w:tcBorders>
          </w:tcPr>
          <w:p>
            <w:pPr>
              <w:pStyle w:val="Normal6a"/>
            </w:pPr>
            <w:r>
              <w:t>13.</w:t>
            </w:r>
            <w:r>
              <w:tab/>
            </w:r>
            <w:r>
              <w:t xml:space="preserve">opfordrer til nøje overvågning af aktive arbejdsmarkedsforanstaltninger samt passende indkomststøtte og social sikringsydelse for at sikre lige deltagelse af dem, der befinder sig længst væk fra arbejdsmarkedet, </w:t>
            </w:r>
            <w:r>
              <w:rPr>
                <w:b/>
                <w:i/>
              </w:rPr>
              <w:t>herunder</w:t>
            </w:r>
            <w:r>
              <w:t xml:space="preserve"> personer med handicap og </w:t>
            </w:r>
            <w:r>
              <w:rPr>
                <w:b/>
                <w:i/>
              </w:rPr>
              <w:t>minoriteter</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mener, at socialøkonomien er et væsentligt element i gennemførelsen af den europæiske søjle og målene heri, som ofte giver beskæftigelse til sårbare og udstødte grupper; opfordrer Kommissionen og medlemsstaterne til at styrke deres støtte til alle socialøkonomiske virksomheder</w:t>
            </w:r>
            <w:r>
              <w:rPr>
                <w:b/>
                <w:i/>
              </w:rPr>
              <w:t>, navnlig nonprofitvirksomheder,</w:t>
            </w:r>
            <w:r>
              <w:t xml:space="preserve"> med henblik på at fremme anstændigt og inklusivt arbejde af høj kvalitet;</w:t>
            </w:r>
          </w:p>
        </w:tc>
        <w:tc>
          <w:tcPr>
            <w:tcW w:w="4876" w:type="dxa"/>
            <w:tcBorders>
              <w:top w:val="nil"/>
              <w:left w:val="nil"/>
              <w:bottom w:val="nil"/>
              <w:right w:val="nil"/>
            </w:tcBorders>
          </w:tcPr>
          <w:p>
            <w:pPr>
              <w:pStyle w:val="Normal6a"/>
            </w:pPr>
            <w:r>
              <w:t>14.</w:t>
            </w:r>
            <w:r>
              <w:tab/>
            </w:r>
            <w:r>
              <w:t>mener, at socialøkonomien er et væsentligt element i gennemførelsen af den europæiske søjle og målene heri, som ofte giver beskæftigelse til sårbare og udstødte grupper; opfordrer Kommissionen og medlemsstaterne til at styrke deres støtte til alle socialøkonomiske virksomheder med henblik på at fremme anstændigt og inklusivt arbejde af høj kvalitet;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mener, at </w:t>
            </w:r>
            <w:r>
              <w:rPr>
                <w:b/>
                <w:i/>
              </w:rPr>
              <w:t>socialøkonomien er et væsentligt element i gennemførelsen af den europæiske søjle og målene heri, som ofte giver</w:t>
            </w:r>
            <w:r>
              <w:t xml:space="preserve"> beskæftigelse til </w:t>
            </w:r>
            <w:r>
              <w:rPr>
                <w:b/>
                <w:i/>
              </w:rPr>
              <w:t>sårbare og udstødte grupper;</w:t>
            </w:r>
            <w:r>
              <w:t xml:space="preserve"> </w:t>
            </w:r>
            <w:r>
              <w:rPr>
                <w:b/>
                <w:i/>
              </w:rPr>
              <w:t>opfordrer Kommissionen og</w:t>
            </w:r>
            <w:r>
              <w:t xml:space="preserve"> medlemsstaterne </w:t>
            </w:r>
            <w:r>
              <w:rPr>
                <w:b/>
                <w:i/>
              </w:rPr>
              <w:t>til at styrke deres støtte til alle socialøkonomiske</w:t>
            </w:r>
            <w:r>
              <w:t xml:space="preserve"> virksomheder, </w:t>
            </w:r>
            <w:r>
              <w:rPr>
                <w:b/>
                <w:i/>
              </w:rPr>
              <w:t>navnlig nonprofitvirksomheder</w:t>
            </w:r>
            <w:r>
              <w:t xml:space="preserve">, med henblik på at </w:t>
            </w:r>
            <w:r>
              <w:rPr>
                <w:b/>
                <w:i/>
              </w:rPr>
              <w:t>fremme</w:t>
            </w:r>
            <w:r>
              <w:t xml:space="preserve"> anstændigt </w:t>
            </w:r>
            <w:r>
              <w:rPr>
                <w:b/>
                <w:i/>
              </w:rPr>
              <w:t>og inklusivt</w:t>
            </w:r>
            <w:r>
              <w:t xml:space="preserve"> arbejde af høj kvalitet;</w:t>
            </w:r>
          </w:p>
        </w:tc>
        <w:tc>
          <w:tcPr>
            <w:tcW w:w="4876" w:type="dxa"/>
            <w:tcBorders>
              <w:top w:val="nil"/>
              <w:left w:val="nil"/>
              <w:bottom w:val="nil"/>
              <w:right w:val="nil"/>
            </w:tcBorders>
          </w:tcPr>
          <w:p>
            <w:pPr>
              <w:pStyle w:val="Normal6a"/>
            </w:pPr>
            <w:r>
              <w:t>14.</w:t>
            </w:r>
            <w:r>
              <w:tab/>
            </w:r>
            <w:r>
              <w:t xml:space="preserve">mener, at </w:t>
            </w:r>
            <w:r>
              <w:rPr>
                <w:b/>
                <w:i/>
              </w:rPr>
              <w:t>en social og solidarisk økonomi bidrager til overholdelse af arbejdstagernes sociale rettigheder ved at give adgang til institutioner, herunder aktivitetscentre, der tilbyder</w:t>
            </w:r>
            <w:r>
              <w:t> beskæftigelse til </w:t>
            </w:r>
            <w:r>
              <w:rPr>
                <w:b/>
                <w:i/>
              </w:rPr>
              <w:t>personer med handicap;</w:t>
            </w:r>
            <w:r>
              <w:t xml:space="preserve"> </w:t>
            </w:r>
            <w:r>
              <w:rPr>
                <w:b/>
                <w:i/>
              </w:rPr>
              <w:t>anbefaler, at</w:t>
            </w:r>
            <w:r>
              <w:t xml:space="preserve"> medlemsstaterne </w:t>
            </w:r>
            <w:r>
              <w:rPr>
                <w:b/>
                <w:i/>
              </w:rPr>
              <w:t>støtter sociale og solidariske</w:t>
            </w:r>
            <w:r>
              <w:t xml:space="preserve"> virksomheder, </w:t>
            </w:r>
            <w:r>
              <w:rPr>
                <w:b/>
                <w:i/>
              </w:rPr>
              <w:t>som bidrager til inklusion af personer med handicap</w:t>
            </w:r>
            <w:r>
              <w:t xml:space="preserve">, med henblik på at </w:t>
            </w:r>
            <w:r>
              <w:rPr>
                <w:b/>
                <w:i/>
              </w:rPr>
              <w:t>sikre</w:t>
            </w:r>
            <w:r>
              <w:t xml:space="preserve"> anstændigt arbejde af høj kvalitet;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bemærker, at de offentlige myndigheder og sociale tjenesteudbydere i frontlinjen klart skal identificere de sociale prioriteter, hvis den socialøkonomiske sektors potentiale med hensyn til at afhjælpe de socioøkonomiske udfordringer skal udnyttes fuldt ud;</w:t>
            </w:r>
            <w:r>
              <w:t xml:space="preserve"> </w:t>
            </w:r>
            <w:r>
              <w:rPr>
                <w:b/>
                <w:i/>
              </w:rPr>
              <w:t>understreger, at socialøkonomiske projekter normalt kræver et tæt partnerskab med offentlige enheder, og opfordrer derfor Kommissionen og medlemsstaterne til inden for EU's makroøkonomiske forvaltningsrammer at udvikle en (ny) social investeringsstrategi, som ikke griber forstyrrende ind i eksisterende finansieringsinstrumenter, med klart fastlagte sociale prioriteter i overensstemmelse med den europæiske søjle for sociale rettigheder, og som kan danne en ramme for samarbejdet mellem offentlige myndigheder og socialøkonomiske organisationer;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understreger, at opfyldelsen af 2030-målene også kræver anvendelse af principper for god regeringsførelse baseret på retsstatsprincippet, ansvarlige institutioner, effektiv regulering og retssikkerhed;</w:t>
            </w:r>
          </w:p>
        </w:tc>
        <w:tc>
          <w:tcPr>
            <w:tcW w:w="4876" w:type="dxa"/>
            <w:tcBorders>
              <w:top w:val="nil"/>
              <w:left w:val="nil"/>
              <w:bottom w:val="nil"/>
              <w:right w:val="nil"/>
            </w:tcBorders>
          </w:tcPr>
          <w:p>
            <w:pPr>
              <w:pStyle w:val="Normal6a"/>
            </w:pPr>
            <w:r>
              <w:t>15.</w:t>
            </w:r>
            <w:r>
              <w:tab/>
            </w:r>
            <w:r>
              <w:t xml:space="preserve">understreger, at opfyldelsen af 2030-målene også kræver anvendelse af principper for god regeringsførelse baseret på retsstatsprincippet, ansvarlige institutioner, effektiv regulering og retssikkerhed; </w:t>
            </w:r>
            <w:r>
              <w:rPr>
                <w:b/>
                <w:i/>
              </w:rPr>
              <w:t>er bekymret over, at Kommissionens dereguleringsdagsorden kan føre til en tilbagerulning af eksisterende sociale og miljømæssige standarder og dermed hæmme Unionens fremskridt hen imod 2030-målene;</w:t>
            </w:r>
            <w:r>
              <w:t xml:space="preserve"> </w:t>
            </w:r>
            <w:r>
              <w:rPr>
                <w:b/>
                <w:i/>
              </w:rPr>
              <w:t>opfordrer Kommissionen og medlemsstaterne til at opfylde deres forpligtelse til at nå Unionens fælles mål, navnlig jf. artikel 3 i traktaten om Den Europæiske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understreger, at opfyldelsen af 2030-målene også kræver anvendelse af principper for god regeringsførelse baseret på retsstatsprincippet, ansvarlige institutioner, effektiv </w:t>
            </w:r>
            <w:r>
              <w:rPr>
                <w:b/>
                <w:i/>
              </w:rPr>
              <w:t>regulering og</w:t>
            </w:r>
            <w:r>
              <w:t xml:space="preserve"> retssikkerhed;</w:t>
            </w:r>
          </w:p>
        </w:tc>
        <w:tc>
          <w:tcPr>
            <w:tcW w:w="4876" w:type="dxa"/>
            <w:tcBorders>
              <w:top w:val="nil"/>
              <w:left w:val="nil"/>
              <w:bottom w:val="nil"/>
              <w:right w:val="nil"/>
            </w:tcBorders>
          </w:tcPr>
          <w:p>
            <w:pPr>
              <w:pStyle w:val="Normal6a"/>
            </w:pPr>
            <w:r>
              <w:t>15.</w:t>
            </w:r>
            <w:r>
              <w:tab/>
            </w:r>
            <w:r>
              <w:t xml:space="preserve">understreger, at opfyldelsen af 2030-målene også kræver anvendelse af principper for god regeringsførelse baseret på retsstatsprincippet, ansvarlige institutioner, effektiv </w:t>
            </w:r>
            <w:r>
              <w:rPr>
                <w:b/>
                <w:i/>
              </w:rPr>
              <w:t>gennemførelse, overvågning og håndhævelse samt</w:t>
            </w:r>
            <w:r>
              <w:t xml:space="preserve"> retssikkerhed; </w:t>
            </w:r>
            <w:r>
              <w:rPr>
                <w:b/>
                <w:i/>
              </w:rPr>
              <w:t>opfordrer i denne forbindelse til, at den politiske erklæring fra det andet verdenstopmøde omfatter meningsfulde tilsagn om at fremme målene for bæredygtig udvikling og afhjælpe vedvarende mangler i den sociale udvikling samt stærke overvågnings- og kontrolmekanismer;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understreger, at opfyldelsen af 2030-målene også kræver anvendelse af principper for god regeringsførelse baseret på retsstatsprincippet, ansvarlige institutioner</w:t>
            </w:r>
            <w:r>
              <w:rPr>
                <w:b/>
                <w:i/>
              </w:rPr>
              <w:t>,</w:t>
            </w:r>
            <w:r>
              <w:t xml:space="preserve"> effektiv regulering </w:t>
            </w:r>
            <w:r>
              <w:rPr>
                <w:b/>
                <w:i/>
              </w:rPr>
              <w:t>og</w:t>
            </w:r>
            <w:r>
              <w:t xml:space="preserve"> retssikkerhed;</w:t>
            </w:r>
          </w:p>
        </w:tc>
        <w:tc>
          <w:tcPr>
            <w:tcW w:w="4876" w:type="dxa"/>
            <w:tcBorders>
              <w:top w:val="nil"/>
              <w:left w:val="nil"/>
              <w:bottom w:val="nil"/>
              <w:right w:val="nil"/>
            </w:tcBorders>
          </w:tcPr>
          <w:p>
            <w:pPr>
              <w:pStyle w:val="Normal6a"/>
            </w:pPr>
            <w:r>
              <w:t>15.</w:t>
            </w:r>
            <w:r>
              <w:tab/>
            </w:r>
            <w:r>
              <w:t xml:space="preserve">understreger, at opfyldelsen af 2030-målene også kræver anvendelse af principper for god regeringsførelse baseret på retsstatsprincippet, ansvarlige institutioner </w:t>
            </w:r>
            <w:r>
              <w:rPr>
                <w:b/>
                <w:i/>
              </w:rPr>
              <w:t>og</w:t>
            </w:r>
            <w:r>
              <w:t xml:space="preserve"> effektiv regulering</w:t>
            </w:r>
            <w:r>
              <w:rPr>
                <w:b/>
                <w:i/>
              </w:rPr>
              <w:t>, samtidig med at der garanteres</w:t>
            </w:r>
            <w:r>
              <w:t xml:space="preserve"> retssikkerhed</w:t>
            </w:r>
            <w:r>
              <w:rPr>
                <w:b/>
                <w:i/>
              </w:rPr>
              <w:t>, herunder for EU-kandidatlandene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understreger ligeledes, at disse principper er baseret på medlemsstaternes suverænitet, omfatter bekæmpelsen af udenlandsk indblanding og er betinget af staternes handlefrihed til at sikre deres folks rettigheder;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fremhæver, at lederskab inden for internationale menneskerettigheder vises bedst ved at foregå med et godt eksempel, hvilket omfatter viljen til at ratificere internationale menneskerettighedsinstrumenter og gennemføre dem fuldt ud og effektivt;</w:t>
            </w:r>
            <w:r>
              <w:t xml:space="preserve"> </w:t>
            </w:r>
            <w:r>
              <w:rPr>
                <w:b/>
                <w:i/>
              </w:rPr>
              <w:t>bemærker, at det globale engagement i menneskerettigheder også skal styrkes gennem anvendelse af diplomatiske og økonomiske muligheder for at styrke engagementet i menneskerettighedsinstrumenter og for at sætte andre – såsom ikkestatslige organisationer og fagforeninger – i stand til frit at arbejde hen imod at fremme menneskerettighedsstandarder i hele verden;</w:t>
            </w:r>
            <w:r>
              <w:t xml:space="preserve"> </w:t>
            </w:r>
            <w:r>
              <w:rPr>
                <w:b/>
                <w:i/>
              </w:rPr>
              <w:t>minder om, at menneskerettigheder og sociale rettigheder kun kan fremmes på troværdig vis af lande, der selv opfylder sine forpligtelser;</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fremhæver, at lederskab inden for internationale menneskerettigheder vises bedst ved at foregå med et godt eksempel, hvilket omfatter viljen til at ratificere internationale menneskerettighedsinstrumenter og gennemføre dem fuldt ud og effektivt; bemærker, at det globale engagement i menneskerettigheder også skal styrkes gennem anvendelse af diplomatiske og økonomiske muligheder for at styrke engagementet i menneskerettighedsinstrumenter og for at sætte andre – såsom ikkestatslige organisationer og fagforeninger – i stand til </w:t>
            </w:r>
            <w:r>
              <w:rPr>
                <w:b/>
                <w:i/>
              </w:rPr>
              <w:t>frit</w:t>
            </w:r>
            <w:r>
              <w:t xml:space="preserve"> at arbejde hen imod at fremme menneskerettighedsstandarder i hele verden; minder om, at menneskerettigheder og sociale rettigheder kun kan fremmes på troværdig vis af lande, der selv opfylder sine forpligtelser;</w:t>
            </w:r>
          </w:p>
        </w:tc>
        <w:tc>
          <w:tcPr>
            <w:tcW w:w="4876" w:type="dxa"/>
            <w:tcBorders>
              <w:top w:val="nil"/>
              <w:left w:val="nil"/>
              <w:bottom w:val="nil"/>
              <w:right w:val="nil"/>
            </w:tcBorders>
          </w:tcPr>
          <w:p>
            <w:pPr>
              <w:pStyle w:val="Normal6a"/>
            </w:pPr>
            <w:r>
              <w:t>16.</w:t>
            </w:r>
            <w:r>
              <w:tab/>
            </w:r>
            <w:r>
              <w:t>fremhæver, at lederskab inden for internationale menneskerettigheder vises bedst ved at foregå med et godt eksempel</w:t>
            </w:r>
            <w:r>
              <w:rPr>
                <w:b/>
                <w:i/>
              </w:rPr>
              <w:t>, navnlig hvad angår EU-institutionerne</w:t>
            </w:r>
            <w:r>
              <w:t>, hvilket omfatter viljen til at ratificere internationale menneskerettighedsinstrumenter og gennemføre dem fuldt ud og effektivt; bemærker, at det globale engagement i menneskerettigheder også skal styrkes gennem anvendelse af diplomatiske og økonomiske muligheder for at styrke engagementet i menneskerettighedsinstrumenter og for at sætte andre – såsom ikkestatslige organisationer og fagforeninger</w:t>
            </w:r>
            <w:r>
              <w:rPr>
                <w:b/>
                <w:i/>
              </w:rPr>
              <w:t>, som støttes af EU-budgettet</w:t>
            </w:r>
            <w:r>
              <w:t xml:space="preserve"> – i stand til </w:t>
            </w:r>
            <w:r>
              <w:rPr>
                <w:b/>
                <w:i/>
              </w:rPr>
              <w:t>i henhold til traktaterne</w:t>
            </w:r>
            <w:r>
              <w:t xml:space="preserve"> at arbejde </w:t>
            </w:r>
            <w:r>
              <w:rPr>
                <w:b/>
                <w:i/>
              </w:rPr>
              <w:t>frit</w:t>
            </w:r>
            <w:r>
              <w:t xml:space="preserve"> hen imod at fremme menneskerettighedsstandarder i hele verden </w:t>
            </w:r>
            <w:r>
              <w:rPr>
                <w:b/>
                <w:i/>
              </w:rPr>
              <w:t>uden i betydelig grad at bringe Unionens økonomiske interesser i den globale konkurrence i fare</w:t>
            </w:r>
            <w:r>
              <w:t>; minder om, at menneskerettigheder og sociale rettigheder kun kan fremmes på troværdig vis af lande, der selv opfylder sine forpligtelser;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fremhæver, at lederskab inden for internationale menneskerettigheder vises bedst ved at foregå med et godt eksempel, hvilket omfatter viljen til at ratificere internationale menneskerettighedsinstrumenter og gennemføre dem fuldt ud og effektivt; bemærker, at det globale engagement i menneskerettigheder også skal styrkes gennem anvendelse af diplomatiske og økonomiske muligheder for at styrke engagementet i menneskerettighedsinstrumenter </w:t>
            </w:r>
            <w:r>
              <w:rPr>
                <w:b/>
                <w:i/>
              </w:rPr>
              <w:t>og for at sætte andre – såsom ikkestatslige organisationer og fagforeninger – i stand til frit at arbejde hen imod at fremme menneskerettighedsstandarder i hele verden</w:t>
            </w:r>
            <w:r>
              <w:t>; minder om, at menneskerettigheder og sociale rettigheder kun kan fremmes på troværdig vis af lande, der selv opfylder sine forpligtelser;</w:t>
            </w:r>
          </w:p>
        </w:tc>
        <w:tc>
          <w:tcPr>
            <w:tcW w:w="4876" w:type="dxa"/>
            <w:tcBorders>
              <w:top w:val="nil"/>
              <w:left w:val="nil"/>
              <w:bottom w:val="nil"/>
              <w:right w:val="nil"/>
            </w:tcBorders>
          </w:tcPr>
          <w:p>
            <w:pPr>
              <w:pStyle w:val="Normal6a"/>
            </w:pPr>
            <w:r>
              <w:t>16.</w:t>
            </w:r>
            <w:r>
              <w:tab/>
            </w:r>
            <w:r>
              <w:t>fremhæver, at lederskab inden for internationale menneskerettigheder vises bedst ved at foregå med et godt eksempel, hvilket omfatter viljen til at ratificere internationale menneskerettighedsinstrumenter og gennemføre dem fuldt ud og effektivt; bemærker, at det globale engagement i menneskerettigheder også skal styrkes gennem anvendelse af diplomatiske og økonomiske muligheder for at styrke engagementet i menneskerettighedsinstrumenter; minder om, at menneskerettigheder og sociale rettigheder kun kan fremmes på troværdig vis af lande, der selv opfylder sine forpligtelser;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fremhæver, at lederskab inden for internationale menneskerettigheder vises bedst ved at foregå med et godt eksempel, hvilket omfatter viljen til at ratificere internationale menneskerettighedsinstrumenter og gennemføre dem fuldt ud og effektivt; bemærker, at det globale engagement i menneskerettigheder også skal styrkes gennem anvendelse af diplomatiske og økonomiske muligheder for at styrke engagementet i menneskerettighedsinstrumenter og for at sætte andre – såsom ikkestatslige organisationer og fagforeninger – i stand til frit at arbejde hen imod at fremme menneskerettighedsstandarder i hele verden; minder om, at menneskerettigheder og sociale rettigheder kun kan fremmes på troværdig vis af lande, der selv opfylder sine forpligtelser;</w:t>
            </w:r>
          </w:p>
        </w:tc>
        <w:tc>
          <w:tcPr>
            <w:tcW w:w="4876" w:type="dxa"/>
            <w:tcBorders>
              <w:top w:val="nil"/>
              <w:left w:val="nil"/>
              <w:bottom w:val="nil"/>
              <w:right w:val="nil"/>
            </w:tcBorders>
          </w:tcPr>
          <w:p>
            <w:pPr>
              <w:pStyle w:val="Normal6a"/>
            </w:pPr>
            <w:r>
              <w:t>16.</w:t>
            </w:r>
            <w:r>
              <w:tab/>
            </w:r>
            <w:r>
              <w:rPr>
                <w:b/>
                <w:i/>
              </w:rPr>
              <w:t>minder om, at fred og globalt samarbejde er de grundlæggende betingelser for at opnå bæredygtig udvikling i Europa og globalt;</w:t>
            </w:r>
            <w:r>
              <w:t xml:space="preserve"> fremhæver, at lederskab inden for internationale menneskerettigheder vises bedst ved at foregå med et godt eksempel, hvilket omfatter viljen til at ratificere internationale menneskerettighedsinstrumenter og gennemføre dem fuldt ud og effektivt; bemærker, at det globale engagement i menneskerettigheder også skal styrkes gennem anvendelse af diplomatiske og økonomiske muligheder for at styrke engagementet i menneskerettighedsinstrumenter og for at sætte andre – såsom ikkestatslige organisationer og fagforeninger – i stand til frit at arbejde hen imod at fremme menneskerettighedsstandarder i hele verden; minder om, at menneskerettigheder og sociale rettigheder kun kan fremmes på troværdig vis af lande, der selv opfylder sine forpligtelser;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fremhæver, at </w:t>
            </w:r>
            <w:r>
              <w:rPr>
                <w:b/>
                <w:i/>
              </w:rPr>
              <w:t>lederskab inden</w:t>
            </w:r>
            <w:r>
              <w:t xml:space="preserve"> for internationale menneskerettigheder </w:t>
            </w:r>
            <w:r>
              <w:rPr>
                <w:b/>
                <w:i/>
              </w:rPr>
              <w:t>vises bedst ved at foregå med et godt eksempel, hvilket omfatter viljen til at ratificere</w:t>
            </w:r>
            <w:r>
              <w:t xml:space="preserve"> internationale menneskerettighedsinstrumenter </w:t>
            </w:r>
            <w:r>
              <w:rPr>
                <w:b/>
                <w:i/>
              </w:rPr>
              <w:t>og gennemføre dem fuldt ud og effektivt</w:t>
            </w:r>
            <w:r>
              <w:t xml:space="preserve">; bemærker, at </w:t>
            </w:r>
            <w:r>
              <w:rPr>
                <w:b/>
                <w:i/>
              </w:rPr>
              <w:t>det</w:t>
            </w:r>
            <w:r>
              <w:t xml:space="preserve"> globale </w:t>
            </w:r>
            <w:r>
              <w:rPr>
                <w:b/>
                <w:i/>
              </w:rPr>
              <w:t>engagement i menneskerettigheder</w:t>
            </w:r>
            <w:r>
              <w:t xml:space="preserve"> også skal styrkes gennem anvendelse af diplomatiske og økonomiske muligheder </w:t>
            </w:r>
            <w:r>
              <w:rPr>
                <w:b/>
                <w:i/>
              </w:rPr>
              <w:t>for at styrke engagementet i menneskerettighedsinstrumenter</w:t>
            </w:r>
            <w:r>
              <w:t xml:space="preserve"> og for at sætte andre – såsom ikkestatslige organisationer og fagforeninger – i stand til frit at arbejde hen imod at fremme menneskerettighedsstandarder i hele verden; minder om, at menneskerettigheder og sociale rettigheder kun kan fremmes på troværdig vis af lande, der selv opfylder sine forpligtelser;</w:t>
            </w:r>
          </w:p>
        </w:tc>
        <w:tc>
          <w:tcPr>
            <w:tcW w:w="4876" w:type="dxa"/>
            <w:tcBorders>
              <w:top w:val="nil"/>
              <w:left w:val="nil"/>
              <w:bottom w:val="nil"/>
              <w:right w:val="nil"/>
            </w:tcBorders>
          </w:tcPr>
          <w:p>
            <w:pPr>
              <w:pStyle w:val="Normal6a"/>
            </w:pPr>
            <w:r>
              <w:t>16.</w:t>
            </w:r>
            <w:r>
              <w:tab/>
            </w:r>
            <w:r>
              <w:t xml:space="preserve">fremhæver, at </w:t>
            </w:r>
            <w:r>
              <w:rPr>
                <w:b/>
                <w:i/>
              </w:rPr>
              <w:t>EU skal spille en ledende rolle på området</w:t>
            </w:r>
            <w:r>
              <w:t xml:space="preserve"> for internationale menneskerettigheder </w:t>
            </w:r>
            <w:r>
              <w:rPr>
                <w:b/>
                <w:i/>
              </w:rPr>
              <w:t>ved fuldt ud og effektivt at gennemføre</w:t>
            </w:r>
            <w:r>
              <w:t xml:space="preserve"> internationale menneskerettighedsinstrumenter; bemærker, at </w:t>
            </w:r>
            <w:r>
              <w:rPr>
                <w:b/>
                <w:i/>
              </w:rPr>
              <w:t>den</w:t>
            </w:r>
            <w:r>
              <w:t xml:space="preserve"> globale </w:t>
            </w:r>
            <w:r>
              <w:rPr>
                <w:b/>
                <w:i/>
              </w:rPr>
              <w:t>forpligtelse til menneskerettighedsinstrumenter</w:t>
            </w:r>
            <w:r>
              <w:t xml:space="preserve"> også skal styrkes gennem anvendelse af diplomatiske og økonomiske muligheder og for at sætte andre – såsom ikkestatslige organisationer og fagforeninger – i stand til frit at arbejde hen imod at fremme menneskerettighedsstandarder </w:t>
            </w:r>
            <w:r>
              <w:rPr>
                <w:b/>
                <w:i/>
              </w:rPr>
              <w:t>og sociale rettigheder</w:t>
            </w:r>
            <w:r>
              <w:t xml:space="preserve"> i hele verden; minder om, at menneskerettigheder og sociale rettigheder kun kan fremmes på troværdig vis af lande, der selv opfylder sine forpligtelser;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understreger, at initiativer med sigte på at stimulere økonomisk vækst ikke må iværksættes på bekostning af social retfærdighed, arbejdstagerrettigheder eller miljøbeskyttelse;</w:t>
            </w:r>
            <w:r>
              <w:t xml:space="preserve"> </w:t>
            </w:r>
            <w:r>
              <w:rPr>
                <w:b/>
                <w:i/>
              </w:rPr>
              <w:t>opfordrer EU til at engagere sig konstruktivt i vedtagelsen af FN-traktaten om erhvervslivet og menneskerettigheder for at regulere tværnationale selskabers og andre erhvervsvirksomheders aktiviteter og give ofrene mulighed for at søge erstatning;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fremhæver behovet for at iværksætte en regelmæssig grundig gennemgang for at vurdere fremskridt, identificere mangler og forny tilsagn;</w:t>
            </w:r>
            <w:r>
              <w:t xml:space="preserve"> </w:t>
            </w:r>
            <w:r>
              <w:rPr>
                <w:b/>
                <w:i/>
              </w:rPr>
              <w:t>opfordrer Den Internationale Arbejdsorganisation (ILO) til at fungere som det primære organ til opfølgning af forpligtelserne vedrørende social udvikling og til at styrke dens rolle i evalueringsprocessen.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for Udvalget om Beskæftigelse og Sociale Anliggender</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opfordrer FN til at sikre fuld respekt for arbejdstagerrettigheder og sociale rettigheder i værtslandene for de sociale topmøder; </w:t>
            </w:r>
            <w:r>
              <w:rPr>
                <w:b/>
                <w:i/>
              </w:rPr>
              <w:t>opfordrer derfor til en mere beslutsom indsats, så vi kan gøre vores yderste for at nå EU's overordnede mål og målene for bæredygtig udvikling i hele EU senest i 2030 og til at gøre mere for at sikre, at målene for bæredygtig udvikling nås i hele verden;</w:t>
            </w:r>
          </w:p>
        </w:tc>
        <w:tc>
          <w:tcPr>
            <w:tcW w:w="4876" w:type="dxa"/>
            <w:tcBorders>
              <w:top w:val="nil"/>
              <w:left w:val="nil"/>
              <w:bottom w:val="nil"/>
              <w:right w:val="nil"/>
            </w:tcBorders>
          </w:tcPr>
          <w:p>
            <w:pPr>
              <w:pStyle w:val="Normal6a"/>
            </w:pPr>
            <w:r>
              <w:t>17.</w:t>
            </w:r>
            <w:r>
              <w:tab/>
            </w:r>
            <w:r>
              <w:t>opfordrer FN til at sikre fuld respekt for arbejdstagerrettigheder og sociale rettigheder i værtslandene for de sociale topmøder;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opfordrer FN </w:t>
            </w:r>
            <w:r>
              <w:rPr>
                <w:b/>
                <w:i/>
              </w:rPr>
              <w:t>til at sikre fuld respekt for</w:t>
            </w:r>
            <w:r>
              <w:t xml:space="preserve"> arbejdstagerrettigheder og sociale rettigheder </w:t>
            </w:r>
            <w:r>
              <w:rPr>
                <w:b/>
                <w:i/>
              </w:rPr>
              <w:t>i værtslandene for de</w:t>
            </w:r>
            <w:r>
              <w:t xml:space="preserve"> sociale </w:t>
            </w:r>
            <w:r>
              <w:rPr>
                <w:b/>
                <w:i/>
              </w:rPr>
              <w:t>topmøder</w:t>
            </w:r>
            <w:r>
              <w:t xml:space="preserve">; opfordrer derfor til en </w:t>
            </w:r>
            <w:r>
              <w:rPr>
                <w:b/>
                <w:i/>
              </w:rPr>
              <w:t>mere beslutsom indsats, så vi kan gøre vores yderste for at nå EU's overordnede</w:t>
            </w:r>
            <w:r>
              <w:t xml:space="preserve"> mål og målene for bæredygtig udvikling </w:t>
            </w:r>
            <w:r>
              <w:rPr>
                <w:b/>
                <w:i/>
              </w:rPr>
              <w:t>i hele EU</w:t>
            </w:r>
            <w:r>
              <w:t xml:space="preserve"> senest i 2030 </w:t>
            </w:r>
            <w:r>
              <w:rPr>
                <w:b/>
                <w:i/>
              </w:rPr>
              <w:t>og til at gøre mere for at sikre, at målene for bæredygtig udvikling nås i hele</w:t>
            </w:r>
            <w:r>
              <w:t xml:space="preserve"> verden;</w:t>
            </w:r>
          </w:p>
        </w:tc>
        <w:tc>
          <w:tcPr>
            <w:tcW w:w="4876" w:type="dxa"/>
            <w:tcBorders>
              <w:top w:val="nil"/>
              <w:left w:val="nil"/>
              <w:bottom w:val="nil"/>
              <w:right w:val="nil"/>
            </w:tcBorders>
          </w:tcPr>
          <w:p>
            <w:pPr>
              <w:pStyle w:val="Normal6a"/>
            </w:pPr>
            <w:r>
              <w:t>17.</w:t>
            </w:r>
            <w:r>
              <w:tab/>
            </w:r>
            <w:r>
              <w:t xml:space="preserve">opfordrer FN </w:t>
            </w:r>
            <w:r>
              <w:rPr>
                <w:b/>
                <w:i/>
              </w:rPr>
              <w:t>og alle deltagende lande til fuldt ud at værne om</w:t>
            </w:r>
            <w:r>
              <w:t xml:space="preserve"> arbejdstagerrettigheder og sociale rettigheder</w:t>
            </w:r>
            <w:r>
              <w:rPr>
                <w:b/>
                <w:i/>
              </w:rPr>
              <w:t>, herunder ved at ratificere ILO's grundlæggende konventioner, respektere ligestilling mellem kønnene og forpligte sig til værdierne i den</w:t>
            </w:r>
            <w:r>
              <w:t xml:space="preserve"> sociale </w:t>
            </w:r>
            <w:r>
              <w:rPr>
                <w:b/>
                <w:i/>
              </w:rPr>
              <w:t>erklæring</w:t>
            </w:r>
            <w:r>
              <w:t xml:space="preserve">; opfordrer derfor til en </w:t>
            </w:r>
            <w:r>
              <w:rPr>
                <w:b/>
                <w:i/>
              </w:rPr>
              <w:t>stærkere global tilpasning til principperne i den europæiske søjle for sociale rettigheder og La Hulpe-erklæringen;</w:t>
            </w:r>
            <w:r>
              <w:t xml:space="preserve"> </w:t>
            </w:r>
            <w:r>
              <w:rPr>
                <w:b/>
                <w:i/>
              </w:rPr>
              <w:t>understreger behovet for et fornyet engagement i opfyldelsen af både EU's sociale</w:t>
            </w:r>
            <w:r>
              <w:t xml:space="preserve"> mål og målene for bæredygtig udvikling senest i 2030 </w:t>
            </w:r>
            <w:r>
              <w:rPr>
                <w:b/>
                <w:i/>
              </w:rPr>
              <w:t>i Europa og resten af</w:t>
            </w:r>
            <w:r>
              <w:t xml:space="preserve"> verden;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opfordrer FN til at sikre fuld respekt for arbejdstagerrettigheder og sociale rettigheder i værtslandene for de sociale topmøder; opfordrer derfor til en mere beslutsom indsats, så vi kan gøre vores yderste for at nå EU's overordnede mål og målene for bæredygtig udvikling i hele EU senest i 2030 og til at gøre mere for at sikre, at målene for bæredygtig udvikling nås i hele verden;</w:t>
            </w:r>
          </w:p>
        </w:tc>
        <w:tc>
          <w:tcPr>
            <w:tcW w:w="4876" w:type="dxa"/>
            <w:tcBorders>
              <w:top w:val="nil"/>
              <w:left w:val="nil"/>
              <w:bottom w:val="nil"/>
              <w:right w:val="nil"/>
            </w:tcBorders>
          </w:tcPr>
          <w:p>
            <w:pPr>
              <w:pStyle w:val="Normal6a"/>
            </w:pPr>
            <w:r>
              <w:t>17.</w:t>
            </w:r>
            <w:r>
              <w:tab/>
            </w:r>
            <w:r>
              <w:t xml:space="preserve">opfordrer FN til at sikre fuld respekt for arbejdstagerrettigheder og sociale rettigheder </w:t>
            </w:r>
            <w:r>
              <w:rPr>
                <w:b/>
                <w:i/>
              </w:rPr>
              <w:t>i alle medlemsstaterne og</w:t>
            </w:r>
            <w:r>
              <w:t xml:space="preserve"> i værtslandene for de sociale topmøder; opfordrer derfor til en mere beslutsom indsats, så vi kan gøre vores yderste for at nå EU's overordnede mål og målene for bæredygtig udvikling i hele EU senest i 2030 og til at gøre mere for at sikre, at målene for bæredygtig udvikling nås i hele verden;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opfordrer EU til at støtte den globale overgang fra uformel til formel beskæftigelse i overensstemmelse med ILO's henstilling 204 ved at fremme retfærdige arbejdsstandarder, anstændigt arbejde og adgang til social beskyttelse;</w:t>
            </w:r>
            <w:r>
              <w:t xml:space="preserve"> </w:t>
            </w:r>
            <w:r>
              <w:rPr>
                <w:b/>
                <w:i/>
              </w:rPr>
              <w:t>tilskynder til, at dette mål integreres i EU's politikker for udvikling, handel og eksterne politikker;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17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opfordrer FN til at etablere en solid ramme for opfølgning af det sociale verdenstopmøde, herunder ministererklæringer hvert andet år og styrkede overvågningsstrukturer;</w:t>
            </w:r>
            <w:r>
              <w:t xml:space="preserve"> </w:t>
            </w:r>
            <w:r>
              <w:rPr>
                <w:b/>
                <w:i/>
              </w:rPr>
              <w:t>støtter revitaliseringen af FN's Kommission for Social Udvikling og større inddragelse af beskæftigelsesministerier og arbejdsmarkedets parter;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68</w:t>
    </w:r>
    <w:r>
      <w:fldChar w:fldCharType="end"/>
    </w:r>
    <w:r>
      <w:t>/</w:t>
    </w:r>
    <w:r>
      <w:fldChar w:fldCharType="begin"/>
    </w:r>
    <w:r>
      <w:instrText xml:space="preserve"> NUMPAGES </w:instrText>
    </w:r>
    <w:r>
      <w:fldChar w:fldCharType="separate"/>
    </w:r>
    <w:r>
      <w:t>69</w:t>
    </w:r>
    <w:r>
      <w:fldChar w:fldCharType="end"/>
    </w:r>
    <w:r>
      <w:tab/>
    </w:r>
    <w:r>
      <w:rPr>
        <w:rStyle w:val="HideTWBExt"/>
      </w:rPr>
      <w:t>&lt;PathFdR&gt;</w:t>
    </w:r>
    <w:r>
      <w:t>AM\1322547DA.docx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AM\1322547DA.docx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69</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AM\1322547DA.docx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69</Pages>
  <Words>15649</Words>
  <Characters>97562</Characters>
  <Application>Microsoft Office Word</Application>
  <DocSecurity>0</DocSecurity>
  <Lines>1</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199879</vt:lpwstr>
  </property>
  <property fmtid="{D5CDD505-2E9C-101B-9397-08002B2CF9AE}" pid="7" name="dmxml.render.traceId">
    <vt:lpwstr>68541a107cf81d3a1215940d532ec7a8</vt:lpwstr>
  </property>
  <property fmtid="{D5CDD505-2E9C-101B-9397-08002B2CF9AE}" pid="8" name="FooterPath">
    <vt:lpwstr>AM\1322547DA.docx</vt:lpwstr>
  </property>
  <property fmtid="{D5CDD505-2E9C-101B-9397-08002B2CF9AE}" pid="9" name="PE Number">
    <vt:lpwstr>774.385</vt:lpwstr>
  </property>
  <property fmtid="{D5CDD505-2E9C-101B-9397-08002B2CF9AE}" pid="10" name="UID">
    <vt:lpwstr>eu.europa.europarl-DIN1-2025-0000118099_01.00-da-01.00_text-xml</vt:lpwstr>
  </property>
</Properties>
</file>