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Ausschuss für Beschäftigung und soziale Angelegenheiten</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Entwurf eines Entschließungsantrags</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Zweiter Weltgipfel für soziale Entwicklung</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Internationalen Pakt über wirtschaftliche, soziale und kulturelle Rechte (IPWSKR),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Aktionsplan zur europäischen Säule sozialer Rechte und seine Kernziele für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Garantie für Kinder,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EU-Strategie für die Gleichstellung der Geschlechter und den Fahrplan für Frauenrechte,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Strategie für die Rechte von Menschen mit Behinderungen,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die </w:t>
            </w:r>
            <w:r>
              <w:rPr>
                <w:b/>
                <w:i/>
              </w:rPr>
              <w:t>Nachhaltigkeitsziele</w:t>
            </w:r>
            <w:r>
              <w:t xml:space="preserve"> der Vereinten Nationen (VN),</w:t>
            </w:r>
          </w:p>
        </w:tc>
        <w:tc>
          <w:tcPr>
            <w:tcW w:w="4876" w:type="dxa"/>
            <w:tcBorders>
              <w:top w:val="nil"/>
              <w:left w:val="nil"/>
              <w:bottom w:val="nil"/>
              <w:right w:val="nil"/>
            </w:tcBorders>
          </w:tcPr>
          <w:p>
            <w:pPr>
              <w:pStyle w:val="Normal6a"/>
            </w:pPr>
            <w:r>
              <w:rPr>
                <w:b/>
                <w:i/>
              </w:rPr>
              <w:t>–</w:t>
            </w:r>
            <w:r>
              <w:tab/>
            </w:r>
            <w:r>
              <w:t xml:space="preserve">unter Hinweis auf die </w:t>
            </w:r>
            <w:r>
              <w:rPr>
                <w:b/>
                <w:i/>
              </w:rPr>
              <w:t>Ziele</w:t>
            </w:r>
            <w:r>
              <w:t xml:space="preserve"> der Vereinten Nationen (VN) </w:t>
            </w:r>
            <w:r>
              <w:rPr>
                <w:b/>
                <w:i/>
              </w:rPr>
              <w:t>für nachhaltige Entwicklung</w:t>
            </w:r>
            <w:r>
              <w:t xml:space="preserve">, </w:t>
            </w:r>
            <w:r>
              <w:rPr>
                <w:b/>
                <w:i/>
              </w:rPr>
              <w:t>insbesondere die Ziele Nr. 1, 2, 8 und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Kernübereinkommen der IAO,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in der Erwägung, dass nachhaltige Entwicklung ein zentraler Grundsatz des Vertrags über die Europäische Union und ein Hauptziel der Innen- und Außenpolitik der EU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17 Ziele für nachhaltige Entwicklung im Mittelpunkt der Agenda 2030 für nachhaltige Entwicklung stehen, die 2015 von allen Mitgliedstaaten der Vereinten Nationen angenommen wurde;</w:t>
            </w:r>
            <w:r>
              <w:t xml:space="preserve"> </w:t>
            </w:r>
            <w:r>
              <w:rPr>
                <w:b/>
                <w:i/>
              </w:rPr>
              <w:t>in der Erwägung, dass darin deutlich gemacht wird, dass die Beseitigung von Armut und anderen Entbehrungen Hand in Hand gehen muss mit Strategien, die Gesundheit und Bildung verbessern, Ungleichheit verringern und das Wirtschaftswachstum ankurbeln – und das alles bei gleichzeitiger Bekämpfung des Klimawandels und dem Einsatz für den Erhalt der Ozeane und Wälder;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sich die Verpflichtung der EU im Rahmen der Agenda 2030 in einer Reihe transformativer Maßnahmen niederschlug, etwa der Europäischen Säule sozialer Rechte, dem europäischen Grünen Deal, dem Klimagesetz, einer neuen EU-Industriestrategie, den Jährlichen Strategien für nachhaltiges Wachstum, der aktualisierten Europäischen Kompetenzagenda oder dem Europäischen Bildungsraum;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es überall in der EU nach wie vor beträchtliche Unterschiede zwischen den Menschen und den Regionen gibt, dass dabei Haushalte</w:t>
            </w:r>
            <w:r>
              <w:rPr>
                <w:b/>
                <w:i/>
              </w:rPr>
              <w:t>, die vergleichsweise mehr Geld für wesentliche Güter wie Energie und Lebensmittel ausgeben,</w:t>
            </w:r>
            <w:r>
              <w:t xml:space="preserve"> unverhältnismäßig stark von der Inflation betroffen sind </w:t>
            </w:r>
            <w:r>
              <w:rPr>
                <w:b/>
                <w:i/>
              </w:rPr>
              <w:t>und</w:t>
            </w:r>
            <w:r>
              <w:t xml:space="preserve"> die Wohnraumkrise auch weiterhin überall in der EU ein Problem darstellt; in der Erwägung, dass diese Probleme </w:t>
            </w:r>
            <w:r>
              <w:rPr>
                <w:b/>
                <w:i/>
              </w:rPr>
              <w:t>langfristig</w:t>
            </w:r>
            <w:r>
              <w:t xml:space="preserve"> nachteilige Auswirkungen auf </w:t>
            </w:r>
            <w:r>
              <w:rPr>
                <w:b/>
                <w:i/>
              </w:rPr>
              <w:t>den gesellschaftlichen Zusammenhalt</w:t>
            </w:r>
            <w:r>
              <w:t xml:space="preserve"> und das Wohlergehen der </w:t>
            </w:r>
            <w:r>
              <w:rPr>
                <w:b/>
                <w:i/>
              </w:rPr>
              <w:t>Unionsbürgerinnen und ‑bürger</w:t>
            </w:r>
            <w:r>
              <w:t xml:space="preserve"> haben;</w:t>
            </w:r>
          </w:p>
        </w:tc>
        <w:tc>
          <w:tcPr>
            <w:tcW w:w="4876" w:type="dxa"/>
            <w:tcBorders>
              <w:top w:val="nil"/>
              <w:left w:val="nil"/>
              <w:bottom w:val="nil"/>
              <w:right w:val="nil"/>
            </w:tcBorders>
          </w:tcPr>
          <w:p>
            <w:pPr>
              <w:pStyle w:val="Normal6a"/>
            </w:pPr>
            <w:r>
              <w:t>A.</w:t>
            </w:r>
            <w:r>
              <w:tab/>
            </w:r>
            <w:r>
              <w:t xml:space="preserve">in der Erwägung, dass es überall in der EU nach wie vor beträchtliche Unterschiede zwischen den Menschen und den Regionen gibt, dass dabei Haushalte </w:t>
            </w:r>
            <w:r>
              <w:rPr>
                <w:b/>
                <w:i/>
              </w:rPr>
              <w:t>mit niedrigem Einkommen und gefährdete Haushalte</w:t>
            </w:r>
            <w:r>
              <w:t xml:space="preserve"> unverhältnismäßig stark von der Inflation </w:t>
            </w:r>
            <w:r>
              <w:rPr>
                <w:b/>
                <w:i/>
              </w:rPr>
              <w:t>und den steigenden Lebenshaltungskosten</w:t>
            </w:r>
            <w:r>
              <w:t xml:space="preserve"> betroffen sind</w:t>
            </w:r>
            <w:r>
              <w:rPr>
                <w:b/>
                <w:i/>
              </w:rPr>
              <w:t>;</w:t>
            </w:r>
            <w:r>
              <w:t xml:space="preserve"> </w:t>
            </w:r>
            <w:r>
              <w:rPr>
                <w:b/>
                <w:i/>
              </w:rPr>
              <w:t>in der Erwägung, dass</w:t>
            </w:r>
            <w:r>
              <w:t xml:space="preserve"> die Wohnraumkrise auch weiterhin überall in der EU ein Problem darstellt; in der Erwägung, dass diese Probleme nachteilige Auswirkungen auf </w:t>
            </w:r>
            <w:r>
              <w:rPr>
                <w:b/>
                <w:i/>
              </w:rPr>
              <w:t>die wirtschaftliche Stabilität</w:t>
            </w:r>
            <w:r>
              <w:t xml:space="preserve"> und das </w:t>
            </w:r>
            <w:r>
              <w:rPr>
                <w:b/>
                <w:i/>
              </w:rPr>
              <w:t>gesellschaftliche</w:t>
            </w:r>
            <w:r>
              <w:t xml:space="preserve"> Wohlergehen der </w:t>
            </w:r>
            <w:r>
              <w:rPr>
                <w:b/>
                <w:i/>
              </w:rPr>
              <w:t>Menschen, die in der EU leben,</w:t>
            </w:r>
            <w:r>
              <w:t xml:space="preserve"> haben; </w:t>
            </w:r>
            <w:r>
              <w:rPr>
                <w:b/>
                <w:i/>
              </w:rPr>
              <w:t>in der Erwägung, dass es keine Datenerhebung zur Vermögensungleichheit auf Unionsebene gibt, dass aber einige Studien in der Finanzbranche die Vermutung nahelegen, dass in Europa die wohlhabendsten 10 % ganze 67 % des Vermögens besitzen, wohingegen die untere Hälfte der Erwachsenen lediglich 1,2 % davon besitzen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es überall in der EU nach wie vor beträchtliche Unterschiede zwischen den Menschen und den Regionen gibt, dass dabei Haushalte, die vergleichsweise mehr Geld für wesentliche Güter wie Energie und Lebensmittel ausgeben, unverhältnismäßig stark von der Inflation betroffen sind und die Wohnraumkrise auch weiterhin überall in der EU ein Problem darstellt; in der Erwägung, dass diese Probleme langfristig nachteilige Auswirkungen auf den gesellschaftlichen Zusammenhalt und das Wohlergehen der Unionsbürgerinnen und </w:t>
            </w:r>
            <w:r>
              <w:rPr>
                <w:b/>
                <w:i/>
              </w:rPr>
              <w:t>‑</w:t>
            </w:r>
            <w:r>
              <w:t>bürger haben;</w:t>
            </w:r>
          </w:p>
        </w:tc>
        <w:tc>
          <w:tcPr>
            <w:tcW w:w="4876" w:type="dxa"/>
            <w:tcBorders>
              <w:top w:val="nil"/>
              <w:left w:val="nil"/>
              <w:bottom w:val="nil"/>
              <w:right w:val="nil"/>
            </w:tcBorders>
          </w:tcPr>
          <w:p>
            <w:pPr>
              <w:pStyle w:val="Normal6a"/>
            </w:pPr>
            <w:r>
              <w:t>A.</w:t>
            </w:r>
            <w:r>
              <w:tab/>
            </w:r>
            <w:r>
              <w:rPr>
                <w:b/>
                <w:i/>
              </w:rPr>
              <w:t>in der Erwägung, dass der Gini-Koeffizient im Jahr 2023 für die EU-27 bei 29,6 % lag und somit eine leichte Tendenz nach unten seit 2014 aufwies, wobei 13 Mitgliedstaaten über diesem Durchschnitt lagen</w:t>
            </w:r>
            <w:r>
              <w:rPr>
                <w:b/>
                <w:i/>
                <w:vertAlign w:val="superscript"/>
              </w:rPr>
              <w:t>1a</w:t>
            </w:r>
            <w:r>
              <w:rPr>
                <w:b/>
                <w:i/>
              </w:rPr>
              <w:t>;</w:t>
            </w:r>
            <w:r>
              <w:t xml:space="preserve"> in der Erwägung, dass es überall in der EU nach wie vor beträchtliche Unterschiede zwischen den Menschen und den Regionen gibt</w:t>
            </w:r>
            <w:r>
              <w:rPr>
                <w:b/>
                <w:i/>
              </w:rPr>
              <w:t>, insbesondere Ungleichheit beim Einkommen und zwischen den Geschlechtern</w:t>
            </w:r>
            <w:r>
              <w:t xml:space="preserve">, dass dabei Haushalte, die vergleichsweise mehr Geld für wesentliche Güter wie Energie und Lebensmittel ausgeben, unverhältnismäßig stark von der Inflation betroffen sind und die Wohnraumkrise auch weiterhin überall in der EU ein </w:t>
            </w:r>
            <w:r>
              <w:rPr>
                <w:b/>
                <w:i/>
              </w:rPr>
              <w:t>erhebliches</w:t>
            </w:r>
            <w:r>
              <w:t xml:space="preserve"> Problem darstellt; in der Erwägung, dass diese Probleme langfristig nachteilige Auswirkungen auf den gesellschaftlichen Zusammenhalt</w:t>
            </w:r>
            <w:r>
              <w:rPr>
                <w:b/>
                <w:i/>
              </w:rPr>
              <w:t>, die soziale Aufwärtskonvergenz</w:t>
            </w:r>
            <w:r>
              <w:t xml:space="preserve"> und das Wohlergehen der Unionsbürgerinnen und </w:t>
            </w:r>
            <w:r>
              <w:rPr>
                <w:b/>
                <w:i/>
              </w:rPr>
              <w:t>-</w:t>
            </w:r>
            <w:r>
              <w:t>bürger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es überall in der EU nach wie vor beträchtliche Unterschiede zwischen den Menschen und den Regionen gibt, dass dabei Haushalte, die vergleichsweise mehr Geld für wesentliche Güter wie Energie und Lebensmittel ausgeben, unverhältnismäßig stark von der Inflation betroffen sind und die Wohnraumkrise auch weiterhin überall in der EU ein Problem darstellt; in der Erwägung, dass diese Probleme langfristig nachteilige Auswirkungen auf den gesellschaftlichen Zusammenhalt und das Wohlergehen der Unionsbürgerinnen und </w:t>
            </w:r>
            <w:r>
              <w:rPr>
                <w:b/>
                <w:i/>
              </w:rPr>
              <w:t>‑</w:t>
            </w:r>
            <w:r>
              <w:t>bürger haben;</w:t>
            </w:r>
          </w:p>
        </w:tc>
        <w:tc>
          <w:tcPr>
            <w:tcW w:w="4876" w:type="dxa"/>
            <w:tcBorders>
              <w:top w:val="nil"/>
              <w:left w:val="nil"/>
              <w:bottom w:val="nil"/>
              <w:right w:val="nil"/>
            </w:tcBorders>
          </w:tcPr>
          <w:p>
            <w:pPr>
              <w:pStyle w:val="Normal6a"/>
            </w:pPr>
            <w:r>
              <w:t>A.</w:t>
            </w:r>
            <w:r>
              <w:tab/>
            </w:r>
            <w:r>
              <w:t xml:space="preserve">in der Erwägung, dass es überall in der EU nach wie vor beträchtliche Unterschiede zwischen den Menschen und den Regionen gibt, dass dabei Haushalte, die vergleichsweise mehr Geld für wesentliche Güter wie Energie und Lebensmittel ausgeben, unverhältnismäßig stark von der Inflation betroffen sind und die Wohnraumkrise auch weiterhin überall in der EU ein Problem darstellt; in der Erwägung, dass diese Probleme langfristig nachteilige Auswirkungen auf den gesellschaftlichen Zusammenhalt und das Wohlergehen der Unionsbürgerinnen und </w:t>
            </w:r>
            <w:r>
              <w:rPr>
                <w:b/>
                <w:i/>
              </w:rPr>
              <w:t>-</w:t>
            </w:r>
            <w:r>
              <w:t xml:space="preserve">bürger haben; </w:t>
            </w:r>
            <w:r>
              <w:rPr>
                <w:b/>
                <w:i/>
              </w:rPr>
              <w:t>in der Erwägung, dass Nachforschungen von Eurofound bestätigen, dass unerschwinglicher Wohnraum zu Ausgrenzung auf dem Wohnungsmarkt, unsicheren Wohnverhältnissen, problematischen Wohnungskosten und Unzulänglichkeit von Wohnraum führt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https://www.eurofound.europa.eu/de/publications/2023/wohnraum-europa-unbezahlbar-und-unzureichend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EU </w:t>
            </w:r>
            <w:r>
              <w:rPr>
                <w:b/>
                <w:i/>
              </w:rPr>
              <w:t>für 2030 das Ziel angenommen</w:t>
            </w:r>
            <w:r>
              <w:t xml:space="preserve"> hat, die Zahl der von Armut und sozialer Ausgrenzung bedrohten Menschen </w:t>
            </w:r>
            <w:r>
              <w:rPr>
                <w:b/>
                <w:i/>
              </w:rPr>
              <w:t>im Vergleich zu 2019</w:t>
            </w:r>
            <w:r>
              <w:t xml:space="preserve"> um mindestens 15 Millionen zu verringern, darunter mindestens fünf Millionen Kinder; in der Erwägung, dass in fast der Hälfte der Mitgliedstaaten </w:t>
            </w:r>
            <w:r>
              <w:rPr>
                <w:b/>
                <w:i/>
              </w:rPr>
              <w:t>der Trend in die entgegengesetzte Richtung geht</w:t>
            </w:r>
            <w:r>
              <w:t xml:space="preserve">; in der Erwägung, dass nach wie vor jedes fünfte Kind in der EU von Armut und sozialer Ausgrenzung bedroht ist; in der Erwägung, dass </w:t>
            </w:r>
            <w:r>
              <w:rPr>
                <w:b/>
                <w:i/>
              </w:rPr>
              <w:t>das</w:t>
            </w:r>
            <w:r>
              <w:t xml:space="preserve"> Ziel für 2030</w:t>
            </w:r>
            <w:r>
              <w:rPr>
                <w:b/>
                <w:i/>
              </w:rPr>
              <w:t>, die Zahl der von Armut und sozialer Ausgrenzung bedrohten Personen zu verringern,</w:t>
            </w:r>
            <w:r>
              <w:t xml:space="preserve"> nicht erreicht </w:t>
            </w:r>
            <w:r>
              <w:rPr>
                <w:b/>
                <w:i/>
              </w:rPr>
              <w:t>werden kann</w:t>
            </w:r>
            <w:r>
              <w:t>, falls sich dieser Trend fortsetzt</w:t>
            </w:r>
            <w:r>
              <w:rPr>
                <w:b/>
                <w:i/>
              </w:rPr>
              <w:t>, und</w:t>
            </w:r>
            <w:r>
              <w:t xml:space="preserve"> dass ferner mehr als jeder zehnte Mensch in Europa von Energiearmut betroffen ist;</w:t>
            </w:r>
          </w:p>
        </w:tc>
        <w:tc>
          <w:tcPr>
            <w:tcW w:w="4876" w:type="dxa"/>
            <w:tcBorders>
              <w:top w:val="nil"/>
              <w:left w:val="nil"/>
              <w:bottom w:val="nil"/>
              <w:right w:val="nil"/>
            </w:tcBorders>
          </w:tcPr>
          <w:p>
            <w:pPr>
              <w:pStyle w:val="Normal6a"/>
            </w:pPr>
            <w:r>
              <w:t>B.</w:t>
            </w:r>
            <w:r>
              <w:tab/>
            </w:r>
            <w:r>
              <w:t xml:space="preserve">in der Erwägung, dass die EU </w:t>
            </w:r>
            <w:r>
              <w:rPr>
                <w:b/>
                <w:i/>
              </w:rPr>
              <w:t>im Aktionsplan zur Europäischen Säule sozialer Rechte zugesagt</w:t>
            </w:r>
            <w:r>
              <w:t xml:space="preserve"> hat, die Zahl der von Armut und sozialer Ausgrenzung bedrohten Menschen </w:t>
            </w:r>
            <w:r>
              <w:rPr>
                <w:b/>
                <w:i/>
              </w:rPr>
              <w:t>bis 2030</w:t>
            </w:r>
            <w:r>
              <w:t xml:space="preserve"> um mindestens 15 Millionen zu verringern, darunter mindestens fünf Millionen Kinder; in der Erwägung, dass in fast der Hälfte der Mitgliedstaaten </w:t>
            </w:r>
            <w:r>
              <w:rPr>
                <w:b/>
                <w:i/>
              </w:rPr>
              <w:t>auf die Umkehr der Fortschritte bei der Verringerung von Armut schließen lassen</w:t>
            </w:r>
            <w:r>
              <w:t xml:space="preserve">; in der Erwägung, dass nach wie vor jedes fünfte Kind in der EU von Armut und sozialer Ausgrenzung bedroht ist; in der Erwägung, dass </w:t>
            </w:r>
            <w:r>
              <w:rPr>
                <w:b/>
                <w:i/>
              </w:rPr>
              <w:t>die Union ihr</w:t>
            </w:r>
            <w:r>
              <w:t xml:space="preserve"> Ziel für 2030 nicht erreicht, falls sich dieser Trend fortsetzt</w:t>
            </w:r>
            <w:r>
              <w:rPr>
                <w:b/>
                <w:i/>
              </w:rPr>
              <w:t>;</w:t>
            </w:r>
            <w:r>
              <w:t xml:space="preserve"> </w:t>
            </w:r>
            <w:r>
              <w:rPr>
                <w:b/>
                <w:i/>
              </w:rPr>
              <w:t>in der Erwägung,</w:t>
            </w:r>
            <w:r>
              <w:t xml:space="preserve"> dass ferner mehr als jeder zehnte Mensch in Europa von Energiearmut betroffen ist</w:t>
            </w:r>
            <w:r>
              <w:rPr>
                <w:b/>
                <w:i/>
              </w:rPr>
              <w:t>, was die Ungleichheit verschärft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EU für 2030 das Ziel angenommen hat, die Zahl der von Armut und sozialer Ausgrenzung bedrohten Menschen im Vergleich zu 2019 um mindestens 15 Millionen zu verringern, darunter mindestens fünf Millionen Kinder; in der Erwägung, dass in fast der Hälfte der Mitgliedstaaten der Trend in die entgegengesetzte Richtung geht; in der Erwägung, dass nach wie vor jedes fünfte Kind in der EU von Armut und sozialer Ausgrenzung bedroht ist; in der Erwägung, dass das Ziel für 2030, die Zahl der von Armut und sozialer Ausgrenzung bedrohten Personen zu verringern, nicht erreicht werden kann, falls sich dieser Trend fortsetzt, und dass ferner mehr als jeder zehnte Mensch in Europa von Energiearmut betroffen ist;</w:t>
            </w:r>
          </w:p>
        </w:tc>
        <w:tc>
          <w:tcPr>
            <w:tcW w:w="4876" w:type="dxa"/>
            <w:tcBorders>
              <w:top w:val="nil"/>
              <w:left w:val="nil"/>
              <w:bottom w:val="nil"/>
              <w:right w:val="nil"/>
            </w:tcBorders>
          </w:tcPr>
          <w:p>
            <w:pPr>
              <w:pStyle w:val="Normal6a"/>
            </w:pPr>
            <w:r>
              <w:t>B.</w:t>
            </w:r>
            <w:r>
              <w:tab/>
            </w:r>
            <w:r>
              <w:t xml:space="preserve">in der Erwägung, dass die EU für 2030 das Ziel angenommen hat, die Zahl der von Armut und sozialer Ausgrenzung bedrohten Menschen im Vergleich zu 2019 um mindestens 15 Millionen zu verringern, darunter mindestens fünf Millionen Kinder; in der Erwägung, dass in fast der Hälfte der Mitgliedstaaten der Trend </w:t>
            </w:r>
            <w:r>
              <w:rPr>
                <w:b/>
                <w:i/>
              </w:rPr>
              <w:t>bedauerlicherweise</w:t>
            </w:r>
            <w:r>
              <w:t xml:space="preserve"> in die entgegengesetzte Richtung geht; in der Erwägung, dass nach wie vor jedes fünfte Kind in der EU von Armut und sozialer Ausgrenzung bedroht ist; in der Erwägung, dass das Ziel für 2030, die Zahl der von Armut und sozialer Ausgrenzung bedrohten Personen zu verringern, nicht erreicht werden kann, falls sich dieser Trend fortsetzt, und dass ferner mehr als jeder zehnte Mensch in Europa von Energiearmut betroffen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Lage global noch schlechter ist, da fast 700 Millionen Menschen in extremer Armut leben und weitere 2,8 Milliarden Menschen zwischen der Grenze zur extremen Armut und dem Standard von 6,85 USD pro Tag leben</w:t>
            </w:r>
            <w:r>
              <w:rPr>
                <w:b/>
                <w:i/>
                <w:vertAlign w:val="superscript"/>
              </w:rPr>
              <w:t>1b</w:t>
            </w:r>
            <w:r>
              <w:rPr>
                <w:b/>
                <w:i/>
              </w:rPr>
              <w:t>;</w:t>
            </w:r>
            <w:r>
              <w:t xml:space="preserve"> </w:t>
            </w:r>
            <w:r>
              <w:rPr>
                <w:b/>
                <w:i/>
              </w:rPr>
              <w:t>in der Erwägung, dass bis zu 35 % der Menschen, die den Ausstieg aus der Armut geschafft haben, in den vergangenen dreißig Jahren wieder in die Armut abgerutscht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 xml:space="preserve">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w:t>
            </w:r>
            <w:r>
              <w:rPr>
                <w:b/>
                <w:i/>
              </w:rPr>
              <w:t>etwa</w:t>
            </w:r>
            <w:r>
              <w:t xml:space="preserve"> hohe Arbeitslosenquoten in einigen Mitgliedstaaten </w:t>
            </w:r>
            <w:r>
              <w:rPr>
                <w:b/>
                <w:i/>
              </w:rPr>
              <w:t>insbesondere in Bezug auf die Jugend und Menschen mit Behinderungen</w:t>
            </w:r>
            <w:r>
              <w:t>;</w:t>
            </w:r>
          </w:p>
        </w:tc>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 xml:space="preserve">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w:t>
            </w:r>
            <w:r>
              <w:rPr>
                <w:b/>
                <w:i/>
              </w:rPr>
              <w:t>darunter</w:t>
            </w:r>
            <w:r>
              <w:t xml:space="preserve"> hohe Arbeitslosenquoten in einigen Mitgliedstaaten</w:t>
            </w:r>
            <w:r>
              <w:rPr>
                <w:b/>
                <w:i/>
              </w:rPr>
              <w:t>, anhaltende Arbeitsmarktsegmentierung, viele Fälle von prekären und atypischen Beschäftigungsverhältnissen und anhaltende Unterschiede beim Zugang zu hochwertiger Beschäftigung</w:t>
            </w:r>
            <w:r>
              <w:t xml:space="preserve">; </w:t>
            </w:r>
            <w:r>
              <w:rPr>
                <w:b/>
                <w:i/>
              </w:rPr>
              <w:t>in der Erwägung, dass 66,6 % der Arbeitslosen und 10,9 % der Erwerbstätigen 2024 von Armut bedroht waren</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hohe Arbeitslosenquoten in einigen Mitgliedstaaten insbesondere in Bezug auf die Jugend und Menschen mit Behinderungen;</w:t>
            </w:r>
          </w:p>
        </w:tc>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hohe Arbeitslosenquoten in einigen Mitgliedstaaten insbesondere in Bezug auf die Jugend und Menschen mit Behinderungen</w:t>
            </w:r>
            <w:r>
              <w:rPr>
                <w:b/>
                <w:i/>
              </w:rPr>
              <w:t>, sowie erhebliche Ungleichheiten zwischen Sektoren und Regionen und Gefälle beim Sozialschutz, die sich langfristig negativ auf den sozialen Zusammenhalt und das Wohlergehen der europäischen Bürgerinnen und Bürger auswirken könnten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hohe Arbeitslosenquoten in einigen Mitgliedstaaten insbesondere in Bezug auf die Jugend und Menschen mit Behinderungen;</w:t>
            </w:r>
          </w:p>
        </w:tc>
        <w:tc>
          <w:tcPr>
            <w:tcW w:w="4876" w:type="dxa"/>
            <w:tcBorders>
              <w:top w:val="nil"/>
              <w:left w:val="nil"/>
              <w:bottom w:val="nil"/>
              <w:right w:val="nil"/>
            </w:tcBorders>
          </w:tcPr>
          <w:p>
            <w:pPr>
              <w:pStyle w:val="Normal6a"/>
            </w:pPr>
            <w:r>
              <w:t>C.</w:t>
            </w:r>
            <w:r>
              <w:tab/>
            </w:r>
            <w:r>
              <w:t>in der Erwägung, dass Fortschritte bei der Verwirklichung des Beschäftigungsziels der EU erzielt wurden, nämlich dass bis 2030 mindestens 78 % der 20- bis 64</w:t>
            </w:r>
            <w:r>
              <w:rPr>
                <w:b/>
                <w:i/>
              </w:rPr>
              <w:t>-</w:t>
            </w:r>
            <w:r>
              <w:t xml:space="preserve">Jährigen in Beschäftigung sein sollten; in der Erwägung, dass die Beschäftigungsquote in der EU gemäß der Herbstprognose 2025 der Kommission 75,3 % erreicht hat; in der Erwägung, dass zwei Drittel der Mitgliedstaaten im Rahmen ihres Beschäftigungswachstums im Jahr 2023 auf dem richtigen Weg waren, das nationale Beschäftigungsziel für 2030 zu erreichen; in der Erwägung, dass allerdings auch erhebliche Herausforderungen fortbestehen, etwa </w:t>
            </w:r>
            <w:r>
              <w:rPr>
                <w:b/>
                <w:i/>
              </w:rPr>
              <w:t>das geschlechtsspezifische Beschäftigungsgefälle und</w:t>
            </w:r>
            <w:r>
              <w:t xml:space="preserve"> hohe Arbeitslosenquoten in einigen Mitgliedstaaten insbesondere in Bezug auf die Jugend und Menschen mit Behinderungen;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unterdurchschnittliche Leistungen bei grundlegenden Kompetenzen immer häufiger der Fall sind (Lesen, Mathematik und Naturwissenschaften) und dass das EU-Ziel für 2030, den Anteil der unterdurchschnittlichen Leistungen auf weniger als 15 % zu senken, nach wie vor für die absehbare Zukunft außer Reichweite liegt;</w:t>
            </w:r>
            <w:r>
              <w:t xml:space="preserve"> </w:t>
            </w:r>
            <w:r>
              <w:rPr>
                <w:b/>
                <w:i/>
              </w:rPr>
              <w:t>in der Erwägung, dass unzureichende Leistungen bei benachteiligten Lernenden weitverbreitet sind, was eine Zunahme der Ungleichheiten im Bildungsbereich zeigt;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unterdurchschnittliche Leistungen bei grundlegenden Kompetenzen wie Lesen, Mathematik und Naturwissenschaften in der EU immer häufiger vorkommen, vor allem bei benachteiligten Lernenden;</w:t>
            </w:r>
            <w:r>
              <w:t xml:space="preserve"> </w:t>
            </w:r>
            <w:r>
              <w:rPr>
                <w:b/>
                <w:i/>
              </w:rPr>
              <w:t>in der Erwägung, dass diese Bildungsungleichheit den gleichen Zugang zu weiterer Bildung, Schulungsangeboten und hochwertiger Beschäftigung unterminiert und dazu beiträgt, dass die Ausgrenzung aus der Gesellschaft und dem Arbeitsmarkt Fortbestand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jedoch in Bezug auf den schulischen Rahmen zu betonen ist, dass der Einbruch des Niveaus beim Grundwissen in vielen Mitgliedstaaten ein allgemeines Phänomen ist und nicht ausschließlich benachteiligte Personen betrifft;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in der Erwägung, dass demografische Herausforderungen, darunter eine alternde Bevölkerung, niedrige Geburtenraten und eine Entvölkerung des ländlichen Raumes, insbesondere die Abwanderung junger Menschen in städtische Gebiete, die wirtschaftliche Tragfähigkeit und die Attraktivität von EU-Regionen, die Arbeitsmärkte und in der Folge die Nachhaltigkeit der Sozialsysteme stark beeinträchtigen und die regionalen Ungleichheiten in der EU weiter verschärfen und somit eine strukturelle Herausforderung für die Wirtschaft der EU darstellen;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w:t>
            </w:r>
            <w:r>
              <w:rPr>
                <w:b/>
                <w:i/>
              </w:rPr>
              <w:t>demografische</w:t>
            </w:r>
            <w:r>
              <w:t xml:space="preserve"> Herausforderungen, darunter eine alternde Bevölkerung, niedrige Geburtenraten und eine Entvölkerung des ländlichen Raumes, insbesondere die Abwanderung junger Menschen in städtische Gebiete, die wirtschaftliche Tragfähigkeit und die Attraktivität von EU-Regionen, die Arbeitsmärkte und in der Folge die Nachhaltigkeit der Sozialsysteme stark </w:t>
            </w:r>
            <w:r>
              <w:rPr>
                <w:b/>
                <w:i/>
              </w:rPr>
              <w:t>beeinträchtigen</w:t>
            </w:r>
            <w:r>
              <w:t xml:space="preserve"> und die regionalen Ungleichheiten in der EU weiter </w:t>
            </w:r>
            <w:r>
              <w:rPr>
                <w:b/>
                <w:i/>
              </w:rPr>
              <w:t>verschärfen</w:t>
            </w:r>
            <w:r>
              <w:t xml:space="preserve"> und somit eine strukturelle Herausforderung für die Wirtschaft der EU </w:t>
            </w:r>
            <w:r>
              <w:rPr>
                <w:b/>
                <w:i/>
              </w:rPr>
              <w:t>darstellen</w:t>
            </w:r>
            <w:r>
              <w:t>;</w:t>
            </w:r>
          </w:p>
        </w:tc>
        <w:tc>
          <w:tcPr>
            <w:tcW w:w="4876" w:type="dxa"/>
            <w:tcBorders>
              <w:top w:val="nil"/>
              <w:left w:val="nil"/>
              <w:bottom w:val="nil"/>
              <w:right w:val="nil"/>
            </w:tcBorders>
          </w:tcPr>
          <w:p>
            <w:pPr>
              <w:pStyle w:val="Normal6a"/>
            </w:pPr>
            <w:r>
              <w:t>F.</w:t>
            </w:r>
            <w:r>
              <w:tab/>
            </w:r>
            <w:r>
              <w:t xml:space="preserve">in der Erwägung, dass </w:t>
            </w:r>
            <w:r>
              <w:rPr>
                <w:b/>
                <w:i/>
              </w:rPr>
              <w:t>aufgrund demografischer</w:t>
            </w:r>
            <w:r>
              <w:t xml:space="preserve"> Herausforderungen, darunter eine alternde Bevölkerung, niedrige Geburtenraten und eine Entvölkerung des ländlichen Raumes, insbesondere die Abwanderung junger Menschen in städtische Gebiete, </w:t>
            </w:r>
            <w:r>
              <w:rPr>
                <w:b/>
                <w:i/>
              </w:rPr>
              <w:t>das Produktivitätswachstum der EU durchgängig hinter dem der USA zurücklag, was</w:t>
            </w:r>
            <w:r>
              <w:t xml:space="preserve"> die wirtschaftliche Tragfähigkeit und die Attraktivität von EU-Regionen, die Arbeitsmärkte und in der Folge die Nachhaltigkeit der Sozialsysteme stark </w:t>
            </w:r>
            <w:r>
              <w:rPr>
                <w:b/>
                <w:i/>
              </w:rPr>
              <w:t>beeinträchtigt</w:t>
            </w:r>
            <w:r>
              <w:t xml:space="preserve"> und die regionalen Ungleichheiten in der EU weiter </w:t>
            </w:r>
            <w:r>
              <w:rPr>
                <w:b/>
                <w:i/>
              </w:rPr>
              <w:t>verschärft</w:t>
            </w:r>
            <w:r>
              <w:t xml:space="preserve"> und somit eine strukturelle Herausforderung für die Wirtschaft der EU </w:t>
            </w:r>
            <w:r>
              <w:rPr>
                <w:b/>
                <w:i/>
              </w:rPr>
              <w:t>darstellt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demografische Herausforderungen, darunter eine alternde Bevölkerung, niedrige Geburtenraten und eine Entvölkerung des ländlichen Raumes, insbesondere die Abwanderung junger Menschen in städtische Gebiete, die wirtschaftliche Tragfähigkeit und die Attraktivität von EU-Regionen, die Arbeitsmärkte und in der Folge die Nachhaltigkeit der Sozialsysteme stark beeinträchtigen und die regionalen Ungleichheiten in der EU weiter verschärfen und somit eine strukturelle Herausforderung für die Wirtschaft der EU darstellen;</w:t>
            </w:r>
          </w:p>
        </w:tc>
        <w:tc>
          <w:tcPr>
            <w:tcW w:w="4876" w:type="dxa"/>
            <w:tcBorders>
              <w:top w:val="nil"/>
              <w:left w:val="nil"/>
              <w:bottom w:val="nil"/>
              <w:right w:val="nil"/>
            </w:tcBorders>
          </w:tcPr>
          <w:p>
            <w:pPr>
              <w:pStyle w:val="Normal6a"/>
            </w:pPr>
            <w:r>
              <w:t>F.</w:t>
            </w:r>
            <w:r>
              <w:tab/>
            </w:r>
            <w:r>
              <w:t>in der Erwägung, dass demografische Herausforderungen, darunter eine alternde Bevölkerung, niedrige Geburtenraten und eine Entvölkerung des ländlichen Raumes, insbesondere die Abwanderung junger Menschen in städtische Gebiete, die wirtschaftliche Tragfähigkeit und die Attraktivität von EU-Regionen, die Arbeitsmärkte</w:t>
            </w:r>
            <w:r>
              <w:rPr>
                <w:b/>
                <w:i/>
              </w:rPr>
              <w:t>, die öffentliche Infrastruktur</w:t>
            </w:r>
            <w:r>
              <w:t xml:space="preserve"> und in der Folge die Nachhaltigkeit der Sozialsysteme stark beeinträchtigen und die regionalen Ungleichheiten in der EU weiter verschärfen und somit eine strukturelle Herausforderung für die Wirtschaft der EU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demografische Herausforderungen wie insbesondere die alternde Bevölkerung, niedrige Geburtenraten und Abwanderung der Bevölkerung aus dem ländlichen Raum, wenn sie ungeprüft bleiben, die wirtschaftlichen Unterschiede verschärfen und dem gesellschaftlichen Fortschritt schaden könnten;</w:t>
            </w:r>
            <w:r>
              <w:t xml:space="preserve"> </w:t>
            </w:r>
            <w:r>
              <w:rPr>
                <w:b/>
                <w:i/>
              </w:rPr>
              <w:t>in der Erwägung, dass der fehlende universelle öffentliche Zugang zu Kinderbetreuung (für Kinder im Alter von 0 bis 3 Jahren) und zu Tertiärbildung, fehlendes oder unzulängliches Kindergeld und unzureichender bezahlter Elternurlaub die Grundursachen für niedrige Geburtenraten sind;</w:t>
            </w:r>
            <w:r>
              <w:t xml:space="preserve"> </w:t>
            </w:r>
            <w:r>
              <w:rPr>
                <w:b/>
                <w:i/>
              </w:rPr>
              <w:t>in der Erwägung, dass die Eingliederung von Migranten in den Arbeitsmarkt dazu beitragen kann, Arbeitskräftemangel zu beheben;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Arbeitskräfte- und Fachkräftemangel </w:t>
            </w:r>
            <w:r>
              <w:rPr>
                <w:b/>
                <w:i/>
              </w:rPr>
              <w:t>– gefördert</w:t>
            </w:r>
            <w:r>
              <w:t xml:space="preserve"> vom demografischen Wandel, der Nachfrage nach neuen Kompetenzen und </w:t>
            </w:r>
            <w:r>
              <w:rPr>
                <w:b/>
                <w:i/>
              </w:rPr>
              <w:t>schlechten</w:t>
            </w:r>
            <w:r>
              <w:t xml:space="preserve"> Arbeitsbedingungen </w:t>
            </w:r>
            <w:r>
              <w:rPr>
                <w:b/>
                <w:i/>
              </w:rPr>
              <w:t>in bestimmten Branchen –</w:t>
            </w:r>
            <w:r>
              <w:t xml:space="preserve"> überall in der EU zunehmen;</w:t>
            </w:r>
          </w:p>
        </w:tc>
        <w:tc>
          <w:tcPr>
            <w:tcW w:w="4876" w:type="dxa"/>
            <w:tcBorders>
              <w:top w:val="nil"/>
              <w:left w:val="nil"/>
              <w:bottom w:val="nil"/>
              <w:right w:val="nil"/>
            </w:tcBorders>
          </w:tcPr>
          <w:p>
            <w:pPr>
              <w:pStyle w:val="Normal6a"/>
            </w:pPr>
            <w:r>
              <w:t>G.</w:t>
            </w:r>
            <w:r>
              <w:tab/>
            </w:r>
            <w:r>
              <w:t xml:space="preserve">in der Erwägung, dass Arbeitskräfte- und Fachkräftemangel vom demografischen Wandel </w:t>
            </w:r>
            <w:r>
              <w:rPr>
                <w:b/>
                <w:i/>
              </w:rPr>
              <w:t>und Veränderungen</w:t>
            </w:r>
            <w:r>
              <w:t xml:space="preserve">, der Nachfrage nach neuen Kompetenzen und </w:t>
            </w:r>
            <w:r>
              <w:rPr>
                <w:b/>
                <w:i/>
              </w:rPr>
              <w:t>hochwertiger Beschäftigung mit höherer Bezahlung und Arbeitsplatzstabilität sowie nach der Eingliederung Drittstaatsangehöriger in den Arbeitsmarkt gefördert werden;</w:t>
            </w:r>
            <w:r>
              <w:t xml:space="preserve"> </w:t>
            </w:r>
            <w:r>
              <w:rPr>
                <w:b/>
                <w:i/>
              </w:rPr>
              <w:t>in der Erwägung, dass schlechte</w:t>
            </w:r>
            <w:r>
              <w:t xml:space="preserve"> Arbeitsbedingungen überall in der EU zunehmen </w:t>
            </w:r>
            <w:r>
              <w:rPr>
                <w:b/>
                <w:i/>
              </w:rPr>
              <w:t>und die Fähigkeit der EU, Fachkräfte aus Drittstaaten wie auch innerhalb der EU anzuwerben und zu halten, unmittelbar beschränken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w:t>
            </w:r>
            <w:r>
              <w:rPr>
                <w:b/>
                <w:i/>
              </w:rPr>
              <w:t>Arbeitskräfte- und Fachkräftemangel</w:t>
            </w:r>
            <w:r>
              <w:t xml:space="preserve"> – gefördert vom </w:t>
            </w:r>
            <w:r>
              <w:rPr>
                <w:b/>
                <w:i/>
              </w:rPr>
              <w:t>demografischen Wandel</w:t>
            </w:r>
            <w:r>
              <w:t xml:space="preserve">, der Nachfrage nach neuen Kompetenzen </w:t>
            </w:r>
            <w:r>
              <w:rPr>
                <w:b/>
                <w:i/>
              </w:rPr>
              <w:t>und schlechten Arbeitsbedingungen</w:t>
            </w:r>
            <w:r>
              <w:t xml:space="preserve"> in bestimmten Branchen – überall in der EU </w:t>
            </w:r>
            <w:r>
              <w:rPr>
                <w:b/>
                <w:i/>
              </w:rPr>
              <w:t>zunehmen</w:t>
            </w:r>
            <w:r>
              <w:t>;</w:t>
            </w:r>
          </w:p>
        </w:tc>
        <w:tc>
          <w:tcPr>
            <w:tcW w:w="4876" w:type="dxa"/>
            <w:tcBorders>
              <w:top w:val="nil"/>
              <w:left w:val="nil"/>
              <w:bottom w:val="nil"/>
              <w:right w:val="nil"/>
            </w:tcBorders>
          </w:tcPr>
          <w:p>
            <w:pPr>
              <w:pStyle w:val="Normal6a"/>
            </w:pPr>
            <w:r>
              <w:t>G.</w:t>
            </w:r>
            <w:r>
              <w:tab/>
            </w:r>
            <w:r>
              <w:t xml:space="preserve">in der Erwägung, dass </w:t>
            </w:r>
            <w:r>
              <w:rPr>
                <w:b/>
                <w:i/>
              </w:rPr>
              <w:t>der Mangel an hochqualifizierten Arbeitskräften</w:t>
            </w:r>
            <w:r>
              <w:t xml:space="preserve"> – gefördert vom </w:t>
            </w:r>
            <w:r>
              <w:rPr>
                <w:b/>
                <w:i/>
              </w:rPr>
              <w:t>beispiellosen Rückgang der Geburtenrate in allen Mitgliedstaaten, der zunehmenden Auswanderung junger europäischer hochqualifizierter Arbeitskräfte ins Ausland</w:t>
            </w:r>
            <w:r>
              <w:t xml:space="preserve">, der Nachfrage nach neuen Kompetenzen in bestimmten Branchen – überall in der EU </w:t>
            </w:r>
            <w:r>
              <w:rPr>
                <w:b/>
                <w:i/>
              </w:rPr>
              <w:t>zunimmt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Arbeitskräfte- und Fachkräftemangel – gefördert vom demografischen Wandel, der Nachfrage nach neuen Kompetenzen </w:t>
            </w:r>
            <w:r>
              <w:rPr>
                <w:b/>
                <w:i/>
              </w:rPr>
              <w:t>und</w:t>
            </w:r>
            <w:r>
              <w:t xml:space="preserve"> schlechten Arbeitsbedingungen in bestimmten Branchen – überall in der EU zunehmen;</w:t>
            </w:r>
          </w:p>
        </w:tc>
        <w:tc>
          <w:tcPr>
            <w:tcW w:w="4876" w:type="dxa"/>
            <w:tcBorders>
              <w:top w:val="nil"/>
              <w:left w:val="nil"/>
              <w:bottom w:val="nil"/>
              <w:right w:val="nil"/>
            </w:tcBorders>
          </w:tcPr>
          <w:p>
            <w:pPr>
              <w:pStyle w:val="Normal6a"/>
            </w:pPr>
            <w:r>
              <w:t>G.</w:t>
            </w:r>
            <w:r>
              <w:tab/>
            </w:r>
            <w:r>
              <w:t xml:space="preserve">in der Erwägung, dass Arbeitskräfte- und Fachkräftemangel – gefördert vom demografischen Wandel, der Nachfrage nach neuen Kompetenzen </w:t>
            </w:r>
            <w:r>
              <w:rPr>
                <w:b/>
                <w:i/>
              </w:rPr>
              <w:t>für den grünen und den digitalen Wandel sowie</w:t>
            </w:r>
            <w:r>
              <w:t xml:space="preserve"> schlechten Arbeitsbedingungen </w:t>
            </w:r>
            <w:r>
              <w:rPr>
                <w:b/>
                <w:i/>
              </w:rPr>
              <w:t>und einem Qualifikationsungleichgewicht</w:t>
            </w:r>
            <w:r>
              <w:t xml:space="preserve"> in bestimmten Branchen – überall in der EU 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Arbeitskräfte- und Fachkräftemangel – gefördert vom demografischen Wandel, der Nachfrage nach neuen Kompetenzen und schlechten Arbeitsbedingungen in bestimmten Branchen – überall in der EU zunehmen;</w:t>
            </w:r>
          </w:p>
        </w:tc>
        <w:tc>
          <w:tcPr>
            <w:tcW w:w="4876" w:type="dxa"/>
            <w:tcBorders>
              <w:top w:val="nil"/>
              <w:left w:val="nil"/>
              <w:bottom w:val="nil"/>
              <w:right w:val="nil"/>
            </w:tcBorders>
          </w:tcPr>
          <w:p>
            <w:pPr>
              <w:pStyle w:val="Normal6a"/>
            </w:pPr>
            <w:r>
              <w:t>G.</w:t>
            </w:r>
            <w:r>
              <w:tab/>
            </w:r>
            <w:r>
              <w:t xml:space="preserve">in der Erwägung, dass Arbeitskräfte- und Fachkräftemangel – gefördert vom demografischen Wandel, der Nachfrage nach neuen Kompetenzen und schlechten Arbeitsbedingungen </w:t>
            </w:r>
            <w:r>
              <w:rPr>
                <w:b/>
                <w:i/>
              </w:rPr>
              <w:t>sowie fehlenden Investitionen in die Robotik</w:t>
            </w:r>
            <w:r>
              <w:t xml:space="preserve"> in bestimmten Branchen – überall in der EU 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aus dem Eurofound-Bericht von 2024 hervorgeht, dass die Selbstmordraten nach jahrzehntelangem Rückgang seit 2021 wieder gestiegen sind;</w:t>
            </w:r>
            <w:r>
              <w:t xml:space="preserve"> </w:t>
            </w:r>
            <w:r>
              <w:rPr>
                <w:b/>
                <w:i/>
              </w:rPr>
              <w:t>in der Erwägung, dass mehr getan werden muss, damit gegen die Ursachen psychischer Störungen vorgegangen wird, die bei den Arbeits- und Lebensbedingungen liegen</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(2025, noch ausstehend): Mental health in the European Union and Norway:</w:t>
            </w:r>
            <w:r>
              <w:t xml:space="preserve"> </w:t>
            </w:r>
            <w:r>
              <w:rPr>
                <w:b/>
                <w:i/>
              </w:rPr>
              <w:t>risk groups, trends, services and policies (Geistige Gesundheit in der EU und Norwegen: Risikogruppen, Tendenzen, Dienstleistungen und politische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in der Erwägung, dass die Sozialwirtschaft bzw. Sozialunternehmen verschiedene Arten privater Körperschaften mit sich bringen, die unabhängig von öffentlichen Behörden sind, etwa Genossenschaften, Gegenseitigkeitsgesellschaften, Vereinigungen (einschließlich Wohlfahrtsverbände), Stiftungen, auch auf die Arbeitsmarktintegration spezialisierte Sozialunternehmen, und andere Rechtsformen je nach EU-Mitgliedstat;</w:t>
            </w:r>
            <w:r>
              <w:t xml:space="preserve"> </w:t>
            </w:r>
            <w:r>
              <w:rPr>
                <w:b/>
                <w:i/>
              </w:rPr>
              <w:t>in der Erwägung, dass diese Vielfalt von Unternehmen und Organisationen, die in allen Tätigkeitsbereichen tätig sind, eine starke Identität teilen, die auf gemeinsamen Werten und Merkmalen beruht, wie z. B. dem Vorrang Einzelner und des sozialen Zwecks vor dem Kapital, der Gleichstellung der Geschlechter, der lokalen und regionalen Verantwortung, der Sensibilität für Klima- und Umweltherausforderungen, der Inklusion und der demokratischen Governance sowie der Reinvestition, d. h. der begrenzten Ausschüttung von Gewinnen und Vermögenswerten an die Mitglieder oder Anteilseigner, um mit dem größten Teil der Gewinne Ziele der nachhaltigen Entwicklung des Unternehmens oder der Organisation oder im kollektiven und allgemeinen Interesse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in der Erwägung, dass angesichts eines nach wie vor langsamen Rückgangs des geschlechtsspezifischen Entgeltgefälles Nachforschungen von Eurofound ergeben haben, dass viele Mitgliedstaaten bislang keinerlei Maßnahmen zur Lohntransparenz getroffen haben und bei den meisten nationalen Instrumenten</w:t>
            </w:r>
            <w:r>
              <w:rPr>
                <w:b/>
                <w:i/>
                <w:vertAlign w:val="superscript"/>
              </w:rPr>
              <w:t>3b</w:t>
            </w:r>
            <w:r>
              <w:rPr>
                <w:b/>
                <w:i/>
              </w:rPr>
              <w:t>, die es derzeit gibt, gleichwertige Arbeit noch nicht berücksichtigt wird</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Ausstehende Nachforschungen von Eurofound für 2025, weitere Erfahrungen mit der Lohntransparenz.</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(Geschlechtsspezifische Lohntransparenz: Fortschritte mithilfe eines echten europäischen Vorschlags), Artikel vom 18. Juni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in der Erwägung, dass Mobilität auf einer fairen Grundlage Chancen für Unternehmen und Arbeitskräfte bietet und in der EU ebenso gefördert werden sollte wie bei Arbeitnehmern aus Drittländern, und zwar unter Achtung und Durchsetzung der Arbeitnehmerrechte und sozialen Rechte über legale Migrationswege;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Mobilität auf einer fairen Grundlage Chancen für Unternehmen und Arbeitskräfte bietet und in der EU ebenso gefördert werden sollte wie bei Arbeitnehmern aus Drittländern, und zwar unter Achtung und Durchsetzung der Arbeitnehmerrechte und sozialen Rechte über legale Migrationswege;</w:t>
            </w:r>
          </w:p>
        </w:tc>
        <w:tc>
          <w:tcPr>
            <w:tcW w:w="4876" w:type="dxa"/>
            <w:tcBorders>
              <w:top w:val="nil"/>
              <w:left w:val="nil"/>
              <w:bottom w:val="nil"/>
              <w:right w:val="nil"/>
            </w:tcBorders>
          </w:tcPr>
          <w:p>
            <w:pPr>
              <w:pStyle w:val="Normal6a"/>
            </w:pPr>
            <w:r>
              <w:t>H.</w:t>
            </w:r>
            <w:r>
              <w:tab/>
            </w:r>
            <w:r>
              <w:t xml:space="preserve">in der Erwägung, dass Mobilität auf einer fairen Grundlage Chancen für Unternehmen und Arbeitskräfte bietet und in der EU ebenso gefördert werden sollte wie bei Arbeitnehmern aus Drittländern, und zwar unter Achtung und Durchsetzung der Arbeitnehmerrechte und sozialen Rechte über legale Migrationswege </w:t>
            </w:r>
            <w:r>
              <w:rPr>
                <w:b/>
                <w:i/>
              </w:rPr>
              <w:t>sowie Gleichbehandlung und Diskriminierungsfreiheit, auch in Bezug auf die Übertragbarkeit erworbener Arbeitgeberleistungen im Binnenmarkt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Mobilität </w:t>
            </w:r>
            <w:r>
              <w:rPr>
                <w:b/>
                <w:i/>
              </w:rPr>
              <w:t>auf einer fairen Grundlage</w:t>
            </w:r>
            <w:r>
              <w:t xml:space="preserve"> Chancen für Unternehmen und Arbeitskräfte bietet und in der EU ebenso gefördert werden sollte wie bei Arbeitnehmern aus Drittländern, und zwar unter Achtung und Durchsetzung der Arbeitnehmerrechte und sozialen Rechte über legale Migrationswege;</w:t>
            </w:r>
          </w:p>
        </w:tc>
        <w:tc>
          <w:tcPr>
            <w:tcW w:w="4876" w:type="dxa"/>
            <w:tcBorders>
              <w:top w:val="nil"/>
              <w:left w:val="nil"/>
              <w:bottom w:val="nil"/>
              <w:right w:val="nil"/>
            </w:tcBorders>
          </w:tcPr>
          <w:p>
            <w:pPr>
              <w:pStyle w:val="Normal6a"/>
            </w:pPr>
            <w:r>
              <w:t>H.</w:t>
            </w:r>
            <w:r>
              <w:tab/>
            </w:r>
            <w:r>
              <w:t xml:space="preserve">in der Erwägung, dass Mobilität </w:t>
            </w:r>
            <w:r>
              <w:rPr>
                <w:b/>
                <w:i/>
              </w:rPr>
              <w:t>in den Verträgen verankert ist und</w:t>
            </w:r>
            <w:r>
              <w:t xml:space="preserve"> Chancen für Unternehmen und Arbeitskräfte bietet und in der EU ebenso gefördert werden sollte wie bei Arbeitnehmern aus Drittländern, und zwar unter </w:t>
            </w:r>
            <w:r>
              <w:rPr>
                <w:b/>
                <w:i/>
              </w:rPr>
              <w:t>uneingeschränkter</w:t>
            </w:r>
            <w:r>
              <w:t xml:space="preserve"> Achtung und Durchsetzung der Arbeitnehmerrechte und sozialen Rechte</w:t>
            </w:r>
            <w:r>
              <w:rPr>
                <w:b/>
                <w:i/>
              </w:rPr>
              <w:t>, auch für Drittstaatsangehörige,</w:t>
            </w:r>
            <w:r>
              <w:t xml:space="preserve"> über legale Migrationswege </w:t>
            </w:r>
            <w:r>
              <w:rPr>
                <w:b/>
                <w:i/>
              </w:rPr>
              <w:t>und bei gleichzeitigem Vorgehen gegen Schwarzarbeit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der Erwägung, dass Nachforschungen von Eurofound zufolge die industrielle Demokratie eng mit der Qualität von Arbeit und Beschäftigung und industrieller Wettbewerbsfähigkeit verbunden ist, dass die aktualisierten Indizes der industriellen Demokratie und industriellen Beziehungen ein polarisiertes Bild ergeben, wobei kleine Gruppen von Mitgliedstaaten eine sehr hohe oder sehr geringe Leistung aufweisen, und dass ein Muster mit geringer Aufwärtsdivergenz der industriellen Demokratie von 2008 bis 2021 erkennbar war</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im Zusammenhang mit der Aufgabe der Internationalen Arbeitsorganisation, die soziale Gerechtigkeit zu fördern, im Zentrum ihrer Grundprinzipien und Grundrechte am Arbeitsplatz ein faires und menschenwürdiges Arbeitsumfeld für alle steht, einschließlich der Versammlungsfreiheit und des Rechts auf Kollektivverhandlungen, Beseitigung aller Formen von Zwangsarbeit, der tatsächlichen Beseitigung der Kinderarbeit, Beseitigung der Diskriminierung in Beschäftigung und Beruf und des Rechts auf ein sicheres, gesundes Arbeitsumfeld; in der Erwägung, dass </w:t>
            </w:r>
            <w:r>
              <w:rPr>
                <w:b/>
                <w:i/>
              </w:rPr>
              <w:t>nicht alle EU-Mitgliedstaaten diesen</w:t>
            </w:r>
            <w:r>
              <w:t xml:space="preserve"> Verpflichtungen </w:t>
            </w:r>
            <w:r>
              <w:rPr>
                <w:b/>
                <w:i/>
              </w:rPr>
              <w:t>nachkommen</w:t>
            </w:r>
            <w:r>
              <w:t>;</w:t>
            </w:r>
          </w:p>
        </w:tc>
        <w:tc>
          <w:tcPr>
            <w:tcW w:w="4876" w:type="dxa"/>
            <w:tcBorders>
              <w:top w:val="nil"/>
              <w:left w:val="nil"/>
              <w:bottom w:val="nil"/>
              <w:right w:val="nil"/>
            </w:tcBorders>
          </w:tcPr>
          <w:p>
            <w:pPr>
              <w:pStyle w:val="Normal6a"/>
            </w:pPr>
            <w:r>
              <w:t>I.</w:t>
            </w:r>
            <w:r>
              <w:tab/>
            </w:r>
            <w:r>
              <w:rPr>
                <w:b/>
                <w:i/>
              </w:rPr>
              <w:t>in der Erwägung, dass die dreiteilige Struktur der Internationalen Arbeitsorganisation und die breite Mitgliedschaft sie als führend bei den globalen Arbeitsstandards ausweisen;</w:t>
            </w:r>
            <w:r>
              <w:t xml:space="preserve"> in der Erwägung, dass im Zusammenhang mit der Aufgabe der Internationalen Arbeitsorganisation, die soziale Gerechtigkeit zu fördern, im Zentrum ihrer Grundprinzipien und Grundrechte am Arbeitsplatz ein faires und menschenwürdiges Arbeitsumfeld für alle steht, einschließlich der Versammlungsfreiheit und des Rechts auf Kollektivverhandlungen, Beseitigung aller Formen von Zwangsarbeit, der tatsächlichen Beseitigung der Kinderarbeit, Beseitigung der Diskriminierung in Beschäftigung und Beruf und des Rechts auf ein sicheres, gesundes Arbeitsumfeld; in der Erwägung, dass </w:t>
            </w:r>
            <w:r>
              <w:rPr>
                <w:b/>
                <w:i/>
              </w:rPr>
              <w:t>einige Mitgliedstaaten mit Herausforderungen bei der Umsetzung und Durchsetzung dieser</w:t>
            </w:r>
            <w:r>
              <w:t xml:space="preserve"> Verpflichtungen </w:t>
            </w:r>
            <w:r>
              <w:rPr>
                <w:b/>
                <w:i/>
              </w:rPr>
              <w:t>konfrontiert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Sozialpartner und zivilgesellschaftlichen Organisationen eine entscheidende Rolle bei der Gewährleistung angemessener Arbeitsbedingungen und der Förderung von sozialer Gerechtigkeit und Gleichbehandlung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im Kontext der EU diese Rechte von den EU-Verträgen, der Charta der Grundrechte der EU und dem Besitzstand der EU im Bereich des Arbeitsrechts geschützt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 der Ansicht, dass die Kommission und der Rat ihre Anstrengungen hinsichtlich der Umsetzung der europäischen Säule sozialer Rechte im Einklang mit </w:t>
            </w:r>
            <w:r>
              <w:rPr>
                <w:b/>
                <w:i/>
              </w:rPr>
              <w:t>dem Aktionsplan vom März 2021 und</w:t>
            </w:r>
            <w:r>
              <w:t xml:space="preserve"> der Erklärung von La Hulpe intensivieren sollten, damit die Kernziele für 2030 verwirklicht werden;</w:t>
            </w:r>
          </w:p>
        </w:tc>
        <w:tc>
          <w:tcPr>
            <w:tcW w:w="4876" w:type="dxa"/>
            <w:tcBorders>
              <w:top w:val="nil"/>
              <w:left w:val="nil"/>
              <w:bottom w:val="nil"/>
              <w:right w:val="nil"/>
            </w:tcBorders>
          </w:tcPr>
          <w:p>
            <w:pPr>
              <w:pStyle w:val="Normal6a"/>
            </w:pPr>
            <w:r>
              <w:t>1.</w:t>
            </w:r>
            <w:r>
              <w:tab/>
            </w:r>
            <w:r>
              <w:t xml:space="preserve">ist der Ansicht, dass die Kommission und der Rat ihre Anstrengungen hinsichtlich der Umsetzung der europäischen Säule sozialer Rechte im Einklang mit der Erklärung von La Hulpe </w:t>
            </w:r>
            <w:r>
              <w:rPr>
                <w:b/>
                <w:i/>
              </w:rPr>
              <w:t>und im Wege einer ehrgeizigen Aktualisierung des Aktionsplans mit konkreten Maßnahmen und Vorschlägen zur Förderung der sozialen Konvergenz</w:t>
            </w:r>
            <w:r>
              <w:t xml:space="preserve"> intensivieren sollten, damit </w:t>
            </w:r>
            <w:r>
              <w:rPr>
                <w:b/>
                <w:i/>
              </w:rPr>
              <w:t>insbesondere</w:t>
            </w:r>
            <w:r>
              <w:t xml:space="preserve"> die Kernziele für 2030 verwirklicht werden; </w:t>
            </w:r>
            <w:r>
              <w:rPr>
                <w:b/>
                <w:i/>
              </w:rPr>
              <w:t>fordert die Kommission auf, als Teil des aktualisierten Aktionsplans die derzeitigen Zielvorgaben zu bewerten, damit sichergestellt ist, dass sie nach wie vor im aktuellen gesellschaftlichen und arbeitsbezogenen Kontext von Bedeutung sind oder dazu beitragen, falls erforderlich;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 der Ansicht, dass die Kommission und </w:t>
            </w:r>
            <w:r>
              <w:rPr>
                <w:b/>
                <w:i/>
              </w:rPr>
              <w:t>der Rat</w:t>
            </w:r>
            <w:r>
              <w:t xml:space="preserve"> ihre Anstrengungen hinsichtlich der Umsetzung der europäischen Säule sozialer Rechte im Einklang mit dem Aktionsplan vom März 2021 und der Erklärung von La Hulpe intensivieren sollten, damit die Kernziele für 2030 verwirklicht werden;</w:t>
            </w:r>
          </w:p>
        </w:tc>
        <w:tc>
          <w:tcPr>
            <w:tcW w:w="4876" w:type="dxa"/>
            <w:tcBorders>
              <w:top w:val="nil"/>
              <w:left w:val="nil"/>
              <w:bottom w:val="nil"/>
              <w:right w:val="nil"/>
            </w:tcBorders>
          </w:tcPr>
          <w:p>
            <w:pPr>
              <w:pStyle w:val="Normal6a"/>
            </w:pPr>
            <w:r>
              <w:t>1.</w:t>
            </w:r>
            <w:r>
              <w:tab/>
            </w:r>
            <w:r>
              <w:t xml:space="preserve">ist der Ansicht, dass die Kommission und </w:t>
            </w:r>
            <w:r>
              <w:rPr>
                <w:b/>
                <w:i/>
              </w:rPr>
              <w:t>die Mitgliedstaaten</w:t>
            </w:r>
            <w:r>
              <w:t xml:space="preserve"> ihre Anstrengungen hinsichtlich der Umsetzung der europäischen Säule sozialer Rechte im Einklang mit </w:t>
            </w:r>
            <w:r>
              <w:rPr>
                <w:b/>
                <w:i/>
              </w:rPr>
              <w:t>der Verordnung (EU) 2024/1263,</w:t>
            </w:r>
            <w:r>
              <w:t xml:space="preserve"> dem Aktionsplan vom März 2021 und der Erklärung von La Hulpe intensivieren sollten, damit die Kernziele für 2030 verwirklicht werden; </w:t>
            </w:r>
            <w:r>
              <w:rPr>
                <w:b/>
                <w:i/>
              </w:rPr>
              <w:t>fordert die Kommission auf, einen neuen Aktionsplan mit neuen Kernzielen und Gesetzgebungsinitiativen für die uneingeschränkte Umsetzung der Europäischen Säule sozialer Rechte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bedauert, dass die Kommission sich von ihrer Verpflichtung zu gesellschaftlichem Fortschritt und der Umsetzung der Ziele für nachhaltige Entwicklung weg und hin zu einer Agenda der Wettbewerbsfähigkeit, Vereinfachung und Deregulierung bewegt und die gesellschaftlichen und ökologischen Zusagen fallen gelassen hat, und weist darauf hin, dass die gesellschaftliche und wirtschaftliche Resilienz, einschließlich der Europäischen Säule sozialer Rechte, zu den gemeinsamen Zielen der EU zählen;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erinnert daran, dass die Agenda 2030 für nachhaltige Entwicklung und die damit verbundenen Ziele dem Umstand Rechnung tragen, dass die Beseitigung von Armut in all ihren Formen und Dimensionen, einschließlich extremer Armut, die größte globale Herausforderung und eine unverzichtbare Voraussetzung für nachhaltige Entwicklung darstellt und dass niemand zurückbleiben sollte und dass diejenigen, die am weitesten zurückliegen, als Erste erreicht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ist besorgt, dass die Ziele für nachhaltige Entwicklung in den politischen Leitlinien der amtierenden Präsidentin der Europäischen Kommission nicht ausdrücklich genannt wurden, und begrüßt den Umstand, dass es in der Missionsbeschreibung heißt, dass alle Abgeordneten dafür sorgen werden, dass die Ziele und Zielvorgaben der EU ebenso erreicht werden wie die Ziele für nachhaltige Entwicklung der Vereinten Nationen in den jeweiligen Politikbereichen;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bedauert die insgesamt verzögerten Fortschritte bei den Zielen für nachhaltige Entwicklung in der EU, wobei die Fortschritte bei diesen Zielen im Zeitraum 2020-2023 mehr als zweimal langsamer (+0,8 Punkte) waren als im Zeitraum 2016-2019 (+1,9 Punkte);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betont, dass die Ziele für nachhaltige Entwicklung weitgehend ein Investitionsplan insbesondere in Humankapital (Bildung, Gesundheit, Sozialschutz u. a.) und physische Infrastruktur (erneuerbare Energiequellen und Netze, Zugang zu Technologie usw.) sind;</w:t>
            </w:r>
            <w:r>
              <w:t xml:space="preserve"> </w:t>
            </w:r>
            <w:r>
              <w:rPr>
                <w:b/>
                <w:i/>
              </w:rPr>
              <w:t>ist besorgt, dass die europäischen Mittel für Verteidigung und Wettbewerbsfähigkeit verwendet werden, was zulasten des Plans für die soziale Entwicklung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fordert die Kommission und die Mitgliedstaaten auf, in Zusammenarbeit mit dem Europäischen Parlament einen neuen europäischen sozialen Deal für die Zukunft mit klaren Verpflichtungen und Investitionen in den folgenden Bereichen zu erarbeiten:</w:t>
            </w:r>
            <w:r>
              <w:t xml:space="preserve"> </w:t>
            </w:r>
            <w:r>
              <w:rPr>
                <w:b/>
                <w:i/>
              </w:rPr>
              <w:t>Verringerung des Risikos der Verarmung und gesellschaftlichen Ausgrenzung von Menschen in Europa und Emissionsfreiheit in der EU bis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nimmt die anhaltende Relevanz </w:t>
            </w:r>
            <w:r>
              <w:rPr>
                <w:b/>
                <w:i/>
              </w:rPr>
              <w:t>und Bedeutung (und die Verknüpfung miteinander)</w:t>
            </w:r>
            <w:r>
              <w:t xml:space="preserve"> der drei Kernthemen des Weltgipfels für soziale Entwicklung 1995 in Kopenhagen zur Kenntnis, die als die drei Säulen der sozialen Entwicklung gelten, nämlich Beseitigung der Armut, produktive Vollbeschäftigung und menschenwürdige Arbeit für alle und gesellschaftliche Eingliederung;</w:t>
            </w:r>
          </w:p>
        </w:tc>
        <w:tc>
          <w:tcPr>
            <w:tcW w:w="4876" w:type="dxa"/>
            <w:tcBorders>
              <w:top w:val="nil"/>
              <w:left w:val="nil"/>
              <w:bottom w:val="nil"/>
              <w:right w:val="nil"/>
            </w:tcBorders>
          </w:tcPr>
          <w:p>
            <w:pPr>
              <w:pStyle w:val="Normal6a"/>
            </w:pPr>
            <w:r>
              <w:t>2.</w:t>
            </w:r>
            <w:r>
              <w:tab/>
            </w:r>
            <w:r>
              <w:t>nimmt die anhaltende Relevanz der drei Kernthemen des Weltgipfels für soziale Entwicklung 1995 in Kopenhagen zur Kenntnis, die als die drei Säulen der sozialen Entwicklung gelten, nämlich Beseitigung der Armut, produktive Vollbeschäftigung und menschenwürdige Arbeit für alle und gesellschaftliche Eingliederung</w:t>
            </w:r>
            <w:r>
              <w:rPr>
                <w:b/>
                <w:i/>
              </w:rPr>
              <w:t>, betont aber, dass sie nicht mit dem unmittelbaren oder mittelbaren Ziel, die Einwanderung aus Drittländern zu fördern, gegen die Mitgliedstaaten verwendet werden dürfen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nimmt die anhaltende Relevanz und Bedeutung (und die Verknüpfung miteinander) der drei Kernthemen des Weltgipfels für soziale Entwicklung 1995 in Kopenhagen zur Kenntnis, die als die drei Säulen der sozialen Entwicklung gelten, nämlich Beseitigung der Armut, produktive Vollbeschäftigung und menschenwürdige Arbeit für alle und gesellschaftliche Eingliederung;</w:t>
            </w:r>
          </w:p>
        </w:tc>
        <w:tc>
          <w:tcPr>
            <w:tcW w:w="4876" w:type="dxa"/>
            <w:tcBorders>
              <w:top w:val="nil"/>
              <w:left w:val="nil"/>
              <w:bottom w:val="nil"/>
              <w:right w:val="nil"/>
            </w:tcBorders>
          </w:tcPr>
          <w:p>
            <w:pPr>
              <w:pStyle w:val="Normal6a"/>
            </w:pPr>
            <w:r>
              <w:t>2.</w:t>
            </w:r>
            <w:r>
              <w:tab/>
            </w:r>
            <w:r>
              <w:t xml:space="preserve">nimmt die anhaltende Relevanz und Bedeutung (und die Verknüpfung miteinander </w:t>
            </w:r>
            <w:r>
              <w:rPr>
                <w:b/>
                <w:i/>
              </w:rPr>
              <w:t>und die gegenseitige Verstärkung</w:t>
            </w:r>
            <w:r>
              <w:t>) der drei Kernthemen des Weltgipfels für soziale Entwicklung 1995 in Kopenhagen zur Kenntnis, die als die drei Säulen der sozialen Entwicklung gelten, nämlich Beseitigung der Armut, produktive Vollbeschäftigung und menschenwürdige Arbeit für alle und gesellschaftliche Eingliederung;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fordert die Mitgliedstaaten der Vereinten Nationen nachdrücklich auf, die Rolle der Sozialpartner und zivilgesellschaftlichen Organisationen in ihrem jeweiligen Hoheitsgebiet zu unterstützen und zu fördern und für ihre sinnvolle Einbeziehung bei der Vorbereitung und Nachbereitung des Gipfeltreffens zu sorgen;</w:t>
            </w:r>
            <w:r>
              <w:t xml:space="preserve"> </w:t>
            </w:r>
            <w:r>
              <w:rPr>
                <w:b/>
                <w:i/>
              </w:rPr>
              <w:t>betont, dass eine starke Einbeziehung vieler Interessenträger in die Politikgestaltung und wirksame Tarifverhandlungen wesentlich dazu beitragen kann, dass Fortschritte auf dem Weg zu den Zielen der sozialen Entwicklung erzielt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es wichtig ist, das sozialpolitische Scoreboard und den Rahmen für soziale Konvergenz zu nutzen, um Risiken zu ermitteln und die Fortschritte zu verfolgen, wenn es um die Verringerung von Ungleichheit, die Stärkung der Sozialschutzsysteme und die Förderung menschenwürdiger Arbeitsbedingungen </w:t>
            </w:r>
            <w:r>
              <w:rPr>
                <w:b/>
                <w:i/>
              </w:rPr>
              <w:t>und von Maßnahmen für Arbeitnehmer geht, mit denen sie bei der Bewältigung</w:t>
            </w:r>
            <w:r>
              <w:t xml:space="preserve"> des Wandels </w:t>
            </w:r>
            <w:r>
              <w:rPr>
                <w:b/>
                <w:i/>
              </w:rPr>
              <w:t>unterstützt werden sollen</w:t>
            </w:r>
            <w:r>
              <w:t xml:space="preserve">; betont in diesem Zusammenhang, dass es notwendig ist, für ein nachhaltiges, faires und inklusives Europa zu sorgen, in dem die sozialen Rechte umfassend geschützt werden; weist darauf hin, dass die Unionsbürgerinnen und </w:t>
            </w:r>
            <w:r>
              <w:rPr>
                <w:b/>
                <w:i/>
              </w:rPr>
              <w:t>‑</w:t>
            </w:r>
            <w:r>
              <w:t>bürger das soziale Europa als eine ihrer Prioritäten bezeichnen;</w:t>
            </w:r>
          </w:p>
        </w:tc>
        <w:tc>
          <w:tcPr>
            <w:tcW w:w="4876" w:type="dxa"/>
            <w:tcBorders>
              <w:top w:val="nil"/>
              <w:left w:val="nil"/>
              <w:bottom w:val="nil"/>
              <w:right w:val="nil"/>
            </w:tcBorders>
          </w:tcPr>
          <w:p>
            <w:pPr>
              <w:pStyle w:val="Normal6a"/>
            </w:pPr>
            <w:r>
              <w:t>3.</w:t>
            </w:r>
            <w:r>
              <w:tab/>
            </w:r>
            <w:r>
              <w:rPr>
                <w:b/>
                <w:i/>
              </w:rPr>
              <w:t>betont, dass die Kommission umgehend ein Paket zu hochwertigen Arbeitsplätzen vorlegen muss, einschließlich der erforderlichen Legislativinitiativen und Investitionen zur Sicherstellung hochwertiger Arbeitsplätze;</w:t>
            </w:r>
            <w:r>
              <w:t xml:space="preserve"> betont, dass es wichtig ist, das sozialpolitische Scoreboard und den Rahmen für soziale Konvergenz zu nutzen, um Risiken zu ermitteln und die Fortschritte zu verfolgen, wenn es um die </w:t>
            </w:r>
            <w:r>
              <w:rPr>
                <w:b/>
                <w:i/>
              </w:rPr>
              <w:t>Gewährleistung einer gesellschaftlichen und entgeltbezogenen Aufwärtskonvergenz, die</w:t>
            </w:r>
            <w:r>
              <w:t xml:space="preserve"> Verringerung von Ungleichheit, die Stärkung der Sozialschutzsysteme und die Förderung menschenwürdiger Arbeitsbedingungen </w:t>
            </w:r>
            <w:r>
              <w:rPr>
                <w:b/>
                <w:i/>
              </w:rPr>
              <w:t>für Gerechtigkeit bei den Formen</w:t>
            </w:r>
            <w:r>
              <w:t xml:space="preserve"> des Wandels </w:t>
            </w:r>
            <w:r>
              <w:rPr>
                <w:b/>
                <w:i/>
              </w:rPr>
              <w:t>geht</w:t>
            </w:r>
            <w:r>
              <w:t xml:space="preserve">; betont in diesem Zusammenhang, dass es notwendig ist, für ein nachhaltiges, faires und inklusives Europa zu sorgen, in dem die sozialen Rechte umfassend geschützt werden; weist darauf hin, dass die Unionsbürgerinnen und </w:t>
            </w:r>
            <w:r>
              <w:rPr>
                <w:b/>
                <w:i/>
              </w:rPr>
              <w:t>-</w:t>
            </w:r>
            <w:r>
              <w:t>bürger das soziale Europa als eine ihrer Prioritäten bezeichnen;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es wichtig ist, das sozialpolitische Scoreboard und den Rahmen für soziale Konvergenz zu nutzen, um Risiken zu ermitteln und die Fortschritte zu verfolgen, wenn es um die Verringerung von Ungleichheit, die Stärkung der Sozialschutzsysteme und die Förderung menschenwürdiger Arbeitsbedingungen und von Maßnahmen für Arbeitnehmer geht, mit denen sie bei der Bewältigung des </w:t>
            </w:r>
            <w:r>
              <w:rPr>
                <w:b/>
                <w:i/>
              </w:rPr>
              <w:t>Wandels</w:t>
            </w:r>
            <w:r>
              <w:t xml:space="preserve"> unterstützt werden sollen; betont in diesem Zusammenhang, dass es notwendig ist, für ein nachhaltiges, faires und inklusives Europa zu sorgen, in dem die sozialen Rechte umfassend geschützt werden; weist darauf hin, dass die Unionsbürgerinnen und </w:t>
            </w:r>
            <w:r>
              <w:rPr>
                <w:b/>
                <w:i/>
              </w:rPr>
              <w:t>‑</w:t>
            </w:r>
            <w:r>
              <w:t>bürger das soziale Europa als eine ihrer Prioritäten bezeichnen;</w:t>
            </w:r>
          </w:p>
        </w:tc>
        <w:tc>
          <w:tcPr>
            <w:tcW w:w="4876" w:type="dxa"/>
            <w:tcBorders>
              <w:top w:val="nil"/>
              <w:left w:val="nil"/>
              <w:bottom w:val="nil"/>
              <w:right w:val="nil"/>
            </w:tcBorders>
          </w:tcPr>
          <w:p>
            <w:pPr>
              <w:pStyle w:val="Normal6a"/>
            </w:pPr>
            <w:r>
              <w:t>3.</w:t>
            </w:r>
            <w:r>
              <w:tab/>
            </w:r>
            <w:r>
              <w:t xml:space="preserve">betont, dass es wichtig ist, das sozialpolitische Scoreboard und den Rahmen für soziale Konvergenz zu nutzen, um Risiken zu ermitteln und die Fortschritte zu verfolgen, wenn es um die Verringerung von Ungleichheit, die Stärkung der Sozialschutzsysteme und die Förderung menschenwürdiger Arbeitsbedingungen und von Maßnahmen für Arbeitnehmer geht, mit denen sie bei der Bewältigung des </w:t>
            </w:r>
            <w:r>
              <w:rPr>
                <w:b/>
                <w:i/>
              </w:rPr>
              <w:t>beruflichen Übergangs</w:t>
            </w:r>
            <w:r>
              <w:t xml:space="preserve"> unterstützt werden sollen; betont in diesem Zusammenhang, dass es notwendig ist, für ein nachhaltiges, faires und inklusives Europa </w:t>
            </w:r>
            <w:r>
              <w:rPr>
                <w:b/>
                <w:i/>
              </w:rPr>
              <w:t>für die Europäerinnen und Europäer</w:t>
            </w:r>
            <w:r>
              <w:t xml:space="preserve"> zu sorgen, in dem die sozialen Rechte umfassend geschützt werden; weist darauf hin, dass die Unionsbürgerinnen und </w:t>
            </w:r>
            <w:r>
              <w:rPr>
                <w:b/>
                <w:i/>
              </w:rPr>
              <w:t>-</w:t>
            </w:r>
            <w:r>
              <w:t xml:space="preserve">bürger das soziale Europa als eine ihrer Prioritäten </w:t>
            </w:r>
            <w:r>
              <w:rPr>
                <w:b/>
                <w:i/>
              </w:rPr>
              <w:t>für sich selbst</w:t>
            </w:r>
            <w:r>
              <w:t xml:space="preserve"> bezeichnen;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fordert die</w:t>
            </w:r>
            <w:r>
              <w:t xml:space="preserve"> Mitgliedstaaten </w:t>
            </w:r>
            <w:r>
              <w:rPr>
                <w:b/>
                <w:i/>
              </w:rPr>
              <w:t>nachdrücklich auf, die Demokratie am Arbeitsplatz, den sozialen Dialog und Tarifverhandlungen und den Schutz der</w:t>
            </w:r>
            <w:r>
              <w:t xml:space="preserve"> Rechte der Arbeitnehmer zu </w:t>
            </w:r>
            <w:r>
              <w:rPr>
                <w:b/>
                <w:i/>
              </w:rPr>
              <w:t>fördern</w:t>
            </w:r>
            <w:r>
              <w:t xml:space="preserve">, insbesondere im Zusammenhang mit dem </w:t>
            </w:r>
            <w:r>
              <w:rPr>
                <w:b/>
                <w:i/>
              </w:rPr>
              <w:t>grünen</w:t>
            </w:r>
            <w:r>
              <w:t xml:space="preserve"> und dem </w:t>
            </w:r>
            <w:r>
              <w:rPr>
                <w:b/>
                <w:i/>
              </w:rPr>
              <w:t>digitalen</w:t>
            </w:r>
            <w:r>
              <w:t xml:space="preserve"> Wandel, und gleiches Entgelt für gleiche Arbeit für Männer und Frauen </w:t>
            </w:r>
            <w:r>
              <w:rPr>
                <w:b/>
                <w:i/>
              </w:rPr>
              <w:t>sicherzustellen, die Lohntransparenz zu verbessern und geschlechtsbezogene Ungleichheit anzugehen, um das geschlechtsspezifische Lohngefälle in der EU zu beseitigen</w:t>
            </w:r>
            <w:r>
              <w:t>;</w:t>
            </w:r>
          </w:p>
        </w:tc>
        <w:tc>
          <w:tcPr>
            <w:tcW w:w="4876" w:type="dxa"/>
            <w:tcBorders>
              <w:top w:val="nil"/>
              <w:left w:val="nil"/>
              <w:bottom w:val="nil"/>
              <w:right w:val="nil"/>
            </w:tcBorders>
          </w:tcPr>
          <w:p>
            <w:pPr>
              <w:pStyle w:val="Normal6a"/>
            </w:pPr>
            <w:r>
              <w:t>4.</w:t>
            </w:r>
            <w:r>
              <w:tab/>
            </w:r>
            <w:r>
              <w:rPr>
                <w:b/>
                <w:i/>
              </w:rPr>
              <w:t>legt den</w:t>
            </w:r>
            <w:r>
              <w:t xml:space="preserve"> Mitgliedstaaten </w:t>
            </w:r>
            <w:r>
              <w:rPr>
                <w:b/>
                <w:i/>
              </w:rPr>
              <w:t>nahe, die</w:t>
            </w:r>
            <w:r>
              <w:t xml:space="preserve"> Rechte der Arbeitnehmer zu </w:t>
            </w:r>
            <w:r>
              <w:rPr>
                <w:b/>
                <w:i/>
              </w:rPr>
              <w:t>schützen</w:t>
            </w:r>
            <w:r>
              <w:t xml:space="preserve">, insbesondere im Zusammenhang mit dem </w:t>
            </w:r>
            <w:r>
              <w:rPr>
                <w:b/>
                <w:i/>
              </w:rPr>
              <w:t>digitalen</w:t>
            </w:r>
            <w:r>
              <w:t xml:space="preserve"> und dem </w:t>
            </w:r>
            <w:r>
              <w:rPr>
                <w:b/>
                <w:i/>
              </w:rPr>
              <w:t>grünen</w:t>
            </w:r>
            <w:r>
              <w:t xml:space="preserve"> Wandel, und gleiches Entgelt für gleiche Arbeit für Männer und Frauen </w:t>
            </w:r>
            <w:r>
              <w:rPr>
                <w:b/>
                <w:i/>
              </w:rPr>
              <w:t>zu fördern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fordert die Mitgliedstaaten nachdrücklich auf, die Demokratie am Arbeitsplatz,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 und geschlechtsbezogene Ungleichheit anzugehen, um das geschlechtsspezifische Lohngefälle in der EU zu beseitigen;</w:t>
            </w:r>
          </w:p>
        </w:tc>
        <w:tc>
          <w:tcPr>
            <w:tcW w:w="4876" w:type="dxa"/>
            <w:tcBorders>
              <w:top w:val="nil"/>
              <w:left w:val="nil"/>
              <w:bottom w:val="nil"/>
              <w:right w:val="nil"/>
            </w:tcBorders>
          </w:tcPr>
          <w:p>
            <w:pPr>
              <w:pStyle w:val="Normal6a"/>
            </w:pPr>
            <w:r>
              <w:t>4.</w:t>
            </w:r>
            <w:r>
              <w:tab/>
            </w:r>
            <w:r>
              <w:t xml:space="preserve">fordert </w:t>
            </w:r>
            <w:r>
              <w:rPr>
                <w:b/>
                <w:i/>
              </w:rPr>
              <w:t>die Kommission und</w:t>
            </w:r>
            <w:r>
              <w:t xml:space="preserve"> die Mitgliedstaaten nachdrücklich auf, die Demokratie am Arbeitsplatz,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 und geschlechtsbezogene Ungleichheit anzugehen, um das geschlechtsspezifische Lohngefälle in der EU zu beseitigen; </w:t>
            </w:r>
            <w:r>
              <w:rPr>
                <w:b/>
                <w:i/>
              </w:rPr>
              <w:t>betont, dass ausreichend Mittel im nächsten MFR für die Unterstützung des sozialen Dialogs und von Tarifverhandlungen zugewiesen müssen und der Kapazitätsaufbau für die Sozialpartner verstärkt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w:t>
            </w:r>
            <w:r>
              <w:rPr>
                <w:b/>
                <w:i/>
              </w:rPr>
              <w:t>nachdrücklich</w:t>
            </w:r>
            <w:r>
              <w:t xml:space="preserve"> auf, die Demokratie </w:t>
            </w:r>
            <w:r>
              <w:rPr>
                <w:b/>
                <w:i/>
              </w:rPr>
              <w:t>am Arbeitsplatz</w:t>
            </w:r>
            <w:r>
              <w:t>,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 und geschlechtsbezogene Ungleichheit anzugehen, um das geschlechtsspezifische Lohngefälle in der EU zu beseitigen;</w:t>
            </w:r>
          </w:p>
        </w:tc>
        <w:tc>
          <w:tcPr>
            <w:tcW w:w="4876" w:type="dxa"/>
            <w:tcBorders>
              <w:top w:val="nil"/>
              <w:left w:val="nil"/>
              <w:bottom w:val="nil"/>
              <w:right w:val="nil"/>
            </w:tcBorders>
          </w:tcPr>
          <w:p>
            <w:pPr>
              <w:pStyle w:val="Normal6a"/>
            </w:pPr>
            <w:r>
              <w:t>4.</w:t>
            </w:r>
            <w:r>
              <w:tab/>
            </w:r>
            <w:r>
              <w:t>fordert die Mitgliedstaaten auf, die Demokratie,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w:t>
            </w:r>
            <w:r>
              <w:rPr>
                <w:b/>
                <w:i/>
              </w:rPr>
              <w:t>, die Eingliederung von Menschen mit Behinderungen in die Arbeitswelt und ihren Zugang zu angemessenem Wohnraum zu unterstützen</w:t>
            </w:r>
            <w:r>
              <w:t xml:space="preserve"> und geschlechtsbezogene Ungleichheit anzugehen, um das geschlechtsspezifische Lohngefälle in der EU zu beseitigen;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nachdrücklich auf, die Demokratie am Arbeitsplatz, den sozialen Dialog und </w:t>
            </w:r>
            <w:r>
              <w:rPr>
                <w:b/>
                <w:i/>
              </w:rPr>
              <w:t>Tarifverhandlungen und</w:t>
            </w:r>
            <w:r>
              <w:t xml:space="preserve"> den Schutz der Rechte der Arbeitnehmer zu fördern</w:t>
            </w:r>
            <w:r>
              <w:rPr>
                <w:b/>
                <w:i/>
              </w:rPr>
              <w:t>, insbesondere im Zusammenhang mit dem grünen und dem digitalen Wandel,</w:t>
            </w:r>
            <w:r>
              <w:t xml:space="preserve"> und gleiches Entgelt für gleiche Arbeit für Männer und Frauen sicherzustellen, die Lohntransparenz zu verbessern und geschlechtsbezogene Ungleichheit anzugehen, um das geschlechtsspezifische Lohngefälle in der EU zu beseitigen;</w:t>
            </w:r>
          </w:p>
        </w:tc>
        <w:tc>
          <w:tcPr>
            <w:tcW w:w="4876" w:type="dxa"/>
            <w:tcBorders>
              <w:top w:val="nil"/>
              <w:left w:val="nil"/>
              <w:bottom w:val="nil"/>
              <w:right w:val="nil"/>
            </w:tcBorders>
          </w:tcPr>
          <w:p>
            <w:pPr>
              <w:pStyle w:val="Normal6a"/>
            </w:pPr>
            <w:r>
              <w:t>4.</w:t>
            </w:r>
            <w:r>
              <w:tab/>
            </w:r>
            <w:r>
              <w:t>fordert die Mitgliedstaaten nachdrücklich auf, die Demokratie am Arbeitsplatz, den sozialen Dialog und den Schutz der Rechte der Arbeitnehmer zu fördern und gleiches Entgelt für gleiche Arbeit für Männer und Frauen sicherzustellen, die Lohntransparenz zu verbessern und geschlechtsbezogene Ungleichheit anzugehen, um das geschlechtsspezifische Lohngefälle in der EU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die Mitgliedstaaten nachdrücklich auf, die Demokratie am Arbeitsplatz,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 und geschlechtsbezogene Ungleichheit anzugehen, um das geschlechtsspezifische </w:t>
            </w:r>
            <w:r>
              <w:rPr>
                <w:b/>
                <w:i/>
              </w:rPr>
              <w:t>Lohngefälle</w:t>
            </w:r>
            <w:r>
              <w:t xml:space="preserve"> in der EU zu beseitigen;</w:t>
            </w:r>
          </w:p>
        </w:tc>
        <w:tc>
          <w:tcPr>
            <w:tcW w:w="4876" w:type="dxa"/>
            <w:tcBorders>
              <w:top w:val="nil"/>
              <w:left w:val="nil"/>
              <w:bottom w:val="nil"/>
              <w:right w:val="nil"/>
            </w:tcBorders>
          </w:tcPr>
          <w:p>
            <w:pPr>
              <w:pStyle w:val="Normal6a"/>
            </w:pPr>
            <w:r>
              <w:t>4.</w:t>
            </w:r>
            <w:r>
              <w:tab/>
            </w:r>
            <w:r>
              <w:t xml:space="preserve">fordert die Mitgliedstaaten nachdrücklich auf, die Demokratie am Arbeitsplatz, den sozialen Dialog und Tarifverhandlungen und den Schutz der Rechte der Arbeitnehmer zu fördern, insbesondere im Zusammenhang mit dem grünen und dem digitalen Wandel, und gleiches Entgelt für gleiche Arbeit für Männer und Frauen sicherzustellen, die Lohntransparenz zu verbessern und geschlechtsbezogene Ungleichheit anzugehen, um das geschlechtsspezifische </w:t>
            </w:r>
            <w:r>
              <w:rPr>
                <w:b/>
                <w:i/>
              </w:rPr>
              <w:t>Lohn-, Renten- und Beschäftigungsgefälle</w:t>
            </w:r>
            <w:r>
              <w:t xml:space="preserve"> in der EU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fordert, dass die Löhne erhöht werden, damit durch sie ein angemessener Lebensstandard gewährleistet und die Aufwärtskonvergenz der Löhne vorangebracht wird, unter anderem durch die Förderung von Tarifverhandlungen und die vollständige Umsetzung der Richtlinie (EU) 2022/2041 über angemessene Mindestlöhne in der Europäischen Union;</w:t>
            </w:r>
            <w:r>
              <w:t xml:space="preserve"> </w:t>
            </w:r>
            <w:r>
              <w:rPr>
                <w:b/>
                <w:i/>
              </w:rPr>
              <w:t>bekräftigt ferner, wie wichtig es ist, die Zahlung menschenwürdiger und angemessener Löhne in allen globalen Lieferketten sicherzustellen, und fordert, dass multinationale Unternehmen in diesem Zusammenhang rechenschaftspflichtig sind, unter anderem durch verbindliche Rechtsvorschriften im Bereich der Sorgfaltspflicht, nach deren Maßgabe eine faire Lohnpraxis auch außerhalb der EU gewahrt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fordert stärkere Maßnahmen zur Bekämpfung von Diskriminierung </w:t>
            </w:r>
            <w:r>
              <w:rPr>
                <w:b/>
                <w:i/>
              </w:rPr>
              <w:t>und</w:t>
            </w:r>
            <w:r>
              <w:t xml:space="preserve"> Belästigung am Arbeitsplatz;</w:t>
            </w:r>
          </w:p>
        </w:tc>
        <w:tc>
          <w:tcPr>
            <w:tcW w:w="4876" w:type="dxa"/>
            <w:tcBorders>
              <w:top w:val="nil"/>
              <w:left w:val="nil"/>
              <w:bottom w:val="nil"/>
              <w:right w:val="nil"/>
            </w:tcBorders>
          </w:tcPr>
          <w:p>
            <w:pPr>
              <w:pStyle w:val="Normal6a"/>
            </w:pPr>
            <w:r>
              <w:t>5.</w:t>
            </w:r>
            <w:r>
              <w:tab/>
            </w:r>
            <w:r>
              <w:t xml:space="preserve">fordert stärkere Maßnahmen zur Bekämpfung von </w:t>
            </w:r>
            <w:r>
              <w:rPr>
                <w:b/>
                <w:i/>
              </w:rPr>
              <w:t>Gewalt,</w:t>
            </w:r>
            <w:r>
              <w:t xml:space="preserve"> Diskriminierung </w:t>
            </w:r>
            <w:r>
              <w:rPr>
                <w:b/>
                <w:i/>
              </w:rPr>
              <w:t>oder</w:t>
            </w:r>
            <w:r>
              <w:t xml:space="preserve"> Belästigung am Arbeitsplatz</w:t>
            </w:r>
            <w:r>
              <w:rPr>
                <w:b/>
                <w:i/>
              </w:rPr>
              <w:t>, auch in einem digitalen Umfeld</w:t>
            </w:r>
            <w:r>
              <w:t xml:space="preserve">; </w:t>
            </w:r>
            <w:r>
              <w:rPr>
                <w:b/>
                <w:i/>
              </w:rPr>
              <w:t>betont, dass Präventions- und Schutzmaßnahmen am Arbeitsplatz wichtig sind, um das Wohlergehen sowie die körperliche und geistige Gesundheit der Arbeitnehmer zu schützen;</w:t>
            </w:r>
            <w:r>
              <w:t xml:space="preserve"> </w:t>
            </w:r>
            <w:r>
              <w:rPr>
                <w:b/>
                <w:i/>
              </w:rPr>
              <w:t>nimmt die Zunahme arbeitsbedingter psychischer Belastungen, einschließlich Burnout, Angstzuständen und posttraumatischem Stress, zur Kenntnis, die mit neuen Formen der Arbeitsorganisation, der ständigen Konnektivität und der digitalen Überwachung zusammenhängen;</w:t>
            </w:r>
            <w:r>
              <w:t xml:space="preserve"> </w:t>
            </w:r>
            <w:r>
              <w:rPr>
                <w:b/>
                <w:i/>
              </w:rPr>
              <w:t>fordert die Kommission auf, die geistige Gesundheit der Arbeitnehmer zu schützen, und bekräftigt, dass dringend eine Gesetzgebungsinitiative erforderlich ist, um psychosozialen Risiken am Arbeitsplatz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auf die Rolle der einschlägigen EU-Fonds wie des ESF+, des Klima-Sozialfonds und der Aufbau- und Resilienzfazilität bei der Bekämpfung von Armut und sozialer Ausgrenzung hin und fordert die Mitgliedstaaten nachdrücklich auf, ihr diesbezügliches Potenzial mit Unterstützung der Kommission voll auszuschöpfen;</w:t>
            </w:r>
            <w:r>
              <w:t xml:space="preserve"> </w:t>
            </w:r>
            <w:r>
              <w:rPr>
                <w:b/>
                <w:i/>
              </w:rPr>
              <w:t>betont, dass im nächsten MFR wirkmächtige eigenständige Instrumente zur Bekämpfung von Armut und sozialer Ausgrenzung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Kommission und die Mitgliedstaaten auf, die Gleichstellung der Geschlechter in allen Politikbereichen und Rechtsvorschriften durchgängig zu berücksichtigen;</w:t>
            </w:r>
            <w:r>
              <w:t xml:space="preserve"> </w:t>
            </w:r>
            <w:r>
              <w:rPr>
                <w:b/>
                <w:i/>
              </w:rPr>
              <w:t>weist darauf hin, dass soziale Inklusion und Gerechtigkeit ohne Gleichbehandlung niemals wirklich erreicht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weist überdies auf die Rolle hin, die die Europäische Union bei der sozialen Entwicklung von Drittländern spielt, auch über Fonds wie dem Instrument „Europa in der Welt“;</w:t>
            </w:r>
            <w:r>
              <w:t xml:space="preserve"> </w:t>
            </w:r>
            <w:r>
              <w:rPr>
                <w:b/>
                <w:i/>
              </w:rPr>
              <w:t>bedauert zutiefst, dass sich eine Reihe von Ländern aus der Entwicklungsfinanzierung zurückgezogen hat, auch im Bereich der sozialen Entwicklung, was verheerende Auswirkungen auf das Leben und die Lebensgrundlagen von Menschen hat;</w:t>
            </w:r>
            <w:r>
              <w:t xml:space="preserve"> </w:t>
            </w:r>
            <w:r>
              <w:rPr>
                <w:b/>
                <w:i/>
              </w:rPr>
              <w:t>fordert die Europäische Union nachdrücklich auf, sich im Rahmen des derzeitigen und des künftigen MFR auch weiterhin tatkräftig für die Unterstützung der sozialen Entwicklung in Übersee einzusetzen, um für Stabilität und eine stabile Finanzierung zu sorgen, und mit allen einschlägigen Akteuren zusammenzuarbeiten, damit ein kontinuierliches Engagement für die Ziele der sozialen Entwicklung weltweit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fordert eine ganzheitliche Betrachtung des Sozialschutzes und der gesellschaftlichen Eingliederung und fordert, dass eine anspruchsvolle Strategie mit ausreichender Unterstützung im nächsten mehrjährigen Finanzrahmen (MFR) vorgeschlagen wird, die auf dem kommenden Initiativbericht des Parlaments über die EU-Strategie zur Bekämpfung der Armut und einem anspruchsvollen Plan für erschwinglichen Wohnraum beruht, damit gegen die Wohnraumkrise und gegen Obdachlosigkeit vorgegangen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eine ganzheitliche Betrachtung des Sozialschutzes und der gesellschaftlichen Eingliederung und fordert, dass eine anspruchsvolle Strategie mit ausreichender Unterstützung im nächsten mehrjährigen Finanzrahmen (MFR) vorgeschlagen wird, die auf dem kommenden Initiativbericht des Parlaments über die EU-Strategie zur Bekämpfung der Armut und einem anspruchsvollen Plan für erschwinglichen Wohnraum beruht, damit gegen die Wohnraumkrise und gegen Obdachlosigkeit vorgegangen wird;</w:t>
            </w:r>
          </w:p>
        </w:tc>
        <w:tc>
          <w:tcPr>
            <w:tcW w:w="4876" w:type="dxa"/>
            <w:tcBorders>
              <w:top w:val="nil"/>
              <w:left w:val="nil"/>
              <w:bottom w:val="nil"/>
              <w:right w:val="nil"/>
            </w:tcBorders>
          </w:tcPr>
          <w:p>
            <w:pPr>
              <w:pStyle w:val="Normal6a"/>
            </w:pPr>
            <w:r>
              <w:t>6.</w:t>
            </w:r>
            <w:r>
              <w:tab/>
            </w:r>
            <w:r>
              <w:t xml:space="preserve">fordert eine ganzheitliche Betrachtung </w:t>
            </w:r>
            <w:r>
              <w:rPr>
                <w:b/>
                <w:i/>
              </w:rPr>
              <w:t>der Armutsbeseitigung,</w:t>
            </w:r>
            <w:r>
              <w:t xml:space="preserve"> des Sozialschutzes und der gesellschaftlichen Eingliederung und fordert, dass eine anspruchsvolle Strategie mit ausreichender Unterstützung im nächsten mehrjährigen Finanzrahmen (MFR) vorgeschlagen wird, die auf dem kommenden Initiativbericht des Parlaments über die EU-Strategie zur Bekämpfung der Armut und einem anspruchsvollen Plan für erschwinglichen Wohnraum beruht, damit gegen die Wohnraumkrise und gegen Obdachlosigkeit vorgegangen wird; </w:t>
            </w:r>
            <w:r>
              <w:rPr>
                <w:b/>
                <w:i/>
              </w:rPr>
              <w:t>betont, dass mit diesen neuen Initiativen andere zugehörige EU-Strategien wie der Fahrplan für Frauenrechte, die Strategie für die Rechte von Menschen mit Behinderungen und die Garantie für Kinder ergänzt werden müssen, um in Bezug auf den multidimensionalen Charakter von Armut einen intersektionalen Ansatz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w:t>
            </w:r>
            <w:r>
              <w:rPr>
                <w:b/>
                <w:i/>
              </w:rPr>
              <w:t>eine ganzheitliche Betrachtung des Sozialschutzes und der gesellschaftlichen</w:t>
            </w:r>
            <w:r>
              <w:t xml:space="preserve"> Eingliederung und fordert, dass eine anspruchsvolle Strategie mit ausreichender Unterstützung im nächsten mehrjährigen Finanzrahmen (MFR) vorgeschlagen wird, </w:t>
            </w:r>
            <w:r>
              <w:rPr>
                <w:b/>
                <w:i/>
              </w:rPr>
              <w:t>die auf dem kommenden Initiativbericht des Parlaments über die EU-Strategie zur Bekämpfung der Armut und einem anspruchsvollen Plan für erschwinglichen</w:t>
            </w:r>
            <w:r>
              <w:t xml:space="preserve"> Wohnraum </w:t>
            </w:r>
            <w:r>
              <w:rPr>
                <w:b/>
                <w:i/>
              </w:rPr>
              <w:t>beruht, damit gegen die Wohnraumkrise und gegen Obdachlosigkeit vorgegangen wird</w:t>
            </w:r>
            <w:r>
              <w:t>;</w:t>
            </w:r>
          </w:p>
        </w:tc>
        <w:tc>
          <w:tcPr>
            <w:tcW w:w="4876" w:type="dxa"/>
            <w:tcBorders>
              <w:top w:val="nil"/>
              <w:left w:val="nil"/>
              <w:bottom w:val="nil"/>
              <w:right w:val="nil"/>
            </w:tcBorders>
          </w:tcPr>
          <w:p>
            <w:pPr>
              <w:pStyle w:val="Normal6a"/>
            </w:pPr>
            <w:r>
              <w:t>6.</w:t>
            </w:r>
            <w:r>
              <w:tab/>
            </w:r>
            <w:r>
              <w:t xml:space="preserve">fordert </w:t>
            </w:r>
            <w:r>
              <w:rPr>
                <w:b/>
                <w:i/>
              </w:rPr>
              <w:t>Sozialschutz und gesellschaftliche</w:t>
            </w:r>
            <w:r>
              <w:t xml:space="preserve"> Eingliederung und fordert </w:t>
            </w:r>
            <w:r>
              <w:rPr>
                <w:b/>
                <w:i/>
              </w:rPr>
              <w:t>zudem</w:t>
            </w:r>
            <w:r>
              <w:t xml:space="preserve">, dass eine anspruchsvolle Strategie mit ausreichender Unterstützung im nächsten mehrjährigen Finanzrahmen (MFR) vorgeschlagen wird, </w:t>
            </w:r>
            <w:r>
              <w:rPr>
                <w:b/>
                <w:i/>
              </w:rPr>
              <w:t>um sicherzustellen, dass Sozialinvestitionen auf demselben Niveau getätigt werden wie Investitionen in den Bereichen Verteidigung oder Wettbewerbsfähigkeit;</w:t>
            </w:r>
            <w:r>
              <w:t xml:space="preserve"> </w:t>
            </w:r>
            <w:r>
              <w:rPr>
                <w:b/>
                <w:i/>
              </w:rPr>
              <w:t>weist darauf hin, dass die Schätzung der Kommission in Bezug auf die Lücke bei den Sozialinvestitionen</w:t>
            </w:r>
            <w:r>
              <w:rPr>
                <w:b/>
                <w:i/>
                <w:vertAlign w:val="superscript"/>
              </w:rPr>
              <w:t>5a</w:t>
            </w:r>
            <w:r>
              <w:t xml:space="preserve"> </w:t>
            </w:r>
            <w:r>
              <w:rPr>
                <w:b/>
                <w:i/>
              </w:rPr>
              <w:t>bereits im Jahr 2020 um 192 Mrd. Euro pro Jahr niedriger ausfiel, als die Höhe der Investitionen, die zur Deckung der Bedürfnisse der Bürgerinnen und Bürger erforderlich waren, nämlich 120 Mrd. Euro im Gesundheitswesen, 57 Mrd. Euro für bezahlbaren</w:t>
            </w:r>
            <w:r>
              <w:t xml:space="preserve"> Wohnraum </w:t>
            </w:r>
            <w:r>
              <w:rPr>
                <w:b/>
                <w:i/>
              </w:rPr>
              <w:t>und 15 Mrd. Euro im Bildungswesen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https://eur-lex.europa.eu/legal-content/DE/TXT/HTML/?uri=CELEX:52020DC0456&amp;qid=1750255593349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weist darauf hin, dass die Höhe der Mindesteinkommensleistungen meist deutlich unter den nationalen Armutsschwellen liegt;</w:t>
            </w:r>
            <w:r>
              <w:t xml:space="preserve"> </w:t>
            </w:r>
            <w:r>
              <w:rPr>
                <w:b/>
                <w:i/>
              </w:rPr>
              <w:t>fordert die Mitgliedstaaten nachdrücklich auf, die Empfehlung des Rates für eine angemessene Mindestsicherung vollständig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betont, dass eine mit dem Subsidiaritätsprinzip vereinbare EU-Rahmenrichtlinie über ein angemessenes Mindesteinkommen und eine aktive Eingliederung zu den Zielen beitragen würde, Armut und soziale Ausgrenzung zu verringern und die Integration von arbeitsmarktfernen Menschen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fordert alle</w:t>
            </w:r>
            <w:r>
              <w:t xml:space="preserve"> Mitgliedstaaten </w:t>
            </w:r>
            <w:r>
              <w:rPr>
                <w:b/>
                <w:i/>
              </w:rPr>
              <w:t>nachdrücklich auf</w:t>
            </w:r>
            <w:r>
              <w:t xml:space="preserve">, weitere Maßnahmen zur Bekämpfung von Kinderarmut zu ergreifen, indem sie ihre nationalen Aktionspläne </w:t>
            </w:r>
            <w:r>
              <w:rPr>
                <w:b/>
                <w:i/>
              </w:rPr>
              <w:t>zur Europäischen Garantie für Kinder</w:t>
            </w:r>
            <w:r>
              <w:t xml:space="preserve"> umsetzen</w:t>
            </w:r>
            <w:r>
              <w:rPr>
                <w:b/>
                <w:i/>
              </w:rPr>
              <w:t>, und fordert ferner, dass es dafür einen eigenen Haushalt mit ausreichenden Ressourcen im nächsten MFR gibt</w:t>
            </w:r>
            <w:r>
              <w:t>;</w:t>
            </w:r>
          </w:p>
        </w:tc>
        <w:tc>
          <w:tcPr>
            <w:tcW w:w="4876" w:type="dxa"/>
            <w:tcBorders>
              <w:top w:val="nil"/>
              <w:left w:val="nil"/>
              <w:bottom w:val="nil"/>
              <w:right w:val="nil"/>
            </w:tcBorders>
          </w:tcPr>
          <w:p>
            <w:pPr>
              <w:pStyle w:val="Normal6a"/>
            </w:pPr>
            <w:r>
              <w:t>7.</w:t>
            </w:r>
            <w:r>
              <w:tab/>
            </w:r>
            <w:r>
              <w:rPr>
                <w:b/>
                <w:i/>
              </w:rPr>
              <w:t>empfiehlt den</w:t>
            </w:r>
            <w:r>
              <w:t xml:space="preserve"> Mitgliedstaaten, weitere Maßnahmen zur Bekämpfung von Kinderarmut zu ergreifen, indem sie ihre nationalen Aktionspläne umsetzen;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w:t>
            </w:r>
            <w:r>
              <w:rPr>
                <w:b/>
                <w:i/>
              </w:rPr>
              <w:t>ferner</w:t>
            </w:r>
            <w:r>
              <w:t xml:space="preserve">, dass es dafür einen eigenen Haushalt </w:t>
            </w:r>
            <w:r>
              <w:rPr>
                <w:b/>
                <w:i/>
              </w:rPr>
              <w:t>mit ausreichenden Ressourcen</w:t>
            </w:r>
            <w:r>
              <w:t xml:space="preserve"> im nächsten MFR gibt;</w:t>
            </w:r>
          </w:p>
        </w:tc>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w:t>
            </w:r>
            <w:r>
              <w:rPr>
                <w:b/>
                <w:i/>
              </w:rPr>
              <w:t>die Kommission auf sicherzustellen</w:t>
            </w:r>
            <w:r>
              <w:t xml:space="preserve">, dass es dafür einen eigenen Haushalt </w:t>
            </w:r>
            <w:r>
              <w:rPr>
                <w:b/>
                <w:i/>
              </w:rPr>
              <w:t>in Höhe von mindestens 20 Mrd. EUR</w:t>
            </w:r>
            <w:r>
              <w:t xml:space="preserve"> im nächsten MFR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es dafür einen eigenen Haushalt </w:t>
            </w:r>
            <w:r>
              <w:rPr>
                <w:b/>
                <w:i/>
              </w:rPr>
              <w:t>mit ausreichenden Ressourcen</w:t>
            </w:r>
            <w:r>
              <w:t xml:space="preserve"> im nächsten MFR gibt;</w:t>
            </w:r>
          </w:p>
        </w:tc>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es dafür einen eigenen Haushalt </w:t>
            </w:r>
            <w:r>
              <w:rPr>
                <w:b/>
                <w:i/>
              </w:rPr>
              <w:t>in Höhe von mindestens 20 Mrd. EUR</w:t>
            </w:r>
            <w:r>
              <w:t xml:space="preserve"> im nächsten MFR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es dafür einen eigenen Haushalt </w:t>
            </w:r>
            <w:r>
              <w:rPr>
                <w:b/>
                <w:i/>
              </w:rPr>
              <w:t>mit ausreichenden Ressourcen</w:t>
            </w:r>
            <w:r>
              <w:t xml:space="preserve"> im nächsten MFR gibt;</w:t>
            </w:r>
          </w:p>
        </w:tc>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es dafür einen eigenen Haushalt </w:t>
            </w:r>
            <w:r>
              <w:rPr>
                <w:b/>
                <w:i/>
              </w:rPr>
              <w:t>in Höhe von 20 Mrd. EUR</w:t>
            </w:r>
            <w:r>
              <w:t xml:space="preserve"> im nächsten MFR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w:t>
            </w:r>
            <w:r>
              <w:rPr>
                <w:b/>
                <w:i/>
              </w:rPr>
              <w:t>es</w:t>
            </w:r>
            <w:r>
              <w:t xml:space="preserve"> dafür </w:t>
            </w:r>
            <w:r>
              <w:rPr>
                <w:b/>
                <w:i/>
              </w:rPr>
              <w:t>einen eigenen Haushalt mit ausreichenden Ressourcen</w:t>
            </w:r>
            <w:r>
              <w:t xml:space="preserve"> im nächsten MFR </w:t>
            </w:r>
            <w:r>
              <w:rPr>
                <w:b/>
                <w:i/>
              </w:rPr>
              <w:t>gibt</w:t>
            </w:r>
            <w:r>
              <w:t>;</w:t>
            </w:r>
          </w:p>
        </w:tc>
        <w:tc>
          <w:tcPr>
            <w:tcW w:w="4876" w:type="dxa"/>
            <w:tcBorders>
              <w:top w:val="nil"/>
              <w:left w:val="nil"/>
              <w:bottom w:val="nil"/>
              <w:right w:val="nil"/>
            </w:tcBorders>
          </w:tcPr>
          <w:p>
            <w:pPr>
              <w:pStyle w:val="Normal6a"/>
            </w:pPr>
            <w:r>
              <w:t>7.</w:t>
            </w:r>
            <w:r>
              <w:tab/>
            </w:r>
            <w:r>
              <w:t xml:space="preserve">fordert alle Mitgliedstaaten nachdrücklich auf, weitere Maßnahmen zur Bekämpfung von Kinderarmut zu ergreifen, indem sie ihre nationalen Aktionspläne zur Europäischen Garantie für Kinder umsetzen, und fordert ferner, dass dafür im nächsten MFR </w:t>
            </w:r>
            <w:r>
              <w:rPr>
                <w:b/>
                <w:i/>
              </w:rPr>
              <w:t>ausreichende Ressourcen bereitgestellt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Kommission und die Mitgliedstaaten auf, die Europäische Strategie für Pflege und Betreuung vollständig umzusetzen, um hochwertige, erschwingliche und zugängliche Pflege- und Betreuungsdienste EU-weit sicherzustellen;</w:t>
            </w:r>
            <w:r>
              <w:t xml:space="preserve"> </w:t>
            </w:r>
            <w:r>
              <w:rPr>
                <w:b/>
                <w:i/>
              </w:rPr>
              <w:t>betont, dass Pflege und Betreuung als soziale und wirtschaftliche Investition anerkannt werden müssen, die mit Grundsatz 18 der europäischen Säule sozialer Rechte im Einklang steht;</w:t>
            </w:r>
            <w:r>
              <w:t xml:space="preserve"> </w:t>
            </w:r>
            <w:r>
              <w:rPr>
                <w:b/>
                <w:i/>
              </w:rPr>
              <w:t>fordert nachdrücklich die Ausarbeitung verbindlicher Maßnahmen auf EU-Ebene und auf globaler Ebene, um Pflege und Betreuung als Gemeingut anzuerkennen, die Arbeitsbedingungen in der Pflege- und Betreuungsbranche zu verbessern, die Gleichstellung der Geschlechter zu fördern und zugängliche, erschwingliche und hochwertige Pflege- und Betreuungsdienste für alle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Auswirkungen des </w:t>
            </w:r>
            <w:r>
              <w:rPr>
                <w:b/>
                <w:i/>
              </w:rPr>
              <w:t>zweifachen</w:t>
            </w:r>
            <w:r>
              <w:t xml:space="preserve"> Wandels </w:t>
            </w:r>
            <w:r>
              <w:rPr>
                <w:b/>
                <w:i/>
              </w:rPr>
              <w:t>(grüner und digitaler Wandel)</w:t>
            </w:r>
            <w:r>
              <w:t xml:space="preserve"> auf die Arbeitswelt </w:t>
            </w:r>
            <w:r>
              <w:rPr>
                <w:b/>
                <w:i/>
              </w:rPr>
              <w:t>stärker</w:t>
            </w:r>
            <w:r>
              <w:t xml:space="preserve"> angegangen werden müssen, indem der Grundsatz der Kontrolle durch den Menschen </w:t>
            </w:r>
            <w:r>
              <w:rPr>
                <w:b/>
                <w:i/>
              </w:rPr>
              <w:t>bei künstlicher Intelligenz durch eine neue Gesetzgebungsinitiative zu KI am Arbeitsplatz und Algorithmus-Management</w:t>
            </w:r>
            <w:r>
              <w:t xml:space="preserve"> verstärkt wird; hebt hervor, dass nachhaltige hochwertige Arbeitsplätze geschaffen werden müssen </w:t>
            </w:r>
            <w:r>
              <w:rPr>
                <w:b/>
                <w:i/>
              </w:rPr>
              <w:t>und gleichzeitig der Rechtsrahmen für die Bewältigung und Vorbereitung des Übergangs gestärkt, die Rolle und Teilhabe der Sozialpartner gefördert und die Eingliederung in den Arbeitsmarkt unterstützt werden muss</w:t>
            </w:r>
            <w:r>
              <w:t>;</w:t>
            </w:r>
          </w:p>
        </w:tc>
        <w:tc>
          <w:tcPr>
            <w:tcW w:w="4876" w:type="dxa"/>
            <w:tcBorders>
              <w:top w:val="nil"/>
              <w:left w:val="nil"/>
              <w:bottom w:val="nil"/>
              <w:right w:val="nil"/>
            </w:tcBorders>
          </w:tcPr>
          <w:p>
            <w:pPr>
              <w:pStyle w:val="Normal6a"/>
            </w:pPr>
            <w:r>
              <w:t>8.</w:t>
            </w:r>
            <w:r>
              <w:tab/>
            </w:r>
            <w:r>
              <w:t xml:space="preserve">betont, dass die Auswirkungen des </w:t>
            </w:r>
            <w:r>
              <w:rPr>
                <w:b/>
                <w:i/>
              </w:rPr>
              <w:t>digitalen und des grünen</w:t>
            </w:r>
            <w:r>
              <w:t xml:space="preserve"> Wandels auf die Arbeitswelt </w:t>
            </w:r>
            <w:r>
              <w:rPr>
                <w:b/>
                <w:i/>
              </w:rPr>
              <w:t>auch weiterhin</w:t>
            </w:r>
            <w:r>
              <w:t xml:space="preserve"> angegangen werden müssen, indem der Grundsatz der Kontrolle durch den Menschen verstärkt wird; hebt hervor, dass nachhaltige hochwertige Arbeitsplätze geschaffen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w:t>
            </w:r>
            <w:r>
              <w:rPr>
                <w:b/>
                <w:i/>
              </w:rPr>
              <w:t>Auswirkungen des zweifachen Wandels (grüner und digitaler Wandel) auf die Arbeitswelt stärker angegangen</w:t>
            </w:r>
            <w:r>
              <w:t xml:space="preserve"> werden müssen, indem der Grundsatz der Kontrolle durch den Menschen </w:t>
            </w:r>
            <w:r>
              <w:rPr>
                <w:b/>
                <w:i/>
              </w:rPr>
              <w:t>bei künstlicher Intelligenz durch eine neue</w:t>
            </w:r>
            <w:r>
              <w:t xml:space="preserve"> Gesetzgebungsinitiative zu KI </w:t>
            </w:r>
            <w:r>
              <w:rPr>
                <w:b/>
                <w:i/>
              </w:rPr>
              <w:t>am Arbeitsplatz</w:t>
            </w:r>
            <w:r>
              <w:t xml:space="preserve"> und Algorithmus-Management </w:t>
            </w:r>
            <w:r>
              <w:rPr>
                <w:b/>
                <w:i/>
              </w:rPr>
              <w:t>verstärkt wird</w:t>
            </w:r>
            <w:r>
              <w:t xml:space="preserve">; hebt hervor, dass nachhaltige hochwertige Arbeitsplätze geschaffen werden müssen und </w:t>
            </w:r>
            <w:r>
              <w:rPr>
                <w:b/>
                <w:i/>
              </w:rPr>
              <w:t>gleichzeitig der Rechtsrahmen</w:t>
            </w:r>
            <w:r>
              <w:t xml:space="preserve"> für die Bewältigung und Vorbereitung </w:t>
            </w:r>
            <w:r>
              <w:rPr>
                <w:b/>
                <w:i/>
              </w:rPr>
              <w:t>des Übergangs</w:t>
            </w:r>
            <w:r>
              <w:t xml:space="preserve"> gestärkt</w:t>
            </w:r>
            <w:r>
              <w:rPr>
                <w:b/>
                <w:i/>
              </w:rPr>
              <w:t>, die Rolle und Teilhabe</w:t>
            </w:r>
            <w:r>
              <w:t xml:space="preserve"> der Sozialpartner </w:t>
            </w:r>
            <w:r>
              <w:rPr>
                <w:b/>
                <w:i/>
              </w:rPr>
              <w:t>gefördert und die Eingliederung in den Arbeitsmarkt unterstützt werden muss</w:t>
            </w:r>
            <w:r>
              <w:t>;</w:t>
            </w:r>
          </w:p>
        </w:tc>
        <w:tc>
          <w:tcPr>
            <w:tcW w:w="4876" w:type="dxa"/>
            <w:tcBorders>
              <w:top w:val="nil"/>
              <w:left w:val="nil"/>
              <w:bottom w:val="nil"/>
              <w:right w:val="nil"/>
            </w:tcBorders>
          </w:tcPr>
          <w:p>
            <w:pPr>
              <w:pStyle w:val="Normal6a"/>
            </w:pPr>
            <w:r>
              <w:t>8.</w:t>
            </w:r>
            <w:r>
              <w:tab/>
            </w:r>
            <w:r>
              <w:rPr>
                <w:b/>
                <w:i/>
              </w:rPr>
              <w:t>begrüßt die kürzlich erfolgte Annahme der Richtlinie über Plattformarbeit als einen wegweisenden Schritt zum Schutz der Arbeitnehmer in der digitalen Wirtschaft und zur Sicherstellung von fairen Bedingungen und der Rechenschaftspflicht im Bereich der Algorithmen;</w:t>
            </w:r>
            <w:r>
              <w:t xml:space="preserve"> betont, dass die </w:t>
            </w:r>
            <w:r>
              <w:rPr>
                <w:b/>
                <w:i/>
              </w:rPr>
              <w:t>gleichen Schutzmaßnahmen auf Arbeitnehmer in allen von KI betroffenen Branchen ausgeweitet</w:t>
            </w:r>
            <w:r>
              <w:t xml:space="preserve"> werden müssen, indem </w:t>
            </w:r>
            <w:r>
              <w:rPr>
                <w:b/>
                <w:i/>
              </w:rPr>
              <w:t>sichergestellt wird, dass</w:t>
            </w:r>
            <w:r>
              <w:t xml:space="preserve"> der Grundsatz der Kontrolle durch den Menschen </w:t>
            </w:r>
            <w:r>
              <w:rPr>
                <w:b/>
                <w:i/>
              </w:rPr>
              <w:t>zu einem verbindlichen Standard wird, und bekräftigt die Forderung nach einer neuen</w:t>
            </w:r>
            <w:r>
              <w:t xml:space="preserve"> Gesetzgebungsinitiative zu KI und Algorithmus-Management </w:t>
            </w:r>
            <w:r>
              <w:rPr>
                <w:b/>
                <w:i/>
              </w:rPr>
              <w:t>am Arbeitsplatz</w:t>
            </w:r>
            <w:r>
              <w:t xml:space="preserve">; hebt hervor, dass nachhaltige hochwertige Arbeitsplätze geschaffen werden müssen und </w:t>
            </w:r>
            <w:r>
              <w:rPr>
                <w:b/>
                <w:i/>
              </w:rPr>
              <w:t>dass der Rechts- und Finanzrahmen</w:t>
            </w:r>
            <w:r>
              <w:t xml:space="preserve"> für die Bewältigung und Vorbereitung </w:t>
            </w:r>
            <w:r>
              <w:rPr>
                <w:b/>
                <w:i/>
              </w:rPr>
              <w:t>der Übergänge</w:t>
            </w:r>
            <w:r>
              <w:t xml:space="preserve"> gestärkt </w:t>
            </w:r>
            <w:r>
              <w:rPr>
                <w:b/>
                <w:i/>
              </w:rPr>
              <w:t>werden muss, unter anderem durch höhere Investitionen aus dem ESF+;</w:t>
            </w:r>
            <w:r>
              <w:t xml:space="preserve"> </w:t>
            </w:r>
            <w:r>
              <w:rPr>
                <w:b/>
                <w:i/>
              </w:rPr>
              <w:t>betont, wie wichtig Tarifverhandlungen und die Einbeziehung</w:t>
            </w:r>
            <w:r>
              <w:t xml:space="preserve"> der Sozialpartner </w:t>
            </w:r>
            <w:r>
              <w:rPr>
                <w:b/>
                <w:i/>
              </w:rPr>
              <w:t>bei der Gestaltung und Förderung inklusiver arbeitsmarktpolitischer Maßnahmen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betont, dass die Auswirkungen des zweifachen Wandels (grüner und digitaler Wandel) auf die Arbeitswelt stärker angegangen werden müssen, indem der Grundsatz der Kontrolle durch den Menschen bei künstlicher Intelligenz durch eine neue Gesetzgebungsinitiative zu KI am Arbeitsplatz und Algorithmus-Management verstärkt wird; hebt hervor, dass nachhaltige hochwertige Arbeitsplätze geschaffen werden müssen und gleichzeitig der Rechtsrahmen für die Bewältigung und Vorbereitung des Übergangs gestärkt, die Rolle und Teilhabe der Sozialpartner gefördert und die Eingliederung in den Arbeitsmarkt unterstützt werden muss;</w:t>
            </w:r>
          </w:p>
        </w:tc>
        <w:tc>
          <w:tcPr>
            <w:tcW w:w="4876" w:type="dxa"/>
            <w:tcBorders>
              <w:top w:val="nil"/>
              <w:left w:val="nil"/>
              <w:bottom w:val="nil"/>
              <w:right w:val="nil"/>
            </w:tcBorders>
          </w:tcPr>
          <w:p>
            <w:pPr>
              <w:pStyle w:val="Normal6a"/>
            </w:pPr>
            <w:r>
              <w:t>8.</w:t>
            </w:r>
            <w:r>
              <w:tab/>
            </w:r>
            <w:r>
              <w:t xml:space="preserve">betont, dass die Auswirkungen des zweifachen Wandels (grüner und digitaler Wandel) auf die Arbeitswelt stärker angegangen </w:t>
            </w:r>
            <w:r>
              <w:rPr>
                <w:b/>
                <w:i/>
              </w:rPr>
              <w:t>und hervorgehoben</w:t>
            </w:r>
            <w:r>
              <w:t xml:space="preserve"> werden müssen, indem der Grundsatz der Kontrolle durch den Menschen bei künstlicher Intelligenz durch eine neue Gesetzgebungsinitiative zu KI am Arbeitsplatz und Algorithmus-Management verstärkt wird; hebt hervor, dass nachhaltige hochwertige Arbeitsplätze geschaffen werden müssen und gleichzeitig der Rechtsrahmen für die Bewältigung und Vorbereitung des Übergangs gestärkt, die Rolle und Teilhabe der Sozialpartner gefördert und die Eingliederung in den Arbeitsmarkt unterstützt werden muss; </w:t>
            </w:r>
            <w:r>
              <w:rPr>
                <w:b/>
                <w:i/>
              </w:rPr>
              <w:t>warnt davor, wie sich KI auf Umweltabfälle auswirkt, insbesondere was die massive Nutzung von Wasserressourcen betrifft, und fordert die Kommission auf, eine Folgenabschätzung durchzuführen und KI-Systeme zu regulieren, die nicht mit dem grünen Wandel und den Klimazielen im Einklang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Auswirkungen des zweifachen Wandels (grüner und digitaler Wandel) auf die Arbeitswelt stärker angegangen werden müssen, indem der Grundsatz der Kontrolle durch den Menschen bei künstlicher Intelligenz durch eine neue Gesetzgebungsinitiative zu KI am Arbeitsplatz und Algorithmus-Management verstärkt wird; hebt hervor, dass nachhaltige hochwertige Arbeitsplätze geschaffen werden müssen </w:t>
            </w:r>
            <w:r>
              <w:rPr>
                <w:b/>
                <w:i/>
              </w:rPr>
              <w:t>und</w:t>
            </w:r>
            <w:r>
              <w:t xml:space="preserve"> gleichzeitig der Rechtsrahmen für die Bewältigung und Vorbereitung des Übergangs gestärkt, die Rolle und Teilhabe der Sozialpartner gefördert und die Eingliederung in den Arbeitsmarkt unterstützt werden muss;</w:t>
            </w:r>
          </w:p>
        </w:tc>
        <w:tc>
          <w:tcPr>
            <w:tcW w:w="4876" w:type="dxa"/>
            <w:tcBorders>
              <w:top w:val="nil"/>
              <w:left w:val="nil"/>
              <w:bottom w:val="nil"/>
              <w:right w:val="nil"/>
            </w:tcBorders>
          </w:tcPr>
          <w:p>
            <w:pPr>
              <w:pStyle w:val="Normal6a"/>
            </w:pPr>
            <w:r>
              <w:t>8.</w:t>
            </w:r>
            <w:r>
              <w:tab/>
            </w:r>
            <w:r>
              <w:t xml:space="preserve">betont, dass die Auswirkungen des zweifachen Wandels (grüner und digitaler Wandel) auf die Arbeitswelt stärker angegangen werden müssen, indem der Grundsatz der Kontrolle durch den Menschen bei künstlicher Intelligenz durch eine neue Gesetzgebungsinitiative zu KI am Arbeitsplatz und Algorithmus-Management verstärkt wird </w:t>
            </w:r>
            <w:r>
              <w:rPr>
                <w:b/>
                <w:i/>
              </w:rPr>
              <w:t>und es ein Recht auf Nichterreichbarkeit gibt, um die Vereinbarkeit von Beruf und Privatleben zu gewährleisten</w:t>
            </w:r>
            <w:r>
              <w:t>; hebt hervor, dass nachhaltige hochwertige Arbeitsplätze geschaffen werden müssen</w:t>
            </w:r>
            <w:r>
              <w:rPr>
                <w:b/>
                <w:i/>
              </w:rPr>
              <w:t>, um Arbeitsplätze zu ersetzen, die im Zuge des grünen und des digitalen Wandels verloren gingen oder umgewandelt wurden, und dass</w:t>
            </w:r>
            <w:r>
              <w:t xml:space="preserve"> gleichzeitig der Rechtsrahmen für die Bewältigung und Vorbereitung des Übergangs gestärkt, die Rolle und Teilhabe der Sozialpartner gefördert und die Eingliederung in den Arbeitsmarkt unterstützt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betont, dass die Auswirkungen des zweifachen Wandels (grüner und digitaler Wandel) auf die Arbeitswelt stärker angegangen werden müssen, indem der Grundsatz der Kontrolle durch den Menschen bei künstlicher Intelligenz durch eine neue Gesetzgebungsinitiative zu KI am Arbeitsplatz und </w:t>
            </w:r>
            <w:r>
              <w:rPr>
                <w:b/>
                <w:i/>
              </w:rPr>
              <w:t>Algorithmus-Management</w:t>
            </w:r>
            <w:r>
              <w:t xml:space="preserve"> verstärkt wird; hebt hervor, dass nachhaltige hochwertige Arbeitsplätze geschaffen werden müssen und gleichzeitig der Rechtsrahmen für die Bewältigung und Vorbereitung des Übergangs gestärkt, die Rolle und Teilhabe der Sozialpartner gefördert und die Eingliederung in den Arbeitsmarkt unterstützt werden muss;</w:t>
            </w:r>
          </w:p>
        </w:tc>
        <w:tc>
          <w:tcPr>
            <w:tcW w:w="4876" w:type="dxa"/>
            <w:tcBorders>
              <w:top w:val="nil"/>
              <w:left w:val="nil"/>
              <w:bottom w:val="nil"/>
              <w:right w:val="nil"/>
            </w:tcBorders>
          </w:tcPr>
          <w:p>
            <w:pPr>
              <w:pStyle w:val="Normal6a"/>
            </w:pPr>
            <w:r>
              <w:t>8.</w:t>
            </w:r>
            <w:r>
              <w:tab/>
            </w:r>
            <w:r>
              <w:t xml:space="preserve">betont, dass die Auswirkungen des zweifachen Wandels (grüner und digitaler Wandel) auf die Arbeitswelt stärker angegangen werden müssen, indem der Grundsatz der Kontrolle durch den Menschen bei künstlicher Intelligenz durch eine neue Gesetzgebungsinitiative zu KI am Arbeitsplatz und </w:t>
            </w:r>
            <w:r>
              <w:rPr>
                <w:b/>
                <w:i/>
              </w:rPr>
              <w:t>die Verfügbarkeit von günstigerer Energie für den Betrieb von Serverfarmen im Zusammenhang mit der Algorithmenkontrolle</w:t>
            </w:r>
            <w:r>
              <w:t xml:space="preserve"> verstärkt wird; hebt hervor, dass nachhaltige hochwertige Arbeitsplätze geschaffen werden müssen und gleichzeitig der Rechtsrahmen für die Bewältigung und Vorbereitung des Übergangs gestärkt, die Rolle und Teilhabe der Sozialpartner gefördert und die Eingliederung in den Arbeitsmarkt unterstützt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Bereitstellung </w:t>
            </w:r>
            <w:r>
              <w:rPr>
                <w:b/>
                <w:i/>
              </w:rPr>
              <w:t>hochwertiger</w:t>
            </w:r>
            <w:r>
              <w:t xml:space="preserve"> Bildungsmaßnahmen, </w:t>
            </w:r>
            <w:r>
              <w:rPr>
                <w:b/>
                <w:i/>
              </w:rPr>
              <w:t>mit denen</w:t>
            </w:r>
            <w:r>
              <w:t xml:space="preserve"> lebenslanges Lernen gefördert wird, </w:t>
            </w:r>
            <w:r>
              <w:rPr>
                <w:b/>
                <w:i/>
              </w:rPr>
              <w:t>und der</w:t>
            </w:r>
            <w:r>
              <w:t xml:space="preserve"> Zugang dazu </w:t>
            </w:r>
            <w:r>
              <w:rPr>
                <w:b/>
                <w:i/>
              </w:rPr>
              <w:t>stärker</w:t>
            </w:r>
            <w:r>
              <w:t xml:space="preserve"> sichergestellt werden müssen; nimmt zur Kenntnis, dass Weiterbildungs-, Umschulungs- und Ausbildungsprogramme für alle Arbeitnehmer, einschließlich derjenigen mit Behinderungen, zur Verfügung stehen müssen und dass sie auch an die Bedürfnisse und Fähigkeiten der Arbeitnehmer angepasst werden sollten;</w:t>
            </w:r>
          </w:p>
        </w:tc>
        <w:tc>
          <w:tcPr>
            <w:tcW w:w="4876" w:type="dxa"/>
            <w:tcBorders>
              <w:top w:val="nil"/>
              <w:left w:val="nil"/>
              <w:bottom w:val="nil"/>
              <w:right w:val="nil"/>
            </w:tcBorders>
          </w:tcPr>
          <w:p>
            <w:pPr>
              <w:pStyle w:val="Normal6a"/>
            </w:pPr>
            <w:r>
              <w:t>9.</w:t>
            </w:r>
            <w:r>
              <w:tab/>
            </w:r>
            <w:r>
              <w:t xml:space="preserve">betont, dass die Bereitstellung </w:t>
            </w:r>
            <w:r>
              <w:rPr>
                <w:b/>
                <w:i/>
              </w:rPr>
              <w:t>einer hochwertigen und unentgeltlichen öffentlichen Bildung und von hochwertigen</w:t>
            </w:r>
            <w:r>
              <w:t xml:space="preserve"> Bildungsmaßnahmen, </w:t>
            </w:r>
            <w:r>
              <w:rPr>
                <w:b/>
                <w:i/>
              </w:rPr>
              <w:t>in deren Folge zumindest ein angemessener Mindestlohn gegeben ist und</w:t>
            </w:r>
            <w:r>
              <w:t xml:space="preserve"> lebenslanges Lernen gefördert wird, </w:t>
            </w:r>
            <w:r>
              <w:rPr>
                <w:b/>
                <w:i/>
              </w:rPr>
              <w:t>sowie der allgemeine</w:t>
            </w:r>
            <w:r>
              <w:t xml:space="preserve"> Zugang dazu </w:t>
            </w:r>
            <w:r>
              <w:rPr>
                <w:b/>
                <w:i/>
              </w:rPr>
              <w:t>weiter</w:t>
            </w:r>
            <w:r>
              <w:t xml:space="preserve"> sichergestellt werden müssen; nimmt zur Kenntnis, dass Weiterbildungs-, Umschulungs- und Ausbildungsprogramme </w:t>
            </w:r>
            <w:r>
              <w:rPr>
                <w:b/>
                <w:i/>
              </w:rPr>
              <w:t>samt einer Ausbildungsvergütung</w:t>
            </w:r>
            <w:r>
              <w:t xml:space="preserve"> für alle Arbeitnehmer, einschließlich derjenigen mit Behinderungen, zur Verfügung stehen müssen und dass sie auch an die Bedürfnisse und Fähigkeiten der Arbeitnehmer angepasst werden sollten; </w:t>
            </w:r>
            <w:r>
              <w:rPr>
                <w:b/>
                <w:i/>
              </w:rPr>
              <w:t>betont ferner, dass die Verschuldung von Studierenden durch Studienbeihilfen verhindert werden und dass die Enschreibung an Hochschulen gebührenfrei sein sollte, um eine Armutsfalle für junge Menschen mit niedrigem Einkommen zu vermeiden;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die Bereitstellung hochwertiger Bildungsmaßnahmen, mit denen lebenslanges Lernen gefördert wird, und der Zugang dazu stärker sichergestellt werden müssen; nimmt zur Kenntnis, dass Weiterbildungs-, Umschulungs- und Ausbildungsprogramme für alle Arbeitnehmer, einschließlich derjenigen mit Behinderungen, zur Verfügung stehen müssen und dass sie auch an die Bedürfnisse und Fähigkeiten der Arbeitnehmer angepasst werden sollten;</w:t>
            </w:r>
          </w:p>
        </w:tc>
        <w:tc>
          <w:tcPr>
            <w:tcW w:w="4876" w:type="dxa"/>
            <w:tcBorders>
              <w:top w:val="nil"/>
              <w:left w:val="nil"/>
              <w:bottom w:val="nil"/>
              <w:right w:val="nil"/>
            </w:tcBorders>
          </w:tcPr>
          <w:p>
            <w:pPr>
              <w:pStyle w:val="Normal6a"/>
            </w:pPr>
            <w:r>
              <w:t>9.</w:t>
            </w:r>
            <w:r>
              <w:tab/>
            </w:r>
            <w:r>
              <w:t xml:space="preserve">betont, dass die Bereitstellung hochwertiger Bildungsmaßnahmen, mit denen lebenslanges Lernen gefördert wird, und der Zugang dazu stärker sichergestellt werden müssen; nimmt zur Kenntnis, dass </w:t>
            </w:r>
            <w:r>
              <w:rPr>
                <w:b/>
                <w:i/>
              </w:rPr>
              <w:t>strategische</w:t>
            </w:r>
            <w:r>
              <w:t xml:space="preserve"> Weiterbildungs-, Umschulungs- und Ausbildungsprogramme für alle Arbeitnehmer, einschließlich derjenigen mit Behinderungen, zur Verfügung stehen müssen und dass sie auch an die Bedürfnisse und Fähigkeiten der Arbeitnehmer angepasst werden sollten; </w:t>
            </w:r>
            <w:r>
              <w:rPr>
                <w:b/>
                <w:i/>
              </w:rPr>
              <w:t>fordert, dass auf EU-Ebene ein individuelles Recht auf Schulungen und Weiterbildungsmaßnahmen für Arbeitnehmer eingeführt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Bereitstellung hochwertiger Bildungsmaßnahmen, mit denen lebenslanges Lernen gefördert wird, und der Zugang dazu stärker sichergestellt werden müssen; nimmt zur Kenntnis, dass Weiterbildungs-, Umschulungs- und Ausbildungsprogramme </w:t>
            </w:r>
            <w:r>
              <w:rPr>
                <w:b/>
                <w:i/>
              </w:rPr>
              <w:t>für alle</w:t>
            </w:r>
            <w:r>
              <w:t xml:space="preserve"> Arbeitnehmer, einschließlich derjenigen mit Behinderungen, zur Verfügung stehen </w:t>
            </w:r>
            <w:r>
              <w:rPr>
                <w:b/>
                <w:i/>
              </w:rPr>
              <w:t>müssen</w:t>
            </w:r>
            <w:r>
              <w:t xml:space="preserve"> und dass sie auch an die Bedürfnisse und Fähigkeiten der Arbeitnehmer angepasst werden sollten;</w:t>
            </w:r>
          </w:p>
        </w:tc>
        <w:tc>
          <w:tcPr>
            <w:tcW w:w="4876" w:type="dxa"/>
            <w:tcBorders>
              <w:top w:val="nil"/>
              <w:left w:val="nil"/>
              <w:bottom w:val="nil"/>
              <w:right w:val="nil"/>
            </w:tcBorders>
          </w:tcPr>
          <w:p>
            <w:pPr>
              <w:pStyle w:val="Normal6a"/>
            </w:pPr>
            <w:r>
              <w:t>9.</w:t>
            </w:r>
            <w:r>
              <w:tab/>
            </w:r>
            <w:r>
              <w:t xml:space="preserve">betont, dass die Bereitstellung hochwertiger Bildungsmaßnahmen, mit denen lebenslanges Lernen gefördert wird, und der Zugang dazu stärker sichergestellt werden müssen; nimmt zur Kenntnis, dass Weiterbildungs-, Umschulungs- und Ausbildungsprogramme </w:t>
            </w:r>
            <w:r>
              <w:rPr>
                <w:b/>
                <w:i/>
              </w:rPr>
              <w:t>nur für europäische</w:t>
            </w:r>
            <w:r>
              <w:t xml:space="preserve"> Arbeitnehmer, einschließlich derjenigen mit Behinderungen, zur Verfügung stehen </w:t>
            </w:r>
            <w:r>
              <w:rPr>
                <w:b/>
                <w:i/>
              </w:rPr>
              <w:t>dürfen</w:t>
            </w:r>
            <w:r>
              <w:t xml:space="preserve"> und dass sie auch an die Bedürfnisse und Fähigkeiten der Arbeitnehmer angepasst werden sollten;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w:t>
            </w:r>
            <w:r>
              <w:rPr>
                <w:b/>
                <w:i/>
              </w:rPr>
              <w:t>und dass es einen allgemeinen Zugang zu einem gerechten Übergang für alle geben</w:t>
            </w:r>
            <w:r>
              <w:t xml:space="preserve">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 </w:t>
            </w:r>
            <w:r>
              <w:rPr>
                <w:b/>
                <w:i/>
              </w:rPr>
              <w:t>fordert die Mitgliedstaaten auf, einen auf universellen Rechten beruhenden Zugang zu hochwertigen öffentlichen Dienstleistungen zu gewährleisten und in diese zu investieren;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w:t>
            </w:r>
            <w:r>
              <w:rPr>
                <w:b/>
                <w:i/>
              </w:rPr>
              <w:t>aktuell oder künftig</w:t>
            </w:r>
            <w:r>
              <w:t xml:space="preserve"> – zurückgelassen werden sollte; fordert, dass Initiativen zur Unterstützung junger und alter Menschen </w:t>
            </w:r>
            <w:r>
              <w:rPr>
                <w:b/>
                <w:i/>
              </w:rPr>
              <w:t>sowie</w:t>
            </w:r>
            <w:r>
              <w:t xml:space="preserve"> Maßnahmen </w:t>
            </w:r>
            <w:r>
              <w:rPr>
                <w:b/>
                <w:i/>
              </w:rPr>
              <w:t>für entvölkerte Regionen vorgelegt werden</w:t>
            </w:r>
            <w:r>
              <w:t xml:space="preserve">, z. B. </w:t>
            </w:r>
            <w:r>
              <w:rPr>
                <w:b/>
                <w:i/>
              </w:rPr>
              <w:t>besserer</w:t>
            </w:r>
            <w:r>
              <w:t xml:space="preserve"> Zugang zu Infrastruktur, einschließlich Verkehr, digitale Vernetzung und </w:t>
            </w:r>
            <w:r>
              <w:rPr>
                <w:b/>
                <w:i/>
              </w:rPr>
              <w:t>erschwinglicher</w:t>
            </w:r>
            <w:r>
              <w:t xml:space="preserve">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w:t>
            </w:r>
            <w:r>
              <w:rPr>
                <w:b/>
                <w:i/>
              </w:rPr>
              <w:t>in der Gegenwart oder in der Zukunft</w:t>
            </w:r>
            <w:r>
              <w:t xml:space="preserve"> – zurückgelassen werden sollte; fordert, dass Initiativen zur Unterstützung junger und alter Menschen </w:t>
            </w:r>
            <w:r>
              <w:rPr>
                <w:b/>
                <w:i/>
              </w:rPr>
              <w:t>eingebracht werden, die ihren jeweiligen Beitrag widerspiegeln, wenn es darum geht, mehr Kinder zu bekommen und die generationenübergreifende Zusammenarbeit und auf Familien ausgerichtete</w:t>
            </w:r>
            <w:r>
              <w:t xml:space="preserve"> Maßnahmen </w:t>
            </w:r>
            <w:r>
              <w:rPr>
                <w:b/>
                <w:i/>
              </w:rPr>
              <w:t>zu stärken, damit der Entvölkerung entgegengewirkt wird</w:t>
            </w:r>
            <w:r>
              <w:t xml:space="preserve">, z. B. </w:t>
            </w:r>
            <w:r>
              <w:rPr>
                <w:b/>
                <w:i/>
              </w:rPr>
              <w:t>durch einen besseren</w:t>
            </w:r>
            <w:r>
              <w:t xml:space="preserve"> Zugang zu Infrastruktur, einschließlich Verkehr, digitale Vernetzung und </w:t>
            </w:r>
            <w:r>
              <w:rPr>
                <w:b/>
                <w:i/>
              </w:rPr>
              <w:t>erschwinglichen</w:t>
            </w:r>
            <w:r>
              <w:t xml:space="preserve"> Wohnraum, öffentliche Dienste, Gesundheitsversorgung, Pflege und Bildung, und dass in bessere Erwerbsmöglichkeiten investiert wird, um Entvölkerung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sollte; </w:t>
            </w:r>
            <w:r>
              <w:rPr>
                <w:b/>
                <w:i/>
              </w:rPr>
              <w:t>bedauert in diesem Zusammenhang den neuen Ansatz der Kommission, die Kohäsionspolitik zur Aufstockung der Verteidigungsausgaben heranzuziehen;</w:t>
            </w:r>
            <w:r>
              <w:t xml:space="preserve"> fordert </w:t>
            </w:r>
            <w:r>
              <w:rPr>
                <w:b/>
                <w:i/>
              </w:rPr>
              <w:t>stattdessen</w:t>
            </w:r>
            <w:r>
              <w:t xml:space="preserve">, dass Initiativen zur Unterstützung junger und alter Menschen sowie Maßnahmen für entvölkerte Regionen vorgelegt werden, z. B. besserer </w:t>
            </w:r>
            <w:r>
              <w:rPr>
                <w:b/>
                <w:i/>
              </w:rPr>
              <w:t>und barrierefreier</w:t>
            </w:r>
            <w:r>
              <w:t xml:space="preserve"> Zugang zu Infrastruktur, einschließlich Verkehr, digitale Vernetzung und erschwinglicher Wohnraum, öffentliche Dienste, Gesundheitsversorgung, Pflege und Bildung, und dass in bessere Erwerbsmöglichkeiten investiert wird, um Entvölkerung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r>
              <w:rPr>
                <w:b/>
                <w:i/>
              </w:rPr>
              <w:t>, ohne die Einwanderung aus Drittländern heranzuziehen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w:t>
            </w:r>
            <w:r>
              <w:rPr>
                <w:b/>
                <w:i/>
              </w:rPr>
              <w:t>Pflege</w:t>
            </w:r>
            <w:r>
              <w:t xml:space="preserv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w:t>
            </w:r>
            <w:r>
              <w:rPr>
                <w:b/>
                <w:i/>
              </w:rPr>
              <w:t>öffentlicher</w:t>
            </w:r>
            <w:r>
              <w:t xml:space="preserve"> Verkehr, digitale Vernetzung und erschwinglicher Wohnraum, öffentliche Dienste, Gesundheitsversorgung, </w:t>
            </w:r>
            <w:r>
              <w:rPr>
                <w:b/>
                <w:i/>
              </w:rPr>
              <w:t>Langzeitpflege und frühkindliche Betreuung</w:t>
            </w:r>
            <w:r>
              <w:t xml:space="preserve"> und Bildung, und dass in bessere Erwerbsmöglichkeiten investiert wird, um Entvölkerung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w:t>
            </w:r>
            <w:r>
              <w:rPr>
                <w:b/>
                <w:i/>
              </w:rPr>
              <w:t>und</w:t>
            </w:r>
            <w:r>
              <w:t xml:space="preserve">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mit Blick auf die Klima- und Biodiversitätskrise und die wirtschaftlichen und demografischen Herausforderungen keine Generation oder Region in der EU – ob aktuell oder künftig – zurückgelassen werden sollte; fordert, dass Initiativen zur Unterstützung junger </w:t>
            </w:r>
            <w:r>
              <w:rPr>
                <w:b/>
                <w:i/>
              </w:rPr>
              <w:t>Menschen,</w:t>
            </w:r>
            <w:r>
              <w:t xml:space="preserve"> alter Menschen </w:t>
            </w:r>
            <w:r>
              <w:rPr>
                <w:b/>
                <w:i/>
              </w:rPr>
              <w:t>und von Menschen mit Behinderungen</w:t>
            </w:r>
            <w:r>
              <w:t xml:space="preserve">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weist darauf hin, dass </w:t>
            </w:r>
            <w:r>
              <w:rPr>
                <w:b/>
                <w:i/>
              </w:rPr>
              <w:t>mit Blick auf die Klima- und Biodiversitätskrise und die</w:t>
            </w:r>
            <w:r>
              <w:t xml:space="preserv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c>
          <w:tcPr>
            <w:tcW w:w="4876" w:type="dxa"/>
            <w:tcBorders>
              <w:top w:val="nil"/>
              <w:left w:val="nil"/>
              <w:bottom w:val="nil"/>
              <w:right w:val="nil"/>
            </w:tcBorders>
          </w:tcPr>
          <w:p>
            <w:pPr>
              <w:pStyle w:val="Normal6a"/>
            </w:pPr>
            <w:r>
              <w:t>10.</w:t>
            </w:r>
            <w:r>
              <w:tab/>
            </w:r>
            <w:r>
              <w:t xml:space="preserve">weist darauf hin, dass </w:t>
            </w:r>
            <w:r>
              <w:rPr>
                <w:b/>
                <w:i/>
              </w:rPr>
              <w:t>angesichts der</w:t>
            </w:r>
            <w:r>
              <w:t xml:space="preserve"> wirtschaftlichen und demografischen Herausforderungen keine Generation oder Region in der EU – ob aktuell oder künftig – zurückgelassen werden sollte; fordert, dass Initiativen zur Unterstützung junger und alter Menschen sowie Maßnahmen für entvölkerte Regionen vorgelegt werden, z. B. besserer Zugang zu Infrastruktur, einschließlich Verkehr, digitale Vernetzung und erschwinglicher Wohnraum, öffentliche Dienste, Gesundheitsversorgung, Pflege und Bildung, und dass in bessere Erwerbsmöglichkeiten investiert wird, um Entvölkerung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fordert mit Nachdruck, dass Veränderungen der Arbeitskräfte und Unternehmen in der EU unterstützt werden, wenn es sich um einen Wandel hin zu einer grünen Wirtschaft handelt;</w:t>
            </w:r>
            <w:r>
              <w:t xml:space="preserve"> </w:t>
            </w:r>
            <w:r>
              <w:rPr>
                <w:b/>
                <w:i/>
              </w:rPr>
              <w:t>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fordert mit Nachdruck, dass Veränderungen der Arbeitskräfte und Unternehmen in der EU unterstützt werden, wenn es sich um einen Wandel hin zu einer grünen Wirtschaft handelt;</w:t>
            </w:r>
            <w:r>
              <w:t xml:space="preserve"> </w:t>
            </w:r>
            <w:r>
              <w:rPr>
                <w:b/>
                <w:i/>
              </w:rPr>
              <w:t>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mit Nachdruck</w:t>
            </w:r>
            <w:r>
              <w:rPr>
                <w:b/>
                <w:i/>
              </w:rPr>
              <w:t>, dass Veränderungen der Arbeitskräfte</w:t>
            </w:r>
            <w:r>
              <w:t xml:space="preserve"> und Unternehmen </w:t>
            </w:r>
            <w:r>
              <w:rPr>
                <w:b/>
                <w:i/>
              </w:rPr>
              <w:t>in der EU</w:t>
            </w:r>
            <w:r>
              <w:t xml:space="preserve"> unterstützt werden</w:t>
            </w:r>
            <w:r>
              <w:rPr>
                <w:b/>
                <w:i/>
              </w:rPr>
              <w:t>, wenn es sich um einen Wandel hin zu einer grünen Wirtschaft handelt</w:t>
            </w:r>
            <w:r>
              <w:t xml:space="preserve">; stellt fest, dass </w:t>
            </w:r>
            <w:r>
              <w:rPr>
                <w:b/>
                <w:i/>
              </w:rPr>
              <w:t>der Prozess der</w:t>
            </w:r>
            <w:r>
              <w:t xml:space="preserve"> Anpassung an den Klimawandel und </w:t>
            </w:r>
            <w:r>
              <w:rPr>
                <w:b/>
                <w:i/>
              </w:rPr>
              <w:t>seiner Bekämpfung, wenn er</w:t>
            </w:r>
            <w:r>
              <w:t xml:space="preserve"> durch einen tragfähigen sozialen Dialog gestaltet </w:t>
            </w:r>
            <w:r>
              <w:rPr>
                <w:b/>
                <w:i/>
              </w:rPr>
              <w:t>wurde, widerstandsfähigere</w:t>
            </w:r>
            <w:r>
              <w:t xml:space="preserve"> Ökosysteme, </w:t>
            </w:r>
            <w:r>
              <w:rPr>
                <w:b/>
                <w:i/>
              </w:rPr>
              <w:t>neue menschenwürdige</w:t>
            </w:r>
            <w:r>
              <w:t xml:space="preserve"> Arbeitsplätze </w:t>
            </w:r>
            <w:r>
              <w:rPr>
                <w:b/>
                <w:i/>
              </w:rPr>
              <w:t>und</w:t>
            </w:r>
            <w:r>
              <w:t xml:space="preserve"> nachhaltige </w:t>
            </w:r>
            <w:r>
              <w:rPr>
                <w:b/>
                <w:i/>
              </w:rPr>
              <w:t>Unternehmen sowie</w:t>
            </w:r>
            <w:r>
              <w:t xml:space="preserve"> inklusivere Gesellschaften hervorbringen </w:t>
            </w:r>
            <w:r>
              <w:rPr>
                <w:b/>
                <w:i/>
              </w:rPr>
              <w:t>kann</w:t>
            </w:r>
            <w:r>
              <w:t>, ohne dass jemand zurückbleibt;</w:t>
            </w:r>
          </w:p>
        </w:tc>
        <w:tc>
          <w:tcPr>
            <w:tcW w:w="4876" w:type="dxa"/>
            <w:tcBorders>
              <w:top w:val="nil"/>
              <w:left w:val="nil"/>
              <w:bottom w:val="nil"/>
              <w:right w:val="nil"/>
            </w:tcBorders>
          </w:tcPr>
          <w:p>
            <w:pPr>
              <w:pStyle w:val="Normal6a"/>
            </w:pPr>
            <w:r>
              <w:t>11.</w:t>
            </w:r>
            <w:r>
              <w:tab/>
            </w:r>
            <w:r>
              <w:t xml:space="preserve">fordert </w:t>
            </w:r>
            <w:r>
              <w:rPr>
                <w:b/>
                <w:i/>
              </w:rPr>
              <w:t>die EU und die Mitgliedstaaten</w:t>
            </w:r>
            <w:r>
              <w:t xml:space="preserve"> mit Nachdruck </w:t>
            </w:r>
            <w:r>
              <w:rPr>
                <w:b/>
                <w:i/>
              </w:rPr>
              <w:t>auf, dafür zu sorgen, dass sich der grüne Wandel sozial gerecht vollzieht und Arbeitnehmer, Haushalte, Regionen</w:t>
            </w:r>
            <w:r>
              <w:t xml:space="preserve"> und Unternehmen</w:t>
            </w:r>
            <w:r>
              <w:rPr>
                <w:b/>
                <w:i/>
              </w:rPr>
              <w:t>, die von Strukturveränderungen und den neuen Anforderungen auf dem Arbeitsmarkt betroffen sind, gezielt</w:t>
            </w:r>
            <w:r>
              <w:t xml:space="preserve"> unterstützt werden; stellt fest, dass </w:t>
            </w:r>
            <w:r>
              <w:rPr>
                <w:b/>
                <w:i/>
              </w:rPr>
              <w:t>Strategien zur</w:t>
            </w:r>
            <w:r>
              <w:t xml:space="preserve"> Anpassung an den Klimawandel und </w:t>
            </w:r>
            <w:r>
              <w:rPr>
                <w:b/>
                <w:i/>
              </w:rPr>
              <w:t>zur Eindämmung des Klimawandels, wenn sie</w:t>
            </w:r>
            <w:r>
              <w:t xml:space="preserve"> durch einen tragfähigen sozialen Dialog gestaltet </w:t>
            </w:r>
            <w:r>
              <w:rPr>
                <w:b/>
                <w:i/>
              </w:rPr>
              <w:t>werden, widerstandsfähige wirtschaftliche</w:t>
            </w:r>
            <w:r>
              <w:t xml:space="preserve"> Ökosysteme, </w:t>
            </w:r>
            <w:r>
              <w:rPr>
                <w:b/>
                <w:i/>
              </w:rPr>
              <w:t>hochwertige</w:t>
            </w:r>
            <w:r>
              <w:t xml:space="preserve"> Arbeitsplätze</w:t>
            </w:r>
            <w:r>
              <w:rPr>
                <w:b/>
                <w:i/>
              </w:rPr>
              <w:t>,</w:t>
            </w:r>
            <w:r>
              <w:t xml:space="preserve"> nachhaltige </w:t>
            </w:r>
            <w:r>
              <w:rPr>
                <w:b/>
                <w:i/>
              </w:rPr>
              <w:t>Geschäftsmodelle und</w:t>
            </w:r>
            <w:r>
              <w:t xml:space="preserve"> inklusivere Gesellschaften hervorbringen </w:t>
            </w:r>
            <w:r>
              <w:rPr>
                <w:b/>
                <w:i/>
              </w:rPr>
              <w:t>können</w:t>
            </w:r>
            <w:r>
              <w:t xml:space="preserve">, ohne dass jemand zurückbleibt; </w:t>
            </w:r>
            <w:r>
              <w:rPr>
                <w:b/>
                <w:i/>
              </w:rPr>
              <w:t>fordert, dass dringend ökologische Sozialschutzsysteme und Investitionen eingerichtet werden, um für Umweltgerechtigkeit zu sorgen und die Menschen vor den Auswirkungen des Klimawandels zu schützen;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mit Nachdruck, dass Veränderungen der Arbeitskräfte und Unternehmen in der EU unterstützt werden, wenn es sich um einen Wandel hin zu einer grünen Wirtschaft handelt; 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w:t>
            </w:r>
          </w:p>
        </w:tc>
        <w:tc>
          <w:tcPr>
            <w:tcW w:w="4876" w:type="dxa"/>
            <w:tcBorders>
              <w:top w:val="nil"/>
              <w:left w:val="nil"/>
              <w:bottom w:val="nil"/>
              <w:right w:val="nil"/>
            </w:tcBorders>
          </w:tcPr>
          <w:p>
            <w:pPr>
              <w:pStyle w:val="Normal6a"/>
            </w:pPr>
            <w:r>
              <w:t>11.</w:t>
            </w:r>
            <w:r>
              <w:tab/>
            </w:r>
            <w:r>
              <w:t xml:space="preserve">fordert mit Nachdruck, dass Veränderungen der Arbeitskräfte und Unternehmen in der EU unterstützt werden, wenn es sich um einen Wandel hin zu einer grünen Wirtschaft handelt; 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 </w:t>
            </w:r>
            <w:r>
              <w:rPr>
                <w:b/>
                <w:i/>
              </w:rPr>
              <w:t>fordert die Kommission auf, eine Richtlinie über einen gerechten Übergang in der Arbeitswelt vorzulegen, um sicherzustellen, dass diese Grundsätze auf Unionsebene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mit Nachdruck, dass Veränderungen der Arbeitskräfte und Unternehmen in der EU unterstützt werden, wenn es sich um einen Wandel hin zu einer grünen Wirtschaft handelt; 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w:t>
            </w:r>
          </w:p>
        </w:tc>
        <w:tc>
          <w:tcPr>
            <w:tcW w:w="4876" w:type="dxa"/>
            <w:tcBorders>
              <w:top w:val="nil"/>
              <w:left w:val="nil"/>
              <w:bottom w:val="nil"/>
              <w:right w:val="nil"/>
            </w:tcBorders>
          </w:tcPr>
          <w:p>
            <w:pPr>
              <w:pStyle w:val="Normal6a"/>
            </w:pPr>
            <w:r>
              <w:t>11.</w:t>
            </w:r>
            <w:r>
              <w:tab/>
            </w:r>
            <w:r>
              <w:t xml:space="preserve">fordert mit Nachdruck, dass Veränderungen der Arbeitskräfte und Unternehmen in der EU unterstützt werden, wenn es sich um einen </w:t>
            </w:r>
            <w:r>
              <w:rPr>
                <w:b/>
                <w:i/>
              </w:rPr>
              <w:t>sinnvollen</w:t>
            </w:r>
            <w:r>
              <w:t xml:space="preserve"> Wandel hin zu einer grünen Wirtschaft handelt; stellt fest, dass der Prozess der Anpassung an den Klimawandel und seiner Bekämpfung, wenn er durch einen tragfähigen sozialen Dialog gestaltet wurde, widerstandsfähigere Ökosysteme, neue menschenwürdige Arbeitsplätze und nachhaltige Unternehmen sowie inklusivere Gesellschaften hervorbringen kann, ohne dass jemand zurückbleibt;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hebt die Rolle hervor, die die Sozialwirtschaft bei der Förderung des grünen Wandels spielt;</w:t>
            </w:r>
            <w:r>
              <w:t xml:space="preserve"> </w:t>
            </w:r>
            <w:r>
              <w:rPr>
                <w:b/>
                <w:i/>
              </w:rPr>
              <w:t>stellt fest, dass viele Organisationen der Sozialwirtschaft nachhaltige und grüne Verfahren entwickeln und den Menschen helfen, sich an eine grünere Wirtschaft anzupassen und zu ihr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fordert mehr Unterstützung bei der Eingliederung Drittstaatsangehöriger im EU-Arbeitsmarkt und die vollständige Ausschöpfung ihrer Talente und ihres Potenzials unter guten Arbeitsbedingungen, während gleichzeitig eine wirksame Integrationspolitik unterstützt wird, und zwar in vollständiger Komplementarität mit der Erschließung von Talenten aus der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mehr Unterstützung bei der Eingliederung Drittstaatsangehöriger im EU-Arbeitsmarkt und die vollständige Ausschöpfung ihrer Talente und ihres Potenzials unter guten Arbeitsbedingungen, während gleichzeitig eine wirksame Integrationspolitik unterstützt wird, und zwar in vollständiger Komplementarität mit der Erschließung von Talenten aus der Union;</w:t>
            </w:r>
          </w:p>
        </w:tc>
        <w:tc>
          <w:tcPr>
            <w:tcW w:w="4876" w:type="dxa"/>
            <w:tcBorders>
              <w:top w:val="nil"/>
              <w:left w:val="nil"/>
              <w:bottom w:val="nil"/>
              <w:right w:val="nil"/>
            </w:tcBorders>
          </w:tcPr>
          <w:p>
            <w:pPr>
              <w:pStyle w:val="Normal6a"/>
            </w:pPr>
            <w:r>
              <w:t>12.</w:t>
            </w:r>
            <w:r>
              <w:tab/>
            </w:r>
            <w:r>
              <w:t xml:space="preserve">fordert mehr Unterstützung bei der Eingliederung Drittstaatsangehöriger im EU-Arbeitsmarkt und die vollständige Ausschöpfung ihrer Talente und ihres Potenzials unter guten Arbeitsbedingungen </w:t>
            </w:r>
            <w:r>
              <w:rPr>
                <w:b/>
                <w:i/>
              </w:rPr>
              <w:t>und bei Sicherstellung von Gleichbehandlung</w:t>
            </w:r>
            <w:r>
              <w:t xml:space="preserve">, während gleichzeitig eine wirksame Integrationspolitik unterstützt wird, und zwar in vollständiger Komplementarität mit der Erschließung von Talenten aus der Union; </w:t>
            </w:r>
            <w:r>
              <w:rPr>
                <w:b/>
                <w:i/>
              </w:rPr>
              <w:t>fordert die Legalisierung von Migranten ohne gültige Ausweispapiere in der EU, um einen Weg für die soziale und berufliche Eingliederung zu ebnen;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w:t>
            </w:r>
            <w:r>
              <w:rPr>
                <w:b/>
                <w:i/>
              </w:rPr>
              <w:t>mehr</w:t>
            </w:r>
            <w:r>
              <w:t xml:space="preserve"> Unterstützung bei der Eingliederung Drittstaatsangehöriger im EU-Arbeitsmarkt und die vollständige Ausschöpfung ihrer Talente und ihres Potenzials unter guten Arbeitsbedingungen, während gleichzeitig eine wirksame Integrationspolitik unterstützt wird, und zwar in vollständiger Komplementarität mit der Erschließung von Talenten aus der Union;</w:t>
            </w:r>
          </w:p>
        </w:tc>
        <w:tc>
          <w:tcPr>
            <w:tcW w:w="4876" w:type="dxa"/>
            <w:tcBorders>
              <w:top w:val="nil"/>
              <w:left w:val="nil"/>
              <w:bottom w:val="nil"/>
              <w:right w:val="nil"/>
            </w:tcBorders>
          </w:tcPr>
          <w:p>
            <w:pPr>
              <w:pStyle w:val="Normal6a"/>
            </w:pPr>
            <w:r>
              <w:t>12.</w:t>
            </w:r>
            <w:r>
              <w:tab/>
            </w:r>
            <w:r>
              <w:t xml:space="preserve">fordert Unterstützung bei der Eingliederung </w:t>
            </w:r>
            <w:r>
              <w:rPr>
                <w:b/>
                <w:i/>
              </w:rPr>
              <w:t>rechtmäßig in der EU aufhältiger</w:t>
            </w:r>
            <w:r>
              <w:t xml:space="preserve"> Drittstaatsangehöriger im EU-Arbeitsmarkt und die vollständige Ausschöpfung ihrer Talente und ihres Potenzials unter guten Arbeitsbedingungen, während gleichzeitig eine wirksame Integrationspolitik unterstützt wird, und zwar in vollständiger Komplementarität mit der Erschließung von Talenten aus der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mehr Unterstützung bei der Eingliederung Drittstaatsangehöriger im EU-Arbeitsmarkt und die vollständige Ausschöpfung ihrer Talente und ihres Potenzials </w:t>
            </w:r>
            <w:r>
              <w:rPr>
                <w:b/>
                <w:i/>
              </w:rPr>
              <w:t>unter guten</w:t>
            </w:r>
            <w:r>
              <w:t xml:space="preserve"> Arbeitsbedingungen, während gleichzeitig eine wirksame Integrationspolitik unterstützt wird, und zwar in vollständiger Komplementarität mit der Erschließung von Talenten aus der Union;</w:t>
            </w:r>
          </w:p>
        </w:tc>
        <w:tc>
          <w:tcPr>
            <w:tcW w:w="4876" w:type="dxa"/>
            <w:tcBorders>
              <w:top w:val="nil"/>
              <w:left w:val="nil"/>
              <w:bottom w:val="nil"/>
              <w:right w:val="nil"/>
            </w:tcBorders>
          </w:tcPr>
          <w:p>
            <w:pPr>
              <w:pStyle w:val="Normal6a"/>
            </w:pPr>
            <w:r>
              <w:t>12.</w:t>
            </w:r>
            <w:r>
              <w:tab/>
            </w:r>
            <w:r>
              <w:t>fordert mehr Unterstützung bei der Eingliederung Drittstaatsangehöriger im EU-Arbeitsmarkt und die vollständige Ausschöpfung ihrer Talente und ihres Potenzials</w:t>
            </w:r>
            <w:r>
              <w:rPr>
                <w:b/>
                <w:i/>
              </w:rPr>
              <w:t>, samt hochwertigen Arbeitsplätzen und</w:t>
            </w:r>
            <w:r>
              <w:t xml:space="preserve"> Arbeitsbedingungen, während gleichzeitig eine wirksame Integrationspolitik unterstützt wird, und zwar in vollständiger Komplementarität mit der Erschließung von Talenten aus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eine aufmerksame Beobachtung der aktiven Arbeitsmarktmaßnahmen und eine angemessene Einkommensförderung und soziale Absicherung zur Gewährleistung der gleichberechtigten Teilnahme derjenigen, die am weitesten vom Arbeitsmarkt entfernt sind, insbesondere Menschen mit Behinderungen </w:t>
            </w:r>
            <w:r>
              <w:rPr>
                <w:b/>
                <w:i/>
              </w:rPr>
              <w:t>und Roma</w:t>
            </w:r>
            <w:r>
              <w:t>;</w:t>
            </w:r>
          </w:p>
        </w:tc>
        <w:tc>
          <w:tcPr>
            <w:tcW w:w="4876" w:type="dxa"/>
            <w:tcBorders>
              <w:top w:val="nil"/>
              <w:left w:val="nil"/>
              <w:bottom w:val="nil"/>
              <w:right w:val="nil"/>
            </w:tcBorders>
          </w:tcPr>
          <w:p>
            <w:pPr>
              <w:pStyle w:val="Normal6a"/>
            </w:pPr>
            <w:r>
              <w:t>13.</w:t>
            </w:r>
            <w:r>
              <w:tab/>
            </w:r>
            <w:r>
              <w:t xml:space="preserve">fordert eine aufmerksame Beobachtung der aktiven Arbeitsmarktmaßnahmen und eine angemessene Einkommensförderung und soziale Absicherung zur Gewährleistung der gleichberechtigten Teilnahme derjenigen, die am weitesten vom Arbeitsmarkt entfernt sind, insbesondere </w:t>
            </w:r>
            <w:r>
              <w:rPr>
                <w:b/>
                <w:i/>
              </w:rPr>
              <w:t>Frauen,</w:t>
            </w:r>
            <w:r>
              <w:t xml:space="preserve"> Menschen mit Behinderungen</w:t>
            </w:r>
            <w:r>
              <w:rPr>
                <w:b/>
                <w:i/>
              </w:rPr>
              <w:t>, Wanderarbeitnehmer, Personen aus der LGBTIQ+-Gemeinschaft, junge Menschen, die ins Erwerbsleben eintreten, Roma</w:t>
            </w:r>
            <w:r>
              <w:t xml:space="preserve"> </w:t>
            </w:r>
            <w:r>
              <w:rPr>
                <w:b/>
                <w:i/>
              </w:rPr>
              <w:t>und Personen, die möglicherweise auf zusätzliche Unterstützung angewiesen sind</w:t>
            </w:r>
            <w:r>
              <w:t xml:space="preserve">; </w:t>
            </w:r>
            <w:r>
              <w:rPr>
                <w:b/>
                <w:i/>
              </w:rPr>
              <w:t>weist in diesem Zusammenhang auf die Forderung des Parlaments nach einer Richtlinie über ein Mindesteinkommen</w:t>
            </w:r>
            <w:r>
              <w:rPr>
                <w:b/>
                <w:i/>
                <w:vertAlign w:val="superscript"/>
              </w:rPr>
              <w:t>1a</w:t>
            </w:r>
            <w:r>
              <w:t xml:space="preserve"> </w:t>
            </w:r>
            <w:r>
              <w:rPr>
                <w:b/>
                <w:i/>
              </w:rPr>
              <w:t>hin, um die Zugänglichkeit, Angemessenheit und Wirksamkeit von Mindesteinkommensregelungen im Sinne der sozialen Aufwärtskonvergenz weiter zu verbessern;</w:t>
            </w:r>
            <w:r>
              <w:t xml:space="preserve"> </w:t>
            </w:r>
            <w:r>
              <w:rPr>
                <w:b/>
                <w:i/>
              </w:rPr>
              <w:t>weist darauf hin, dass mit Mindesteinkommensregelungen Menschen, die nicht über ausreichende Mittel verfügen, vor Armut und sozialer Ausgrenzung geschützt werden sollten;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https://www.europarl.europa.eu/doceo/document/TA-9-2023-0076_DE.html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eine aufmerksame Beobachtung der aktiven Arbeitsmarktmaßnahmen und eine angemessene Einkommensförderung und soziale Absicherung zur Gewährleistung der gleichberechtigten Teilnahme derjenigen, die am weitesten vom Arbeitsmarkt entfernt sind</w:t>
            </w:r>
            <w:r>
              <w:rPr>
                <w:b/>
                <w:i/>
              </w:rPr>
              <w:t>, insbesondere Menschen mit Behinderungen und Roma</w:t>
            </w:r>
            <w:r>
              <w:t>;</w:t>
            </w:r>
          </w:p>
        </w:tc>
        <w:tc>
          <w:tcPr>
            <w:tcW w:w="4876" w:type="dxa"/>
            <w:tcBorders>
              <w:top w:val="nil"/>
              <w:left w:val="nil"/>
              <w:bottom w:val="nil"/>
              <w:right w:val="nil"/>
            </w:tcBorders>
          </w:tcPr>
          <w:p>
            <w:pPr>
              <w:pStyle w:val="Normal6a"/>
            </w:pPr>
            <w:r>
              <w:t>13.</w:t>
            </w:r>
            <w:r>
              <w:tab/>
            </w:r>
            <w:r>
              <w:t>fordert eine aufmerksame Beobachtung der aktiven Arbeitsmarktmaßnahmen</w:t>
            </w:r>
            <w:r>
              <w:rPr>
                <w:b/>
                <w:i/>
              </w:rPr>
              <w:t>, auch was einen gleichberechtigten Zugang zu hochwertigen Arbeitsplätzen betrifft,</w:t>
            </w:r>
            <w:r>
              <w:t xml:space="preserve"> und eine angemessene Einkommensförderung und soziale Absicherung zur Gewährleistung der gleichberechtigten Teilnahme </w:t>
            </w:r>
            <w:r>
              <w:rPr>
                <w:b/>
                <w:i/>
              </w:rPr>
              <w:t>schutzbedürftiger Bevölkerungsgruppen und</w:t>
            </w:r>
            <w:r>
              <w:t xml:space="preserve"> derjenigen, die am weitesten vom Arbeitsmarkt entfernt sind</w:t>
            </w:r>
            <w:r>
              <w:rPr>
                <w:b/>
                <w:i/>
              </w:rPr>
              <w:t>;</w:t>
            </w:r>
            <w:r>
              <w:t xml:space="preserve"> </w:t>
            </w:r>
            <w:r>
              <w:rPr>
                <w:b/>
                <w:i/>
              </w:rPr>
              <w:t>betont in diesem Zusammenhang, wie wichtig es ist, einen verbindlichen EU-Rahmen für angemessene Mindesteinkommensregelungen zu schaffen, wie dies auch in der Entschließung des Europäischen Parlaments gefordert wurde, um Einkommenssicherheit zu gewährleisten, Armut zu verringern und die Eingliederung in den Arbeitsmarkt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eine aufmerksame Beobachtung der aktiven Arbeitsmarktmaßnahmen </w:t>
            </w:r>
            <w:r>
              <w:rPr>
                <w:b/>
                <w:i/>
              </w:rPr>
              <w:t>und</w:t>
            </w:r>
            <w:r>
              <w:t xml:space="preserve"> eine angemessene </w:t>
            </w:r>
            <w:r>
              <w:rPr>
                <w:b/>
                <w:i/>
              </w:rPr>
              <w:t>Einkommensförderung und</w:t>
            </w:r>
            <w:r>
              <w:t xml:space="preserve"> soziale Absicherung zur Gewährleistung der gleichberechtigten Teilnahme derjenigen, die am weitesten vom Arbeitsmarkt entfernt sind, insbesondere Menschen mit Behinderungen </w:t>
            </w:r>
            <w:r>
              <w:rPr>
                <w:b/>
                <w:i/>
              </w:rPr>
              <w:t>und Roma</w:t>
            </w:r>
            <w:r>
              <w:t>;</w:t>
            </w:r>
          </w:p>
        </w:tc>
        <w:tc>
          <w:tcPr>
            <w:tcW w:w="4876" w:type="dxa"/>
            <w:tcBorders>
              <w:top w:val="nil"/>
              <w:left w:val="nil"/>
              <w:bottom w:val="nil"/>
              <w:right w:val="nil"/>
            </w:tcBorders>
          </w:tcPr>
          <w:p>
            <w:pPr>
              <w:pStyle w:val="Normal6a"/>
            </w:pPr>
            <w:r>
              <w:t>13.</w:t>
            </w:r>
            <w:r>
              <w:tab/>
            </w:r>
            <w:r>
              <w:t>fordert eine aufmerksame Beobachtung der aktiven Arbeitsmarktmaßnahmen</w:t>
            </w:r>
            <w:r>
              <w:rPr>
                <w:b/>
                <w:i/>
              </w:rPr>
              <w:t>,</w:t>
            </w:r>
            <w:r>
              <w:t xml:space="preserve"> eine angemessene </w:t>
            </w:r>
            <w:r>
              <w:rPr>
                <w:b/>
                <w:i/>
              </w:rPr>
              <w:t>Mindesteinkommensförderung und eine universelle</w:t>
            </w:r>
            <w:r>
              <w:t xml:space="preserve"> soziale Absicherung zur Gewährleistung der gleichberechtigten Teilnahme derjenigen, die am weitesten vom Arbeitsmarkt entfernt sind, insbesondere Menschen mit Behinderungen</w:t>
            </w:r>
            <w:r>
              <w:rPr>
                <w:b/>
                <w:i/>
              </w:rPr>
              <w:t>, Roma und Langzeitarbeitslose</w:t>
            </w:r>
            <w:r>
              <w:t xml:space="preserve">; </w:t>
            </w:r>
            <w:r>
              <w:rPr>
                <w:b/>
                <w:i/>
              </w:rPr>
              <w:t>betont die Notwendigkeit eines angemessenen Sozialschutzes und einer angemessenen Unterstützung auch für Selbstständige;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fordert eine aufmerksame Beobachtung der aktiven Arbeitsmarktmaßnahmen und eine angemessene</w:t>
            </w:r>
            <w:r>
              <w:t xml:space="preserve"> Einkommensförderung und </w:t>
            </w:r>
            <w:r>
              <w:rPr>
                <w:b/>
                <w:i/>
              </w:rPr>
              <w:t>soziale</w:t>
            </w:r>
            <w:r>
              <w:t xml:space="preserve"> Absicherung zur Gewährleistung der gleichberechtigten Teilnahme </w:t>
            </w:r>
            <w:r>
              <w:rPr>
                <w:b/>
                <w:i/>
              </w:rPr>
              <w:t>derjenigen, die am weitesten vom Arbeitsmarkt entfernt sind, insbesondere</w:t>
            </w:r>
            <w:r>
              <w:t xml:space="preserve"> Menschen mit Behinderungen </w:t>
            </w:r>
            <w:r>
              <w:rPr>
                <w:b/>
                <w:i/>
              </w:rPr>
              <w:t>und Roma</w:t>
            </w:r>
            <w:r>
              <w:t>;</w:t>
            </w:r>
          </w:p>
        </w:tc>
        <w:tc>
          <w:tcPr>
            <w:tcW w:w="4876" w:type="dxa"/>
            <w:tcBorders>
              <w:top w:val="nil"/>
              <w:left w:val="nil"/>
              <w:bottom w:val="nil"/>
              <w:right w:val="nil"/>
            </w:tcBorders>
          </w:tcPr>
          <w:p>
            <w:pPr>
              <w:pStyle w:val="Normal6a"/>
            </w:pPr>
            <w:r>
              <w:t>13.</w:t>
            </w:r>
            <w:r>
              <w:tab/>
            </w:r>
            <w:r>
              <w:rPr>
                <w:b/>
                <w:i/>
              </w:rPr>
              <w:t>empfiehlt den Mitgliedstaaten, die noch kein entsprechendes Programm haben, die Einführung einer angemessenen</w:t>
            </w:r>
            <w:r>
              <w:t xml:space="preserve"> Einkommensförderung und </w:t>
            </w:r>
            <w:r>
              <w:rPr>
                <w:b/>
                <w:i/>
              </w:rPr>
              <w:t>sozialen</w:t>
            </w:r>
            <w:r>
              <w:t xml:space="preserve"> Absicherung zur Gewährleistung der gleichberechtigten Teilnahme </w:t>
            </w:r>
            <w:r>
              <w:rPr>
                <w:b/>
                <w:i/>
              </w:rPr>
              <w:t>von</w:t>
            </w:r>
            <w:r>
              <w:t xml:space="preserve"> Menschen mit Behinderungen </w:t>
            </w:r>
            <w:r>
              <w:rPr>
                <w:b/>
                <w:i/>
              </w:rPr>
              <w:t>am Arbeitsmarkt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eine aufmerksame Beobachtung der aktiven Arbeitsmarktmaßnahmen und eine angemessene Einkommensförderung und soziale Absicherung zur Gewährleistung der gleichberechtigten Teilnahme derjenigen, die am weitesten vom Arbeitsmarkt entfernt sind, </w:t>
            </w:r>
            <w:r>
              <w:rPr>
                <w:b/>
                <w:i/>
              </w:rPr>
              <w:t>insbesondere</w:t>
            </w:r>
            <w:r>
              <w:t xml:space="preserve"> Menschen mit Behinderungen und </w:t>
            </w:r>
            <w:r>
              <w:rPr>
                <w:b/>
                <w:i/>
              </w:rPr>
              <w:t>Roma</w:t>
            </w:r>
            <w:r>
              <w:t>;</w:t>
            </w:r>
          </w:p>
        </w:tc>
        <w:tc>
          <w:tcPr>
            <w:tcW w:w="4876" w:type="dxa"/>
            <w:tcBorders>
              <w:top w:val="nil"/>
              <w:left w:val="nil"/>
              <w:bottom w:val="nil"/>
              <w:right w:val="nil"/>
            </w:tcBorders>
          </w:tcPr>
          <w:p>
            <w:pPr>
              <w:pStyle w:val="Normal6a"/>
            </w:pPr>
            <w:r>
              <w:t>13.</w:t>
            </w:r>
            <w:r>
              <w:tab/>
            </w:r>
            <w:r>
              <w:t xml:space="preserve">fordert eine aufmerksame Beobachtung der aktiven Arbeitsmarktmaßnahmen und eine angemessene Einkommensförderung und soziale Absicherung zur Gewährleistung der gleichberechtigten Teilnahme derjenigen, die am weitesten vom Arbeitsmarkt entfernt sind, </w:t>
            </w:r>
            <w:r>
              <w:rPr>
                <w:b/>
                <w:i/>
              </w:rPr>
              <w:t>darunter</w:t>
            </w:r>
            <w:r>
              <w:t xml:space="preserve"> Menschen mit Behinderungen und </w:t>
            </w:r>
            <w:r>
              <w:rPr>
                <w:b/>
                <w:i/>
              </w:rPr>
              <w:t>Minderheiten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der Ansicht, dass die Sozialwirtschaft ein wesentlicher Motor für die Umsetzung der europäischen Säule sozialer Rechte und ihrer Ziele ist, da sie häufig schutzbedürftigen und ausgegrenzten Gruppen Beschäftigung bietet; fordert die Kommission und die Mitgliedstaaten auf, ihre Unterstützung für alle Unternehmen der Sozialwirtschaft</w:t>
            </w:r>
            <w:r>
              <w:rPr>
                <w:b/>
                <w:i/>
              </w:rPr>
              <w:t>, insbesondere gemeinnützige Unternehmen,</w:t>
            </w:r>
            <w:r>
              <w:t xml:space="preserve"> zu verstärken und so hochwertige, menschenwürdige und inklusive Arbeitsplätze zu fördern;</w:t>
            </w:r>
          </w:p>
        </w:tc>
        <w:tc>
          <w:tcPr>
            <w:tcW w:w="4876" w:type="dxa"/>
            <w:tcBorders>
              <w:top w:val="nil"/>
              <w:left w:val="nil"/>
              <w:bottom w:val="nil"/>
              <w:right w:val="nil"/>
            </w:tcBorders>
          </w:tcPr>
          <w:p>
            <w:pPr>
              <w:pStyle w:val="Normal6a"/>
            </w:pPr>
            <w:r>
              <w:t>14.</w:t>
            </w:r>
            <w:r>
              <w:tab/>
            </w:r>
            <w:r>
              <w:t>ist der Ansicht, dass die Sozialwirtschaft ein wesentlicher Motor für die Umsetzung der europäischen Säule sozialer Rechte und ihrer Ziele ist, da sie häufig schutzbedürftigen und ausgegrenzten Gruppen Beschäftigung bietet; fordert die Kommission und die Mitgliedstaaten auf, ihre Unterstützung für alle Unternehmen der Sozialwirtschaft zu verstärken und so hochwertige, menschenwürdige und inklusive Arbeitsplätze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die </w:t>
            </w:r>
            <w:r>
              <w:rPr>
                <w:b/>
                <w:i/>
              </w:rPr>
              <w:t>Sozialwirtschaft ein wesentlicher Motor für die Umsetzung der europäischen Säule sozialer</w:t>
            </w:r>
            <w:r>
              <w:t xml:space="preserve"> Rechte </w:t>
            </w:r>
            <w:r>
              <w:rPr>
                <w:b/>
                <w:i/>
              </w:rPr>
              <w:t>und ihrer Ziele ist, da sie häufig schutzbedürftigen und ausgegrenzten Gruppen Beschäftigung bietet;</w:t>
            </w:r>
            <w:r>
              <w:t xml:space="preserve"> </w:t>
            </w:r>
            <w:r>
              <w:rPr>
                <w:b/>
                <w:i/>
              </w:rPr>
              <w:t>fordert die Kommission und die</w:t>
            </w:r>
            <w:r>
              <w:t xml:space="preserve"> Mitgliedstaaten </w:t>
            </w:r>
            <w:r>
              <w:rPr>
                <w:b/>
                <w:i/>
              </w:rPr>
              <w:t>auf</w:t>
            </w:r>
            <w:r>
              <w:t xml:space="preserve">, </w:t>
            </w:r>
            <w:r>
              <w:rPr>
                <w:b/>
                <w:i/>
              </w:rPr>
              <w:t>ihre Unterstützung für alle</w:t>
            </w:r>
            <w:r>
              <w:t xml:space="preserve"> Unternehmen der </w:t>
            </w:r>
            <w:r>
              <w:rPr>
                <w:b/>
                <w:i/>
              </w:rPr>
              <w:t>Sozialwirtschaft, insbesondere gemeinnützige Unternehmen, zu verstärken</w:t>
            </w:r>
            <w:r>
              <w:t xml:space="preserve"> und so </w:t>
            </w:r>
            <w:r>
              <w:rPr>
                <w:b/>
                <w:i/>
              </w:rPr>
              <w:t>hochwertige,</w:t>
            </w:r>
            <w:r>
              <w:t xml:space="preserve"> menschenwürdige </w:t>
            </w:r>
            <w:r>
              <w:rPr>
                <w:b/>
                <w:i/>
              </w:rPr>
              <w:t>und inklusive</w:t>
            </w:r>
            <w:r>
              <w:t xml:space="preserve"> Arbeitsplätze zu </w:t>
            </w:r>
            <w:r>
              <w:rPr>
                <w:b/>
                <w:i/>
              </w:rPr>
              <w:t>fördern</w:t>
            </w:r>
            <w:r>
              <w:t>;</w:t>
            </w:r>
          </w:p>
        </w:tc>
        <w:tc>
          <w:tcPr>
            <w:tcW w:w="4876" w:type="dxa"/>
            <w:tcBorders>
              <w:top w:val="nil"/>
              <w:left w:val="nil"/>
              <w:bottom w:val="nil"/>
              <w:right w:val="nil"/>
            </w:tcBorders>
          </w:tcPr>
          <w:p>
            <w:pPr>
              <w:pStyle w:val="Normal6a"/>
            </w:pPr>
            <w:r>
              <w:t>14.</w:t>
            </w:r>
            <w:r>
              <w:tab/>
            </w:r>
            <w:r>
              <w:t xml:space="preserve">ist der Ansicht, dass die </w:t>
            </w:r>
            <w:r>
              <w:rPr>
                <w:b/>
                <w:i/>
              </w:rPr>
              <w:t>Sozial- und Solidarwirtschaft bei bestimmten Aufnahmestrukturen, insbesondere denen, die Menschen mit Behinderungen einen Arbeitsplatz bieten, zur Wahrung der sozialen</w:t>
            </w:r>
            <w:r>
              <w:t xml:space="preserve"> Rechte </w:t>
            </w:r>
            <w:r>
              <w:rPr>
                <w:b/>
                <w:i/>
              </w:rPr>
              <w:t>der Arbeitnehmer beiträgt;</w:t>
            </w:r>
            <w:r>
              <w:t xml:space="preserve"> </w:t>
            </w:r>
            <w:r>
              <w:rPr>
                <w:b/>
                <w:i/>
              </w:rPr>
              <w:t>empfiehlt den</w:t>
            </w:r>
            <w:r>
              <w:t xml:space="preserve"> Mitgliedstaaten, Unternehmen der </w:t>
            </w:r>
            <w:r>
              <w:rPr>
                <w:b/>
                <w:i/>
              </w:rPr>
              <w:t>Sozial- und Solidarwirtschaft, die zur Eingliederung von Menschen mit Behinderungen beitragen, zu unterstützen</w:t>
            </w:r>
            <w:r>
              <w:t xml:space="preserve"> und so menschenwürdige</w:t>
            </w:r>
            <w:r>
              <w:rPr>
                <w:b/>
                <w:i/>
              </w:rPr>
              <w:t>, hochwertige</w:t>
            </w:r>
            <w:r>
              <w:t xml:space="preserve"> Arbeitsplätze zu </w:t>
            </w:r>
            <w:r>
              <w:rPr>
                <w:b/>
                <w:i/>
              </w:rPr>
              <w:t>gewährleisten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stellt fest, dass das volle Potenzial des sozialwirtschaftlichen Sektors zur Bewältigung sozioökonomischer Herausforderungen nur dann ausgeschöpft werden kann, wenn der Staat und die Sozialdienstleister an vorderster Front die sozialen Prioritäten klar festlegen;</w:t>
            </w:r>
            <w:r>
              <w:t xml:space="preserve"> </w:t>
            </w:r>
            <w:r>
              <w:rPr>
                <w:b/>
                <w:i/>
              </w:rPr>
              <w:t>hebt hervor, dass sozialwirtschaftliche Projekte in der Regel eine enge Partnerschaft mit öffentlichen Einrichtungen erfordern, und fordert daher die Kommission und die Mitgliedstaaten auf, innerhalb des auf EU-Ebene vorgesehenen Rahmens für die makroökonomische Governance eine (neue) Strategie für soziale Investitionen zu entwickeln, die nicht mit den bestehenden Finanzierungsinstrumenten kollidiert, bei der die sozialen Prioritäten im Einklang mit der europäischen Säule sozialer Rechte eindeutig festgelegt werden und die einen Rahmen für die Zusammenarbeit zwischen Behörden und sozialwirtschaftlichen Organisationen bieten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betont, dass die Umsetzung der Ziele für 2030 auch eine Anwendung der Grundsätze des guten Regierens erfordert, die auf der Rechtsstaatlichkeit, verantwortungsvollen Organen, wirksamer Regulierung und der Vermeidung von Rechtsunsicherheit beruhen;</w:t>
            </w:r>
          </w:p>
        </w:tc>
        <w:tc>
          <w:tcPr>
            <w:tcW w:w="4876" w:type="dxa"/>
            <w:tcBorders>
              <w:top w:val="nil"/>
              <w:left w:val="nil"/>
              <w:bottom w:val="nil"/>
              <w:right w:val="nil"/>
            </w:tcBorders>
          </w:tcPr>
          <w:p>
            <w:pPr>
              <w:pStyle w:val="Normal6a"/>
            </w:pPr>
            <w:r>
              <w:t>15.</w:t>
            </w:r>
            <w:r>
              <w:tab/>
            </w:r>
            <w:r>
              <w:t xml:space="preserve">betont, dass die Umsetzung der Ziele für 2030 auch eine Anwendung der Grundsätze des guten Regierens erfordert, die auf der Rechtsstaatlichkeit, verantwortungsvollen Organen, wirksamer Regulierung und der Vermeidung von Rechtsunsicherheit beruhen; </w:t>
            </w:r>
            <w:r>
              <w:rPr>
                <w:b/>
                <w:i/>
              </w:rPr>
              <w:t>ist besorgt darüber, dass die Deregulierungsagenda der Kommission dazu führen könnte, dass die bestehenden Sozial- und Umweltstandards zurückgefahren werden, und dass dadurch die Fortschritte der Union bei der Verwirklichung der Ziele für 2030 beeinträchtigt werden;</w:t>
            </w:r>
            <w:r>
              <w:t xml:space="preserve"> </w:t>
            </w:r>
            <w:r>
              <w:rPr>
                <w:b/>
                <w:i/>
              </w:rPr>
              <w:t>fordert die Kommission und die Mitgliedstaaten auf, ihrer Zusage für die gemeinsamen Ziele der Union, insbesondere gemäß Artikel 3 des Vertrags über die Europäische Union, nachzukommen;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betont, dass die Umsetzung der Ziele für 2030 auch eine Anwendung der Grundsätze des guten Regierens erfordert, die auf der Rechtsstaatlichkeit, verantwortungsvollen Organen, wirksamer </w:t>
            </w:r>
            <w:r>
              <w:rPr>
                <w:b/>
                <w:i/>
              </w:rPr>
              <w:t>Regulierung</w:t>
            </w:r>
            <w:r>
              <w:t xml:space="preserve"> und der Vermeidung von Rechtsunsicherheit beruhen;</w:t>
            </w:r>
          </w:p>
        </w:tc>
        <w:tc>
          <w:tcPr>
            <w:tcW w:w="4876" w:type="dxa"/>
            <w:tcBorders>
              <w:top w:val="nil"/>
              <w:left w:val="nil"/>
              <w:bottom w:val="nil"/>
              <w:right w:val="nil"/>
            </w:tcBorders>
          </w:tcPr>
          <w:p>
            <w:pPr>
              <w:pStyle w:val="Normal6a"/>
            </w:pPr>
            <w:r>
              <w:t>15.</w:t>
            </w:r>
            <w:r>
              <w:tab/>
            </w:r>
            <w:r>
              <w:t xml:space="preserve">betont, dass die Umsetzung der Ziele für 2030 auch eine Anwendung der Grundsätze des guten Regierens erfordert, die auf der Rechtsstaatlichkeit, verantwortungsvollen Organen, wirksamer </w:t>
            </w:r>
            <w:r>
              <w:rPr>
                <w:b/>
                <w:i/>
              </w:rPr>
              <w:t>Durchführung, Überwachung und Durchsetzung</w:t>
            </w:r>
            <w:r>
              <w:t xml:space="preserve"> und der Vermeidung von Rechtsunsicherheit beruhen; </w:t>
            </w:r>
            <w:r>
              <w:rPr>
                <w:b/>
                <w:i/>
              </w:rPr>
              <w:t>fordert in diesem Zusammenhang, dass die politische Erklärung im Anschluss an den Zweiten Weltgipfel sinnvolle Verpflichtungen zur Förderung der Ziele für nachhaltige Entwicklung und zur Beseitigung anhaltender Defizite bei der sozialen Entwicklung sowie starke Überwachungs- und Kontrollmechanismen enthält;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betont, dass die Umsetzung der Ziele für 2030 auch eine Anwendung der Grundsätze des guten Regierens erfordert, die auf der Rechtsstaatlichkeit, verantwortungsvollen Organen</w:t>
            </w:r>
            <w:r>
              <w:rPr>
                <w:b/>
                <w:i/>
              </w:rPr>
              <w:t>,</w:t>
            </w:r>
            <w:r>
              <w:t xml:space="preserve"> wirksamer Regulierung </w:t>
            </w:r>
            <w:r>
              <w:rPr>
                <w:b/>
                <w:i/>
              </w:rPr>
              <w:t>und der Vermeidung von</w:t>
            </w:r>
            <w:r>
              <w:t xml:space="preserve"> Rechtsunsicherheit </w:t>
            </w:r>
            <w:r>
              <w:rPr>
                <w:b/>
                <w:i/>
              </w:rPr>
              <w:t>beruhen</w:t>
            </w:r>
            <w:r>
              <w:t>;</w:t>
            </w:r>
          </w:p>
        </w:tc>
        <w:tc>
          <w:tcPr>
            <w:tcW w:w="4876" w:type="dxa"/>
            <w:tcBorders>
              <w:top w:val="nil"/>
              <w:left w:val="nil"/>
              <w:bottom w:val="nil"/>
              <w:right w:val="nil"/>
            </w:tcBorders>
          </w:tcPr>
          <w:p>
            <w:pPr>
              <w:pStyle w:val="Normal6a"/>
            </w:pPr>
            <w:r>
              <w:t>15.</w:t>
            </w:r>
            <w:r>
              <w:tab/>
            </w:r>
            <w:r>
              <w:t xml:space="preserve">betont, dass die Umsetzung der Ziele für 2030 auch eine Anwendung der Grundsätze des guten Regierens erfordert, die auf der Rechtsstaatlichkeit, verantwortungsvollen Organen </w:t>
            </w:r>
            <w:r>
              <w:rPr>
                <w:b/>
                <w:i/>
              </w:rPr>
              <w:t>und</w:t>
            </w:r>
            <w:r>
              <w:t xml:space="preserve"> wirksamer Regulierung </w:t>
            </w:r>
            <w:r>
              <w:rPr>
                <w:b/>
                <w:i/>
              </w:rPr>
              <w:t>beruhen, und dabei</w:t>
            </w:r>
            <w:r>
              <w:t xml:space="preserve"> Rechtsunsicherheit </w:t>
            </w:r>
            <w:r>
              <w:rPr>
                <w:b/>
                <w:i/>
              </w:rPr>
              <w:t>zu vermeiden, u. a. für EU-Bewerberländer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ferner, dass diese Grundsätze auf der Souveränität der Mitgliedstaaten beruhen, das Vorgehen gegen Einflussnahme aus dem Ausland umfassen und an die Handlungsfreiheit der Staaten geknüpft sind, damit die Rechte der Bevölkerung gewahrt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hebt hervor, dass es im Bereich der internationalen Menschenrechte am besten ist, mit gutem Beispiel voranzugehen, wozu die Bereitschaft gehört, internationale Menschenrechtsinstrumente zu ratifizieren und sie uneingeschränkt und wirksam umzusetzen;</w:t>
            </w:r>
            <w:r>
              <w:t xml:space="preserve"> </w:t>
            </w:r>
            <w:r>
              <w:rPr>
                <w:b/>
                <w:i/>
              </w:rPr>
              <w:t>stellt fest, dass die weltweite Verpflichtung zur Einhaltung der Menschenrechte unter anderem gestärkt werden muss, indem diplomatische und wirtschaftliche Chancen genutzt werden, damit die Verpflichtung zur Nutzung von Menschenrechtsinstrumenten verbessert wird und andere (z. B. regierungsunabhängige Organisationen und Gewerkschaften) die Möglichkeit erhalten, frei auf die Förderung von Menschenrechtsstandards weltweit hinzuwirken;</w:t>
            </w:r>
            <w:r>
              <w:t xml:space="preserve"> </w:t>
            </w:r>
            <w:r>
              <w:rPr>
                <w:b/>
                <w:i/>
              </w:rPr>
              <w:t>weist erneut darauf hin, dass Menschenrechte und soziale Rechte nur von Ländern, die selbst ihre Verpflichtungen einhalten, glaubwürdig gefördert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hebt hervor, dass es im Bereich der internationalen Menschenrechte am besten ist, mit gutem Beispiel </w:t>
            </w:r>
            <w:r>
              <w:rPr>
                <w:b/>
                <w:i/>
              </w:rPr>
              <w:t>voranzugehen</w:t>
            </w:r>
            <w:r>
              <w:t>,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und andere (z. B. regierungsunabhängige Organisationen und Gewerkschaften) die Möglichkeit erhalten, frei auf die Förderung von Menschenrechtsstandards weltweit hinzuwirken; weist erneut darauf hin, dass Menschenrechte und soziale Rechte nur von Ländern, die selbst ihre Verpflichtungen einhalten, glaubwürdig gefördert werden können;</w:t>
            </w:r>
          </w:p>
        </w:tc>
        <w:tc>
          <w:tcPr>
            <w:tcW w:w="4876" w:type="dxa"/>
            <w:tcBorders>
              <w:top w:val="nil"/>
              <w:left w:val="nil"/>
              <w:bottom w:val="nil"/>
              <w:right w:val="nil"/>
            </w:tcBorders>
          </w:tcPr>
          <w:p>
            <w:pPr>
              <w:pStyle w:val="Normal6a"/>
            </w:pPr>
            <w:r>
              <w:t>16.</w:t>
            </w:r>
            <w:r>
              <w:tab/>
            </w:r>
            <w:r>
              <w:t xml:space="preserve">hebt hervor, dass es im Bereich der internationalen Menschenrechte am besten ist, </w:t>
            </w:r>
            <w:r>
              <w:rPr>
                <w:b/>
                <w:i/>
              </w:rPr>
              <w:t>wenn insbesondere die EU-Organe</w:t>
            </w:r>
            <w:r>
              <w:t xml:space="preserve"> mit gutem Beispiel </w:t>
            </w:r>
            <w:r>
              <w:rPr>
                <w:b/>
                <w:i/>
              </w:rPr>
              <w:t>vorangehen</w:t>
            </w:r>
            <w:r>
              <w:t xml:space="preserve">,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und andere (z. B. </w:t>
            </w:r>
            <w:r>
              <w:rPr>
                <w:b/>
                <w:i/>
              </w:rPr>
              <w:t>im Rahmen des Unionshaushalts unterstützte</w:t>
            </w:r>
            <w:r>
              <w:t xml:space="preserve"> regierungsunabhängige Organisationen und Gewerkschaften) die Möglichkeit erhalten, frei </w:t>
            </w:r>
            <w:r>
              <w:rPr>
                <w:b/>
                <w:i/>
              </w:rPr>
              <w:t>und in Übereinstimmung mit den Verträgen</w:t>
            </w:r>
            <w:r>
              <w:t xml:space="preserve"> auf die Förderung von Menschenrechtsstandards weltweit hinzuwirken</w:t>
            </w:r>
            <w:r>
              <w:rPr>
                <w:b/>
                <w:i/>
              </w:rPr>
              <w:t>, ohne dabei die wirtschaftlichen Interessen der Union im globalen Wettbewerb ernsthaft aufs Spiel zu setzen</w:t>
            </w:r>
            <w:r>
              <w:t>; weist erneut darauf hin, dass Menschenrechte und soziale Rechte nur von Ländern, die selbst ihre Verpflichtungen einhalten, glaubwürdig gefördert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hebt hervor, dass es im Bereich der internationalen Menschenrechte am besten ist, mit gutem Beispiel voranzugehen,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w:t>
            </w:r>
            <w:r>
              <w:rPr>
                <w:b/>
                <w:i/>
              </w:rPr>
              <w:t>und andere (z. B. regierungsunabhängige Organisationen und Gewerkschaften) die Möglichkeit erhalten, frei auf die Förderung von Menschenrechtsstandards weltweit hinzuwirken</w:t>
            </w:r>
            <w:r>
              <w:t>; weist erneut darauf hin, dass Menschenrechte und soziale Rechte nur von Ländern, die selbst ihre Verpflichtungen einhalten, glaubwürdig gefördert werden können;</w:t>
            </w:r>
          </w:p>
        </w:tc>
        <w:tc>
          <w:tcPr>
            <w:tcW w:w="4876" w:type="dxa"/>
            <w:tcBorders>
              <w:top w:val="nil"/>
              <w:left w:val="nil"/>
              <w:bottom w:val="nil"/>
              <w:right w:val="nil"/>
            </w:tcBorders>
          </w:tcPr>
          <w:p>
            <w:pPr>
              <w:pStyle w:val="Normal6a"/>
            </w:pPr>
            <w:r>
              <w:t>16.</w:t>
            </w:r>
            <w:r>
              <w:tab/>
            </w:r>
            <w:r>
              <w:t>hebt hervor, dass es im Bereich der internationalen Menschenrechte am besten ist, mit gutem Beispiel voranzugehen,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weist erneut darauf hin, dass Menschenrechte und soziale Rechte nur von Ländern, die selbst ihre Verpflichtungen einhalten, glaubwürdig gefördert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hebt hervor, dass es im Bereich der internationalen Menschenrechte am besten ist, mit gutem Beispiel voranzugehen,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und andere (z. B. regierungsunabhängige Organisationen und Gewerkschaften) die Möglichkeit erhalten, frei auf die Förderung von Menschenrechtsstandards weltweit hinzuwirken; weist erneut darauf hin, dass Menschenrechte und soziale Rechte nur von Ländern, die selbst ihre Verpflichtungen einhalten, glaubwürdig gefördert werden können;</w:t>
            </w:r>
          </w:p>
        </w:tc>
        <w:tc>
          <w:tcPr>
            <w:tcW w:w="4876" w:type="dxa"/>
            <w:tcBorders>
              <w:top w:val="nil"/>
              <w:left w:val="nil"/>
              <w:bottom w:val="nil"/>
              <w:right w:val="nil"/>
            </w:tcBorders>
          </w:tcPr>
          <w:p>
            <w:pPr>
              <w:pStyle w:val="Normal6a"/>
            </w:pPr>
            <w:r>
              <w:t>16.</w:t>
            </w:r>
            <w:r>
              <w:tab/>
            </w:r>
            <w:r>
              <w:rPr>
                <w:b/>
                <w:i/>
              </w:rPr>
              <w:t>weist darauf hin, dass Frieden und globale Zusammenarbeit grundlegende Voraussetzungen für die Verwirklichung einer nachhaltigen Entwicklung in Europa und weltweit sind;</w:t>
            </w:r>
            <w:r>
              <w:t xml:space="preserve"> hebt hervor, dass es im Bereich der internationalen Menschenrechte am besten ist, mit gutem Beispiel voranzugehen, wozu die Bereitschaft gehört, internationale Menschenrechtsinstrumente zu ratifizieren und sie uneingeschränkt und wirksam umzusetzen; stellt fest, dass die weltweite Verpflichtung zur Einhaltung der Menschenrechte unter anderem gestärkt werden muss, indem diplomatische und wirtschaftliche Chancen genutzt werden, damit die Verpflichtung zur Nutzung von Menschenrechtsinstrumenten verbessert wird und andere (z. B. regierungsunabhängige Organisationen und Gewerkschaften) die Möglichkeit erhalten, frei auf die Förderung von Menschenrechtsstandards weltweit hinzuwirken; weist erneut darauf hin, dass Menschenrechte und soziale Rechte nur von Ländern, die selbst ihre Verpflichtungen einhalten, glaubwürdig gefördert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hebt hervor, dass </w:t>
            </w:r>
            <w:r>
              <w:rPr>
                <w:b/>
                <w:i/>
              </w:rPr>
              <w:t>es</w:t>
            </w:r>
            <w:r>
              <w:t xml:space="preserve"> im Bereich der internationalen Menschenrechte </w:t>
            </w:r>
            <w:r>
              <w:rPr>
                <w:b/>
                <w:i/>
              </w:rPr>
              <w:t>am besten ist, mit gutem Beispiel voranzugehen, wozu die Bereitschaft gehört, internationale</w:t>
            </w:r>
            <w:r>
              <w:t xml:space="preserve"> Menschenrechtsinstrumente </w:t>
            </w:r>
            <w:r>
              <w:rPr>
                <w:b/>
                <w:i/>
              </w:rPr>
              <w:t>zu ratifizieren und sie</w:t>
            </w:r>
            <w:r>
              <w:t xml:space="preserve"> uneingeschränkt und wirksam </w:t>
            </w:r>
            <w:r>
              <w:rPr>
                <w:b/>
                <w:i/>
              </w:rPr>
              <w:t>umzusetzen</w:t>
            </w:r>
            <w:r>
              <w:t xml:space="preserve">; stellt fest, dass die weltweite Verpflichtung </w:t>
            </w:r>
            <w:r>
              <w:rPr>
                <w:b/>
                <w:i/>
              </w:rPr>
              <w:t>zur Einhaltung der Menschenrechte</w:t>
            </w:r>
            <w:r>
              <w:t xml:space="preserve"> unter anderem gestärkt werden muss, indem diplomatische und wirtschaftliche Chancen genutzt werden</w:t>
            </w:r>
            <w:r>
              <w:rPr>
                <w:b/>
                <w:i/>
              </w:rPr>
              <w:t>, damit die Verpflichtung zur Nutzung von Menschenrechtsinstrumenten verbessert wird</w:t>
            </w:r>
            <w:r>
              <w:t xml:space="preserve"> und andere (z. B. regierungsunabhängige Organisationen und Gewerkschaften) die Möglichkeit erhalten, frei auf die Förderung von </w:t>
            </w:r>
            <w:r>
              <w:rPr>
                <w:b/>
                <w:i/>
              </w:rPr>
              <w:t>Menschenrechtsstandards</w:t>
            </w:r>
            <w:r>
              <w:t xml:space="preserve"> weltweit hinzuwirken; weist erneut darauf hin, dass Menschenrechte und soziale Rechte nur von Ländern, die selbst ihre Verpflichtungen einhalten, glaubwürdig gefördert werden können;</w:t>
            </w:r>
          </w:p>
        </w:tc>
        <w:tc>
          <w:tcPr>
            <w:tcW w:w="4876" w:type="dxa"/>
            <w:tcBorders>
              <w:top w:val="nil"/>
              <w:left w:val="nil"/>
              <w:bottom w:val="nil"/>
              <w:right w:val="nil"/>
            </w:tcBorders>
          </w:tcPr>
          <w:p>
            <w:pPr>
              <w:pStyle w:val="Normal6a"/>
            </w:pPr>
            <w:r>
              <w:t>16.</w:t>
            </w:r>
            <w:r>
              <w:tab/>
            </w:r>
            <w:r>
              <w:t xml:space="preserve">hebt hervor, dass </w:t>
            </w:r>
            <w:r>
              <w:rPr>
                <w:b/>
                <w:i/>
              </w:rPr>
              <w:t>die EU</w:t>
            </w:r>
            <w:r>
              <w:t xml:space="preserve"> im Bereich der internationalen Menschenrechte </w:t>
            </w:r>
            <w:r>
              <w:rPr>
                <w:b/>
                <w:i/>
              </w:rPr>
              <w:t>eine führende Rolle spielen muss, indem sie die internationalen</w:t>
            </w:r>
            <w:r>
              <w:t xml:space="preserve"> Menschenrechtsinstrumente uneingeschränkt und wirksam </w:t>
            </w:r>
            <w:r>
              <w:rPr>
                <w:b/>
                <w:i/>
              </w:rPr>
              <w:t>umsetzt</w:t>
            </w:r>
            <w:r>
              <w:t xml:space="preserve">; stellt fest, dass die weltweite Verpflichtung </w:t>
            </w:r>
            <w:r>
              <w:rPr>
                <w:b/>
                <w:i/>
              </w:rPr>
              <w:t>zum Einsatz der Menschenrechtsinstrumente</w:t>
            </w:r>
            <w:r>
              <w:t xml:space="preserve"> unter anderem gestärkt werden muss, indem diplomatische und wirtschaftliche Chancen genutzt werden und andere (z. B. regierungsunabhängige Organisationen und Gewerkschaften) die Möglichkeit erhalten, frei auf die Förderung von </w:t>
            </w:r>
            <w:r>
              <w:rPr>
                <w:b/>
                <w:i/>
              </w:rPr>
              <w:t>Menschenrechts- und Sozialstandards</w:t>
            </w:r>
            <w:r>
              <w:t xml:space="preserve"> weltweit hinzuwirken; weist erneut darauf hin, dass Menschenrechte und soziale Rechte nur von Ländern, die selbst ihre Verpflichtungen einhalten, glaubwürdig gefördert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Initiativen zur Förderung des Wirtschaftswachstums nicht auf Kosten der sozialen Gerechtigkeit, der Arbeitnehmerrechte oder des Umweltschutzes gehen dürfen;</w:t>
            </w:r>
            <w:r>
              <w:t xml:space="preserve"> </w:t>
            </w:r>
            <w:r>
              <w:rPr>
                <w:b/>
                <w:i/>
              </w:rPr>
              <w:t>fordert die EU auf, sich konstruktiv für den Abschluss eines Übereinkommens der Vereinten Nationen über Wirtschaft und Menschenrechte einzusetzen, um die Tätigkeiten transnationaler Unternehmen und sonstiger Wirtschaftsunternehmen zu regulieren und Opfern die Möglichkeit zu geben, Abhilfe zu erwirken;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regelmäßig eine eingehende Überprüfung durchgeführt werden muss, um die Fortschritte zu bewerten, Defizite zu erkennen und die Verpflichtungen zu erneuern;</w:t>
            </w:r>
            <w:r>
              <w:t xml:space="preserve"> </w:t>
            </w:r>
            <w:r>
              <w:rPr>
                <w:b/>
                <w:i/>
              </w:rPr>
              <w:t>fordert die Internationale Arbeitsorganisation (IAO) auf, als wichtigstes Kontrollorgan für Verpflichtungen im Bereich der sozialen Entwicklung tätig zu werden und ihre Rolle im Überprüfungsprozess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im Namen des Ausschusses für Beschäftigung und soziale Angelegenheiten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fordert die Vereinten Nationen auf, für die uneingeschränkte Einhaltung der Arbeitnehmerrechte und sozialen Rechte in den Ländern, in denen die Sozialgipfel abgehalten werden, zu sorgen; </w:t>
            </w:r>
            <w:r>
              <w:rPr>
                <w:b/>
                <w:i/>
              </w:rPr>
              <w:t>fordert daher ein entschiedeneres Handeln, damit alles getan werden kann, was irgend möglich ist, um die Kernziele der EU und die Ziele für nachhaltige Entwicklung in der EU bis 2030 zu erreichen, und damit mehr dafür getan wird, dass die Ziele für nachhaltige Entwicklung überall weltweit umgesetzt werden;</w:t>
            </w:r>
          </w:p>
        </w:tc>
        <w:tc>
          <w:tcPr>
            <w:tcW w:w="4876" w:type="dxa"/>
            <w:tcBorders>
              <w:top w:val="nil"/>
              <w:left w:val="nil"/>
              <w:bottom w:val="nil"/>
              <w:right w:val="nil"/>
            </w:tcBorders>
          </w:tcPr>
          <w:p>
            <w:pPr>
              <w:pStyle w:val="Normal6a"/>
            </w:pPr>
            <w:r>
              <w:t>17.</w:t>
            </w:r>
            <w:r>
              <w:tab/>
            </w:r>
            <w:r>
              <w:t>fordert die Vereinten Nationen auf, für die uneingeschränkte Einhaltung der Arbeitnehmerrechte und sozialen Rechte in den Ländern, in denen die Sozialgipfel abgehalten werden, zu sorgen;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fordert die Vereinten Nationen auf, </w:t>
            </w:r>
            <w:r>
              <w:rPr>
                <w:b/>
                <w:i/>
              </w:rPr>
              <w:t>für die uneingeschränkte Einhaltung der</w:t>
            </w:r>
            <w:r>
              <w:t xml:space="preserve"> Arbeitnehmerrechte und sozialen Rechte </w:t>
            </w:r>
            <w:r>
              <w:rPr>
                <w:b/>
                <w:i/>
              </w:rPr>
              <w:t>in den Ländern, in denen die Sozialgipfel abgehalten werden</w:t>
            </w:r>
            <w:r>
              <w:t xml:space="preserve">, </w:t>
            </w:r>
            <w:r>
              <w:rPr>
                <w:b/>
                <w:i/>
              </w:rPr>
              <w:t>zu sorgen</w:t>
            </w:r>
            <w:r>
              <w:t xml:space="preserve">; fordert daher </w:t>
            </w:r>
            <w:r>
              <w:rPr>
                <w:b/>
                <w:i/>
              </w:rPr>
              <w:t>ein entschiedeneres Handeln, damit alles getan werden kann, was irgend möglich ist, um die Kernziele der EU und die</w:t>
            </w:r>
            <w:r>
              <w:t xml:space="preserve"> Ziele </w:t>
            </w:r>
            <w:r>
              <w:rPr>
                <w:b/>
                <w:i/>
              </w:rPr>
              <w:t>für nachhaltige Entwicklung in</w:t>
            </w:r>
            <w:r>
              <w:t xml:space="preserve"> der EU </w:t>
            </w:r>
            <w:r>
              <w:rPr>
                <w:b/>
                <w:i/>
              </w:rPr>
              <w:t>bis 2030 zu erreichen, und damit mehr dafür getan wird, dass die</w:t>
            </w:r>
            <w:r>
              <w:t xml:space="preserve"> Ziele für nachhaltige Entwicklung </w:t>
            </w:r>
            <w:r>
              <w:rPr>
                <w:b/>
                <w:i/>
              </w:rPr>
              <w:t>überall</w:t>
            </w:r>
            <w:r>
              <w:t xml:space="preserve"> weltweit </w:t>
            </w:r>
            <w:r>
              <w:rPr>
                <w:b/>
                <w:i/>
              </w:rPr>
              <w:t>umgesetzt</w:t>
            </w:r>
            <w:r>
              <w:t xml:space="preserve"> werden;</w:t>
            </w:r>
          </w:p>
        </w:tc>
        <w:tc>
          <w:tcPr>
            <w:tcW w:w="4876" w:type="dxa"/>
            <w:tcBorders>
              <w:top w:val="nil"/>
              <w:left w:val="nil"/>
              <w:bottom w:val="nil"/>
              <w:right w:val="nil"/>
            </w:tcBorders>
          </w:tcPr>
          <w:p>
            <w:pPr>
              <w:pStyle w:val="Normal6a"/>
            </w:pPr>
            <w:r>
              <w:t>17.</w:t>
            </w:r>
            <w:r>
              <w:tab/>
            </w:r>
            <w:r>
              <w:t xml:space="preserve">fordert die Vereinten Nationen </w:t>
            </w:r>
            <w:r>
              <w:rPr>
                <w:b/>
                <w:i/>
              </w:rPr>
              <w:t>und alle teilnehmenden Länder</w:t>
            </w:r>
            <w:r>
              <w:t xml:space="preserve"> auf, </w:t>
            </w:r>
            <w:r>
              <w:rPr>
                <w:b/>
                <w:i/>
              </w:rPr>
              <w:t>die</w:t>
            </w:r>
            <w:r>
              <w:t xml:space="preserve"> Arbeitnehmerrechte und sozialen Rechte </w:t>
            </w:r>
            <w:r>
              <w:rPr>
                <w:b/>
                <w:i/>
              </w:rPr>
              <w:t>uneingeschränkt einzuhalten, unter anderem durch die Ratifizierung der Kernübereinkommen der IAO</w:t>
            </w:r>
            <w:r>
              <w:t xml:space="preserve">, </w:t>
            </w:r>
            <w:r>
              <w:rPr>
                <w:b/>
                <w:i/>
              </w:rPr>
              <w:t>die Achtung der Gleichstellung von Männern und Frauen und das Bekenntnis zu den Werten der Sozialerklärung</w:t>
            </w:r>
            <w:r>
              <w:t xml:space="preserve">; fordert daher </w:t>
            </w:r>
            <w:r>
              <w:rPr>
                <w:b/>
                <w:i/>
              </w:rPr>
              <w:t>eine stärkere globale Angleichung an die Grundsätze der europäischen Säule sozialer Rechte und der Erklärung von La Hulpe;</w:t>
            </w:r>
            <w:r>
              <w:t xml:space="preserve"> </w:t>
            </w:r>
            <w:r>
              <w:rPr>
                <w:b/>
                <w:i/>
              </w:rPr>
              <w:t>betont, dass der Einsatz für die Verwirklichung sowohl der sozialen</w:t>
            </w:r>
            <w:r>
              <w:t xml:space="preserve"> Ziele der EU </w:t>
            </w:r>
            <w:r>
              <w:rPr>
                <w:b/>
                <w:i/>
              </w:rPr>
              <w:t>als auch der</w:t>
            </w:r>
            <w:r>
              <w:t xml:space="preserve"> Ziele für nachhaltige Entwicklung </w:t>
            </w:r>
            <w:r>
              <w:rPr>
                <w:b/>
                <w:i/>
              </w:rPr>
              <w:t>bis 2030 in Europa und</w:t>
            </w:r>
            <w:r>
              <w:t xml:space="preserve"> weltweit </w:t>
            </w:r>
            <w:r>
              <w:rPr>
                <w:b/>
                <w:i/>
              </w:rPr>
              <w:t>erneuert</w:t>
            </w:r>
            <w:r>
              <w:t xml:space="preserve"> werden </w:t>
            </w:r>
            <w:r>
              <w:rPr>
                <w:b/>
                <w:i/>
              </w:rPr>
              <w:t>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fordert die Vereinten Nationen auf, für die uneingeschränkte Einhaltung der Arbeitnehmerrechte und sozialen Rechte in den Ländern, in denen die Sozialgipfel abgehalten werden, zu sorgen; fordert daher ein entschiedeneres Handeln, damit alles getan werden kann, was irgend möglich ist, um die Kernziele der EU und die Ziele für nachhaltige Entwicklung in der EU bis 2030 zu erreichen, und damit mehr dafür getan wird, dass die Ziele für nachhaltige Entwicklung überall weltweit umgesetzt werden;</w:t>
            </w:r>
          </w:p>
        </w:tc>
        <w:tc>
          <w:tcPr>
            <w:tcW w:w="4876" w:type="dxa"/>
            <w:tcBorders>
              <w:top w:val="nil"/>
              <w:left w:val="nil"/>
              <w:bottom w:val="nil"/>
              <w:right w:val="nil"/>
            </w:tcBorders>
          </w:tcPr>
          <w:p>
            <w:pPr>
              <w:pStyle w:val="Normal6a"/>
            </w:pPr>
            <w:r>
              <w:t>17.</w:t>
            </w:r>
            <w:r>
              <w:tab/>
            </w:r>
            <w:r>
              <w:t xml:space="preserve">fordert die Vereinten Nationen auf, für die uneingeschränkte Einhaltung der Arbeitnehmerrechte und sozialen Rechte </w:t>
            </w:r>
            <w:r>
              <w:rPr>
                <w:b/>
                <w:i/>
              </w:rPr>
              <w:t>in allen Mitgliedstaaten und insbesondere</w:t>
            </w:r>
            <w:r>
              <w:t xml:space="preserve"> in den Ländern, in denen die Sozialgipfel abgehalten werden, zu sorgen; fordert daher ein entschiedeneres Handeln, damit alles getan werden kann, was irgend möglich ist, um die Kernziele der EU und die Ziele für nachhaltige Entwicklung in der EU bis 2030 zu erreichen, und damit mehr dafür getan wird, dass die Ziele für nachhaltige Entwicklung überall weltweit umgesetzt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EU auf, den globalen Übergang von informeller zur formellen Beschäftigung im Einklang mit der Empfehlung 204 der IAO zu unterstützen, indem sie gerechte Arbeitsnormen, menschenwürdige Arbeit und den Zugang zum Sozialschutz fördert;</w:t>
            </w:r>
            <w:r>
              <w:t xml:space="preserve"> </w:t>
            </w:r>
            <w:r>
              <w:rPr>
                <w:b/>
                <w:i/>
              </w:rPr>
              <w:t>spricht sich dafür aus, dieses Ziel in die Entwicklungs-, Handels- und Außenpolitik der EU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Entwurf eines Entschließungsantrags</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Entwurf eines Entschließungsantrags</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die Vereinten Nationen auf, einen soliden Rahmen für Folgemaßnahmen zum Weltsozialgipfel zu schaffen, der zweijährliche Ministererklärungen und verstärkte Überwachungsstrukturen umfasst;</w:t>
            </w:r>
            <w:r>
              <w:t xml:space="preserve"> </w:t>
            </w:r>
            <w:r>
              <w:rPr>
                <w:b/>
                <w:i/>
              </w:rPr>
              <w:t>unterstützt die Neubelebung der Kommission der Vereinten Nationen für soziale Entwicklung und eine stärkere Einbeziehung der Arbeitsministerien und Sozialpartner;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AM\1322547DE.docx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AM\1322547DE.docx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AM\1322547DE.docx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16141</Words>
  <Characters>111526</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199964</vt:lpwstr>
  </property>
  <property fmtid="{D5CDD505-2E9C-101B-9397-08002B2CF9AE}" pid="7" name="dmxml.render.traceId">
    <vt:lpwstr>6854260c685efd5b09903864294a289b</vt:lpwstr>
  </property>
  <property fmtid="{D5CDD505-2E9C-101B-9397-08002B2CF9AE}" pid="8" name="FooterPath">
    <vt:lpwstr>AM\1322547DE.docx</vt:lpwstr>
  </property>
  <property fmtid="{D5CDD505-2E9C-101B-9397-08002B2CF9AE}" pid="9" name="PE Number">
    <vt:lpwstr>774.385</vt:lpwstr>
  </property>
  <property fmtid="{D5CDD505-2E9C-101B-9397-08002B2CF9AE}" pid="10" name="UID">
    <vt:lpwstr>eu.europa.europarl-DIN1-2025-0000118099_01.00-de-01.00_text-xml</vt:lpwstr>
  </property>
</Properties>
</file>