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Commissione per l'occupazione e gli affari sociali</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Progetto di proposta di risoluzione</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Secondo vertice mondiale per lo sviluppo sociale</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Patto internazionale relativo ai diritti economici, sociali e culturali,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il piano d'azione sul pilastro europeo dei diritti sociali e i suoi obiettivi principali per il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garanzia europea per l'infanzia,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la strategia europea per la parità di genere e la tabella di marcia per i diritti delle donne,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6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strategia europea per i diritti delle persone con disabilità,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visti gli obiettivi di sviluppo sostenibile </w:t>
            </w:r>
            <w:r>
              <w:rPr>
                <w:b/>
                <w:i/>
              </w:rPr>
              <w:t>(OSS)</w:t>
            </w:r>
            <w:r>
              <w:t xml:space="preserve"> delle Nazioni Unite,</w:t>
            </w:r>
          </w:p>
        </w:tc>
        <w:tc>
          <w:tcPr>
            <w:tcW w:w="4876" w:type="dxa"/>
            <w:tcBorders>
              <w:top w:val="nil"/>
              <w:left w:val="nil"/>
              <w:bottom w:val="nil"/>
              <w:right w:val="nil"/>
            </w:tcBorders>
          </w:tcPr>
          <w:p>
            <w:pPr>
              <w:pStyle w:val="Normal6a"/>
            </w:pPr>
            <w:r>
              <w:rPr>
                <w:b/>
                <w:i/>
              </w:rPr>
              <w:t>–</w:t>
            </w:r>
            <w:r>
              <w:tab/>
            </w:r>
            <w:r>
              <w:t xml:space="preserve">visti gli obiettivi di sviluppo sostenibile delle Nazioni Unite, </w:t>
            </w:r>
            <w:r>
              <w:rPr>
                <w:b/>
                <w:i/>
              </w:rPr>
              <w:t>in particolare gli obiettivi 1, 2, 8 e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Visto 8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le convenzioni fondamentali dell'Organizzazione internazionale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-A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considerando che lo sviluppo sostenibile è un principio fondamentale del trattato sull'Unione europea e un obiettivo prioritario per le politiche interne ed esterne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i 17 obiettivi di sviluppo sostenibile (OSS) sono al centro dell'Agenda 2030 per lo sviluppo sostenibile, adottata da tutti gli Stati membri delle Nazioni Unite nel 2015;</w:t>
            </w:r>
            <w:r>
              <w:t xml:space="preserve"> </w:t>
            </w:r>
            <w:r>
              <w:rPr>
                <w:b/>
                <w:i/>
              </w:rPr>
              <w:t>che riconoscono che l'eliminazione della povertà e di altre privazioni deve andare di pari passo con strategie che migliorino la salute e l'istruzione, riducano le disuguaglianze e stimolino la crescita economica, affrontando nel contempo i cambiamenti climatici e adoperandosi per preservare l'ambiente;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-A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che l'impegno dell'UE nei confronti dell'Agenda 2030 si è tradotto in una serie di politiche trasformative, tra cui il pilastro europeo dei diritti sociali, il Green Deal europeo, la normativa europea sul clima, una nuova strategia industriale per l'Europa, le strategie annuali per la crescita sostenibile, l'agenda aggiornata per le competenze per l'Europa o lo spazio europeo dell'istruzione;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che all'interno dell'UE persistono notevoli disuguaglianze tra le persone e le regioni, mentre l'inflazione </w:t>
            </w:r>
            <w:r>
              <w:rPr>
                <w:b/>
                <w:i/>
              </w:rPr>
              <w:t>colpisce</w:t>
            </w:r>
            <w:r>
              <w:t xml:space="preserve"> in modo sproporzionato le famiglie che </w:t>
            </w:r>
            <w:r>
              <w:rPr>
                <w:b/>
                <w:i/>
              </w:rPr>
              <w:t>spendono relativamente di più per i beni essenziali, quali l'energia e i prodotti alimentari, e</w:t>
            </w:r>
            <w:r>
              <w:t xml:space="preserve"> la crisi abitativa continua a rappresentare una sfida in tutta l'UE; che </w:t>
            </w:r>
            <w:r>
              <w:rPr>
                <w:b/>
                <w:i/>
              </w:rPr>
              <w:t>a lungo termine</w:t>
            </w:r>
            <w:r>
              <w:t xml:space="preserve"> tali questioni incidono negativamente sulla </w:t>
            </w:r>
            <w:r>
              <w:rPr>
                <w:b/>
                <w:i/>
              </w:rPr>
              <w:t>coesione sociale</w:t>
            </w:r>
            <w:r>
              <w:t xml:space="preserve"> e sul benessere </w:t>
            </w:r>
            <w:r>
              <w:rPr>
                <w:b/>
                <w:i/>
              </w:rPr>
              <w:t>dei cittadini dell'UE</w:t>
            </w:r>
            <w:r>
              <w:t>;</w:t>
            </w:r>
          </w:p>
        </w:tc>
        <w:tc>
          <w:tcPr>
            <w:tcW w:w="4876" w:type="dxa"/>
            <w:tcBorders>
              <w:top w:val="nil"/>
              <w:left w:val="nil"/>
              <w:bottom w:val="nil"/>
              <w:right w:val="nil"/>
            </w:tcBorders>
          </w:tcPr>
          <w:p>
            <w:pPr>
              <w:pStyle w:val="Normal6a"/>
            </w:pPr>
            <w:r>
              <w:t>A.</w:t>
            </w:r>
            <w:r>
              <w:tab/>
            </w:r>
            <w:r>
              <w:t xml:space="preserve">considerando che all'interno dell'UE persistono notevoli disuguaglianze tra le persone e le regioni, mentre l'inflazione </w:t>
            </w:r>
            <w:r>
              <w:rPr>
                <w:b/>
                <w:i/>
              </w:rPr>
              <w:t>e l'aumento del costo della vita colpiscono</w:t>
            </w:r>
            <w:r>
              <w:t xml:space="preserve"> in modo sproporzionato le famiglie </w:t>
            </w:r>
            <w:r>
              <w:rPr>
                <w:b/>
                <w:i/>
              </w:rPr>
              <w:t>vulnerabili e a basso reddito;</w:t>
            </w:r>
            <w:r>
              <w:t xml:space="preserve"> che la crisi abitativa continua a rappresentare una sfida in tutta l'UE; che tali questioni incidono negativamente sulla </w:t>
            </w:r>
            <w:r>
              <w:rPr>
                <w:b/>
                <w:i/>
              </w:rPr>
              <w:t>stabilità economica</w:t>
            </w:r>
            <w:r>
              <w:t xml:space="preserve"> e sul benessere </w:t>
            </w:r>
            <w:r>
              <w:rPr>
                <w:b/>
                <w:i/>
              </w:rPr>
              <w:t>sociale delle persone che vivono nell'UE;</w:t>
            </w:r>
            <w:r>
              <w:t xml:space="preserve"> </w:t>
            </w:r>
            <w:r>
              <w:rPr>
                <w:b/>
                <w:i/>
              </w:rPr>
              <w:t>che non esiste una raccolta di dati sulla disuguaglianza della ricchezza a livello dell'UE, ma che alcuni studi nel settore finanziario suggeriscono che in Europa il 10 % più ricco del continente possiede addirittura il 67 % della ricchezza, mentre la seconda metà delle persone adulte ne possiede solo l'1,2 %</w:t>
            </w:r>
            <w:r>
              <w:rPr>
                <w:b/>
                <w:i/>
                <w:vertAlign w:val="superscript"/>
              </w:rPr>
              <w:t>1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all'interno dell'UE persistono notevoli disuguaglianze tra le persone e le regioni, mentre l'inflazione colpisce in modo sproporzionato le famiglie che spendono relativamente di più per i beni essenziali, quali l'energia e i prodotti alimentari, e la crisi abitativa continua a rappresentare una sfida in tutta l'UE; che a lungo termine tali questioni incidono negativamente sulla coesione sociale e sul benessere dei cittadini dell'UE;</w:t>
            </w:r>
          </w:p>
        </w:tc>
        <w:tc>
          <w:tcPr>
            <w:tcW w:w="4876" w:type="dxa"/>
            <w:tcBorders>
              <w:top w:val="nil"/>
              <w:left w:val="nil"/>
              <w:bottom w:val="nil"/>
              <w:right w:val="nil"/>
            </w:tcBorders>
          </w:tcPr>
          <w:p>
            <w:pPr>
              <w:pStyle w:val="Normal6a"/>
            </w:pPr>
            <w:r>
              <w:t>A.</w:t>
            </w:r>
            <w:r>
              <w:tab/>
            </w:r>
            <w:r>
              <w:t xml:space="preserve">considerando </w:t>
            </w:r>
            <w:r>
              <w:rPr>
                <w:b/>
                <w:i/>
              </w:rPr>
              <w:t>che nel 2023 il coefficiente di Gini per l'UE-27 era del 29,6 %, con una leggera tendenza al ribasso rispetto al 2014, benché 13 Stati membri fossero al di sopra di tale media</w:t>
            </w:r>
            <w:r>
              <w:rPr>
                <w:b/>
                <w:i/>
                <w:vertAlign w:val="superscript"/>
              </w:rPr>
              <w:t>1 bis</w:t>
            </w:r>
            <w:r>
              <w:rPr>
                <w:b/>
                <w:i/>
              </w:rPr>
              <w:t>;</w:t>
            </w:r>
            <w:r>
              <w:t xml:space="preserve"> che all'interno dell'UE persistono notevoli disuguaglianze tra le persone e le regioni</w:t>
            </w:r>
            <w:r>
              <w:rPr>
                <w:b/>
                <w:i/>
              </w:rPr>
              <w:t>, in particolare in termini di reddito e di genere</w:t>
            </w:r>
            <w:r>
              <w:t xml:space="preserve">, mentre l'inflazione colpisce in modo sproporzionato le famiglie che spendono relativamente di più per i beni essenziali, quali l'energia e i prodotti alimentari, e la crisi abitativa continua a rappresentare una sfida </w:t>
            </w:r>
            <w:r>
              <w:rPr>
                <w:b/>
                <w:i/>
              </w:rPr>
              <w:t>significativa</w:t>
            </w:r>
            <w:r>
              <w:t xml:space="preserve"> in tutta l'UE; che a lungo termine tali questioni incidono negativamente sulla coesione sociale</w:t>
            </w:r>
            <w:r>
              <w:rPr>
                <w:b/>
                <w:i/>
              </w:rPr>
              <w:t>, sulla convergenza sociale</w:t>
            </w:r>
            <w:r>
              <w:t xml:space="preserve"> e sul benessere dei cittadini dell'UE;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all'interno dell'UE persistono notevoli disuguaglianze tra le persone e le regioni, mentre l'inflazione colpisce in modo sproporzionato le famiglie che spendono relativamente di più per i beni essenziali, quali l'energia e i prodotti alimentari, e la crisi abitativa continua a rappresentare una sfida in tutta l'UE; che a lungo termine tali questioni incidono negativamente sulla coesione sociale e sul benessere dei cittadini dell'UE;</w:t>
            </w:r>
          </w:p>
        </w:tc>
        <w:tc>
          <w:tcPr>
            <w:tcW w:w="4876" w:type="dxa"/>
            <w:tcBorders>
              <w:top w:val="nil"/>
              <w:left w:val="nil"/>
              <w:bottom w:val="nil"/>
              <w:right w:val="nil"/>
            </w:tcBorders>
          </w:tcPr>
          <w:p>
            <w:pPr>
              <w:pStyle w:val="Normal6a"/>
            </w:pPr>
            <w:r>
              <w:t>A.</w:t>
            </w:r>
            <w:r>
              <w:tab/>
            </w:r>
            <w:r>
              <w:t xml:space="preserve">considerando che all'interno dell'UE persistono notevoli disuguaglianze tra le persone e le regioni, mentre l'inflazione colpisce in modo sproporzionato le famiglie che spendono relativamente di più per i beni essenziali, quali l'energia e i prodotti alimentari, e la crisi abitativa continua a rappresentare una sfida in tutta l'UE; che a lungo termine tali questioni incidono negativamente sulla coesione sociale e sul benessere dei cittadini dell'UE; </w:t>
            </w:r>
            <w:r>
              <w:rPr>
                <w:b/>
                <w:i/>
              </w:rPr>
              <w:t>che la ricerca di Eurofound conferma che l'inaccessibilità economica degli alloggi sta portando all'esclusione abitativa, all'insicurezza abitativa, a costi abitativi problematici e all'inadeguatezza degli alloggi</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https://www.eurofound.europa.eu/en/publications/2023/unaffordable-and-inadequate-housing-europe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l'UE </w:t>
            </w:r>
            <w:r>
              <w:rPr>
                <w:b/>
                <w:i/>
              </w:rPr>
              <w:t>ha stabilito l'obiettivo per il 2030 di</w:t>
            </w:r>
            <w:r>
              <w:t xml:space="preserve"> ridurre il numero di persone a rischio di povertà ed esclusione sociale di almeno 15 milioni </w:t>
            </w:r>
            <w:r>
              <w:rPr>
                <w:b/>
                <w:i/>
              </w:rPr>
              <w:t>rispetto al 2019</w:t>
            </w:r>
            <w:r>
              <w:t xml:space="preserve">, tra cui almeno cinque milioni di bambini; che in quasi la metà degli Stati membri </w:t>
            </w:r>
            <w:r>
              <w:rPr>
                <w:b/>
                <w:i/>
              </w:rPr>
              <w:t>la tendenza va nella direzione opposta</w:t>
            </w:r>
            <w:r>
              <w:t xml:space="preserve">; che un bambino su cinque nell'UE è ancora a rischio di povertà ed esclusione sociale; che </w:t>
            </w:r>
            <w:r>
              <w:rPr>
                <w:b/>
                <w:i/>
              </w:rPr>
              <w:t>se l'attuale</w:t>
            </w:r>
            <w:r>
              <w:t xml:space="preserve"> tendenza dovesse continuare, </w:t>
            </w:r>
            <w:r>
              <w:rPr>
                <w:b/>
                <w:i/>
              </w:rPr>
              <w:t>non sarà possibile raggiungere l'obiettivo</w:t>
            </w:r>
            <w:r>
              <w:t xml:space="preserve"> per il 2030 </w:t>
            </w:r>
            <w:r>
              <w:rPr>
                <w:b/>
                <w:i/>
              </w:rPr>
              <w:t>di ridurre il numero di persone a rischio di povertà ed esclusione sociale e</w:t>
            </w:r>
            <w:r>
              <w:t xml:space="preserve"> che, inoltre, la povertà energetica colpisce più di un europeo su dieci;</w:t>
            </w:r>
          </w:p>
        </w:tc>
        <w:tc>
          <w:tcPr>
            <w:tcW w:w="4876" w:type="dxa"/>
            <w:tcBorders>
              <w:top w:val="nil"/>
              <w:left w:val="nil"/>
              <w:bottom w:val="nil"/>
              <w:right w:val="nil"/>
            </w:tcBorders>
          </w:tcPr>
          <w:p>
            <w:pPr>
              <w:pStyle w:val="Normal6a"/>
            </w:pPr>
            <w:r>
              <w:t>B.</w:t>
            </w:r>
            <w:r>
              <w:tab/>
            </w:r>
            <w:r>
              <w:t xml:space="preserve">considerando che l'UE </w:t>
            </w:r>
            <w:r>
              <w:rPr>
                <w:b/>
                <w:i/>
              </w:rPr>
              <w:t>si è impegnata, nell'ambito del piano d'azione sul pilastro europeo dei diritti sociali, a</w:t>
            </w:r>
            <w:r>
              <w:t xml:space="preserve"> ridurre il numero di persone a rischio di povertà ed esclusione sociale di almeno 15 milioni </w:t>
            </w:r>
            <w:r>
              <w:rPr>
                <w:b/>
                <w:i/>
              </w:rPr>
              <w:t>entro il 2030</w:t>
            </w:r>
            <w:r>
              <w:t xml:space="preserve">, tra cui almeno cinque milioni di bambini; che in quasi la metà degli Stati membri </w:t>
            </w:r>
            <w:r>
              <w:rPr>
                <w:b/>
                <w:i/>
              </w:rPr>
              <w:t>i dati indicano un'inversione dei progressi in materia di riduzione della povertà</w:t>
            </w:r>
            <w:r>
              <w:t>; che un bambino su cinque nell'UE è ancora a rischio di povertà ed esclusione sociale; che</w:t>
            </w:r>
            <w:r>
              <w:rPr>
                <w:b/>
                <w:i/>
              </w:rPr>
              <w:t>, se la</w:t>
            </w:r>
            <w:r>
              <w:t xml:space="preserve"> tendenza </w:t>
            </w:r>
            <w:r>
              <w:rPr>
                <w:b/>
                <w:i/>
              </w:rPr>
              <w:t>attuale</w:t>
            </w:r>
            <w:r>
              <w:t xml:space="preserve"> dovesse continuare, </w:t>
            </w:r>
            <w:r>
              <w:rPr>
                <w:b/>
                <w:i/>
              </w:rPr>
              <w:t>l'Unione non raggiungerà il suo obiettivo</w:t>
            </w:r>
            <w:r>
              <w:t xml:space="preserve"> per il 2030</w:t>
            </w:r>
            <w:r>
              <w:rPr>
                <w:b/>
                <w:i/>
              </w:rPr>
              <w:t>;</w:t>
            </w:r>
            <w:r>
              <w:t xml:space="preserve"> che, inoltre, la povertà energetica colpisce più di un europeo su dieci</w:t>
            </w:r>
            <w:r>
              <w:rPr>
                <w:b/>
                <w:i/>
              </w:rPr>
              <w:t>, aggravando le disuguaglianze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l'UE ha stabilito l'obiettivo per il 2030 di ridurre il numero di persone a rischio di povertà ed esclusione sociale di almeno 15 milioni rispetto al 2019, tra cui almeno cinque milioni di bambini; che in quasi la metà degli Stati membri la tendenza va nella direzione opposta; che un bambino su cinque nell'UE è ancora a rischio di povertà ed esclusione sociale; che se l'attuale tendenza dovesse continuare, non sarà possibile raggiungere l'obiettivo per il 2030 di ridurre il numero di persone a rischio di povertà ed esclusione sociale e che, inoltre, la povertà energetica colpisce più di un europeo su dieci;</w:t>
            </w:r>
          </w:p>
        </w:tc>
        <w:tc>
          <w:tcPr>
            <w:tcW w:w="4876" w:type="dxa"/>
            <w:tcBorders>
              <w:top w:val="nil"/>
              <w:left w:val="nil"/>
              <w:bottom w:val="nil"/>
              <w:right w:val="nil"/>
            </w:tcBorders>
          </w:tcPr>
          <w:p>
            <w:pPr>
              <w:pStyle w:val="Normal6a"/>
            </w:pPr>
            <w:r>
              <w:t>B.</w:t>
            </w:r>
            <w:r>
              <w:tab/>
            </w:r>
            <w:r>
              <w:t xml:space="preserve">considerando che l'UE ha stabilito l'obiettivo per il 2030 di ridurre il numero di persone a rischio di povertà ed esclusione sociale di almeno 15 milioni rispetto al 2019, tra cui almeno cinque milioni di bambini; che in quasi la metà degli Stati membri </w:t>
            </w:r>
            <w:r>
              <w:rPr>
                <w:b/>
                <w:i/>
              </w:rPr>
              <w:t>purtroppo</w:t>
            </w:r>
            <w:r>
              <w:t xml:space="preserve"> la tendenza va nella direzione opposta; che un bambino su cinque nell'UE è ancora a rischio di povertà ed esclusione sociale; che se l'attuale tendenza dovesse continuare, non sarà possibile raggiungere l'obiettivo per il 2030 di ridurre il numero di persone a rischio di povertà ed esclusione sociale e che, inoltre, la povertà energetica colpisce più di un europeo su dieci;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la situazione a livello mondiale è ancora peggiore, con quasi 700 milioni di persone che vivono in condizioni di povertà estrema e altri 2,8 miliardi che vivono tra la soglia di povertà estrema e lo standard di 6,85 USD al giorno</w:t>
            </w:r>
            <w:r>
              <w:rPr>
                <w:b/>
                <w:i/>
                <w:vertAlign w:val="superscript"/>
              </w:rPr>
              <w:t>1 ter</w:t>
            </w:r>
            <w:r>
              <w:rPr>
                <w:b/>
                <w:i/>
              </w:rPr>
              <w:t>;</w:t>
            </w:r>
            <w:r>
              <w:t xml:space="preserve"> </w:t>
            </w:r>
            <w:r>
              <w:rPr>
                <w:b/>
                <w:i/>
              </w:rPr>
              <w:t>che, negli ultimi trent'anni, il 35 % delle persone che sono uscite dalla povertà vi è ricaduto;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2025, il tasso di occupazione dell'UE ha raggiunto il 75,3 %; che in due terzi degli Stati membri la crescita dell'occupazione nel 2023 era sulla giusta traiettoria per raggiungere l'obiettivo nazionale per il 2030; che permangono tuttavia sfide significative, </w:t>
            </w:r>
            <w:r>
              <w:rPr>
                <w:b/>
                <w:i/>
              </w:rPr>
              <w:t>come</w:t>
            </w:r>
            <w:r>
              <w:t xml:space="preserve"> gli elevati tassi di disoccupazione in alcuni Stati membri, </w:t>
            </w:r>
            <w:r>
              <w:rPr>
                <w:b/>
                <w:i/>
              </w:rPr>
              <w:t>in particolare tra i giovani e le persone con disabilità</w:t>
            </w:r>
            <w:r>
              <w:t>;</w:t>
            </w:r>
          </w:p>
        </w:tc>
        <w:tc>
          <w:tcPr>
            <w:tcW w:w="4876" w:type="dxa"/>
            <w:tcBorders>
              <w:top w:val="nil"/>
              <w:left w:val="nil"/>
              <w:bottom w:val="nil"/>
              <w:right w:val="nil"/>
            </w:tcBorders>
          </w:tcPr>
          <w:p>
            <w:pPr>
              <w:pStyle w:val="Normal6a"/>
            </w:pPr>
            <w:r>
              <w:t>C.</w:t>
            </w:r>
            <w:r>
              <w:tab/>
            </w:r>
            <w:r>
              <w:t xml:space="preserve">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2025, il tasso di occupazione dell'UE ha raggiunto il 75,3 %; che in due terzi degli Stati membri la crescita dell'occupazione nel 2023 era sulla giusta traiettoria per raggiungere l'obiettivo nazionale per il 2030; che permangono tuttavia sfide significative, </w:t>
            </w:r>
            <w:r>
              <w:rPr>
                <w:b/>
                <w:i/>
              </w:rPr>
              <w:t>tra cui</w:t>
            </w:r>
            <w:r>
              <w:t xml:space="preserve"> gli elevati tassi di disoccupazione in alcuni Stati membri, </w:t>
            </w:r>
            <w:r>
              <w:rPr>
                <w:b/>
                <w:i/>
              </w:rPr>
              <w:t>la persistente segmentazione del mercato del lavoro, l'elevata incidenza di lavori precari e atipici e le continue disparità nell'accesso a un'occupazione di qualità</w:t>
            </w:r>
            <w:r>
              <w:t xml:space="preserve">; </w:t>
            </w:r>
            <w:r>
              <w:rPr>
                <w:b/>
                <w:i/>
              </w:rPr>
              <w:t>che nel 2024 il 66,6 % dei disoccupati e il 10,9 % degli occupati erano a rischio di povertà</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2025, il tasso di occupazione dell'UE ha raggiunto il 75,3 %; che in due terzi degli Stati membri la crescita dell'occupazione nel 2023 era sulla giusta traiettoria per raggiungere l'obiettivo nazionale per il 2030; che permangono tuttavia sfide significative, come gli elevati tassi di disoccupazione in alcuni Stati membri, in particolare tra i giovani e le persone con disabilità;</w:t>
            </w:r>
          </w:p>
        </w:tc>
        <w:tc>
          <w:tcPr>
            <w:tcW w:w="4876" w:type="dxa"/>
            <w:tcBorders>
              <w:top w:val="nil"/>
              <w:left w:val="nil"/>
              <w:bottom w:val="nil"/>
              <w:right w:val="nil"/>
            </w:tcBorders>
          </w:tcPr>
          <w:p>
            <w:pPr>
              <w:pStyle w:val="Normal6a"/>
            </w:pPr>
            <w:r>
              <w:t>C.</w:t>
            </w:r>
            <w:r>
              <w:tab/>
            </w:r>
            <w:r>
              <w:t>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2025, il tasso di occupazione dell'UE ha raggiunto il 75,3 %; che in due terzi degli Stati membri la crescita dell'occupazione nel 2023 era sulla giusta traiettoria per raggiungere l'obiettivo nazionale per il 2030; che permangono tuttavia sfide significative, come gli elevati tassi di disoccupazione in alcuni Stati membri, in particolare tra i giovani e le persone con disabilità</w:t>
            </w:r>
            <w:r>
              <w:rPr>
                <w:b/>
                <w:i/>
              </w:rPr>
              <w:t>, come pure le notevoli disuguaglianze tra settori e regioni e i divari nella protezione sociale, che potrebbero incidere negativamente sulla coesione sociale e sul benessere dei cittadini europei nel lungo periodo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2025, il tasso di occupazione dell'UE ha raggiunto il 75,3 %; che in due terzi degli Stati membri la crescita dell'occupazione nel 2023 era sulla giusta traiettoria per raggiungere l'obiettivo nazionale per il 2030; che permangono tuttavia sfide significative, come gli elevati tassi di disoccupazione in alcuni Stati membri, in particolare tra i giovani e le persone con disabilità;</w:t>
            </w:r>
          </w:p>
        </w:tc>
        <w:tc>
          <w:tcPr>
            <w:tcW w:w="4876" w:type="dxa"/>
            <w:tcBorders>
              <w:top w:val="nil"/>
              <w:left w:val="nil"/>
              <w:bottom w:val="nil"/>
              <w:right w:val="nil"/>
            </w:tcBorders>
          </w:tcPr>
          <w:p>
            <w:pPr>
              <w:pStyle w:val="Normal6a"/>
            </w:pPr>
            <w:r>
              <w:t>C.</w:t>
            </w:r>
            <w:r>
              <w:tab/>
            </w:r>
            <w:r>
              <w:t xml:space="preserve">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2025, il tasso di occupazione dell'UE ha raggiunto il 75,3 %; che in due terzi degli Stati membri la crescita dell'occupazione nel 2023 era sulla giusta traiettoria per raggiungere l'obiettivo nazionale per il 2030; che permangono tuttavia sfide significative, come </w:t>
            </w:r>
            <w:r>
              <w:rPr>
                <w:b/>
                <w:i/>
              </w:rPr>
              <w:t>il divario di genere a livello occupazionale e</w:t>
            </w:r>
            <w:r>
              <w:t xml:space="preserve"> gli elevati tassi di disoccupazione in alcuni Stati membri, in particolare tra i giovani e le persone con disabilità;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che i risultati insoddisfacenti nelle competenze di base (lettura, matematica e scienze) sono in aumento e che l'obiettivo a livello dell'UE per il 2030 di una percentuale di risultati insoddisfacenti inferiore al 15 % rimane irraggiungibile nel prossimo futuro;</w:t>
            </w:r>
            <w:r>
              <w:t xml:space="preserve"> </w:t>
            </w:r>
            <w:r>
              <w:rPr>
                <w:b/>
                <w:i/>
              </w:rPr>
              <w:t>che i risultati insoddisfacenti sono prevalenti tra i discenti svantaggiati, a dimostrazione di un ampliamento delle disuguaglianze in materia di istruzione;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lo scarso rendimento in termini di competenze di base come la lettura, la matematica e le scienze sono in aumento nell'UE, in particolare tra i discenti svantaggiati;</w:t>
            </w:r>
            <w:r>
              <w:t xml:space="preserve"> </w:t>
            </w:r>
            <w:r>
              <w:rPr>
                <w:b/>
                <w:i/>
              </w:rPr>
              <w:t>che tale disuguaglianza nell'istruzione compromette la parità di accesso all'istruzione continua, alle opportunità di formazione e a un'occupazione di qualità e contribuisce al persistere dell'esclusione sociale e dal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sottolinea tuttavia che, per quanto riguarda il quadro scolastico, l'abbassamento del livello delle conoscenze di base è generalizzato in numerosi Stati membri e non riguarda soltanto le persone svantaggiate;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considerando che le sfide demografiche, tra cui l'invecchiamento della popolazione, i bassi tassi di natalità e lo spopolamento rurale, caratterizzato in particolare dallo spostamento dei giovani nelle aree urbane, incidono profondamente sulla vitalità economica e sull'attrattiva delle regioni dell'UE, sui mercati del lavoro e, di conseguenza, sulla sostenibilità dei sistemi di protezione sociale, aggravando ulteriormente le disparità regionali nell'UE e rappresentando pertanto una sfida strutturale per l'economia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che </w:t>
            </w:r>
            <w:r>
              <w:rPr>
                <w:b/>
                <w:i/>
              </w:rPr>
              <w:t>le</w:t>
            </w:r>
            <w:r>
              <w:t xml:space="preserve"> sfide demografiche, tra cui l'invecchiamento della popolazione, i bassi tassi di natalità e lo spopolamento rurale, caratterizzato in particolare dallo spostamento dei giovani nelle aree urbane, </w:t>
            </w:r>
            <w:r>
              <w:rPr>
                <w:b/>
                <w:i/>
              </w:rPr>
              <w:t>incidono</w:t>
            </w:r>
            <w:r>
              <w:t xml:space="preserve"> profondamente sulla vitalità economica e sull'attrattiva delle regioni dell'UE, sui mercati del lavoro e, di conseguenza, sulla sostenibilità dei sistemi di protezione sociale, aggravando ulteriormente le disparità regionali nell'UE e rappresentando pertanto una sfida strutturale per l'economia dell'UE;</w:t>
            </w:r>
          </w:p>
        </w:tc>
        <w:tc>
          <w:tcPr>
            <w:tcW w:w="4876" w:type="dxa"/>
            <w:tcBorders>
              <w:top w:val="nil"/>
              <w:left w:val="nil"/>
              <w:bottom w:val="nil"/>
              <w:right w:val="nil"/>
            </w:tcBorders>
          </w:tcPr>
          <w:p>
            <w:pPr>
              <w:pStyle w:val="Normal6a"/>
            </w:pPr>
            <w:r>
              <w:t>F.</w:t>
            </w:r>
            <w:r>
              <w:tab/>
            </w:r>
            <w:r>
              <w:t>considerando che</w:t>
            </w:r>
            <w:r>
              <w:rPr>
                <w:b/>
                <w:i/>
              </w:rPr>
              <w:t>, a causa delle</w:t>
            </w:r>
            <w:r>
              <w:t xml:space="preserve"> sfide demografiche, tra cui l'invecchiamento della popolazione, i bassi tassi di natalità e lo spopolamento rurale, caratterizzato in particolare dallo spostamento dei giovani nelle aree urbane, </w:t>
            </w:r>
            <w:r>
              <w:rPr>
                <w:b/>
                <w:i/>
              </w:rPr>
              <w:t>la crescita della produttività dell'UE è rimasta molto indietro rispetto a quella degli Stati uniti, il che incide</w:t>
            </w:r>
            <w:r>
              <w:t xml:space="preserve"> profondamente sulla vitalità economica e sull'attrattiva delle regioni dell'UE, sui mercati del lavoro e, di conseguenza, sulla sostenibilità dei sistemi di protezione sociale, aggravando ulteriormente le disparità regionali nell'UE e rappresentando pertanto una sfida strutturale per l'economia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che le sfide demografiche, tra cui l'invecchiamento della popolazione, i bassi tassi di natalità e lo spopolamento rurale, caratterizzato in particolare dallo spostamento dei giovani nelle aree urbane, incidono profondamente sulla vitalità economica e sull'attrattiva delle regioni dell'UE, sui mercati del lavoro e, di conseguenza, sulla sostenibilità dei sistemi di protezione sociale, aggravando ulteriormente le disparità regionali nell'UE e rappresentando pertanto una sfida strutturale per l'economia dell'UE;</w:t>
            </w:r>
          </w:p>
        </w:tc>
        <w:tc>
          <w:tcPr>
            <w:tcW w:w="4876" w:type="dxa"/>
            <w:tcBorders>
              <w:top w:val="nil"/>
              <w:left w:val="nil"/>
              <w:bottom w:val="nil"/>
              <w:right w:val="nil"/>
            </w:tcBorders>
          </w:tcPr>
          <w:p>
            <w:pPr>
              <w:pStyle w:val="Normal6a"/>
            </w:pPr>
            <w:r>
              <w:t>F.</w:t>
            </w:r>
            <w:r>
              <w:tab/>
            </w:r>
            <w:r>
              <w:t>considerando che le sfide demografiche, tra cui l'invecchiamento della popolazione, i bassi tassi di natalità e lo spopolamento rurale, caratterizzato in particolare dallo spostamento dei giovani nelle aree urbane, incidono profondamente sulla vitalità economica e sull'attrattiva delle regioni dell'UE, sui mercati del lavoro</w:t>
            </w:r>
            <w:r>
              <w:rPr>
                <w:b/>
                <w:i/>
              </w:rPr>
              <w:t>, sulle infrastrutture pubbliche</w:t>
            </w:r>
            <w:r>
              <w:t xml:space="preserve"> e, di conseguenza, sulla sostenibilità dei sistemi di protezione sociale, aggravando ulteriormente le disparità regionali nell'UE e rappresentando pertanto una sfida strutturale per l'economia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F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che le sfide demografiche, in particolare l'invecchiamento della popolazione, i bassi tassi di natalità e lo spopolamento rurale, se non controllate, potrebbero aggravare le disuguaglianze economiche e danneggiare il progresso sociale;</w:t>
            </w:r>
            <w:r>
              <w:t xml:space="preserve"> </w:t>
            </w:r>
            <w:r>
              <w:rPr>
                <w:b/>
                <w:i/>
              </w:rPr>
              <w:t>che la mancanza di accesso pubblico universale all'assistenza all'infanzia (fascia di età 0-3 anni) e all'istruzione terziaria, la mancanza o l'insufficienza degli assegni per i figli a carico e l'insufficiente congedo parentale retribuito sono le cause alla base dei bassi tassi di natalità;</w:t>
            </w:r>
            <w:r>
              <w:t xml:space="preserve"> </w:t>
            </w:r>
            <w:r>
              <w:rPr>
                <w:b/>
                <w:i/>
              </w:rPr>
              <w:t>che l'integrazione dei migranti nel mercato del lavoro può migliorarne le carenze;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le carenze di manodopera e di competenze sono </w:t>
            </w:r>
            <w:r>
              <w:rPr>
                <w:b/>
                <w:i/>
              </w:rPr>
              <w:t>in aumento in tutta l'UE a causa dei</w:t>
            </w:r>
            <w:r>
              <w:t xml:space="preserve"> cambiamenti demografici</w:t>
            </w:r>
            <w:r>
              <w:rPr>
                <w:b/>
                <w:i/>
              </w:rPr>
              <w:t>, della</w:t>
            </w:r>
            <w:r>
              <w:t xml:space="preserve"> domanda di nuove competenze e </w:t>
            </w:r>
            <w:r>
              <w:rPr>
                <w:b/>
                <w:i/>
              </w:rPr>
              <w:t>delle</w:t>
            </w:r>
            <w:r>
              <w:t xml:space="preserve"> condizioni di lavoro precarie </w:t>
            </w:r>
            <w:r>
              <w:rPr>
                <w:b/>
                <w:i/>
              </w:rPr>
              <w:t>in alcuni settori</w:t>
            </w:r>
            <w:r>
              <w:t>;</w:t>
            </w:r>
          </w:p>
        </w:tc>
        <w:tc>
          <w:tcPr>
            <w:tcW w:w="4876" w:type="dxa"/>
            <w:tcBorders>
              <w:top w:val="nil"/>
              <w:left w:val="nil"/>
              <w:bottom w:val="nil"/>
              <w:right w:val="nil"/>
            </w:tcBorders>
          </w:tcPr>
          <w:p>
            <w:pPr>
              <w:pStyle w:val="Normal6a"/>
            </w:pPr>
            <w:r>
              <w:t>G.</w:t>
            </w:r>
            <w:r>
              <w:tab/>
            </w:r>
            <w:r>
              <w:t xml:space="preserve">considerando che le carenze di manodopera e di competenze sono </w:t>
            </w:r>
            <w:r>
              <w:rPr>
                <w:b/>
                <w:i/>
              </w:rPr>
              <w:t>determinate dai</w:t>
            </w:r>
            <w:r>
              <w:t xml:space="preserve"> cambiamenti demografici </w:t>
            </w:r>
            <w:r>
              <w:rPr>
                <w:b/>
                <w:i/>
              </w:rPr>
              <w:t>e dalle transizioni, dalla</w:t>
            </w:r>
            <w:r>
              <w:t xml:space="preserve"> domanda di nuove competenze e </w:t>
            </w:r>
            <w:r>
              <w:rPr>
                <w:b/>
                <w:i/>
              </w:rPr>
              <w:t>di posti di lavoro di qualità, con salari più elevati e stabilità occupazionale, nonché dell'integrazione dei cittadini di paesi terzi nei mercati del lavoro;</w:t>
            </w:r>
            <w:r>
              <w:t xml:space="preserve"> </w:t>
            </w:r>
            <w:r>
              <w:rPr>
                <w:b/>
                <w:i/>
              </w:rPr>
              <w:t>che le</w:t>
            </w:r>
            <w:r>
              <w:t xml:space="preserve"> condizioni di lavoro precarie </w:t>
            </w:r>
            <w:r>
              <w:rPr>
                <w:b/>
                <w:i/>
              </w:rPr>
              <w:t>stanno aumentando in tutta l'UE e limitano direttamente la capacità dell'UE di attrarre e trattenere talenti, sia dai paesi terzi sia all'interno dell'Unione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le carenze di manodopera </w:t>
            </w:r>
            <w:r>
              <w:rPr>
                <w:b/>
                <w:i/>
              </w:rPr>
              <w:t>e di competenze</w:t>
            </w:r>
            <w:r>
              <w:t xml:space="preserve"> sono in aumento in tutta l'UE a causa </w:t>
            </w:r>
            <w:r>
              <w:rPr>
                <w:b/>
                <w:i/>
              </w:rPr>
              <w:t>dei cambiamenti demografici</w:t>
            </w:r>
            <w:r>
              <w:t>, della domanda di nuove competenze e delle condizioni di lavoro precarie in alcuni settori;</w:t>
            </w:r>
          </w:p>
        </w:tc>
        <w:tc>
          <w:tcPr>
            <w:tcW w:w="4876" w:type="dxa"/>
            <w:tcBorders>
              <w:top w:val="nil"/>
              <w:left w:val="nil"/>
              <w:bottom w:val="nil"/>
              <w:right w:val="nil"/>
            </w:tcBorders>
          </w:tcPr>
          <w:p>
            <w:pPr>
              <w:pStyle w:val="Normal6a"/>
            </w:pPr>
            <w:r>
              <w:t>G.</w:t>
            </w:r>
            <w:r>
              <w:tab/>
            </w:r>
            <w:r>
              <w:t xml:space="preserve">considerando che le carenze di manodopera </w:t>
            </w:r>
            <w:r>
              <w:rPr>
                <w:b/>
                <w:i/>
              </w:rPr>
              <w:t>qualificata</w:t>
            </w:r>
            <w:r>
              <w:t xml:space="preserve"> sono in aumento in tutta l'UE a causa </w:t>
            </w:r>
            <w:r>
              <w:rPr>
                <w:b/>
                <w:i/>
              </w:rPr>
              <w:t>del calo di natalità senza precedenti, del crescente espatrio di giovani lavoratori europei qualificati</w:t>
            </w:r>
            <w:r>
              <w:t>, della domanda di nuove competenze e delle condizioni di lavoro precarie in alcuni settori;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che le carenze di manodopera e di competenze sono in aumento in tutta l'UE a causa dei cambiamenti demografici, della domanda di nuove competenze e delle condizioni di lavoro precarie in alcuni settori;</w:t>
            </w:r>
          </w:p>
        </w:tc>
        <w:tc>
          <w:tcPr>
            <w:tcW w:w="4876" w:type="dxa"/>
            <w:tcBorders>
              <w:top w:val="nil"/>
              <w:left w:val="nil"/>
              <w:bottom w:val="nil"/>
              <w:right w:val="nil"/>
            </w:tcBorders>
          </w:tcPr>
          <w:p>
            <w:pPr>
              <w:pStyle w:val="Normal6a"/>
            </w:pPr>
            <w:r>
              <w:t>G.</w:t>
            </w:r>
            <w:r>
              <w:tab/>
            </w:r>
            <w:r>
              <w:t xml:space="preserve">considerando che le carenze di manodopera e di competenze sono in aumento in tutta l'UE a causa dei cambiamenti demografici, della domanda di nuove competenze </w:t>
            </w:r>
            <w:r>
              <w:rPr>
                <w:b/>
                <w:i/>
              </w:rPr>
              <w:t>per le transizioni verde e digitale,</w:t>
            </w:r>
            <w:r>
              <w:t xml:space="preserve"> e delle condizioni di lavoro precarie </w:t>
            </w:r>
            <w:r>
              <w:rPr>
                <w:b/>
                <w:i/>
              </w:rPr>
              <w:t>e dello squilibrio tra domanda e offerta di competenze</w:t>
            </w:r>
            <w:r>
              <w:t xml:space="preserve"> in alcuni settori;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che le carenze di manodopera e di competenze sono in aumento in tutta l'UE a causa dei cambiamenti demografici, della domanda di nuove competenze e delle condizioni di lavoro precarie in alcuni settori;</w:t>
            </w:r>
          </w:p>
        </w:tc>
        <w:tc>
          <w:tcPr>
            <w:tcW w:w="4876" w:type="dxa"/>
            <w:tcBorders>
              <w:top w:val="nil"/>
              <w:left w:val="nil"/>
              <w:bottom w:val="nil"/>
              <w:right w:val="nil"/>
            </w:tcBorders>
          </w:tcPr>
          <w:p>
            <w:pPr>
              <w:pStyle w:val="Normal6a"/>
            </w:pPr>
            <w:r>
              <w:t>G.</w:t>
            </w:r>
            <w:r>
              <w:tab/>
            </w:r>
            <w:r>
              <w:t xml:space="preserve">considerando che le carenze di manodopera e di competenze sono in aumento in tutta l'UE a causa dei cambiamenti demografici, della domanda di nuove competenze e delle condizioni di lavoro precarie </w:t>
            </w:r>
            <w:r>
              <w:rPr>
                <w:b/>
                <w:i/>
              </w:rPr>
              <w:t>e della carenza di investimenti nella robotica</w:t>
            </w:r>
            <w:r>
              <w:t xml:space="preserve"> in alcuni settori;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che la relazione di Eurofound del 2024 mostra che i tassi di suicidio stanno crescendo dal 2021, dopo decenni di declino;</w:t>
            </w:r>
            <w:r>
              <w:t xml:space="preserve"> </w:t>
            </w:r>
            <w:r>
              <w:rPr>
                <w:b/>
                <w:i/>
              </w:rPr>
              <w:t>che occorre fare di più per affrontare le cause dei disturbi mentali nelle condizioni di lavoro e di vita</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Eurofound (2025, di prossima pubblicazione), Mental health in the European Union and Norway:</w:t>
            </w:r>
            <w:r>
              <w:t xml:space="preserve"> </w:t>
            </w:r>
            <w:r>
              <w:rPr>
                <w:b/>
                <w:i/>
              </w:rPr>
              <w:t>risk groups, trends, services and policies (Salute mentale nell'Unione europea e in Norvegia: gruppi di rischio, tendenze, servizi e politiche)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che l'economia sociale e le imprese sociali comprendono diversi tipi di soggetti privati, indipendenti dalle autorità pubbliche, quali cooperative, società mutualistiche, associazioni (compresi enti di beneficenza), fondazioni (incluse le imprese sociali di inserimento lavorativo e altre forme giuridiche a seconda di ciascuno Stato membro dell'UE);</w:t>
            </w:r>
            <w:r>
              <w:t xml:space="preserve"> </w:t>
            </w:r>
            <w:r>
              <w:rPr>
                <w:b/>
                <w:i/>
              </w:rPr>
              <w:t>prende atto di tale diversità di imprese e organizzazioni, che operano in tutti i settori di attività, condividono una forte identità basata su valori e caratteristiche condivisi, quali il primato degli individui e la finalità sociale rispetto al capitale, la parità di genere, la responsabilità locale e regionale, la sensibilità per le sfide climatiche e ambientali, l'inclusione e la governance democratica e il reinvestimento, e quindi la distribuzione limitata dei profitti e degli attivi tra i soci o gli azionisti, della maggior parte dei profitti per conseguire gli obiettivi di sviluppo sostenibile dell'impresa o dell'organizzazione o nell'interesse collettivo e generale;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G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che, nel contesto di una riduzione inesorabilmente lenta del divario retributivo di genere, la ricerca di Eurofound mostra che molti Stati membri finora non hanno attuato alcuna misura di trasparenza retributiva e che la maggior parte degli strumenti nazionali attualmente</w:t>
            </w:r>
            <w:r>
              <w:rPr>
                <w:b/>
                <w:i/>
                <w:vertAlign w:val="superscript"/>
              </w:rPr>
              <w:t>3 ter</w:t>
            </w:r>
            <w:r>
              <w:t xml:space="preserve"> </w:t>
            </w:r>
            <w:r>
              <w:rPr>
                <w:b/>
                <w:i/>
              </w:rPr>
              <w:t>in vigore non considera ancora il lavoro di pari valore</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Ricerca Eurofound 2025 (di prossima ricerca pubblicazione), Further experiences with pay transparency (Ulteriori esperienze in materia di trasparenza retributiva).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ter</w:t>
            </w:r>
            <w:r>
              <w:t xml:space="preserve"> </w:t>
            </w:r>
            <w:r>
              <w:rPr>
                <w:b/>
                <w:i/>
              </w:rPr>
              <w:t>Eurofound (2021), Gender pay transparency:</w:t>
            </w:r>
            <w:r>
              <w:t xml:space="preserve"> </w:t>
            </w:r>
            <w:r>
              <w:rPr>
                <w:b/>
                <w:i/>
              </w:rPr>
              <w:t>Advancing the cause through a truly European proposal (Trasparenza retributiva di genere: promuovere la causa attraverso una proposta realmente europea), articolo, 18 giugno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considerando che un'equa mobilità professionale offre opportunità alle imprese e ai lavoratori e dovrebbe essere promossa all'interno dell'UE e tra i lavoratori provenienti da paesi terzi, garantendo nel contempo il rispetto e l'applicazione dei diritti sociali e del lavoro, mediante percorsi di migrazione legale;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un'equa mobilità professionale offre opportunità alle imprese e ai lavoratori e dovrebbe essere promossa all'interno dell'UE e tra i lavoratori provenienti da paesi terzi, garantendo nel contempo il rispetto e l'applicazione dei diritti sociali e del lavoro, mediante percorsi di migrazione legale;</w:t>
            </w:r>
          </w:p>
        </w:tc>
        <w:tc>
          <w:tcPr>
            <w:tcW w:w="4876" w:type="dxa"/>
            <w:tcBorders>
              <w:top w:val="nil"/>
              <w:left w:val="nil"/>
              <w:bottom w:val="nil"/>
              <w:right w:val="nil"/>
            </w:tcBorders>
          </w:tcPr>
          <w:p>
            <w:pPr>
              <w:pStyle w:val="Normal6a"/>
            </w:pPr>
            <w:r>
              <w:t>H.</w:t>
            </w:r>
            <w:r>
              <w:tab/>
            </w:r>
            <w:r>
              <w:t>considerando che un'equa mobilità professionale offre opportunità alle imprese e ai lavoratori e dovrebbe essere promossa all'interno dell'UE e tra i lavoratori provenienti da paesi terzi, garantendo nel contempo il rispetto e l'applicazione dei diritti sociali e del lavoro, mediante percorsi di migrazione legale</w:t>
            </w:r>
            <w:r>
              <w:rPr>
                <w:b/>
                <w:i/>
              </w:rPr>
              <w:t>, nonché la parità di trattamento e la non discriminazione, anche per quanto riguarda la portabilità dei benefici occupazionali acquisiti nel mercato unico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che </w:t>
            </w:r>
            <w:r>
              <w:rPr>
                <w:b/>
                <w:i/>
              </w:rPr>
              <w:t>un'equa</w:t>
            </w:r>
            <w:r>
              <w:t xml:space="preserve"> mobilità professionale offre opportunità alle imprese e ai lavoratori e dovrebbe essere promossa all'interno dell'UE e tra i lavoratori provenienti da paesi terzi, garantendo nel contempo il rispetto e </w:t>
            </w:r>
            <w:r>
              <w:rPr>
                <w:b/>
                <w:i/>
              </w:rPr>
              <w:t>l'applicazione</w:t>
            </w:r>
            <w:r>
              <w:t xml:space="preserve"> dei diritti sociali e del lavoro, mediante percorsi di migrazione legale;</w:t>
            </w:r>
          </w:p>
        </w:tc>
        <w:tc>
          <w:tcPr>
            <w:tcW w:w="4876" w:type="dxa"/>
            <w:tcBorders>
              <w:top w:val="nil"/>
              <w:left w:val="nil"/>
              <w:bottom w:val="nil"/>
              <w:right w:val="nil"/>
            </w:tcBorders>
          </w:tcPr>
          <w:p>
            <w:pPr>
              <w:pStyle w:val="Normal6a"/>
            </w:pPr>
            <w:r>
              <w:t>H.</w:t>
            </w:r>
            <w:r>
              <w:tab/>
            </w:r>
            <w:r>
              <w:t xml:space="preserve">considerando che </w:t>
            </w:r>
            <w:r>
              <w:rPr>
                <w:b/>
                <w:i/>
              </w:rPr>
              <w:t>la</w:t>
            </w:r>
            <w:r>
              <w:t xml:space="preserve"> mobilità professionale </w:t>
            </w:r>
            <w:r>
              <w:rPr>
                <w:b/>
                <w:i/>
              </w:rPr>
              <w:t>è sancita nei trattati e</w:t>
            </w:r>
            <w:r>
              <w:t xml:space="preserve"> offre opportunità alle imprese e ai lavoratori e dovrebbe essere promossa all'interno dell'UE e tra i lavoratori provenienti da paesi terzi, garantendo nel contempo il </w:t>
            </w:r>
            <w:r>
              <w:rPr>
                <w:b/>
                <w:i/>
              </w:rPr>
              <w:t>pieno</w:t>
            </w:r>
            <w:r>
              <w:t xml:space="preserve"> rispetto e </w:t>
            </w:r>
            <w:r>
              <w:rPr>
                <w:b/>
                <w:i/>
              </w:rPr>
              <w:t>la piena applicazione</w:t>
            </w:r>
            <w:r>
              <w:t xml:space="preserve"> dei diritti sociali e del lavoro</w:t>
            </w:r>
            <w:r>
              <w:rPr>
                <w:b/>
                <w:i/>
              </w:rPr>
              <w:t>, anche per i cittadini di paesi terzi</w:t>
            </w:r>
            <w:r>
              <w:t xml:space="preserve">, mediante percorsi di migrazione legale </w:t>
            </w:r>
            <w:r>
              <w:rPr>
                <w:b/>
                <w:i/>
              </w:rPr>
              <w:t>e contrastando il lavoro sommerso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secondo le ricerche di Eurofound, la democrazia industriale è strettamente correlata alla qualità del lavoro nonché all'occupazione e alla competitività industriale, che gli indici aggiornati relativi alla democrazia industriale e alle relazioni industriali mostrano un quadro polarizzato, con piccoli gruppi di Stati membri che presentano risultati molto elevati o molto bassi, e che tra il 2008 e il 2021 è stata rilevata una tendenza di lieve divergenza verso l'alto per quanto riguarda la democrazia industriale</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https://www.eurofound.europa.eu/it/publications/2023/measuring-key-dimensions-industrial-relations-and-industrial-democracy#:~:text=Executive%20summary,quality%20of%20work%20and%20employment.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che, nel contesto della missione dell'Organizzazione internazionale del lavoro di promuovere la giustizia sociale, i suoi principi e diritti fondamentali nel lavoro sono incentrati sulla garanzia di un ambiente di lavoro equo e dignitoso per tutti, che includa la libertà di associazione e il diritto alla contrattazione collettiva, l'eliminazione di tutte le forme di lavoro forzato od obbligatorio, l'abolizione effettiva del lavoro minorile, l'eliminazione della discriminazione in materia di occupazione e di condizioni di lavoro nonché il diritto a un ambiente di lavoro sicuro e sano; che </w:t>
            </w:r>
            <w:r>
              <w:rPr>
                <w:b/>
                <w:i/>
              </w:rPr>
              <w:t>non tutti gli</w:t>
            </w:r>
            <w:r>
              <w:t xml:space="preserve"> Stati membri </w:t>
            </w:r>
            <w:r>
              <w:rPr>
                <w:b/>
                <w:i/>
              </w:rPr>
              <w:t>dell'UE rispettano</w:t>
            </w:r>
            <w:r>
              <w:t xml:space="preserve"> tali obblighi;</w:t>
            </w:r>
          </w:p>
        </w:tc>
        <w:tc>
          <w:tcPr>
            <w:tcW w:w="4876" w:type="dxa"/>
            <w:tcBorders>
              <w:top w:val="nil"/>
              <w:left w:val="nil"/>
              <w:bottom w:val="nil"/>
              <w:right w:val="nil"/>
            </w:tcBorders>
          </w:tcPr>
          <w:p>
            <w:pPr>
              <w:pStyle w:val="Normal6a"/>
            </w:pPr>
            <w:r>
              <w:t>I.</w:t>
            </w:r>
            <w:r>
              <w:tab/>
            </w:r>
            <w:r>
              <w:t xml:space="preserve">considerando </w:t>
            </w:r>
            <w:r>
              <w:rPr>
                <w:b/>
                <w:i/>
              </w:rPr>
              <w:t>che la struttura tripartita e la composizione diversificata dell'Organizzazione internazionale del lavoro la contraddistinguono come leader in materia di norme internazionali sul lavoro;</w:t>
            </w:r>
            <w:r>
              <w:t xml:space="preserve"> che, nel contesto della missione dell'Organizzazione internazionale del lavoro di promuovere la giustizia sociale, i suoi principi e diritti fondamentali nel lavoro sono incentrati sulla garanzia di un ambiente di lavoro equo e dignitoso per tutti, che includa la libertà di associazione e il diritto alla contrattazione collettiva, l'eliminazione di tutte le forme di lavoro forzato od obbligatorio, l'abolizione effettiva del lavoro minorile, l'eliminazione della discriminazione in materia di occupazione e di condizioni di lavoro nonché il diritto a un ambiente di lavoro sicuro e sano; che </w:t>
            </w:r>
            <w:r>
              <w:rPr>
                <w:b/>
                <w:i/>
              </w:rPr>
              <w:t>alcuni</w:t>
            </w:r>
            <w:r>
              <w:t xml:space="preserve"> Stati membri </w:t>
            </w:r>
            <w:r>
              <w:rPr>
                <w:b/>
                <w:i/>
              </w:rPr>
              <w:t>si trovano ad affrontare difficoltà nell'attuazione e nell'applicazione di</w:t>
            </w:r>
            <w:r>
              <w:t xml:space="preserve"> tali obblighi;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I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che le parti sociali e le organizzazioni della società civile svolgono un ruolo centrale nel garantire condizioni di lavoro dignitose e nel promuovere la giustizia sociale e l'uguaglianza;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Considerando I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considerando che, nel contesto dell'UE, tali diritti sono tutelati dai trattati dell'UE, dalla Carta dei diritti fondamentali e dall'acquis dell'UE in materia di diritto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ritiene che la Commissione e il Consiglio dovrebbero potenziare gli sforzi per attuare il pilastro europeo dei diritti sociali, in linea con </w:t>
            </w:r>
            <w:r>
              <w:rPr>
                <w:b/>
                <w:i/>
              </w:rPr>
              <w:t>il piano d'azione del marzo 2021 e con</w:t>
            </w:r>
            <w:r>
              <w:t xml:space="preserve"> la dichiarazione di La Hulpe, al fine di conseguire gli obiettivi principali fissati per il 2030;</w:t>
            </w:r>
          </w:p>
        </w:tc>
        <w:tc>
          <w:tcPr>
            <w:tcW w:w="4876" w:type="dxa"/>
            <w:tcBorders>
              <w:top w:val="nil"/>
              <w:left w:val="nil"/>
              <w:bottom w:val="nil"/>
              <w:right w:val="nil"/>
            </w:tcBorders>
          </w:tcPr>
          <w:p>
            <w:pPr>
              <w:pStyle w:val="Normal6a"/>
            </w:pPr>
            <w:r>
              <w:t>1.</w:t>
            </w:r>
            <w:r>
              <w:tab/>
            </w:r>
            <w:r>
              <w:t xml:space="preserve">ritiene che la Commissione e il Consiglio dovrebbero potenziare gli sforzi per attuare il pilastro europeo dei diritti sociali, in linea con la dichiarazione di La Hulpe </w:t>
            </w:r>
            <w:r>
              <w:rPr>
                <w:b/>
                <w:i/>
              </w:rPr>
              <w:t>e attraverso un ambizioso aggiornamento del piano d'azione</w:t>
            </w:r>
            <w:r>
              <w:t xml:space="preserve">, </w:t>
            </w:r>
            <w:r>
              <w:rPr>
                <w:b/>
                <w:i/>
              </w:rPr>
              <w:t>con azioni e proposte concrete per promuovere la convergenza sociale, in particolare</w:t>
            </w:r>
            <w:r>
              <w:t xml:space="preserve"> al fine di conseguire gli obiettivi principali fissati per il 2030; </w:t>
            </w:r>
            <w:r>
              <w:rPr>
                <w:b/>
                <w:i/>
              </w:rPr>
              <w:t>invita la Commissione, nell'ambito del piano d'azione aggiornato, a valutare gli attuali obiettivi al fine di garantirne la costante pertinenza nell'attuale contesto sociale e lavorativo e ad aggiornarli o integrarli ove necessario;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ritiene che la Commissione e </w:t>
            </w:r>
            <w:r>
              <w:rPr>
                <w:b/>
                <w:i/>
              </w:rPr>
              <w:t>il Consiglio</w:t>
            </w:r>
            <w:r>
              <w:t xml:space="preserve"> dovrebbero potenziare gli sforzi per attuare il pilastro europeo dei diritti sociali, in linea con il piano d'azione del marzo 2021 e con la dichiarazione di La Hulpe, al fine di conseguire gli obiettivi principali fissati per il 2030;</w:t>
            </w:r>
          </w:p>
        </w:tc>
        <w:tc>
          <w:tcPr>
            <w:tcW w:w="4876" w:type="dxa"/>
            <w:tcBorders>
              <w:top w:val="nil"/>
              <w:left w:val="nil"/>
              <w:bottom w:val="nil"/>
              <w:right w:val="nil"/>
            </w:tcBorders>
          </w:tcPr>
          <w:p>
            <w:pPr>
              <w:pStyle w:val="Normal6a"/>
            </w:pPr>
            <w:r>
              <w:t>1.</w:t>
            </w:r>
            <w:r>
              <w:tab/>
            </w:r>
            <w:r>
              <w:t xml:space="preserve">ritiene che la Commissione e </w:t>
            </w:r>
            <w:r>
              <w:rPr>
                <w:b/>
                <w:i/>
              </w:rPr>
              <w:t>gli Stati membri</w:t>
            </w:r>
            <w:r>
              <w:t xml:space="preserve"> dovrebbero potenziare gli sforzi per attuare il pilastro europeo dei diritti sociali, in linea </w:t>
            </w:r>
            <w:r>
              <w:rPr>
                <w:b/>
                <w:i/>
              </w:rPr>
              <w:t>con il regolamento (UE) 2024/1263,</w:t>
            </w:r>
            <w:r>
              <w:t xml:space="preserve"> con il piano d'azione del marzo 2021 e con la dichiarazione di La Hulpe, al fine di conseguire gli obiettivi principali fissati per il 2030; </w:t>
            </w:r>
            <w:r>
              <w:rPr>
                <w:b/>
                <w:i/>
              </w:rPr>
              <w:t>invita la Commissione a presentare un nuovo piano d'azione che comprenda nuovi obiettivi principali e iniziative legislative per la piena attuazione del pilastro europeo dei diritti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deplora il fatto che la Commissione europea sia passata dal suo impegno a favore del progresso sociale e del conseguimento degli OSS a un'agenda di competitività, semplificazione e deregolamentazione che non tiene conto degli impegni sociali e verdi; ricorda che la resilienza sociale ed economica, compreso il pilastro europeo dei diritti sociali, costituisce uno degli obiettivi comuni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ricorda che l'Agenda 2030 delle Nazioni Unite per lo sviluppo sostenibile e i relativi obiettivi riconoscono che l'eliminazione della povertà in tutte le sue forme e dimensioni, compresa la povertà estrema, rappresenta la più grande sfida globale ed è un requisito indispensabile per lo sviluppo sostenibile, che nessuno dovrebbe essere lasciato indietro e che le persone più svantaggiate dovrebbero essere raggiunte per prime;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esprime preoccupazione per il fatto che gli OSS non siano stati esplicitamente menzionati negli orientamenti politici dell'attuale presidente della Commissione europea e accoglie con favore il fatto che la missione specifichi che ciascun membro del collegio garantirà il conseguimento dei traguardi e degli obiettivi dell'UE, nonché degli obiettivi di sviluppo sostenibile delle Nazioni Unite nei rispettivi settori di intervento;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si rammarica del rallentamento complessivo nei progressi in materia di OSS in tutta l'UE, con il ritmo di progressi in materia di OSS che nel periodo 2020-2023 ha fatto registrare un valore più di due volte inferiore (+ 0,8 punti) rispetto a quello del periodo 2016-2019 (+ 1,9 punti);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sottolinea che gli OSS costituiscono principalmente un programma di investimenti, in particolare nel capitale umano (istruzione, sanità, protezione sociale, ecc.) e nelle infrastrutture fisiche (energie rinnovabili e reti, accesso alla tecnologia, ecc.);</w:t>
            </w:r>
            <w:r>
              <w:t xml:space="preserve"> </w:t>
            </w:r>
            <w:r>
              <w:rPr>
                <w:b/>
                <w:i/>
              </w:rPr>
              <w:t>esprime preoccupazione per il fatto che i fondi europei saranno destinati alla difesa e alla competitività a scapito dell'agenda per lo sviluppo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invita la Commissione e gli Stati membri a cooperare con il Parlamento europeo allo sviluppo di un nuovo patto sociale europeo per il futuro, con impegni e investimenti chiari nei seguenti ambiti:</w:t>
            </w:r>
            <w:r>
              <w:t xml:space="preserve"> </w:t>
            </w:r>
            <w:r>
              <w:rPr>
                <w:b/>
                <w:i/>
              </w:rPr>
              <w:t>riduzione del rischio di povertà ed esclusione sociale degli europei, nonché conseguimento dell'azzeramento delle emissioni nette nell'UE entro il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riconosce la costante pertinenza </w:t>
            </w:r>
            <w:r>
              <w:rPr>
                <w:b/>
                <w:i/>
              </w:rPr>
              <w:t>e importanza, come pure la natura interconnessa,</w:t>
            </w:r>
            <w:r>
              <w:t xml:space="preserve"> dei tre temi centrali del vertice mondiale per lo sviluppo sociale tenutosi a Copenaghen nel 1995, considerati i tre pilastri dello sviluppo sociale, ossia l'eliminazione della povertà, l'occupazione piena e produttiva e il lavoro dignitoso per tutti nonché l'inclusione sociale;</w:t>
            </w:r>
          </w:p>
        </w:tc>
        <w:tc>
          <w:tcPr>
            <w:tcW w:w="4876" w:type="dxa"/>
            <w:tcBorders>
              <w:top w:val="nil"/>
              <w:left w:val="nil"/>
              <w:bottom w:val="nil"/>
              <w:right w:val="nil"/>
            </w:tcBorders>
          </w:tcPr>
          <w:p>
            <w:pPr>
              <w:pStyle w:val="Normal6a"/>
            </w:pPr>
            <w:r>
              <w:t>2.</w:t>
            </w:r>
            <w:r>
              <w:tab/>
            </w:r>
            <w:r>
              <w:t>riconosce la costante pertinenza dei tre temi centrali del vertice mondiale per lo sviluppo sociale tenutosi a Copenaghen nel 1995, considerati i tre pilastri dello sviluppo sociale, ossia l'eliminazione della povertà, l'occupazione piena e produttiva e il lavoro dignitoso per tutti nonché l'inclusione sociale</w:t>
            </w:r>
            <w:r>
              <w:rPr>
                <w:b/>
                <w:i/>
              </w:rPr>
              <w:t>, ma sottolinea che non devono essere utilizzati contro gli Stati membri allo scopo diretto o indiretto di promuovere un'immigrazione dai paesi terzi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riconosce la costante pertinenza e importanza, come pure la natura interconnessa, dei tre temi centrali del vertice mondiale per lo sviluppo sociale tenutosi a Copenaghen nel 1995, considerati i tre pilastri dello sviluppo sociale, ossia l'eliminazione della povertà, l'occupazione piena e produttiva e il lavoro dignitoso per tutti nonché l'inclusione sociale;</w:t>
            </w:r>
          </w:p>
        </w:tc>
        <w:tc>
          <w:tcPr>
            <w:tcW w:w="4876" w:type="dxa"/>
            <w:tcBorders>
              <w:top w:val="nil"/>
              <w:left w:val="nil"/>
              <w:bottom w:val="nil"/>
              <w:right w:val="nil"/>
            </w:tcBorders>
          </w:tcPr>
          <w:p>
            <w:pPr>
              <w:pStyle w:val="Normal6a"/>
            </w:pPr>
            <w:r>
              <w:t>2.</w:t>
            </w:r>
            <w:r>
              <w:tab/>
            </w:r>
            <w:r>
              <w:t xml:space="preserve">riconosce la costante pertinenza e importanza, come pure la natura interconnessa </w:t>
            </w:r>
            <w:r>
              <w:rPr>
                <w:b/>
                <w:i/>
              </w:rPr>
              <w:t>e sinergica</w:t>
            </w:r>
            <w:r>
              <w:t>, dei tre temi centrali del vertice mondiale per lo sviluppo sociale tenutosi a Copenaghen nel 1995, considerati i tre pilastri dello sviluppo sociale, ossia l'eliminazione della povertà, l'occupazione piena e produttiva e il lavoro dignitoso per tutti nonché l'inclusione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esorta gli Stati membri delle Nazioni Unite a sostenere e promuovere il ruolo delle parti sociali e delle organizzazioni della società civile nei loro territori e a garantire il loro significativo coinvolgimento nella preparazione e nel seguito dato al vertice;</w:t>
            </w:r>
            <w:r>
              <w:t xml:space="preserve"> </w:t>
            </w:r>
            <w:r>
              <w:rPr>
                <w:b/>
                <w:i/>
              </w:rPr>
              <w:t>sottolinea che un forte impegno multipartecipativo nella definizione delle politiche e una contrattazione collettiva efficace possono contribuire in modo sostanziale ai progressi verso il conseguimento degli obiettivi di sviluppo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sottolinea l'importanza di avvalersi del quadro di valutazione della situazione sociale e del quadro di convergenza sociale per individuare i rischi e monitorare i progressi compiuti nella riduzione delle disuguaglianze, nel rafforzamento dei sistemi di protezione sociale e nella promozione di condizioni di lavoro dignitose </w:t>
            </w:r>
            <w:r>
              <w:rPr>
                <w:b/>
                <w:i/>
              </w:rPr>
              <w:t>e di misure a sostegno dei lavoratori per gestire le</w:t>
            </w:r>
            <w:r>
              <w:t xml:space="preserve"> transizioni; sottolinea che, a tale proposito, è necessario garantire un'Europa sostenibile, socialmente giusta e inclusiva in cui i diritti sociali siano pienamente tutelati e salvaguardati; ricorda che i cittadini dell'UE identificano un'Europa sociale come una delle loro priorità;</w:t>
            </w:r>
          </w:p>
        </w:tc>
        <w:tc>
          <w:tcPr>
            <w:tcW w:w="4876" w:type="dxa"/>
            <w:tcBorders>
              <w:top w:val="nil"/>
              <w:left w:val="nil"/>
              <w:bottom w:val="nil"/>
              <w:right w:val="nil"/>
            </w:tcBorders>
          </w:tcPr>
          <w:p>
            <w:pPr>
              <w:pStyle w:val="Normal6a"/>
            </w:pPr>
            <w:r>
              <w:t>3.</w:t>
            </w:r>
            <w:r>
              <w:tab/>
            </w:r>
            <w:r>
              <w:rPr>
                <w:b/>
                <w:i/>
              </w:rPr>
              <w:t>sottolinea la necessità che la Commissione presenti con urgenza un pacchetto per l'occupazione di qualità che comprenda le iniziative legislative e gli investimenti necessari per garantire posti di lavoro di qualità;</w:t>
            </w:r>
            <w:r>
              <w:t xml:space="preserve"> sottolinea l'importanza di avvalersi del quadro di valutazione della situazione sociale e del quadro di convergenza sociale per individuare i rischi e monitorare i progressi compiuti </w:t>
            </w:r>
            <w:r>
              <w:rPr>
                <w:b/>
                <w:i/>
              </w:rPr>
              <w:t>nel garantire la convergenza sociale e salariale verso l'alto,</w:t>
            </w:r>
            <w:r>
              <w:t xml:space="preserve"> nella riduzione delle disuguaglianze, nel rafforzamento dei sistemi di protezione sociale e nella promozione di condizioni di lavoro dignitose </w:t>
            </w:r>
            <w:r>
              <w:rPr>
                <w:b/>
                <w:i/>
              </w:rPr>
              <w:t>per assicurare equità nelle</w:t>
            </w:r>
            <w:r>
              <w:t xml:space="preserve"> transizioni; sottolinea che, a tale proposito, è necessario garantire un'Europa sostenibile, socialmente giusta e inclusiva in cui i diritti sociali siano pienamente tutelati e salvaguardati; ricorda che i cittadini dell'UE identificano un'Europa sociale come una delle loro priorità;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sottolinea l'importanza di avvalersi del quadro di valutazione della situazione sociale e del quadro di convergenza sociale per individuare i rischi e monitorare i progressi compiuti nella riduzione delle disuguaglianze, nel rafforzamento dei sistemi di protezione sociale e nella promozione di condizioni di lavoro dignitose e </w:t>
            </w:r>
            <w:r>
              <w:rPr>
                <w:b/>
                <w:i/>
              </w:rPr>
              <w:t>di</w:t>
            </w:r>
            <w:r>
              <w:t xml:space="preserve"> misure a sostegno dei lavoratori per gestire le transizioni; sottolinea che, a tale proposito, è necessario garantire un'Europa sostenibile, socialmente giusta e inclusiva in cui i diritti sociali siano pienamente tutelati e salvaguardati; ricorda che i cittadini dell'UE identificano un'Europa sociale come una delle loro priorità;</w:t>
            </w:r>
          </w:p>
        </w:tc>
        <w:tc>
          <w:tcPr>
            <w:tcW w:w="4876" w:type="dxa"/>
            <w:tcBorders>
              <w:top w:val="nil"/>
              <w:left w:val="nil"/>
              <w:bottom w:val="nil"/>
              <w:right w:val="nil"/>
            </w:tcBorders>
          </w:tcPr>
          <w:p>
            <w:pPr>
              <w:pStyle w:val="Normal6a"/>
            </w:pPr>
            <w:r>
              <w:t>3.</w:t>
            </w:r>
            <w:r>
              <w:tab/>
            </w:r>
            <w:r>
              <w:t xml:space="preserve">sottolinea l'importanza di avvalersi del quadro di valutazione della situazione sociale e del quadro di convergenza sociale per individuare i rischi e monitorare i progressi compiuti nella riduzione delle disuguaglianze, nel rafforzamento dei sistemi di protezione sociale e nella promozione di condizioni di lavoro dignitose e misure a sostegno dei lavoratori per gestire le transizioni </w:t>
            </w:r>
            <w:r>
              <w:rPr>
                <w:b/>
                <w:i/>
              </w:rPr>
              <w:t>professionali</w:t>
            </w:r>
            <w:r>
              <w:t xml:space="preserve">; sottolinea che, a tale proposito, è necessario garantire un'Europa sostenibile </w:t>
            </w:r>
            <w:r>
              <w:rPr>
                <w:b/>
                <w:i/>
              </w:rPr>
              <w:t>per i cittadini europei</w:t>
            </w:r>
            <w:r>
              <w:t xml:space="preserve">, socialmente giusta e inclusiva in cui i diritti sociali siano pienamente tutelati e salvaguardati; ricorda che i cittadini dell'UE identificano un'Europa sociale come una delle loro priorità </w:t>
            </w:r>
            <w:r>
              <w:rPr>
                <w:b/>
                <w:i/>
              </w:rPr>
              <w:t>per loro stessi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esorta gli</w:t>
            </w:r>
            <w:r>
              <w:t xml:space="preserve"> Stati membri </w:t>
            </w:r>
            <w:r>
              <w:rPr>
                <w:b/>
                <w:i/>
              </w:rPr>
              <w:t>a promuovere la democrazia sul luogo di lavoro, il dialogo sociale e la contrattazione collettiva nonché la tutela dei</w:t>
            </w:r>
            <w:r>
              <w:t xml:space="preserve"> diritti dei lavoratori, in particolare nell'ambito </w:t>
            </w:r>
            <w:r>
              <w:rPr>
                <w:b/>
                <w:i/>
              </w:rPr>
              <w:t>della transizione verde e digitale</w:t>
            </w:r>
            <w:r>
              <w:t xml:space="preserve">, come pure </w:t>
            </w:r>
            <w:r>
              <w:rPr>
                <w:b/>
                <w:i/>
              </w:rPr>
              <w:t>a garantire</w:t>
            </w:r>
            <w:r>
              <w:t xml:space="preserve"> la parità di retribuzione per uno stesso lavoro svolto da uomini e donne</w:t>
            </w:r>
            <w:r>
              <w:rPr>
                <w:b/>
                <w:i/>
              </w:rPr>
              <w:t>, a migliorare la trasparenza retributiva e ad affrontare le disuguaglianze di genere al fine di colmare il divario retributivo di genere nell'UE</w:t>
            </w:r>
            <w:r>
              <w:t>;</w:t>
            </w:r>
          </w:p>
        </w:tc>
        <w:tc>
          <w:tcPr>
            <w:tcW w:w="4876" w:type="dxa"/>
            <w:tcBorders>
              <w:top w:val="nil"/>
              <w:left w:val="nil"/>
              <w:bottom w:val="nil"/>
              <w:right w:val="nil"/>
            </w:tcBorders>
          </w:tcPr>
          <w:p>
            <w:pPr>
              <w:pStyle w:val="Normal6a"/>
            </w:pPr>
            <w:r>
              <w:t>4.</w:t>
            </w:r>
            <w:r>
              <w:tab/>
            </w:r>
            <w:r>
              <w:rPr>
                <w:b/>
                <w:i/>
              </w:rPr>
              <w:t>raccomanda agli</w:t>
            </w:r>
            <w:r>
              <w:t xml:space="preserve"> Stati membri </w:t>
            </w:r>
            <w:r>
              <w:rPr>
                <w:b/>
                <w:i/>
              </w:rPr>
              <w:t>di proteggere i</w:t>
            </w:r>
            <w:r>
              <w:t xml:space="preserve"> diritti dei lavoratori, in particolare nell'ambito </w:t>
            </w:r>
            <w:r>
              <w:rPr>
                <w:b/>
                <w:i/>
              </w:rPr>
              <w:t>delle trasformazioni digitali e ambientali</w:t>
            </w:r>
            <w:r>
              <w:t xml:space="preserve">, come pure </w:t>
            </w:r>
            <w:r>
              <w:rPr>
                <w:b/>
                <w:i/>
              </w:rPr>
              <w:t>di promuovere</w:t>
            </w:r>
            <w:r>
              <w:t xml:space="preserve"> la parità di retribuzione per uno stesso lavoro svolto da uomini e donne;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esorta gli Stati membri a promuovere la democrazia sul luogo di lavoro, il dialogo sociale e la contrattazione collettiva nonché la tutela dei diritti dei lavoratori, in particolare nell'ambito della transizione verde e digitale, come pure a garantire la parità di retribuzione per uno stesso lavoro svolto da uomini e donne, a migliorare la trasparenza retributiva e ad affrontare le disuguaglianze di genere al fine di colmare il divario retributivo di genere nell'UE;</w:t>
            </w:r>
          </w:p>
        </w:tc>
        <w:tc>
          <w:tcPr>
            <w:tcW w:w="4876" w:type="dxa"/>
            <w:tcBorders>
              <w:top w:val="nil"/>
              <w:left w:val="nil"/>
              <w:bottom w:val="nil"/>
              <w:right w:val="nil"/>
            </w:tcBorders>
          </w:tcPr>
          <w:p>
            <w:pPr>
              <w:pStyle w:val="Normal6a"/>
            </w:pPr>
            <w:r>
              <w:t>4.</w:t>
            </w:r>
            <w:r>
              <w:tab/>
            </w:r>
            <w:r>
              <w:t xml:space="preserve">esorta </w:t>
            </w:r>
            <w:r>
              <w:rPr>
                <w:b/>
                <w:i/>
              </w:rPr>
              <w:t>la Commissione e</w:t>
            </w:r>
            <w:r>
              <w:t xml:space="preserve"> gli Stati membri a promuovere la democrazia sul luogo di lavoro, il dialogo sociale e la contrattazione collettiva nonché la tutela dei diritti dei lavoratori, in particolare nell'ambito della transizione verde e digitale, come pure a garantire la parità di retribuzione per uno stesso lavoro svolto da uomini e donne, a migliorare la trasparenza retributiva e ad affrontare le disuguaglianze di genere al fine di colmare il divario retributivo di genere nell'UE; </w:t>
            </w:r>
            <w:r>
              <w:rPr>
                <w:b/>
                <w:i/>
              </w:rPr>
              <w:t>sottolinea la necessità di stanziare risorse sufficienti nel prossimo QFP per sostenere il dialogo sociale e la contrattazione collettiva, nonché rafforzare lo sviluppo di capacità per le parti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esorta</w:t>
            </w:r>
            <w:r>
              <w:t xml:space="preserve"> gli Stati membri a promuovere la democrazia </w:t>
            </w:r>
            <w:r>
              <w:rPr>
                <w:b/>
                <w:i/>
              </w:rPr>
              <w:t>sul luogo di lavoro</w:t>
            </w:r>
            <w:r>
              <w:t>, il dialogo sociale e la contrattazione collettiva nonché la tutela dei diritti dei lavoratori, in particolare nell'ambito della transizione verde e digitale, come pure a garantire la parità di retribuzione per uno stesso lavoro svolto da uomini e donne, a migliorare la trasparenza retributiva e ad affrontare le disuguaglianze di genere al fine di colmare il divario retributivo di genere nell'UE;</w:t>
            </w:r>
          </w:p>
        </w:tc>
        <w:tc>
          <w:tcPr>
            <w:tcW w:w="4876" w:type="dxa"/>
            <w:tcBorders>
              <w:top w:val="nil"/>
              <w:left w:val="nil"/>
              <w:bottom w:val="nil"/>
              <w:right w:val="nil"/>
            </w:tcBorders>
          </w:tcPr>
          <w:p>
            <w:pPr>
              <w:pStyle w:val="Normal6a"/>
            </w:pPr>
            <w:r>
              <w:t>4.</w:t>
            </w:r>
            <w:r>
              <w:tab/>
            </w:r>
            <w:r>
              <w:rPr>
                <w:b/>
                <w:i/>
              </w:rPr>
              <w:t>invita</w:t>
            </w:r>
            <w:r>
              <w:t xml:space="preserve"> gli Stati membri a promuovere la democrazia, il dialogo sociale e la contrattazione collettiva nonché la tutela dei diritti dei lavoratori, in particolare nell'ambito della transizione verde e digitale, come pure a garantire la parità di retribuzione per uno stesso lavoro svolto da uomini e donne, a migliorare la trasparenza retributiva</w:t>
            </w:r>
            <w:r>
              <w:rPr>
                <w:b/>
                <w:i/>
              </w:rPr>
              <w:t>, a sostenere l'integrazione delle persone disabili nel mondo del lavoro e il loro accesso a un alloggio adeguato</w:t>
            </w:r>
            <w:r>
              <w:t xml:space="preserve"> e ad affrontare le disuguaglianze di genere al fine di colmare il divario retributivo di genere nell'UE;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esorta gli Stati membri a promuovere la democrazia sul luogo di lavoro, il dialogo sociale e la </w:t>
            </w:r>
            <w:r>
              <w:rPr>
                <w:b/>
                <w:i/>
              </w:rPr>
              <w:t>contrattazione collettiva nonché la</w:t>
            </w:r>
            <w:r>
              <w:t xml:space="preserve"> tutela dei diritti dei lavoratori</w:t>
            </w:r>
            <w:r>
              <w:rPr>
                <w:b/>
                <w:i/>
              </w:rPr>
              <w:t>, in particolare nell'ambito della transizione verde e digitale</w:t>
            </w:r>
            <w:r>
              <w:t>, come pure a garantire la parità di retribuzione per uno stesso lavoro svolto da uomini e donne, a migliorare la trasparenza retributiva e ad affrontare le disuguaglianze di genere al fine di colmare il divario retributivo di genere nell'UE;</w:t>
            </w:r>
          </w:p>
        </w:tc>
        <w:tc>
          <w:tcPr>
            <w:tcW w:w="4876" w:type="dxa"/>
            <w:tcBorders>
              <w:top w:val="nil"/>
              <w:left w:val="nil"/>
              <w:bottom w:val="nil"/>
              <w:right w:val="nil"/>
            </w:tcBorders>
          </w:tcPr>
          <w:p>
            <w:pPr>
              <w:pStyle w:val="Normal6a"/>
            </w:pPr>
            <w:r>
              <w:t>4.</w:t>
            </w:r>
            <w:r>
              <w:tab/>
            </w:r>
            <w:r>
              <w:t>esorta gli Stati membri a promuovere la democrazia sul luogo di lavoro, il dialogo sociale e la tutela dei diritti dei lavoratori, come pure a garantire la parità di retribuzione per uno stesso lavoro svolto da uomini e donne, a migliorare la trasparenza retributiva e ad affrontare le disuguaglianze di genere al fine di colmare il divario retributivo di genere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esorta gli Stati membri a promuovere la democrazia sul luogo di lavoro, il dialogo sociale e la contrattazione collettiva nonché la tutela dei diritti dei lavoratori, in particolare nell'ambito della transizione verde e digitale, come pure a garantire la parità di retribuzione per uno stesso lavoro svolto da uomini e donne, a migliorare la trasparenza retributiva e ad affrontare le disuguaglianze di genere al fine di colmare </w:t>
            </w:r>
            <w:r>
              <w:rPr>
                <w:b/>
                <w:i/>
              </w:rPr>
              <w:t>il divario retributivo</w:t>
            </w:r>
            <w:r>
              <w:t xml:space="preserve"> di genere nell'UE;</w:t>
            </w:r>
          </w:p>
        </w:tc>
        <w:tc>
          <w:tcPr>
            <w:tcW w:w="4876" w:type="dxa"/>
            <w:tcBorders>
              <w:top w:val="nil"/>
              <w:left w:val="nil"/>
              <w:bottom w:val="nil"/>
              <w:right w:val="nil"/>
            </w:tcBorders>
          </w:tcPr>
          <w:p>
            <w:pPr>
              <w:pStyle w:val="Normal6a"/>
            </w:pPr>
            <w:r>
              <w:t>4.</w:t>
            </w:r>
            <w:r>
              <w:tab/>
            </w:r>
            <w:r>
              <w:t xml:space="preserve">esorta gli Stati membri a promuovere la democrazia sul luogo di lavoro, il dialogo sociale e la contrattazione collettiva nonché la tutela dei diritti dei lavoratori, in particolare nell'ambito della transizione verde e digitale, come pure a garantire la parità di retribuzione per uno stesso lavoro svolto da uomini e donne, a migliorare la trasparenza retributiva e ad affrontare le disuguaglianze di genere al fine di colmare </w:t>
            </w:r>
            <w:r>
              <w:rPr>
                <w:b/>
                <w:i/>
              </w:rPr>
              <w:t>i divari retributivi, pensionistici e occupazionali</w:t>
            </w:r>
            <w:r>
              <w:t xml:space="preserve"> di genere nell'UE;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chiede aumenti dei salari per far sì che essi garantiscano un tenore di vita dignitoso e per favorire la convergenza salariale verso l'alto, anche attraverso la promozione della contrattazione collettiva e la piena attuazione della direttiva (UE) 2022/2041 relativa a salari minimi adeguati nell'Unione europea;</w:t>
            </w:r>
            <w:r>
              <w:t xml:space="preserve"> </w:t>
            </w:r>
            <w:r>
              <w:rPr>
                <w:b/>
                <w:i/>
              </w:rPr>
              <w:t>ribadisce inoltre l'importanza di garantire il pagamento di salari dignitosi e adeguati lungo le catene di approvvigionamento globali e chiede l'assunzione di responsabilità da parte delle imprese multinazionali a tale riguardo, anche attraverso una legislazione vincolante in materia di dovere di diligenza che sostenga pratiche salariali eque al di fuori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invita a intensificare gli sforzi volti a combattere la discriminazione </w:t>
            </w:r>
            <w:r>
              <w:rPr>
                <w:b/>
                <w:i/>
              </w:rPr>
              <w:t>e</w:t>
            </w:r>
            <w:r>
              <w:t xml:space="preserve"> le molestie nel mondo del lavoro;</w:t>
            </w:r>
          </w:p>
        </w:tc>
        <w:tc>
          <w:tcPr>
            <w:tcW w:w="4876" w:type="dxa"/>
            <w:tcBorders>
              <w:top w:val="nil"/>
              <w:left w:val="nil"/>
              <w:bottom w:val="nil"/>
              <w:right w:val="nil"/>
            </w:tcBorders>
          </w:tcPr>
          <w:p>
            <w:pPr>
              <w:pStyle w:val="Normal6a"/>
            </w:pPr>
            <w:r>
              <w:t>5.</w:t>
            </w:r>
            <w:r>
              <w:tab/>
            </w:r>
            <w:r>
              <w:t xml:space="preserve">invita a intensificare gli sforzi volti a combattere la </w:t>
            </w:r>
            <w:r>
              <w:rPr>
                <w:b/>
                <w:i/>
              </w:rPr>
              <w:t>violenza, la</w:t>
            </w:r>
            <w:r>
              <w:t xml:space="preserve"> discriminazione </w:t>
            </w:r>
            <w:r>
              <w:rPr>
                <w:b/>
                <w:i/>
              </w:rPr>
              <w:t>o</w:t>
            </w:r>
            <w:r>
              <w:t xml:space="preserve"> le molestie nel mondo del lavoro</w:t>
            </w:r>
            <w:r>
              <w:rPr>
                <w:b/>
                <w:i/>
              </w:rPr>
              <w:t>, anche negli ambienti digitali</w:t>
            </w:r>
            <w:r>
              <w:t xml:space="preserve">; </w:t>
            </w:r>
            <w:r>
              <w:rPr>
                <w:b/>
                <w:i/>
              </w:rPr>
              <w:t>sottolinea l'importanza di misure preventive e protettive sul luogo di lavoro per tutelare il benessere e la salute fisica e mentale dei lavoratori;</w:t>
            </w:r>
            <w:r>
              <w:t xml:space="preserve"> </w:t>
            </w:r>
            <w:r>
              <w:rPr>
                <w:b/>
                <w:i/>
              </w:rPr>
              <w:t>prende atto dell'aumento del disagio psicologico legato al lavoro, tra cui burnout, ansia e stress post-traumatico, legato alle nuove forme di organizzazione del lavoro, alla connettività costante e alla sorveglianza digitale;</w:t>
            </w:r>
            <w:r>
              <w:t xml:space="preserve"> </w:t>
            </w:r>
            <w:r>
              <w:rPr>
                <w:b/>
                <w:i/>
              </w:rPr>
              <w:t>invita la Commissione a proteggere la salute mentale dei lavoratori e ribadisce l'urgente necessità di un'iniziativa legislativa per prevenire i rischi psicosociali sul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ricorda il ruolo dei pertinenti fondi europei quali il FSE+, il Fondo sociale per il clima e il dispositivo per la ripresa e la resilienza nella lotta alla povertà e all'esclusione sociale ed esorta gli Stati membri, con il sostegno della Commissione, a sfruttare appieno il loro potenziale a tale riguardo;</w:t>
            </w:r>
            <w:r>
              <w:t xml:space="preserve"> </w:t>
            </w:r>
            <w:r>
              <w:rPr>
                <w:b/>
                <w:i/>
              </w:rPr>
              <w:t>sottolinea la necessità che nel prossimo QFP vi siano solidi strumenti autonomi per combattere la povertà e l'esclusione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invita la Commissione e gli Stati membri ad applicare l'integrazione della dimensione di genere in tutti i settori politici e gli atti legislativi;</w:t>
            </w:r>
            <w:r>
              <w:t xml:space="preserve"> </w:t>
            </w:r>
            <w:r>
              <w:rPr>
                <w:b/>
                <w:i/>
              </w:rPr>
              <w:t>ricorda che l'inclusione e l'equità sociali non saranno mai un risultato tangibile senza la parità di trattamento;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ricorda inoltre il ruolo svolto dall'Unione europea nello sviluppo sociale dei paesi terzi, anche attraverso fondi quali Europa globale;</w:t>
            </w:r>
            <w:r>
              <w:t xml:space="preserve"> </w:t>
            </w:r>
            <w:r>
              <w:rPr>
                <w:b/>
                <w:i/>
              </w:rPr>
              <w:t>deplora vivamente la revoca dei finanziamenti per lo sviluppo, compreso lo sviluppo sociale, da parte di una serie di paesi, che ha conseguenze devastanti sulla vita e sui mezzi di sussistenza delle persone;</w:t>
            </w:r>
            <w:r>
              <w:t xml:space="preserve"> </w:t>
            </w:r>
            <w:r>
              <w:rPr>
                <w:b/>
                <w:i/>
              </w:rPr>
              <w:t>esorta l'Unione europea a mantenere il suo forte impegno a sostegno dello sviluppo sociale all'estero nell'ambito dell'attuale e del prossimo QFP al fine di assicurare stabilità e finanziamenti solidi, nonché a dialogare con tutti gli attori pertinenti per garantire un impegno costante a favore degli obiettivi di sviluppo sociale a livello globale;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chiede che sia adottata una visione olistica in materia di protezione e inclusione sociali e che sia proposta una strategia ambiziosa accompagnata da un sostegno sufficiente nel prossimo quadro finanziario pluriennale, sulla base della prossima relazione d'iniziativa del Parlamento sulla strategia dell'UE contro la povertà e di un ambizioso piano per gli alloggi a prezzi accessibili al fine di affrontare la crisi abitativa e di lottare contro la deprivazione abitativa;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chiede che sia adottata una visione olistica in materia di protezione e inclusione sociali e che sia proposta una strategia ambiziosa accompagnata da un sostegno sufficiente nel prossimo quadro finanziario pluriennale, sulla base della prossima relazione d'iniziativa del Parlamento sulla strategia dell'UE contro la povertà e di un ambizioso piano per gli alloggi a prezzi accessibili al fine di affrontare la crisi abitativa e di lottare contro la deprivazione abitativa;</w:t>
            </w:r>
          </w:p>
        </w:tc>
        <w:tc>
          <w:tcPr>
            <w:tcW w:w="4876" w:type="dxa"/>
            <w:tcBorders>
              <w:top w:val="nil"/>
              <w:left w:val="nil"/>
              <w:bottom w:val="nil"/>
              <w:right w:val="nil"/>
            </w:tcBorders>
          </w:tcPr>
          <w:p>
            <w:pPr>
              <w:pStyle w:val="Normal6a"/>
            </w:pPr>
            <w:r>
              <w:t>6.</w:t>
            </w:r>
            <w:r>
              <w:tab/>
            </w:r>
            <w:r>
              <w:t xml:space="preserve">chiede che sia adottata una visione olistica in materia </w:t>
            </w:r>
            <w:r>
              <w:rPr>
                <w:b/>
                <w:i/>
              </w:rPr>
              <w:t>di eliminazione della povertà nonché</w:t>
            </w:r>
            <w:r>
              <w:t xml:space="preserve"> di protezione e inclusione sociali e che sia proposta una strategia ambiziosa accompagnata da un sostegno sufficiente nel prossimo quadro finanziario pluriennale, sulla base della prossima relazione d'iniziativa del Parlamento sulla strategia dell'UE contro la povertà e di un ambizioso piano per gli alloggi a prezzi accessibili al fine di affrontare la crisi abitativa e di lottare contro la deprivazione abitativa; </w:t>
            </w:r>
            <w:r>
              <w:rPr>
                <w:b/>
                <w:i/>
              </w:rPr>
              <w:t>sottolinea che dette nuove iniziative devono integrare altre strategie correlate dell'UE, quali la tabella di marcia per i diritti delle donne, la strategia sui diritti delle persone con disabilità e la garanzia per l'infanzia, al fine di garantire un approccio intersezionale in rapporto alla natura multidimensionale della povertà;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chiede </w:t>
            </w:r>
            <w:r>
              <w:rPr>
                <w:b/>
                <w:i/>
              </w:rPr>
              <w:t>che sia adottata una visione olistica in materia di</w:t>
            </w:r>
            <w:r>
              <w:t xml:space="preserve"> protezione e </w:t>
            </w:r>
            <w:r>
              <w:rPr>
                <w:b/>
                <w:i/>
              </w:rPr>
              <w:t>inclusione</w:t>
            </w:r>
            <w:r>
              <w:t xml:space="preserve"> sociali e che sia proposta una strategia ambiziosa accompagnata da un sostegno sufficiente nel prossimo quadro finanziario pluriennale, </w:t>
            </w:r>
            <w:r>
              <w:rPr>
                <w:b/>
                <w:i/>
              </w:rPr>
              <w:t>sulla base</w:t>
            </w:r>
            <w:r>
              <w:t xml:space="preserve"> della </w:t>
            </w:r>
            <w:r>
              <w:rPr>
                <w:b/>
                <w:i/>
              </w:rPr>
              <w:t>prossima relazione d'iniziativa del Parlamento sulla strategia dell'UE contro la povertà e di un ambizioso piano per gli</w:t>
            </w:r>
            <w:r>
              <w:t xml:space="preserve"> alloggi a prezzi accessibili </w:t>
            </w:r>
            <w:r>
              <w:rPr>
                <w:b/>
                <w:i/>
              </w:rPr>
              <w:t>al fine di affrontare la crisi abitativa e di lottare contro la deprivazione abitativa</w:t>
            </w:r>
            <w:r>
              <w:t>;</w:t>
            </w:r>
          </w:p>
        </w:tc>
        <w:tc>
          <w:tcPr>
            <w:tcW w:w="4876" w:type="dxa"/>
            <w:tcBorders>
              <w:top w:val="nil"/>
              <w:left w:val="nil"/>
              <w:bottom w:val="nil"/>
              <w:right w:val="nil"/>
            </w:tcBorders>
          </w:tcPr>
          <w:p>
            <w:pPr>
              <w:pStyle w:val="Normal6a"/>
            </w:pPr>
            <w:r>
              <w:t>6.</w:t>
            </w:r>
            <w:r>
              <w:tab/>
            </w:r>
            <w:r>
              <w:t xml:space="preserve">chiede </w:t>
            </w:r>
            <w:r>
              <w:rPr>
                <w:b/>
                <w:i/>
              </w:rPr>
              <w:t>la</w:t>
            </w:r>
            <w:r>
              <w:t xml:space="preserve"> protezione e </w:t>
            </w:r>
            <w:r>
              <w:rPr>
                <w:b/>
                <w:i/>
              </w:rPr>
              <w:t>l'inclusione</w:t>
            </w:r>
            <w:r>
              <w:t xml:space="preserve"> sociali e che sia proposta una strategia ambiziosa</w:t>
            </w:r>
            <w:r>
              <w:rPr>
                <w:b/>
                <w:i/>
              </w:rPr>
              <w:t>,</w:t>
            </w:r>
            <w:r>
              <w:t xml:space="preserve"> accompagnata da un sostegno sufficiente nel prossimo quadro finanziario pluriennale, </w:t>
            </w:r>
            <w:r>
              <w:rPr>
                <w:b/>
                <w:i/>
              </w:rPr>
              <w:t>così da garantire che gli investimenti sociali siano allo stesso livello degli investimenti nella difesa o nella competitività;</w:t>
            </w:r>
            <w:r>
              <w:t xml:space="preserve"> </w:t>
            </w:r>
            <w:r>
              <w:rPr>
                <w:b/>
                <w:i/>
              </w:rPr>
              <w:t>ricorda che già nel 2020, secondo le stime</w:t>
            </w:r>
            <w:r>
              <w:t xml:space="preserve"> della </w:t>
            </w:r>
            <w:r>
              <w:rPr>
                <w:b/>
                <w:i/>
              </w:rPr>
              <w:t>Commissione, la carenza di investimenti sociali</w:t>
            </w:r>
            <w:r>
              <w:rPr>
                <w:b/>
                <w:i/>
                <w:vertAlign w:val="superscript"/>
              </w:rPr>
              <w:t>5 bis</w:t>
            </w:r>
            <w:r>
              <w:t xml:space="preserve"> </w:t>
            </w:r>
            <w:r>
              <w:rPr>
                <w:b/>
                <w:i/>
              </w:rPr>
              <w:t>era già pari a 192 miliardi di EUR all'anno in meno di quanto necessario per soddisfare le esigenze dei cittadini: 120 miliardi di EUR nella sanità, 57 miliardi di EUR negli</w:t>
            </w:r>
            <w:r>
              <w:t xml:space="preserve"> alloggi a prezzi accessibili </w:t>
            </w:r>
            <w:r>
              <w:rPr>
                <w:b/>
                <w:i/>
              </w:rPr>
              <w:t>e 15 miliardi di EUR nell'istruzione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ricorda che i livelli di reddito minimo sono per lo più ben al di sotto delle soglie nazionali di povertà;</w:t>
            </w:r>
            <w:r>
              <w:t xml:space="preserve"> </w:t>
            </w:r>
            <w:r>
              <w:rPr>
                <w:b/>
                <w:i/>
              </w:rPr>
              <w:t>esorta gli Stati membri ad attuare pienamente la raccomandazione del Consiglio relativa a un adeguato reddito minimo;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6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fa presente che una direttiva quadro dell'UE su un adeguato reddito minimo e l'inclusione attiva, nel rispetto del principio di sussidiarietà, contribuirebbe agli obiettivi di riduzione della povertà e dell'esclusione sociale e di promozione dell'integrazione delle persone assenti dal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esorta tutti gli</w:t>
            </w:r>
            <w:r>
              <w:t xml:space="preserve"> Stati membri </w:t>
            </w:r>
            <w:r>
              <w:rPr>
                <w:b/>
                <w:i/>
              </w:rPr>
              <w:t>a</w:t>
            </w:r>
            <w:r>
              <w:t xml:space="preserve"> compiere ulteriori sforzi per affrontare la povertà infantile attuando il rispettivo piano d'azione nazionale </w:t>
            </w:r>
            <w:r>
              <w:rPr>
                <w:b/>
                <w:i/>
              </w:rPr>
              <w:t>sulla garanzia europea per l'infanzia e chiede che essa disponga di un bilancio specifico dotato di risorse sufficienti nel prossimo quadro finanziario pluriennale</w:t>
            </w:r>
            <w:r>
              <w:t>;</w:t>
            </w:r>
          </w:p>
        </w:tc>
        <w:tc>
          <w:tcPr>
            <w:tcW w:w="4876" w:type="dxa"/>
            <w:tcBorders>
              <w:top w:val="nil"/>
              <w:left w:val="nil"/>
              <w:bottom w:val="nil"/>
              <w:right w:val="nil"/>
            </w:tcBorders>
          </w:tcPr>
          <w:p>
            <w:pPr>
              <w:pStyle w:val="Normal6a"/>
            </w:pPr>
            <w:r>
              <w:t>7.</w:t>
            </w:r>
            <w:r>
              <w:tab/>
            </w:r>
            <w:r>
              <w:rPr>
                <w:b/>
                <w:i/>
              </w:rPr>
              <w:t>raccomanda agli</w:t>
            </w:r>
            <w:r>
              <w:t xml:space="preserve"> Stati membri </w:t>
            </w:r>
            <w:r>
              <w:rPr>
                <w:b/>
                <w:i/>
              </w:rPr>
              <w:t>di</w:t>
            </w:r>
            <w:r>
              <w:t xml:space="preserve"> compiere ulteriori sforzi per affrontare la povertà infantile attuando il rispettivo piano d'azione nazionale;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w:t>
            </w:r>
            <w:r>
              <w:rPr>
                <w:b/>
                <w:i/>
              </w:rPr>
              <w:t>chiede che</w:t>
            </w:r>
            <w:r>
              <w:t xml:space="preserve"> essa disponga di un bilancio specifico </w:t>
            </w:r>
            <w:r>
              <w:rPr>
                <w:b/>
                <w:i/>
              </w:rPr>
              <w:t>dotato di risorse sufficienti</w:t>
            </w:r>
            <w:r>
              <w:t xml:space="preserve"> nel prossimo quadro finanziario pluriennale;</w:t>
            </w:r>
          </w:p>
        </w:tc>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w:t>
            </w:r>
            <w:r>
              <w:rPr>
                <w:b/>
                <w:i/>
              </w:rPr>
              <w:t>invita la Commissione a provvedere affinché</w:t>
            </w:r>
            <w:r>
              <w:t xml:space="preserve"> essa disponga di un bilancio specifico </w:t>
            </w:r>
            <w:r>
              <w:rPr>
                <w:b/>
                <w:i/>
              </w:rPr>
              <w:t>di almeno 20 miliardi di EUR</w:t>
            </w:r>
            <w:r>
              <w:t xml:space="preserve"> nel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chiede che essa disponga di un bilancio specifico dotato di </w:t>
            </w:r>
            <w:r>
              <w:rPr>
                <w:b/>
                <w:i/>
              </w:rPr>
              <w:t>risorse sufficienti</w:t>
            </w:r>
            <w:r>
              <w:t xml:space="preserve"> nel prossimo quadro finanziario pluriennale;</w:t>
            </w:r>
          </w:p>
        </w:tc>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chiede che essa disponga di un bilancio specifico dotato di </w:t>
            </w:r>
            <w:r>
              <w:rPr>
                <w:b/>
                <w:i/>
              </w:rPr>
              <w:t>almeno 20 miliardi di EUR</w:t>
            </w:r>
            <w:r>
              <w:t xml:space="preserve"> nel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chiede che essa disponga di un bilancio specifico dotato di </w:t>
            </w:r>
            <w:r>
              <w:rPr>
                <w:b/>
                <w:i/>
              </w:rPr>
              <w:t>risorse sufficienti</w:t>
            </w:r>
            <w:r>
              <w:t xml:space="preserve"> nel prossimo quadro finanziario pluriennale;</w:t>
            </w:r>
          </w:p>
        </w:tc>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chiede che essa disponga di un bilancio specifico dotato di </w:t>
            </w:r>
            <w:r>
              <w:rPr>
                <w:b/>
                <w:i/>
              </w:rPr>
              <w:t>almeno 20 miliardi di EUR</w:t>
            </w:r>
            <w:r>
              <w:t xml:space="preserve"> nel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esorta tutti gli Stati membri a compiere ulteriori sforzi per affrontare la povertà infantile attuando il rispettivo piano d'azione nazionale sulla garanzia europea per l'infanzia e chiede che essa disponga di </w:t>
            </w:r>
            <w:r>
              <w:rPr>
                <w:b/>
                <w:i/>
              </w:rPr>
              <w:t>un bilancio specifico dotato di</w:t>
            </w:r>
            <w:r>
              <w:t xml:space="preserve"> risorse sufficienti nel prossimo quadro finanziario pluriennale;</w:t>
            </w:r>
          </w:p>
        </w:tc>
        <w:tc>
          <w:tcPr>
            <w:tcW w:w="4876" w:type="dxa"/>
            <w:tcBorders>
              <w:top w:val="nil"/>
              <w:left w:val="nil"/>
              <w:bottom w:val="nil"/>
              <w:right w:val="nil"/>
            </w:tcBorders>
          </w:tcPr>
          <w:p>
            <w:pPr>
              <w:pStyle w:val="Normal6a"/>
            </w:pPr>
            <w:r>
              <w:t>7.</w:t>
            </w:r>
            <w:r>
              <w:tab/>
            </w:r>
            <w:r>
              <w:t>esorta tutti gli Stati membri a compiere ulteriori sforzi per affrontare la povertà infantile attuando il rispettivo piano d'azione nazionale sulla garanzia europea per l'infanzia e chiede che essa disponga di risorse sufficienti nel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invita la Commissione e gli Stati membri ad attuare pienamente la strategia europea per l'assistenza, garantendo servizi di assistenza di qualità, a prezzi abbordabili e accessibili in tutta l'UE;</w:t>
            </w:r>
            <w:r>
              <w:t xml:space="preserve"> </w:t>
            </w:r>
            <w:r>
              <w:rPr>
                <w:b/>
                <w:i/>
              </w:rPr>
              <w:t>sottolinea la necessità di riconoscere l'assistenza come investimento sociale ed economico, in linea con il principio 18 del pilastro europeo dei diritti sociali;</w:t>
            </w:r>
            <w:r>
              <w:t xml:space="preserve"> </w:t>
            </w:r>
            <w:r>
              <w:rPr>
                <w:b/>
                <w:i/>
              </w:rPr>
              <w:t>sollecita l'elaborazione di misure vincolanti a livello dell'UE e globale per riconoscere l'assistenza come bene comune, migliorare le condizioni di lavoro nel settore dell'assistenza, promuovere la parità di genere e garantire servizi di assistenza accessibili, a prezzi abbordabili e di qualità per tutti;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la necessità di affrontare ulteriormente le conseguenze </w:t>
            </w:r>
            <w:r>
              <w:rPr>
                <w:b/>
                <w:i/>
              </w:rPr>
              <w:t>della duplice transizione verde e digitale</w:t>
            </w:r>
            <w:r>
              <w:t xml:space="preserve"> sul mondo del lavoro rafforzando il principio del "controllo umano" </w:t>
            </w:r>
            <w:r>
              <w:rPr>
                <w:b/>
                <w:i/>
              </w:rPr>
              <w:t>per l'intelligenza artificiale attraverso una nuova iniziativa giuridica sull'IA sul luogo di lavoro e sulla gestione algoritmica</w:t>
            </w:r>
            <w:r>
              <w:t xml:space="preserve">; sottolinea la necessità di creare posti di lavoro sostenibili </w:t>
            </w:r>
            <w:r>
              <w:rPr>
                <w:b/>
                <w:i/>
              </w:rPr>
              <w:t>e di qualità rafforzando contestualmente il quadro giuridico per gestire e anticipare la transizione, promuovendo nel contempo il ruolo e la partecipazione delle parti sociali nonché l'integrazione nel mercato del lavoro</w:t>
            </w:r>
            <w:r>
              <w:t>;</w:t>
            </w:r>
          </w:p>
        </w:tc>
        <w:tc>
          <w:tcPr>
            <w:tcW w:w="4876" w:type="dxa"/>
            <w:tcBorders>
              <w:top w:val="nil"/>
              <w:left w:val="nil"/>
              <w:bottom w:val="nil"/>
              <w:right w:val="nil"/>
            </w:tcBorders>
          </w:tcPr>
          <w:p>
            <w:pPr>
              <w:pStyle w:val="Normal6a"/>
            </w:pPr>
            <w:r>
              <w:t>8.</w:t>
            </w:r>
            <w:r>
              <w:tab/>
            </w:r>
            <w:r>
              <w:t xml:space="preserve">sottolinea la necessità di affrontare ulteriormente le conseguenze </w:t>
            </w:r>
            <w:r>
              <w:rPr>
                <w:b/>
                <w:i/>
              </w:rPr>
              <w:t>delle trasformazioni digitali e ambientali</w:t>
            </w:r>
            <w:r>
              <w:t xml:space="preserve"> sul mondo del lavoro rafforzando il principio del "controllo umano"; sottolinea la necessità di creare posti di lavoro sostenibili;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la necessità di </w:t>
            </w:r>
            <w:r>
              <w:rPr>
                <w:b/>
                <w:i/>
              </w:rPr>
              <w:t>affrontare ulteriormente le conseguenze della duplice transizione verde e digitale sul mondo del lavoro rafforzando</w:t>
            </w:r>
            <w:r>
              <w:t xml:space="preserve"> il principio del "controllo umano" </w:t>
            </w:r>
            <w:r>
              <w:rPr>
                <w:b/>
                <w:i/>
              </w:rPr>
              <w:t>per l'intelligenza artificiale attraverso</w:t>
            </w:r>
            <w:r>
              <w:t xml:space="preserve"> una nuova iniziativa giuridica sull'IA sul luogo di lavoro e sulla gestione algoritmica; sottolinea la necessità di creare posti di lavoro sostenibili e di qualità </w:t>
            </w:r>
            <w:r>
              <w:rPr>
                <w:b/>
                <w:i/>
              </w:rPr>
              <w:t>rafforzando contestualmente</w:t>
            </w:r>
            <w:r>
              <w:t xml:space="preserve"> il quadro giuridico per gestire e anticipare </w:t>
            </w:r>
            <w:r>
              <w:rPr>
                <w:b/>
                <w:i/>
              </w:rPr>
              <w:t>la transizione, promuovendo nel contempo il ruolo e la partecipazione</w:t>
            </w:r>
            <w:r>
              <w:t xml:space="preserve"> delle parti sociali </w:t>
            </w:r>
            <w:r>
              <w:rPr>
                <w:b/>
                <w:i/>
              </w:rPr>
              <w:t>nonché l'integrazione nel</w:t>
            </w:r>
            <w:r>
              <w:t xml:space="preserve"> mercato del lavoro;</w:t>
            </w:r>
          </w:p>
        </w:tc>
        <w:tc>
          <w:tcPr>
            <w:tcW w:w="4876" w:type="dxa"/>
            <w:tcBorders>
              <w:top w:val="nil"/>
              <w:left w:val="nil"/>
              <w:bottom w:val="nil"/>
              <w:right w:val="nil"/>
            </w:tcBorders>
          </w:tcPr>
          <w:p>
            <w:pPr>
              <w:pStyle w:val="Normal6a"/>
            </w:pPr>
            <w:r>
              <w:t>8.</w:t>
            </w:r>
            <w:r>
              <w:tab/>
            </w:r>
            <w:r>
              <w:rPr>
                <w:b/>
                <w:i/>
              </w:rPr>
              <w:t>apprezza la recente adozione della direttiva sul lavoro mediante piattaforme digitali quale passo fondamentale verso la protezione dei lavoratori nell'economia digitale e la garanzia di condizioni eque e della responsabilità algoritmica;</w:t>
            </w:r>
            <w:r>
              <w:t xml:space="preserve"> sottolinea la necessità di </w:t>
            </w:r>
            <w:r>
              <w:rPr>
                <w:b/>
                <w:i/>
              </w:rPr>
              <w:t>estendere le stesse tutele ai lavoratori in tutti i settori interessati dall'IA, garantendo che</w:t>
            </w:r>
            <w:r>
              <w:t xml:space="preserve"> il principio del "controllo umano" </w:t>
            </w:r>
            <w:r>
              <w:rPr>
                <w:b/>
                <w:i/>
              </w:rPr>
              <w:t>diventi una norma vincolante, e ribadisce la richiesta di</w:t>
            </w:r>
            <w:r>
              <w:t xml:space="preserve"> una nuova iniziativa giuridica sull'IA sul luogo di lavoro e sulla gestione algoritmica; sottolinea la necessità di creare posti di lavoro sostenibili e di qualità </w:t>
            </w:r>
            <w:r>
              <w:rPr>
                <w:b/>
                <w:i/>
              </w:rPr>
              <w:t>e di rafforzare</w:t>
            </w:r>
            <w:r>
              <w:t xml:space="preserve"> il quadro giuridico </w:t>
            </w:r>
            <w:r>
              <w:rPr>
                <w:b/>
                <w:i/>
              </w:rPr>
              <w:t>e finanziario</w:t>
            </w:r>
            <w:r>
              <w:t xml:space="preserve"> per gestire e anticipare </w:t>
            </w:r>
            <w:r>
              <w:rPr>
                <w:b/>
                <w:i/>
              </w:rPr>
              <w:t>le transizioni, anche attraverso maggiori investimenti a titolo del FSE+;</w:t>
            </w:r>
            <w:r>
              <w:t xml:space="preserve"> </w:t>
            </w:r>
            <w:r>
              <w:rPr>
                <w:b/>
                <w:i/>
              </w:rPr>
              <w:t>sottolinea l'importanza della contrattazione collettiva e del coinvolgimento</w:t>
            </w:r>
            <w:r>
              <w:t xml:space="preserve"> delle parti sociali </w:t>
            </w:r>
            <w:r>
              <w:rPr>
                <w:b/>
                <w:i/>
              </w:rPr>
              <w:t>nell'elaborazione e nella promozione di politiche del</w:t>
            </w:r>
            <w:r>
              <w:t xml:space="preserve"> mercato del lavoro </w:t>
            </w:r>
            <w:r>
              <w:rPr>
                <w:b/>
                <w:i/>
              </w:rPr>
              <w:t>inclusive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la necessità di affrontare ulteriormente le conseguenze della duplice transizione verde e digitale </w:t>
            </w:r>
            <w:r>
              <w:rPr>
                <w:b/>
                <w:i/>
              </w:rPr>
              <w:t>sul</w:t>
            </w:r>
            <w:r>
              <w:t xml:space="preserve"> mondo del lavoro </w:t>
            </w:r>
            <w:r>
              <w:rPr>
                <w:b/>
                <w:i/>
              </w:rPr>
              <w:t>rafforzando il</w:t>
            </w:r>
            <w:r>
              <w:t xml:space="preserve"> principio del "controllo umano" per l'intelligenza artificiale attraverso una nuova iniziativa giuridica sull'IA sul luogo di lavoro e sulla gestione algoritmica; sottolinea la necessità di creare posti di lavoro sostenibili e di qualità rafforzando contestualmente il quadro giuridico per gestire e anticipare la transizione, promuovendo nel contempo il ruolo e la partecipazione delle parti sociali nonché l'integrazione nel mercato del lavoro;</w:t>
            </w:r>
          </w:p>
        </w:tc>
        <w:tc>
          <w:tcPr>
            <w:tcW w:w="4876" w:type="dxa"/>
            <w:tcBorders>
              <w:top w:val="nil"/>
              <w:left w:val="nil"/>
              <w:bottom w:val="nil"/>
              <w:right w:val="nil"/>
            </w:tcBorders>
          </w:tcPr>
          <w:p>
            <w:pPr>
              <w:pStyle w:val="Normal6a"/>
            </w:pPr>
            <w:r>
              <w:t>8.</w:t>
            </w:r>
            <w:r>
              <w:tab/>
            </w:r>
            <w:r>
              <w:t xml:space="preserve">sottolinea la necessità di affrontare ulteriormente le conseguenze della duplice transizione verde e digitale </w:t>
            </w:r>
            <w:r>
              <w:rPr>
                <w:b/>
                <w:i/>
              </w:rPr>
              <w:t>ponendole in evidenza nel</w:t>
            </w:r>
            <w:r>
              <w:t xml:space="preserve"> mondo del lavoro </w:t>
            </w:r>
            <w:r>
              <w:rPr>
                <w:b/>
                <w:i/>
              </w:rPr>
              <w:t>mediante il rafforzamento del</w:t>
            </w:r>
            <w:r>
              <w:t xml:space="preserve"> principio del "controllo umano" per l'intelligenza artificiale attraverso una nuova iniziativa giuridica sull'IA sul luogo di lavoro e sulla gestione algoritmica; sottolinea la necessità di creare posti di lavoro sostenibili e di qualità rafforzando contestualmente il quadro giuridico per gestire e anticipare la transizione, promuovendo nel contempo il ruolo e la partecipazione delle parti sociali nonché l'integrazione nel mercato del lavoro; </w:t>
            </w:r>
            <w:r>
              <w:rPr>
                <w:b/>
                <w:i/>
              </w:rPr>
              <w:t>mette in guardia contro l'impatto dell'IA sui rifiuti ambientali, in particolare l'uso massiccio delle risorse idriche, e invita la Commissione a effettuare una valutazione d'impatto e a regolamentare i sistemi di IA che non sono in linea con la transizione verde e gli obiettivi climatici;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sottolinea la necessità di affrontare ulteriormente le conseguenze della duplice transizione verde e digitale sul mondo del lavoro rafforzando il principio del "controllo umano" per l'intelligenza artificiale attraverso una nuova iniziativa giuridica sull'IA sul luogo di lavoro e sulla gestione algoritmica; sottolinea la necessità di creare posti di lavoro sostenibili e di qualità rafforzando contestualmente il quadro giuridico per gestire e anticipare la transizione, promuovendo nel contempo il ruolo e la partecipazione delle parti sociali nonché l'integrazione nel mercato del lavoro;</w:t>
            </w:r>
          </w:p>
        </w:tc>
        <w:tc>
          <w:tcPr>
            <w:tcW w:w="4876" w:type="dxa"/>
            <w:tcBorders>
              <w:top w:val="nil"/>
              <w:left w:val="nil"/>
              <w:bottom w:val="nil"/>
              <w:right w:val="nil"/>
            </w:tcBorders>
          </w:tcPr>
          <w:p>
            <w:pPr>
              <w:pStyle w:val="Normal6a"/>
            </w:pPr>
            <w:r>
              <w:t>8.</w:t>
            </w:r>
            <w:r>
              <w:tab/>
            </w:r>
            <w:r>
              <w:t xml:space="preserve">sottolinea la necessità di affrontare ulteriormente le conseguenze della duplice transizione verde e digitale sul mondo del lavoro rafforzando il principio del "controllo umano" per l'intelligenza artificiale attraverso una nuova iniziativa giuridica sull'IA sul luogo di lavoro e sulla gestione algoritmica </w:t>
            </w:r>
            <w:r>
              <w:rPr>
                <w:b/>
                <w:i/>
              </w:rPr>
              <w:t>e un diritto alla disconnessione per garantire l'equilibrio tra vita professionale e vita privata</w:t>
            </w:r>
            <w:r>
              <w:t xml:space="preserve">; sottolinea la necessità di creare posti di lavoro sostenibili e di qualità </w:t>
            </w:r>
            <w:r>
              <w:rPr>
                <w:b/>
                <w:i/>
              </w:rPr>
              <w:t>per sostituire i posti di lavoro persi o trasformati nel corso della duplice transizione</w:t>
            </w:r>
            <w:r>
              <w:t xml:space="preserve"> rafforzando contestualmente il quadro giuridico per gestire e anticipare la transizione, promuovendo nel contempo il ruolo e la partecipazione delle parti sociali nonché l'integrazione nel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sottolinea la necessità di affrontare ulteriormente le conseguenze della duplice transizione verde e digitale sul mondo del lavoro rafforzando il principio del "controllo umano" per l'intelligenza artificiale attraverso una nuova iniziativa giuridica sull'IA sul luogo di lavoro </w:t>
            </w:r>
            <w:r>
              <w:rPr>
                <w:b/>
                <w:i/>
              </w:rPr>
              <w:t>e sulla gestione algoritmica</w:t>
            </w:r>
            <w:r>
              <w:t>; sottolinea la necessità di creare posti di lavoro sostenibili e di qualità rafforzando contestualmente il quadro giuridico per gestire e anticipare la transizione, promuovendo nel contempo il ruolo e la partecipazione delle parti sociali nonché l'integrazione nel mercato del lavoro;</w:t>
            </w:r>
          </w:p>
        </w:tc>
        <w:tc>
          <w:tcPr>
            <w:tcW w:w="4876" w:type="dxa"/>
            <w:tcBorders>
              <w:top w:val="nil"/>
              <w:left w:val="nil"/>
              <w:bottom w:val="nil"/>
              <w:right w:val="nil"/>
            </w:tcBorders>
          </w:tcPr>
          <w:p>
            <w:pPr>
              <w:pStyle w:val="Normal6a"/>
            </w:pPr>
            <w:r>
              <w:t>8.</w:t>
            </w:r>
            <w:r>
              <w:tab/>
            </w:r>
            <w:r>
              <w:t xml:space="preserve">sottolinea la necessità di affrontare ulteriormente le conseguenze della duplice transizione verde e digitale sul mondo del lavoro rafforzando il principio del "controllo umano" per l'intelligenza artificiale attraverso una nuova iniziativa giuridica sull'IA sul luogo di lavoro </w:t>
            </w:r>
            <w:r>
              <w:rPr>
                <w:b/>
                <w:i/>
              </w:rPr>
              <w:t>nonché la disponibilità di energia più economica per far funzionare i parchi di server in relazione al controllo algoritmico</w:t>
            </w:r>
            <w:r>
              <w:t>; sottolinea la necessità di creare posti di lavoro sostenibili e di qualità rafforzando contestualmente il quadro giuridico per gestire e anticipare la transizione, promuovendo nel contempo il ruolo e la partecipazione delle parti sociali nonché l'integrazione nel mercato del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sottolinea la necessità di garantire ulteriormente l'offerta </w:t>
            </w:r>
            <w:r>
              <w:rPr>
                <w:b/>
                <w:i/>
              </w:rPr>
              <w:t>di</w:t>
            </w:r>
            <w:r>
              <w:t xml:space="preserve"> politiche di formazione di qualità che promuovano l'apprendimento </w:t>
            </w:r>
            <w:r>
              <w:rPr>
                <w:b/>
                <w:i/>
              </w:rPr>
              <w:t>permanente, nonché l'accesso a dette politiche</w:t>
            </w:r>
            <w:r>
              <w:t>; osserva che programmi di miglioramento del livello delle competenze, riqualificazione e formazione devono essere disponibili a tutti i lavoratori, compresi quelli con disabilità, e dovrebbero essere inoltre adattati alle esigenze e alle capacità dei lavoratori;</w:t>
            </w:r>
          </w:p>
        </w:tc>
        <w:tc>
          <w:tcPr>
            <w:tcW w:w="4876" w:type="dxa"/>
            <w:tcBorders>
              <w:top w:val="nil"/>
              <w:left w:val="nil"/>
              <w:bottom w:val="nil"/>
              <w:right w:val="nil"/>
            </w:tcBorders>
          </w:tcPr>
          <w:p>
            <w:pPr>
              <w:pStyle w:val="Normal6a"/>
            </w:pPr>
            <w:r>
              <w:t>9.</w:t>
            </w:r>
            <w:r>
              <w:tab/>
            </w:r>
            <w:r>
              <w:t xml:space="preserve">sottolinea la necessità di garantire ulteriormente l'offerta </w:t>
            </w:r>
            <w:r>
              <w:rPr>
                <w:b/>
                <w:i/>
              </w:rPr>
              <w:t>e l'accesso universale a un'istruzione pubblica di qualità gratuita e a</w:t>
            </w:r>
            <w:r>
              <w:t xml:space="preserve"> politiche di formazione di qualità che </w:t>
            </w:r>
            <w:r>
              <w:rPr>
                <w:b/>
                <w:i/>
              </w:rPr>
              <w:t>garantiscano almeno un salario minimo dignitoso e</w:t>
            </w:r>
            <w:r>
              <w:t xml:space="preserve"> promuovano l'apprendimento </w:t>
            </w:r>
            <w:r>
              <w:rPr>
                <w:b/>
                <w:i/>
              </w:rPr>
              <w:t>lungo tutto l'arco della vita</w:t>
            </w:r>
            <w:r>
              <w:t xml:space="preserve">; osserva che programmi di miglioramento del livello delle competenze, riqualificazione e formazione devono essere </w:t>
            </w:r>
            <w:r>
              <w:rPr>
                <w:b/>
                <w:i/>
              </w:rPr>
              <w:t>abbinati a un'indennità di formazione e</w:t>
            </w:r>
            <w:r>
              <w:t xml:space="preserve"> disponibili a tutti i lavoratori, compresi quelli con disabilità, e dovrebbero essere inoltre adattati alle esigenze e alle capacità dei lavoratori; </w:t>
            </w:r>
            <w:r>
              <w:rPr>
                <w:b/>
                <w:i/>
              </w:rPr>
              <w:t>sottolinea inoltre che il debito degli studenti dovrebbe essere sostituito da un'indennità di studio e da tasse universitarie gratuite per evitare la trappola della povertà per i giovani a basso reddito;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sottolinea la necessità di garantire ulteriormente l'offerta di politiche di formazione di qualità che promuovano l'apprendimento permanente, nonché l'accesso a dette politiche; osserva che programmi di miglioramento del livello delle competenze, riqualificazione e formazione devono essere disponibili a tutti i lavoratori, compresi quelli con disabilità, e dovrebbero essere inoltre adattati alle esigenze e alle capacità dei lavoratori;</w:t>
            </w:r>
          </w:p>
        </w:tc>
        <w:tc>
          <w:tcPr>
            <w:tcW w:w="4876" w:type="dxa"/>
            <w:tcBorders>
              <w:top w:val="nil"/>
              <w:left w:val="nil"/>
              <w:bottom w:val="nil"/>
              <w:right w:val="nil"/>
            </w:tcBorders>
          </w:tcPr>
          <w:p>
            <w:pPr>
              <w:pStyle w:val="Normal6a"/>
            </w:pPr>
            <w:r>
              <w:t>9.</w:t>
            </w:r>
            <w:r>
              <w:tab/>
            </w:r>
            <w:r>
              <w:t xml:space="preserve">sottolinea la necessità di garantire ulteriormente l'offerta di politiche di formazione di qualità che promuovano l'apprendimento permanente, nonché l'accesso a dette politiche; osserva che programmi </w:t>
            </w:r>
            <w:r>
              <w:rPr>
                <w:b/>
                <w:i/>
              </w:rPr>
              <w:t>strategici</w:t>
            </w:r>
            <w:r>
              <w:t xml:space="preserve"> di miglioramento del livello delle competenze, riqualificazione e formazione devono essere disponibili a tutti i lavoratori, compresi quelli con disabilità, e dovrebbero essere inoltre adattati alle esigenze e alle capacità dei lavoratori; </w:t>
            </w:r>
            <w:r>
              <w:rPr>
                <w:b/>
                <w:i/>
              </w:rPr>
              <w:t>chiede l'introduzione di un diritto individuale alla formazione e al miglioramento delle competenze dei lavoratori a livello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sottolinea la necessità di garantire ulteriormente l'offerta di politiche di formazione di qualità che promuovano l'apprendimento permanente, nonché l'accesso a dette politiche; osserva che programmi di miglioramento del livello delle competenze, riqualificazione e formazione devono essere disponibili </w:t>
            </w:r>
            <w:r>
              <w:rPr>
                <w:b/>
                <w:i/>
              </w:rPr>
              <w:t>a tutti</w:t>
            </w:r>
            <w:r>
              <w:t xml:space="preserve"> i lavoratori, compresi quelli con disabilità, e dovrebbero essere inoltre adattati alle esigenze e alle capacità dei lavoratori;</w:t>
            </w:r>
          </w:p>
        </w:tc>
        <w:tc>
          <w:tcPr>
            <w:tcW w:w="4876" w:type="dxa"/>
            <w:tcBorders>
              <w:top w:val="nil"/>
              <w:left w:val="nil"/>
              <w:bottom w:val="nil"/>
              <w:right w:val="nil"/>
            </w:tcBorders>
          </w:tcPr>
          <w:p>
            <w:pPr>
              <w:pStyle w:val="Normal6a"/>
            </w:pPr>
            <w:r>
              <w:t>9.</w:t>
            </w:r>
            <w:r>
              <w:tab/>
            </w:r>
            <w:r>
              <w:t xml:space="preserve">sottolinea la necessità di garantire ulteriormente l'offerta di politiche di formazione di qualità che promuovano l'apprendimento permanente, nonché l'accesso a dette politiche; osserva che programmi di miglioramento del livello delle competenze, riqualificazione e formazione devono essere disponibili </w:t>
            </w:r>
            <w:r>
              <w:rPr>
                <w:b/>
                <w:i/>
              </w:rPr>
              <w:t>solo per</w:t>
            </w:r>
            <w:r>
              <w:t xml:space="preserve"> i lavoratori </w:t>
            </w:r>
            <w:r>
              <w:rPr>
                <w:b/>
                <w:i/>
              </w:rPr>
              <w:t>europei</w:t>
            </w:r>
            <w:r>
              <w:t>, compresi quelli con disabilità, e dovrebbero essere inoltre adattati alle esigenze e alle capacità dei lavoratori;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che, alla luce della crisi climatica e della biodiversità nonché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sottolinea che, alla luce della crisi climatica e della biodiversità nonché delle sfide economiche e demografiche, nessuna generazione o regione all'interno dell'UE dovrebbe essere lasciata indietro, né oggi né in futuro</w:t>
            </w:r>
            <w:r>
              <w:rPr>
                <w:b/>
                <w:i/>
              </w:rPr>
              <w:t>, e che si dovrebbe prevedere un accesso universale a una transizione giusta per tutti</w:t>
            </w:r>
            <w:r>
              <w:t xml:space="preserve">; chiede che siano presentate iniziative a sostegno sia dei giovani sia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 </w:t>
            </w:r>
            <w:r>
              <w:rPr>
                <w:b/>
                <w:i/>
              </w:rPr>
              <w:t>invita gli Stati membri a garantire un accesso universale basato sui diritti a servizi pubblici di alta qualità e a investire in tali servizi;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che</w:t>
            </w:r>
            <w:r>
              <w:rPr>
                <w:b/>
                <w:i/>
              </w:rPr>
              <w:t>, alla luce della</w:t>
            </w:r>
            <w:r>
              <w:t xml:space="preserve"> crisi climatica e della biodiversità </w:t>
            </w:r>
            <w:r>
              <w:rPr>
                <w:b/>
                <w:i/>
              </w:rPr>
              <w:t>nonché delle</w:t>
            </w:r>
            <w:r>
              <w:t xml:space="preserve"> sfide economiche e demografiche</w:t>
            </w:r>
            <w:r>
              <w:rPr>
                <w:b/>
                <w:i/>
              </w:rPr>
              <w:t>,</w:t>
            </w:r>
            <w:r>
              <w:t xml:space="preserve"> nessuna generazione o regione </w:t>
            </w:r>
            <w:r>
              <w:rPr>
                <w:b/>
                <w:i/>
              </w:rPr>
              <w:t>all'interno dell'UE dovrebbe essere lasciata indietro, né oggi né in futuro</w:t>
            </w:r>
            <w:r>
              <w:t xml:space="preserve">; chiede che siano </w:t>
            </w:r>
            <w:r>
              <w:rPr>
                <w:b/>
                <w:i/>
              </w:rPr>
              <w:t>presentate</w:t>
            </w:r>
            <w:r>
              <w:t xml:space="preserve"> iniziative a sostegno </w:t>
            </w:r>
            <w:r>
              <w:rPr>
                <w:b/>
                <w:i/>
              </w:rPr>
              <w:t>sia</w:t>
            </w:r>
            <w:r>
              <w:t xml:space="preserve"> dei giovani </w:t>
            </w:r>
            <w:r>
              <w:rPr>
                <w:b/>
                <w:i/>
              </w:rPr>
              <w:t>sia</w:t>
            </w:r>
            <w:r>
              <w:t xml:space="preserve"> degli anziani </w:t>
            </w:r>
            <w:r>
              <w:rPr>
                <w:b/>
                <w:i/>
              </w:rPr>
              <w:t>e</w:t>
            </w:r>
            <w:r>
              <w:t xml:space="preserve"> misure </w:t>
            </w:r>
            <w:r>
              <w:rPr>
                <w:b/>
                <w:i/>
              </w:rPr>
              <w:t>per le regioni interessate dallo</w:t>
            </w:r>
            <w:r>
              <w:t xml:space="preserve">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 xml:space="preserve">sottolinea che </w:t>
            </w:r>
            <w:r>
              <w:rPr>
                <w:b/>
                <w:i/>
              </w:rPr>
              <w:t>la</w:t>
            </w:r>
            <w:r>
              <w:t xml:space="preserve"> crisi climatica e della biodiversità </w:t>
            </w:r>
            <w:r>
              <w:rPr>
                <w:b/>
                <w:i/>
              </w:rPr>
              <w:t>e le</w:t>
            </w:r>
            <w:r>
              <w:t xml:space="preserve"> sfide economiche e demografiche </w:t>
            </w:r>
            <w:r>
              <w:rPr>
                <w:b/>
                <w:i/>
              </w:rPr>
              <w:t>non dovrebbero lasciare indietro</w:t>
            </w:r>
            <w:r>
              <w:t xml:space="preserve"> nessuna generazione o regione </w:t>
            </w:r>
            <w:r>
              <w:rPr>
                <w:b/>
                <w:i/>
              </w:rPr>
              <w:t>dell'UE, sia quelle attuali che quelle future</w:t>
            </w:r>
            <w:r>
              <w:t xml:space="preserve">; chiede che siano </w:t>
            </w:r>
            <w:r>
              <w:rPr>
                <w:b/>
                <w:i/>
              </w:rPr>
              <w:t>proposte</w:t>
            </w:r>
            <w:r>
              <w:t xml:space="preserve"> iniziative a sostegno dei giovani </w:t>
            </w:r>
            <w:r>
              <w:rPr>
                <w:b/>
                <w:i/>
              </w:rPr>
              <w:t>e</w:t>
            </w:r>
            <w:r>
              <w:t xml:space="preserve"> degli anziani </w:t>
            </w:r>
            <w:r>
              <w:rPr>
                <w:b/>
                <w:i/>
              </w:rPr>
              <w:t>in linea con il loro contributo a fare più figli, nel contesto del rafforzamento della cooperazione intergenerazionale e delle</w:t>
            </w:r>
            <w:r>
              <w:t xml:space="preserve"> misure </w:t>
            </w:r>
            <w:r>
              <w:rPr>
                <w:b/>
                <w:i/>
              </w:rPr>
              <w:t>orientate alla famiglia atte a invertire lo</w:t>
            </w:r>
            <w:r>
              <w:t xml:space="preserve"> spopolamento </w:t>
            </w:r>
            <w:r>
              <w:rPr>
                <w:b/>
                <w:i/>
              </w:rPr>
              <w:t>delle regioni</w:t>
            </w:r>
            <w:r>
              <w:t>,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sottolinea che, alla luce della crisi climatica e della biodiversità nonché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w:t>
            </w:r>
            <w:r>
              <w:rPr>
                <w:b/>
                <w:i/>
              </w:rPr>
              <w:t>accesso</w:t>
            </w:r>
            <w:r>
              <w:t xml:space="preserve"> alle infrastrutture, compresi i trasporti, alla connettività digitale e agli alloggi a prezzi accessibili, servizi pubblici, cure sanitarie, assistenza e istruzione,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 xml:space="preserve">sottolinea che, alla luce della crisi climatica e della biodiversità nonché delle sfide economiche e demografiche, nessuna generazione o regione all'interno dell'UE dovrebbe essere lasciata indietro, né oggi né in futuro; </w:t>
            </w:r>
            <w:r>
              <w:rPr>
                <w:b/>
                <w:i/>
              </w:rPr>
              <w:t>deplora, in tale contesto, il nuovo approccio della Commissione di utilizzare la politica di coesione per incrementare la spesa per la difesa;</w:t>
            </w:r>
            <w:r>
              <w:t xml:space="preserve"> chiede </w:t>
            </w:r>
            <w:r>
              <w:rPr>
                <w:b/>
                <w:i/>
              </w:rPr>
              <w:t>invece</w:t>
            </w:r>
            <w:r>
              <w:t xml:space="preserve"> che siano presentate iniziative a sostegno sia dei giovani sia degli anziani e misure per le regioni interessate dallo spopolamento, quali un </w:t>
            </w:r>
            <w:r>
              <w:rPr>
                <w:b/>
                <w:i/>
              </w:rPr>
              <w:t>accesso</w:t>
            </w:r>
            <w:r>
              <w:t xml:space="preserve"> migliore </w:t>
            </w:r>
            <w:r>
              <w:rPr>
                <w:b/>
                <w:i/>
              </w:rPr>
              <w:t>e senza ostacoli</w:t>
            </w:r>
            <w:r>
              <w:t xml:space="preserve"> alle infrastrutture, compresi i trasporti, alla connettività digitale e agli alloggi a prezzi accessibili, servizi pubblici, cure sanitarie, assistenza e istruzione, nonché investimenti in migliori opportunità di lavoro per prevenire lo spopolamento;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sottolinea che, alla luce della crisi climatica e della biodiversità nonché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 xml:space="preserve">sottolinea che, alla luce della crisi climatica e della biodiversità nonché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 </w:t>
            </w:r>
            <w:r>
              <w:rPr>
                <w:b/>
                <w:i/>
              </w:rPr>
              <w:t>senza ricorrere all'immigrazione extraeuropea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sottolinea che, alla luce della crisi climatica e della biodiversità nonché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alla connettività digitale e </w:t>
            </w:r>
            <w:r>
              <w:rPr>
                <w:b/>
                <w:i/>
              </w:rPr>
              <w:t>agli</w:t>
            </w:r>
            <w:r>
              <w:t xml:space="preserve"> alloggi a prezzi accessibili, servizi pubblici, cure sanitarie, </w:t>
            </w:r>
            <w:r>
              <w:rPr>
                <w:b/>
                <w:i/>
              </w:rPr>
              <w:t>assistenza</w:t>
            </w:r>
            <w:r>
              <w:t xml:space="preserve"> e istruzione</w:t>
            </w:r>
            <w:r>
              <w:rPr>
                <w:b/>
                <w:i/>
              </w:rPr>
              <w:t>,</w:t>
            </w:r>
            <w:r>
              <w:t xml:space="preserv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 xml:space="preserve">sottolinea che, alla luce della crisi climatica e della biodiversità nonché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w:t>
            </w:r>
            <w:r>
              <w:rPr>
                <w:b/>
                <w:i/>
              </w:rPr>
              <w:t>pubblici</w:t>
            </w:r>
            <w:r>
              <w:t xml:space="preserve">, alla connettività digitale e </w:t>
            </w:r>
            <w:r>
              <w:rPr>
                <w:b/>
                <w:i/>
              </w:rPr>
              <w:t>ad</w:t>
            </w:r>
            <w:r>
              <w:t xml:space="preserve"> alloggi a prezzi accessibili, </w:t>
            </w:r>
            <w:r>
              <w:rPr>
                <w:b/>
                <w:i/>
              </w:rPr>
              <w:t>ai</w:t>
            </w:r>
            <w:r>
              <w:t xml:space="preserve"> servizi pubblici, </w:t>
            </w:r>
            <w:r>
              <w:rPr>
                <w:b/>
                <w:i/>
              </w:rPr>
              <w:t>alle</w:t>
            </w:r>
            <w:r>
              <w:t xml:space="preserve"> cure sanitarie, </w:t>
            </w:r>
            <w:r>
              <w:rPr>
                <w:b/>
                <w:i/>
              </w:rPr>
              <w:t>alle cure di lunga durata, alla custodia</w:t>
            </w:r>
            <w:r>
              <w:t xml:space="preserve"> e istruzione </w:t>
            </w:r>
            <w:r>
              <w:rPr>
                <w:b/>
                <w:i/>
              </w:rPr>
              <w:t>della prima infanzia</w:t>
            </w:r>
            <w:r>
              <w:t xml:space="preserve"> nonché investimenti in migliori opportunità di lavoro per prevenire lo spopolamento;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sottolinea che, alla luce della crisi climatica e della biodiversità nonché delle sfide economiche e demografiche, nessuna generazione o regione all'interno dell'UE dovrebbe essere lasciata indietro, né oggi né in futuro; chiede che siano presentate iniziative a sostegno </w:t>
            </w:r>
            <w:r>
              <w:rPr>
                <w:b/>
                <w:i/>
              </w:rPr>
              <w:t>sia</w:t>
            </w:r>
            <w:r>
              <w:t xml:space="preserve"> dei giovani </w:t>
            </w:r>
            <w:r>
              <w:rPr>
                <w:b/>
                <w:i/>
              </w:rPr>
              <w:t>sia</w:t>
            </w:r>
            <w:r>
              <w:t xml:space="preserve">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sottolinea che, alla luce della crisi climatica e della biodiversità nonché delle sfide economiche e demografiche, nessuna generazione o regione all'interno dell'UE dovrebbe essere lasciata indietro, né oggi né in futuro; chiede che siano presentate iniziative a sostegno dei giovani</w:t>
            </w:r>
            <w:r>
              <w:rPr>
                <w:b/>
                <w:i/>
              </w:rPr>
              <w:t>,</w:t>
            </w:r>
            <w:r>
              <w:t xml:space="preserve"> degli anziani </w:t>
            </w:r>
            <w:r>
              <w:rPr>
                <w:b/>
                <w:i/>
              </w:rPr>
              <w:t>e delle persone disabili</w:t>
            </w:r>
            <w:r>
              <w:t xml:space="preserve">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sottolinea che, alla luce </w:t>
            </w:r>
            <w:r>
              <w:rPr>
                <w:b/>
                <w:i/>
              </w:rPr>
              <w:t>della crisi climatica e della biodiversità nonché</w:t>
            </w:r>
            <w:r>
              <w:t xml:space="preserve">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c>
          <w:tcPr>
            <w:tcW w:w="4876" w:type="dxa"/>
            <w:tcBorders>
              <w:top w:val="nil"/>
              <w:left w:val="nil"/>
              <w:bottom w:val="nil"/>
              <w:right w:val="nil"/>
            </w:tcBorders>
          </w:tcPr>
          <w:p>
            <w:pPr>
              <w:pStyle w:val="Normal6a"/>
            </w:pPr>
            <w:r>
              <w:t>10.</w:t>
            </w:r>
            <w:r>
              <w:tab/>
            </w:r>
            <w:r>
              <w:t>sottolinea che, alla luce delle sfide economiche e demografiche, nessuna generazione o regione all'interno dell'UE dovrebbe essere lasciata indietro, né oggi né in futuro; chiede che siano presentate iniziative a sostegno sia dei giovani sia degli anziani e misure per le regioni interessate dallo spopolamento, quali un migliore accesso alle infrastrutture, compresi i trasporti, alla connettività digitale e agli alloggi a prezzi accessibili, servizi pubblici, cure sanitarie, assistenza e istruzione, nonché investimenti in migliori opportunità di lavoro per prevenire lo spopolamento;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esorta a sostenere le transizioni giuste della forza lavoro e delle imprese nell'UE durante il passaggio a un'economia verde;</w:t>
            </w:r>
            <w:r>
              <w:t xml:space="preserve"> </w:t>
            </w:r>
            <w:r>
              <w:rPr>
                <w:b/>
                <w:i/>
              </w:rPr>
              <w:t>osserva che, se attentamente concepito attraverso un dialogo sociale solido, il processo di adeguamento ai cambiamenti climatici e di mitigazione degli stessi può creare ecosistemi più robusti, nuovi posti di lavoro dignitosi e nuove imprese sostenibili, nonché società più inclusive, senza lasciare indietro nessuno;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esorta a sostenere le transizioni giuste della forza lavoro e delle imprese nell'UE durante il passaggio a un'economia verde;</w:t>
            </w:r>
            <w:r>
              <w:t xml:space="preserve"> </w:t>
            </w:r>
            <w:r>
              <w:rPr>
                <w:b/>
                <w:i/>
              </w:rPr>
              <w:t>osserva che, se attentamente concepito attraverso un dialogo sociale solido, il processo di adeguamento ai cambiamenti climatici e di mitigazione degli stessi può creare ecosistemi più robusti, nuovi posti di lavoro dignitosi e nuove imprese sostenibili, nonché società più inclusive, senza lasciare indietro nessuno;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esorta </w:t>
            </w:r>
            <w:r>
              <w:rPr>
                <w:b/>
                <w:i/>
              </w:rPr>
              <w:t>a sostenere le transizioni giuste della forza lavoro e delle</w:t>
            </w:r>
            <w:r>
              <w:t xml:space="preserve"> imprese </w:t>
            </w:r>
            <w:r>
              <w:rPr>
                <w:b/>
                <w:i/>
              </w:rPr>
              <w:t>nell'UE durante il passaggio a un'economia verde</w:t>
            </w:r>
            <w:r>
              <w:t xml:space="preserve">; osserva che, se </w:t>
            </w:r>
            <w:r>
              <w:rPr>
                <w:b/>
                <w:i/>
              </w:rPr>
              <w:t>attentamente concepito</w:t>
            </w:r>
            <w:r>
              <w:t xml:space="preserve"> attraverso un dialogo sociale </w:t>
            </w:r>
            <w:r>
              <w:rPr>
                <w:b/>
                <w:i/>
              </w:rPr>
              <w:t>solido, il processo di adeguamento</w:t>
            </w:r>
            <w:r>
              <w:t xml:space="preserve"> ai cambiamenti climatici e </w:t>
            </w:r>
            <w:r>
              <w:rPr>
                <w:b/>
                <w:i/>
              </w:rPr>
              <w:t>di</w:t>
            </w:r>
            <w:r>
              <w:t xml:space="preserve"> mitigazione </w:t>
            </w:r>
            <w:r>
              <w:rPr>
                <w:b/>
                <w:i/>
              </w:rPr>
              <w:t>degli stessi può creare</w:t>
            </w:r>
            <w:r>
              <w:t xml:space="preserve"> ecosistemi </w:t>
            </w:r>
            <w:r>
              <w:rPr>
                <w:b/>
                <w:i/>
              </w:rPr>
              <w:t>più robusti</w:t>
            </w:r>
            <w:r>
              <w:t xml:space="preserve">, </w:t>
            </w:r>
            <w:r>
              <w:rPr>
                <w:b/>
                <w:i/>
              </w:rPr>
              <w:t>nuovi</w:t>
            </w:r>
            <w:r>
              <w:t xml:space="preserve"> posti di lavoro </w:t>
            </w:r>
            <w:r>
              <w:rPr>
                <w:b/>
                <w:i/>
              </w:rPr>
              <w:t>dignitosi e nuove imprese</w:t>
            </w:r>
            <w:r>
              <w:t xml:space="preserve"> sostenibili</w:t>
            </w:r>
            <w:r>
              <w:rPr>
                <w:b/>
                <w:i/>
              </w:rPr>
              <w:t>, nonché</w:t>
            </w:r>
            <w:r>
              <w:t xml:space="preserve"> società più inclusive, senza lasciare indietro nessuno;</w:t>
            </w:r>
          </w:p>
        </w:tc>
        <w:tc>
          <w:tcPr>
            <w:tcW w:w="4876" w:type="dxa"/>
            <w:tcBorders>
              <w:top w:val="nil"/>
              <w:left w:val="nil"/>
              <w:bottom w:val="nil"/>
              <w:right w:val="nil"/>
            </w:tcBorders>
          </w:tcPr>
          <w:p>
            <w:pPr>
              <w:pStyle w:val="Normal6a"/>
            </w:pPr>
            <w:r>
              <w:t>11.</w:t>
            </w:r>
            <w:r>
              <w:tab/>
            </w:r>
            <w:r>
              <w:t xml:space="preserve">esorta </w:t>
            </w:r>
            <w:r>
              <w:rPr>
                <w:b/>
                <w:i/>
              </w:rPr>
              <w:t>l'UE e gli Stati membri a garantire che la transizione verde sia socialmente giusta, con un sostegno specifico per i lavoratori, le famiglie, le regioni e le</w:t>
            </w:r>
            <w:r>
              <w:t xml:space="preserve"> imprese </w:t>
            </w:r>
            <w:r>
              <w:rPr>
                <w:b/>
                <w:i/>
              </w:rPr>
              <w:t>interessate dai cambiamenti strutturali e dalle nuove esigenze del mercato del lavoro</w:t>
            </w:r>
            <w:r>
              <w:t xml:space="preserve">; osserva che, se </w:t>
            </w:r>
            <w:r>
              <w:rPr>
                <w:b/>
                <w:i/>
              </w:rPr>
              <w:t>elaborate</w:t>
            </w:r>
            <w:r>
              <w:t xml:space="preserve"> attraverso un </w:t>
            </w:r>
            <w:r>
              <w:rPr>
                <w:b/>
                <w:i/>
              </w:rPr>
              <w:t>solido</w:t>
            </w:r>
            <w:r>
              <w:t xml:space="preserve"> dialogo sociale</w:t>
            </w:r>
            <w:r>
              <w:rPr>
                <w:b/>
                <w:i/>
              </w:rPr>
              <w:t>, le strategie di adattamento</w:t>
            </w:r>
            <w:r>
              <w:t xml:space="preserve"> ai cambiamenti climatici e </w:t>
            </w:r>
            <w:r>
              <w:rPr>
                <w:b/>
                <w:i/>
              </w:rPr>
              <w:t>la loro</w:t>
            </w:r>
            <w:r>
              <w:t xml:space="preserve"> mitigazione </w:t>
            </w:r>
            <w:r>
              <w:rPr>
                <w:b/>
                <w:i/>
              </w:rPr>
              <w:t>possono generare</w:t>
            </w:r>
            <w:r>
              <w:t xml:space="preserve"> ecosistemi </w:t>
            </w:r>
            <w:r>
              <w:rPr>
                <w:b/>
                <w:i/>
              </w:rPr>
              <w:t>economici resilienti</w:t>
            </w:r>
            <w:r>
              <w:t xml:space="preserve">, posti di lavoro </w:t>
            </w:r>
            <w:r>
              <w:rPr>
                <w:b/>
                <w:i/>
              </w:rPr>
              <w:t>di qualità, modelli imprenditoriali</w:t>
            </w:r>
            <w:r>
              <w:t xml:space="preserve"> sostenibili </w:t>
            </w:r>
            <w:r>
              <w:rPr>
                <w:b/>
                <w:i/>
              </w:rPr>
              <w:t>e</w:t>
            </w:r>
            <w:r>
              <w:t xml:space="preserve"> società più inclusive, senza lasciare indietro nessuno; </w:t>
            </w:r>
            <w:r>
              <w:rPr>
                <w:b/>
                <w:i/>
              </w:rPr>
              <w:t>chiede l'istituzione urgente di regimi e investimenti verdi di protezione sociale al fine di garantire la giustizia ambientale e proteggere le persone dagli effetti dei cambiamenti climatici;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esorta a sostenere le transizioni giuste della forza lavoro e delle imprese nell'UE durante il passaggio a un'economia verde; osserva che, se attentamente concepito attraverso un dialogo sociale solido, il processo di adeguamento ai cambiamenti climatici e di mitigazione degli stessi può creare ecosistemi più robusti, nuovi posti di lavoro dignitosi e nuove imprese sostenibili, nonché società più inclusive, senza lasciare indietro nessuno;</w:t>
            </w:r>
          </w:p>
        </w:tc>
        <w:tc>
          <w:tcPr>
            <w:tcW w:w="4876" w:type="dxa"/>
            <w:tcBorders>
              <w:top w:val="nil"/>
              <w:left w:val="nil"/>
              <w:bottom w:val="nil"/>
              <w:right w:val="nil"/>
            </w:tcBorders>
          </w:tcPr>
          <w:p>
            <w:pPr>
              <w:pStyle w:val="Normal6a"/>
            </w:pPr>
            <w:r>
              <w:t>11.</w:t>
            </w:r>
            <w:r>
              <w:tab/>
            </w:r>
            <w:r>
              <w:t xml:space="preserve">esorta a sostenere le transizioni giuste della forza lavoro e delle imprese nell'UE durante il passaggio a un'economia verde; osserva che, se attentamente concepito attraverso un dialogo sociale solido, il processo di adeguamento ai cambiamenti climatici e di mitigazione degli stessi può creare ecosistemi più robusti, nuovi posti di lavoro dignitosi e nuove imprese sostenibili, nonché società più inclusive, senza lasciare indietro nessuno; </w:t>
            </w:r>
            <w:r>
              <w:rPr>
                <w:b/>
                <w:i/>
              </w:rPr>
              <w:t>invita la Commissione a proporre una direttiva su una transizione giusta nel mondo del lavoro per garantire che tali principi siano salvaguardati a livello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esorta a sostenere le transizioni giuste della forza lavoro e delle imprese nell'UE durante il passaggio a un'economia verde; osserva che, se attentamente concepito attraverso un dialogo sociale solido, il processo di adeguamento ai cambiamenti climatici e di mitigazione degli stessi può creare ecosistemi più robusti, nuovi posti di lavoro dignitosi e nuove imprese sostenibili, nonché società più inclusive, senza lasciare indietro nessuno;</w:t>
            </w:r>
          </w:p>
        </w:tc>
        <w:tc>
          <w:tcPr>
            <w:tcW w:w="4876" w:type="dxa"/>
            <w:tcBorders>
              <w:top w:val="nil"/>
              <w:left w:val="nil"/>
              <w:bottom w:val="nil"/>
              <w:right w:val="nil"/>
            </w:tcBorders>
          </w:tcPr>
          <w:p>
            <w:pPr>
              <w:pStyle w:val="Normal6a"/>
            </w:pPr>
            <w:r>
              <w:t>11.</w:t>
            </w:r>
            <w:r>
              <w:tab/>
            </w:r>
            <w:r>
              <w:t xml:space="preserve">esorta a sostenere le transizioni giuste della forza lavoro e delle imprese nell'UE durante il passaggio </w:t>
            </w:r>
            <w:r>
              <w:rPr>
                <w:b/>
                <w:i/>
              </w:rPr>
              <w:t>ragionevole</w:t>
            </w:r>
            <w:r>
              <w:t xml:space="preserve"> a un'economia verde; osserva che, se attentamente concepito attraverso un dialogo sociale solido, il processo di adeguamento ai cambiamenti climatici e di mitigazione degli stessi può creare ecosistemi più robusti, nuovi posti di lavoro dignitosi e nuove imprese sostenibili, nonché società più inclusive, senza lasciare indietro nessuno;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sottolinea il ruolo che l'economia sociale svolge nel contribuire alla transizione verde;</w:t>
            </w:r>
            <w:r>
              <w:t xml:space="preserve"> </w:t>
            </w:r>
            <w:r>
              <w:rPr>
                <w:b/>
                <w:i/>
              </w:rPr>
              <w:t>osserva che molte organizzazioni dell'economia sociale elaborano pratiche verdi e sostenibili e aiutano le persone ad adattarsi e contribuire a un'economia più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chiede che i cittadini di paesi terzi siano ulteriormente sostenuti affinché si integrino nel mercato del lavoro dell'UE e sfruttino appieno il potenziale dei loro talenti, grazie a buone condizioni di lavoro rafforzate da un'efficace politica di integrazione, in piena complementarità con la valorizzazione dei talenti presenti all'interno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chiede che i cittadini di paesi terzi siano ulteriormente sostenuti affinché si integrino nel mercato del lavoro dell'UE e sfruttino appieno il potenziale dei loro talenti, grazie a buone condizioni di lavoro rafforzate da un'efficace politica di integrazione, in piena complementarità con la valorizzazione dei talenti presenti all'interno dell'UE;</w:t>
            </w:r>
          </w:p>
        </w:tc>
        <w:tc>
          <w:tcPr>
            <w:tcW w:w="4876" w:type="dxa"/>
            <w:tcBorders>
              <w:top w:val="nil"/>
              <w:left w:val="nil"/>
              <w:bottom w:val="nil"/>
              <w:right w:val="nil"/>
            </w:tcBorders>
          </w:tcPr>
          <w:p>
            <w:pPr>
              <w:pStyle w:val="Normal6a"/>
            </w:pPr>
            <w:r>
              <w:t>12.</w:t>
            </w:r>
            <w:r>
              <w:tab/>
            </w:r>
            <w:r>
              <w:t xml:space="preserve">chiede che i cittadini di paesi terzi siano ulteriormente sostenuti affinché si integrino nel mercato del lavoro dell'UE e sfruttino appieno il potenziale dei loro talenti, grazie a buone condizioni di lavoro </w:t>
            </w:r>
            <w:r>
              <w:rPr>
                <w:b/>
                <w:i/>
              </w:rPr>
              <w:t>e alla garanzia di garantendo parità di trattamento,</w:t>
            </w:r>
            <w:r>
              <w:t xml:space="preserve"> rafforzate da un'efficace politica di integrazione, in piena complementarità con la valorizzazione dei talenti presenti all'interno dell'UE; </w:t>
            </w:r>
            <w:r>
              <w:rPr>
                <w:b/>
                <w:i/>
              </w:rPr>
              <w:t>chiede la regolarizzazione dei migranti privi di documenti nell'UE al fine di garantire un percorso di integrazione sociale e occupazionale;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chiede che i cittadini di paesi terzi siano </w:t>
            </w:r>
            <w:r>
              <w:rPr>
                <w:b/>
                <w:i/>
              </w:rPr>
              <w:t>ulteriormente</w:t>
            </w:r>
            <w:r>
              <w:t xml:space="preserve"> sostenuti affinché si integrino nel mercato del lavoro dell'UE e sfruttino appieno il potenziale dei loro talenti, grazie a buone condizioni di lavoro rafforzate da un'efficace politica di integrazione, in piena complementarità con la valorizzazione dei talenti presenti all'interno dell'UE;</w:t>
            </w:r>
          </w:p>
        </w:tc>
        <w:tc>
          <w:tcPr>
            <w:tcW w:w="4876" w:type="dxa"/>
            <w:tcBorders>
              <w:top w:val="nil"/>
              <w:left w:val="nil"/>
              <w:bottom w:val="nil"/>
              <w:right w:val="nil"/>
            </w:tcBorders>
          </w:tcPr>
          <w:p>
            <w:pPr>
              <w:pStyle w:val="Normal6a"/>
            </w:pPr>
            <w:r>
              <w:t>12.</w:t>
            </w:r>
            <w:r>
              <w:tab/>
            </w:r>
            <w:r>
              <w:t xml:space="preserve">chiede che i cittadini di paesi terzi </w:t>
            </w:r>
            <w:r>
              <w:rPr>
                <w:b/>
                <w:i/>
              </w:rPr>
              <w:t>presenti legalmente nell'Unione europea</w:t>
            </w:r>
            <w:r>
              <w:t xml:space="preserve"> siano sostenuti affinché si integrino nel mercato del lavoro dell'UE e sfruttino appieno il potenziale dei loro talenti, grazie a buone condizioni di lavoro rafforzate da un'efficace politica di integrazione, in piena complementarità con la valorizzazione dei talenti presenti all'interno dell'UE;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chiede che i cittadini di paesi terzi siano ulteriormente sostenuti affinché si integrino nel mercato del lavoro dell'UE e sfruttino appieno il potenziale dei loro talenti, grazie a </w:t>
            </w:r>
            <w:r>
              <w:rPr>
                <w:b/>
                <w:i/>
              </w:rPr>
              <w:t>buone</w:t>
            </w:r>
            <w:r>
              <w:t xml:space="preserve"> condizioni di lavoro rafforzate da un'efficace politica di integrazione, in piena complementarità con la valorizzazione dei talenti presenti all'interno dell'UE;</w:t>
            </w:r>
          </w:p>
        </w:tc>
        <w:tc>
          <w:tcPr>
            <w:tcW w:w="4876" w:type="dxa"/>
            <w:tcBorders>
              <w:top w:val="nil"/>
              <w:left w:val="nil"/>
              <w:bottom w:val="nil"/>
              <w:right w:val="nil"/>
            </w:tcBorders>
          </w:tcPr>
          <w:p>
            <w:pPr>
              <w:pStyle w:val="Normal6a"/>
            </w:pPr>
            <w:r>
              <w:t>12.</w:t>
            </w:r>
            <w:r>
              <w:tab/>
            </w:r>
            <w:r>
              <w:t xml:space="preserve">chiede che i cittadini di paesi terzi siano ulteriormente sostenuti affinché si integrino nel mercato del lavoro dell'UE e sfruttino appieno il potenziale dei loro talenti, grazie a </w:t>
            </w:r>
            <w:r>
              <w:rPr>
                <w:b/>
                <w:i/>
              </w:rPr>
              <w:t>posti di lavoro di elevata qualità e a</w:t>
            </w:r>
            <w:r>
              <w:t xml:space="preserve"> condizioni di lavoro rafforzate da un'efficace politica di integrazione, in piena complementarità con la valorizzazione dei talenti presenti all'interno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chiede un monitoraggio rigoroso delle misure attive per il mercato del lavoro, nonché sostegno al reddito e previdenza sociale adeguati per garantire la parità di partecipazione delle persone che sono più lontane dal mercato del lavoro, in particolare le persone con disabilità e i Rom;</w:t>
            </w:r>
          </w:p>
        </w:tc>
        <w:tc>
          <w:tcPr>
            <w:tcW w:w="4876" w:type="dxa"/>
            <w:tcBorders>
              <w:top w:val="nil"/>
              <w:left w:val="nil"/>
              <w:bottom w:val="nil"/>
              <w:right w:val="nil"/>
            </w:tcBorders>
          </w:tcPr>
          <w:p>
            <w:pPr>
              <w:pStyle w:val="Normal6a"/>
            </w:pPr>
            <w:r>
              <w:t>13.</w:t>
            </w:r>
            <w:r>
              <w:tab/>
            </w:r>
            <w:r>
              <w:t xml:space="preserve">chiede un monitoraggio rigoroso delle misure attive per il mercato del lavoro, nonché sostegno al reddito e previdenza sociale adeguati per garantire la parità di partecipazione delle persone che sono più lontane dal mercato del lavoro, in particolare le </w:t>
            </w:r>
            <w:r>
              <w:rPr>
                <w:b/>
                <w:i/>
              </w:rPr>
              <w:t>donne, le</w:t>
            </w:r>
            <w:r>
              <w:t xml:space="preserve"> persone con disabilità</w:t>
            </w:r>
            <w:r>
              <w:rPr>
                <w:b/>
                <w:i/>
              </w:rPr>
              <w:t>, i lavoratori migranti, le persone della comunità LGBTQ+, i giovani che accedono al mercato del lavoro</w:t>
            </w:r>
            <w:r>
              <w:t xml:space="preserve"> e i Rom; </w:t>
            </w:r>
            <w:r>
              <w:rPr>
                <w:b/>
                <w:i/>
              </w:rPr>
              <w:t>persone che, tra le altre cose, potrebbero aver bisogno di un sostegno supplementare;</w:t>
            </w:r>
            <w:r>
              <w:t xml:space="preserve"> </w:t>
            </w:r>
            <w:r>
              <w:rPr>
                <w:b/>
                <w:i/>
              </w:rPr>
              <w:t>ricorda, in tale contesto, la richiesta del Parlamento di una direttiva sul reddito minimo1 bis per migliorare ulteriormente l'accessibilità, l'adeguatezza e l'efficacia dei regimi di reddito minimo (regimi di reddito minimo), al fine di promuovere la convergenza sociale verso l'alto;</w:t>
            </w:r>
            <w:r>
              <w:t xml:space="preserve"> </w:t>
            </w:r>
            <w:r>
              <w:rPr>
                <w:b/>
                <w:i/>
              </w:rPr>
              <w:t>rammenta che i regimi di reddito minimo dovrebbero proteggere le persone prive di risorse sufficienti dalla povertà e dall'esclusione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un monitoraggio rigoroso delle misure attive per il mercato del lavoro, nonché sostegno al reddito e previdenza sociale adeguati per garantire la parità di partecipazione delle persone </w:t>
            </w:r>
            <w:r>
              <w:rPr>
                <w:b/>
                <w:i/>
              </w:rPr>
              <w:t>che sono</w:t>
            </w:r>
            <w:r>
              <w:t xml:space="preserve"> più lontane dal mercato del lavoro</w:t>
            </w:r>
            <w:r>
              <w:rPr>
                <w:b/>
                <w:i/>
              </w:rPr>
              <w:t>, in particolare le persone con disabilità e i Rom</w:t>
            </w:r>
            <w:r>
              <w:t>;</w:t>
            </w:r>
          </w:p>
        </w:tc>
        <w:tc>
          <w:tcPr>
            <w:tcW w:w="4876" w:type="dxa"/>
            <w:tcBorders>
              <w:top w:val="nil"/>
              <w:left w:val="nil"/>
              <w:bottom w:val="nil"/>
              <w:right w:val="nil"/>
            </w:tcBorders>
          </w:tcPr>
          <w:p>
            <w:pPr>
              <w:pStyle w:val="Normal6a"/>
            </w:pPr>
            <w:r>
              <w:t>13.</w:t>
            </w:r>
            <w:r>
              <w:tab/>
            </w:r>
            <w:r>
              <w:t>chiede un monitoraggio rigoroso delle misure attive per il mercato del lavoro</w:t>
            </w:r>
            <w:r>
              <w:rPr>
                <w:b/>
                <w:i/>
              </w:rPr>
              <w:t>, tra cui la parità di accesso a posti di lavoro di qualità</w:t>
            </w:r>
            <w:r>
              <w:t xml:space="preserve">, nonché sostegno al reddito e previdenza sociale adeguati per garantire la parità di partecipazione </w:t>
            </w:r>
            <w:r>
              <w:rPr>
                <w:b/>
                <w:i/>
              </w:rPr>
              <w:t>dei gruppi vulnerabili e</w:t>
            </w:r>
            <w:r>
              <w:t xml:space="preserve"> delle persone più lontane dal mercato del lavoro</w:t>
            </w:r>
            <w:r>
              <w:rPr>
                <w:b/>
                <w:i/>
              </w:rPr>
              <w:t>;</w:t>
            </w:r>
            <w:r>
              <w:t xml:space="preserve"> </w:t>
            </w:r>
            <w:r>
              <w:rPr>
                <w:b/>
                <w:i/>
              </w:rPr>
              <w:t>sottolinea, a tale proposito, l'importanza di istituire un quadro vincolante dell'UE per regimi di reddito minimo adeguati, come richiesto dalla risoluzione del Parlamento europeo, al fine di garantire la sicurezza del reddito, ridurre la povertà e sostenere l'inclusione nel mercato del lavoro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un monitoraggio rigoroso delle misure attive per il mercato del lavoro, nonché sostegno al reddito e previdenza sociale adeguati per garantire la parità di partecipazione delle persone che sono più lontane dal mercato del lavoro, in particolare le persone con disabilità </w:t>
            </w:r>
            <w:r>
              <w:rPr>
                <w:b/>
                <w:i/>
              </w:rPr>
              <w:t>e</w:t>
            </w:r>
            <w:r>
              <w:t xml:space="preserve"> i Rom;</w:t>
            </w:r>
          </w:p>
        </w:tc>
        <w:tc>
          <w:tcPr>
            <w:tcW w:w="4876" w:type="dxa"/>
            <w:tcBorders>
              <w:top w:val="nil"/>
              <w:left w:val="nil"/>
              <w:bottom w:val="nil"/>
              <w:right w:val="nil"/>
            </w:tcBorders>
          </w:tcPr>
          <w:p>
            <w:pPr>
              <w:pStyle w:val="Normal6a"/>
            </w:pPr>
            <w:r>
              <w:t>13.</w:t>
            </w:r>
            <w:r>
              <w:tab/>
            </w:r>
            <w:r>
              <w:t xml:space="preserve">chiede un monitoraggio rigoroso delle misure attive per il mercato del lavoro, nonché sostegno al reddito </w:t>
            </w:r>
            <w:r>
              <w:rPr>
                <w:b/>
                <w:i/>
              </w:rPr>
              <w:t>minimo</w:t>
            </w:r>
            <w:r>
              <w:t xml:space="preserve"> e previdenza sociale </w:t>
            </w:r>
            <w:r>
              <w:rPr>
                <w:b/>
                <w:i/>
              </w:rPr>
              <w:t>universale</w:t>
            </w:r>
            <w:r>
              <w:t xml:space="preserve"> adeguati per garantire la parità di partecipazione delle persone che sono più lontane dal mercato del lavoro, in particolare le persone con disabilità</w:t>
            </w:r>
            <w:r>
              <w:rPr>
                <w:b/>
                <w:i/>
              </w:rPr>
              <w:t>,</w:t>
            </w:r>
            <w:r>
              <w:t xml:space="preserve"> i Rom </w:t>
            </w:r>
            <w:r>
              <w:rPr>
                <w:b/>
                <w:i/>
              </w:rPr>
              <w:t>e i disoccupati di lunga durata</w:t>
            </w:r>
            <w:r>
              <w:t xml:space="preserve">; </w:t>
            </w:r>
            <w:r>
              <w:rPr>
                <w:b/>
                <w:i/>
              </w:rPr>
              <w:t>sottolinea la necessità di una protezione sociale e di un sostegno adeguati anche per i lavoratori autonomi;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chiede un monitoraggio rigoroso delle misure attive per il mercato del lavoro, nonché</w:t>
            </w:r>
            <w:r>
              <w:t xml:space="preserve"> sostegno al reddito e previdenza sociale adeguati per garantire la parità di partecipazione delle persone </w:t>
            </w:r>
            <w:r>
              <w:rPr>
                <w:b/>
                <w:i/>
              </w:rPr>
              <w:t>che sono più lontane dal</w:t>
            </w:r>
            <w:r>
              <w:t xml:space="preserve"> mercato del lavoro</w:t>
            </w:r>
            <w:r>
              <w:rPr>
                <w:b/>
                <w:i/>
              </w:rPr>
              <w:t>, in particolare le persone con disabilità e i Rom</w:t>
            </w:r>
            <w:r>
              <w:t>;</w:t>
            </w:r>
          </w:p>
        </w:tc>
        <w:tc>
          <w:tcPr>
            <w:tcW w:w="4876" w:type="dxa"/>
            <w:tcBorders>
              <w:top w:val="nil"/>
              <w:left w:val="nil"/>
              <w:bottom w:val="nil"/>
              <w:right w:val="nil"/>
            </w:tcBorders>
          </w:tcPr>
          <w:p>
            <w:pPr>
              <w:pStyle w:val="Normal6a"/>
            </w:pPr>
            <w:r>
              <w:t>13.</w:t>
            </w:r>
            <w:r>
              <w:tab/>
            </w:r>
            <w:r>
              <w:rPr>
                <w:b/>
                <w:i/>
              </w:rPr>
              <w:t>raccomanda agli Stati membri che non dispongono ancora di un programma dedicato di istituire un</w:t>
            </w:r>
            <w:r>
              <w:t xml:space="preserve"> sostegno al reddito e </w:t>
            </w:r>
            <w:r>
              <w:rPr>
                <w:b/>
                <w:i/>
              </w:rPr>
              <w:t>una</w:t>
            </w:r>
            <w:r>
              <w:t xml:space="preserve"> previdenza sociale adeguati per garantire la parità di partecipazione delle persone </w:t>
            </w:r>
            <w:r>
              <w:rPr>
                <w:b/>
                <w:i/>
              </w:rPr>
              <w:t>disabili al</w:t>
            </w:r>
            <w:r>
              <w:t xml:space="preserve"> mercato del lavoro;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chiede un monitoraggio rigoroso delle misure attive per il mercato del lavoro, nonché sostegno al reddito e previdenza sociale adeguati per garantire la parità di partecipazione delle persone che sono più lontane dal mercato del lavoro, </w:t>
            </w:r>
            <w:r>
              <w:rPr>
                <w:b/>
                <w:i/>
              </w:rPr>
              <w:t>in particolare</w:t>
            </w:r>
            <w:r>
              <w:t xml:space="preserve"> le persone con disabilità e </w:t>
            </w:r>
            <w:r>
              <w:rPr>
                <w:b/>
                <w:i/>
              </w:rPr>
              <w:t>i Rom</w:t>
            </w:r>
            <w:r>
              <w:t>;</w:t>
            </w:r>
          </w:p>
        </w:tc>
        <w:tc>
          <w:tcPr>
            <w:tcW w:w="4876" w:type="dxa"/>
            <w:tcBorders>
              <w:top w:val="nil"/>
              <w:left w:val="nil"/>
              <w:bottom w:val="nil"/>
              <w:right w:val="nil"/>
            </w:tcBorders>
          </w:tcPr>
          <w:p>
            <w:pPr>
              <w:pStyle w:val="Normal6a"/>
            </w:pPr>
            <w:r>
              <w:t>13.</w:t>
            </w:r>
            <w:r>
              <w:tab/>
            </w:r>
            <w:r>
              <w:t xml:space="preserve">chiede un monitoraggio rigoroso delle misure attive per il mercato del lavoro, nonché sostegno al reddito e previdenza sociale adeguati per garantire la parità di partecipazione delle persone che sono più lontane dal mercato del lavoro, </w:t>
            </w:r>
            <w:r>
              <w:rPr>
                <w:b/>
                <w:i/>
              </w:rPr>
              <w:t>incluse</w:t>
            </w:r>
            <w:r>
              <w:t xml:space="preserve"> le persone con disabilità e </w:t>
            </w:r>
            <w:r>
              <w:rPr>
                <w:b/>
                <w:i/>
              </w:rPr>
              <w:t>le minoranze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ritiene che l'economia sociale sia un motore essenziale per l'attuazione del pilastro europeo dei diritti sociali e dei suoi obiettivi, dando spesso lavoro a gruppi vulnerabili ed esclusi; invita la Commissione e gli Stati membri a rafforzare il loro sostegno a tutte le imprese dell'economia sociale</w:t>
            </w:r>
            <w:r>
              <w:rPr>
                <w:b/>
                <w:i/>
              </w:rPr>
              <w:t>, soprattutto a quelle senza scopo di lucro,</w:t>
            </w:r>
            <w:r>
              <w:t xml:space="preserve"> al fine di promuovere il lavoro di qualità, dignitoso e inclusivo;</w:t>
            </w:r>
          </w:p>
        </w:tc>
        <w:tc>
          <w:tcPr>
            <w:tcW w:w="4876" w:type="dxa"/>
            <w:tcBorders>
              <w:top w:val="nil"/>
              <w:left w:val="nil"/>
              <w:bottom w:val="nil"/>
              <w:right w:val="nil"/>
            </w:tcBorders>
          </w:tcPr>
          <w:p>
            <w:pPr>
              <w:pStyle w:val="Normal6a"/>
            </w:pPr>
            <w:r>
              <w:t>14.</w:t>
            </w:r>
            <w:r>
              <w:tab/>
            </w:r>
            <w:r>
              <w:t>ritiene che l'economia sociale sia un motore essenziale per l'attuazione del pilastro europeo dei diritti sociali e dei suoi obiettivi, dando spesso lavoro a gruppi vulnerabili ed esclusi; invita la Commissione e gli Stati membri a rafforzare il loro sostegno a tutte le imprese dell'economia sociale al fine di promuovere il lavoro di qualità, dignitoso e inclusivo;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ritiene che l'economia sociale </w:t>
            </w:r>
            <w:r>
              <w:rPr>
                <w:b/>
                <w:i/>
              </w:rPr>
              <w:t>sia un motore essenziale per l'attuazione del pilastro europeo</w:t>
            </w:r>
            <w:r>
              <w:t xml:space="preserve"> dei diritti sociali </w:t>
            </w:r>
            <w:r>
              <w:rPr>
                <w:b/>
                <w:i/>
              </w:rPr>
              <w:t>e dei suoi obiettivi, dando spesso</w:t>
            </w:r>
            <w:r>
              <w:t xml:space="preserve"> lavoro </w:t>
            </w:r>
            <w:r>
              <w:rPr>
                <w:b/>
                <w:i/>
              </w:rPr>
              <w:t>a gruppi vulnerabili ed esclusi;</w:t>
            </w:r>
            <w:r>
              <w:t xml:space="preserve"> </w:t>
            </w:r>
            <w:r>
              <w:rPr>
                <w:b/>
                <w:i/>
              </w:rPr>
              <w:t>invita la Commissione e gli</w:t>
            </w:r>
            <w:r>
              <w:t xml:space="preserve"> Stati membri </w:t>
            </w:r>
            <w:r>
              <w:rPr>
                <w:b/>
                <w:i/>
              </w:rPr>
              <w:t>a rafforzare</w:t>
            </w:r>
            <w:r>
              <w:t xml:space="preserve"> il loro sostegno </w:t>
            </w:r>
            <w:r>
              <w:rPr>
                <w:b/>
                <w:i/>
              </w:rPr>
              <w:t>a tutte le</w:t>
            </w:r>
            <w:r>
              <w:t xml:space="preserve"> imprese dell'economia sociale</w:t>
            </w:r>
            <w:r>
              <w:rPr>
                <w:b/>
                <w:i/>
              </w:rPr>
              <w:t>, soprattutto a quelle senza scopo di lucro</w:t>
            </w:r>
            <w:r>
              <w:t xml:space="preserve">, al fine di </w:t>
            </w:r>
            <w:r>
              <w:rPr>
                <w:b/>
                <w:i/>
              </w:rPr>
              <w:t>promuovere il</w:t>
            </w:r>
            <w:r>
              <w:t xml:space="preserve"> lavoro </w:t>
            </w:r>
            <w:r>
              <w:rPr>
                <w:b/>
                <w:i/>
              </w:rPr>
              <w:t>di qualità,</w:t>
            </w:r>
            <w:r>
              <w:t xml:space="preserve"> dignitoso e </w:t>
            </w:r>
            <w:r>
              <w:rPr>
                <w:b/>
                <w:i/>
              </w:rPr>
              <w:t>inclusivo</w:t>
            </w:r>
            <w:r>
              <w:t>;</w:t>
            </w:r>
          </w:p>
        </w:tc>
        <w:tc>
          <w:tcPr>
            <w:tcW w:w="4876" w:type="dxa"/>
            <w:tcBorders>
              <w:top w:val="nil"/>
              <w:left w:val="nil"/>
              <w:bottom w:val="nil"/>
              <w:right w:val="nil"/>
            </w:tcBorders>
          </w:tcPr>
          <w:p>
            <w:pPr>
              <w:pStyle w:val="Normal6a"/>
            </w:pPr>
            <w:r>
              <w:t>14.</w:t>
            </w:r>
            <w:r>
              <w:tab/>
            </w:r>
            <w:r>
              <w:t xml:space="preserve">ritiene che l'economia sociale </w:t>
            </w:r>
            <w:r>
              <w:rPr>
                <w:b/>
                <w:i/>
              </w:rPr>
              <w:t>e solidale contribuisca al rispetto</w:t>
            </w:r>
            <w:r>
              <w:t xml:space="preserve"> dei diritti sociali </w:t>
            </w:r>
            <w:r>
              <w:rPr>
                <w:b/>
                <w:i/>
              </w:rPr>
              <w:t>dei lavoratori per alcune strutture di accoglienza, in particolare quelle che danno</w:t>
            </w:r>
            <w:r>
              <w:t xml:space="preserve"> lavoro </w:t>
            </w:r>
            <w:r>
              <w:rPr>
                <w:b/>
                <w:i/>
              </w:rPr>
              <w:t>alle persone disabili;</w:t>
            </w:r>
            <w:r>
              <w:t xml:space="preserve"> </w:t>
            </w:r>
            <w:r>
              <w:rPr>
                <w:b/>
                <w:i/>
              </w:rPr>
              <w:t>raccomanda agli</w:t>
            </w:r>
            <w:r>
              <w:t xml:space="preserve"> Stati membri </w:t>
            </w:r>
            <w:r>
              <w:rPr>
                <w:b/>
                <w:i/>
              </w:rPr>
              <w:t>di dare</w:t>
            </w:r>
            <w:r>
              <w:t xml:space="preserve"> il loro sostegno </w:t>
            </w:r>
            <w:r>
              <w:rPr>
                <w:b/>
                <w:i/>
              </w:rPr>
              <w:t>alle</w:t>
            </w:r>
            <w:r>
              <w:t xml:space="preserve"> imprese dell'economia sociale </w:t>
            </w:r>
            <w:r>
              <w:rPr>
                <w:b/>
                <w:i/>
              </w:rPr>
              <w:t>e solidale, che contribuiscono all'inserimento delle persone disabili</w:t>
            </w:r>
            <w:r>
              <w:t xml:space="preserve">, al fine di </w:t>
            </w:r>
            <w:r>
              <w:rPr>
                <w:b/>
                <w:i/>
              </w:rPr>
              <w:t>garantire loro un</w:t>
            </w:r>
            <w:r>
              <w:t xml:space="preserve"> lavoro dignitoso e </w:t>
            </w:r>
            <w:r>
              <w:rPr>
                <w:b/>
                <w:i/>
              </w:rPr>
              <w:t>di qualità</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rileva che per realizzare il pieno potenziale del settore dell'economia sociale per far fronte alle sfide socioeconomiche, occorre che le autorità pubbliche individuino chiaramente le priorità sociali;</w:t>
            </w:r>
            <w:r>
              <w:t xml:space="preserve"> </w:t>
            </w:r>
            <w:r>
              <w:rPr>
                <w:b/>
                <w:i/>
              </w:rPr>
              <w:t>e i fornitori di servizi sociali in prima linea;</w:t>
            </w:r>
            <w:r>
              <w:t xml:space="preserve"> </w:t>
            </w:r>
            <w:r>
              <w:rPr>
                <w:b/>
                <w:i/>
              </w:rPr>
              <w:t>evidenzia che i progetti dell'economia sociale richiedono di norma uno stretto partenariato con gli enti pubblici e invita pertanto la Commissione e gli Stati membri a definire, nell'ambito del quadro di governance macroeconomica previsto a livello di UE, una (nuova) strategia di investimento sociale che non interferisca con gli strumenti di finanziamento esistenti e in cui siano chiaramente individuate le priorità sociali, in linea con il pilastro europeo dei diritti sociali, e che possa fungere da quadro per la cooperazione tra le autorità pubbliche e le organizzazioni dell'economia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il conseguimento degli obiettivi per il 2030 richiede anche l'applicazione di principi di buona governance basati sullo Stato di diritto, istituzioni responsabili, una regolamentazione efficace e certezza del diritto;</w:t>
            </w:r>
          </w:p>
        </w:tc>
        <w:tc>
          <w:tcPr>
            <w:tcW w:w="4876" w:type="dxa"/>
            <w:tcBorders>
              <w:top w:val="nil"/>
              <w:left w:val="nil"/>
              <w:bottom w:val="nil"/>
              <w:right w:val="nil"/>
            </w:tcBorders>
          </w:tcPr>
          <w:p>
            <w:pPr>
              <w:pStyle w:val="Normal6a"/>
            </w:pPr>
            <w:r>
              <w:t>15.</w:t>
            </w:r>
            <w:r>
              <w:tab/>
            </w:r>
            <w:r>
              <w:t xml:space="preserve">sottolinea che il conseguimento degli obiettivi per il 2030 richiede anche l'applicazione di principi di buona governance basati sullo Stato di diritto, istituzioni responsabili, una regolamentazione efficace e certezza del diritto; </w:t>
            </w:r>
            <w:r>
              <w:rPr>
                <w:b/>
                <w:i/>
              </w:rPr>
              <w:t>esprime preoccupazione per il fatto che l'agenda della Commissione in materia di deregolamentazione potrebbe portare a una revoca delle norme sociali e ambientali esistenti, ostacolando in tal modo i progressi dell'Unione verso il conseguimento degli obiettivi per il 2030;</w:t>
            </w:r>
            <w:r>
              <w:t xml:space="preserve"> </w:t>
            </w:r>
            <w:r>
              <w:rPr>
                <w:b/>
                <w:i/>
              </w:rPr>
              <w:t>invita la Commissione e gli Stati membri a onorare il loro impegno a favore degli obiettivi comuni dell'Unione, in particolare con l'articolo 3 del trattato sull'Unione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sottolinea che il conseguimento degli obiettivi per il 2030 richiede anche l'applicazione di principi di buona governance basati sullo Stato di diritto, istituzioni responsabili, </w:t>
            </w:r>
            <w:r>
              <w:rPr>
                <w:b/>
                <w:i/>
              </w:rPr>
              <w:t>una regolamentazione efficace</w:t>
            </w:r>
            <w:r>
              <w:t xml:space="preserve"> e certezza del diritto;</w:t>
            </w:r>
          </w:p>
        </w:tc>
        <w:tc>
          <w:tcPr>
            <w:tcW w:w="4876" w:type="dxa"/>
            <w:tcBorders>
              <w:top w:val="nil"/>
              <w:left w:val="nil"/>
              <w:bottom w:val="nil"/>
              <w:right w:val="nil"/>
            </w:tcBorders>
          </w:tcPr>
          <w:p>
            <w:pPr>
              <w:pStyle w:val="Normal6a"/>
            </w:pPr>
            <w:r>
              <w:t>15.</w:t>
            </w:r>
            <w:r>
              <w:tab/>
            </w:r>
            <w:r>
              <w:t xml:space="preserve">sottolinea che il conseguimento degli obiettivi per il 2030 richiede anche l'applicazione di principi di buona governance basati sullo Stato di diritto, istituzioni responsabili, </w:t>
            </w:r>
            <w:r>
              <w:rPr>
                <w:b/>
                <w:i/>
              </w:rPr>
              <w:t>un'attuazione, un monitoraggio e un'applicazione efficaci</w:t>
            </w:r>
            <w:r>
              <w:t xml:space="preserve"> e certezza del diritto; </w:t>
            </w:r>
            <w:r>
              <w:rPr>
                <w:b/>
                <w:i/>
              </w:rPr>
              <w:t>chiede, a tale proposito, che la dichiarazione politica risultante dal secondo vertice mondiale includa impegni significativi per far progredire gli OSS e affrontare le persistenti lacune nello sviluppo sociale, nonché solidi meccanismi di monitoraggio e revisione;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sottolinea che il conseguimento degli obiettivi per il 2030 richiede anche l'applicazione di principi di buona governance basati sullo Stato di diritto, istituzioni responsabili</w:t>
            </w:r>
            <w:r>
              <w:rPr>
                <w:b/>
                <w:i/>
              </w:rPr>
              <w:t>,</w:t>
            </w:r>
            <w:r>
              <w:t xml:space="preserve"> una regolamentazione efficace </w:t>
            </w:r>
            <w:r>
              <w:rPr>
                <w:b/>
                <w:i/>
              </w:rPr>
              <w:t>e certezza del diritto</w:t>
            </w:r>
            <w:r>
              <w:t>;</w:t>
            </w:r>
          </w:p>
        </w:tc>
        <w:tc>
          <w:tcPr>
            <w:tcW w:w="4876" w:type="dxa"/>
            <w:tcBorders>
              <w:top w:val="nil"/>
              <w:left w:val="nil"/>
              <w:bottom w:val="nil"/>
              <w:right w:val="nil"/>
            </w:tcBorders>
          </w:tcPr>
          <w:p>
            <w:pPr>
              <w:pStyle w:val="Normal6a"/>
            </w:pPr>
            <w:r>
              <w:t>15.</w:t>
            </w:r>
            <w:r>
              <w:tab/>
            </w:r>
            <w:r>
              <w:t xml:space="preserve">sottolinea che il conseguimento degli obiettivi per il 2030 richiede anche l'applicazione di principi di buona governance basati sullo Stato di diritto, istituzioni responsabili </w:t>
            </w:r>
            <w:r>
              <w:rPr>
                <w:b/>
                <w:i/>
              </w:rPr>
              <w:t>e</w:t>
            </w:r>
            <w:r>
              <w:t xml:space="preserve"> una regolamentazione efficace</w:t>
            </w:r>
            <w:r>
              <w:rPr>
                <w:b/>
                <w:i/>
              </w:rPr>
              <w:t>, evitando nel contempo l'incertezza giuridica, anche per i paesi candidati all'adesione all'Unione europea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sottolinea altresì che tali principi sono fondati sulla sovranità degli Stati membri, includono la lotta contro le ingerenze straniere e sono subordinati alla libertà d'azione degli Stati al fine di garantire i diritti dei loro popoli;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sottolinea che la leadership nel settore dei diritti umani a livello internazionale si consegue dando l'esempio, che consiste anche nella volontà di ratificare gli strumenti internazionali in materia di diritti umani nonché di attuarli pienamente ed efficacemente;</w:t>
            </w:r>
            <w:r>
              <w:t xml:space="preserve"> </w:t>
            </w:r>
            <w:r>
              <w:rPr>
                <w:b/>
                <w:i/>
              </w:rPr>
              <w:t>osserva che l'impegno globale a favore dei diritti umani deve essere rafforzato anche attraverso l'uso di opportunità diplomatiche ed economiche per consolidare l'interesse nei confronti degli strumenti in materia di diritti umani e per consentire ad altri soggetti, come le organizzazioni non governative e i sindacati, di operare liberamente per la promozione delle norme in materia di diritti umani in tutto il mondo;</w:t>
            </w:r>
            <w:r>
              <w:t xml:space="preserve"> </w:t>
            </w:r>
            <w:r>
              <w:rPr>
                <w:b/>
                <w:i/>
              </w:rPr>
              <w:t>ricorda che i diritti umani e i diritti sociali possono essere promossi in modo credibile solo dai paesi che a loro volta rispettano i propri obblighi;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sottolinea che la leadership nel settore dei diritti umani a livello internazionale si consegue dando l'esempio, che consiste anche nella volontà di ratificare gli strumenti internazionali in materia di diritti umani nonché di attuarli pienamente ed efficacemente; osserva che l'impegno globale a favore dei diritti umani deve essere rafforzato anche attraverso l'uso di opportunità diplomatiche ed economiche per consolidare l'interesse nei confronti degli strumenti in materia di diritti umani e per consentire ad altri soggetti, come le organizzazioni non governative e i sindacati, di operare liberamente per la promozione delle norme in materia di diritti umani in tutto il mondo; ricorda che i diritti umani e i diritti sociali possono essere promossi in modo credibile solo dai paesi che a loro volta rispettano i propri obblighi;</w:t>
            </w:r>
          </w:p>
        </w:tc>
        <w:tc>
          <w:tcPr>
            <w:tcW w:w="4876" w:type="dxa"/>
            <w:tcBorders>
              <w:top w:val="nil"/>
              <w:left w:val="nil"/>
              <w:bottom w:val="nil"/>
              <w:right w:val="nil"/>
            </w:tcBorders>
          </w:tcPr>
          <w:p>
            <w:pPr>
              <w:pStyle w:val="Normal6a"/>
            </w:pPr>
            <w:r>
              <w:t>16.</w:t>
            </w:r>
            <w:r>
              <w:tab/>
            </w:r>
            <w:r>
              <w:t xml:space="preserve">sottolinea che la leadership nel settore dei diritti umani a livello internazionale si consegue dando l'esempio, </w:t>
            </w:r>
            <w:r>
              <w:rPr>
                <w:b/>
                <w:i/>
              </w:rPr>
              <w:t>in particolare le istituzioni dell'UE, il</w:t>
            </w:r>
            <w:r>
              <w:t xml:space="preserve"> che consiste anche nella volontà di ratificare gli strumenti internazionali in materia di diritti umani nonché di attuarli pienamente ed efficacemente; osserva che l'impegno globale a favore dei diritti umani deve essere rafforzato anche attraverso l'uso di opportunità diplomatiche ed economiche per consolidare l'interesse nei confronti degli strumenti in materia di diritti umani e per consentire ad altri soggetti, come le organizzazioni non governative e i sindacati, </w:t>
            </w:r>
            <w:r>
              <w:rPr>
                <w:b/>
                <w:i/>
              </w:rPr>
              <w:t>sostenuti dal bilancio dell'UE,</w:t>
            </w:r>
            <w:r>
              <w:t xml:space="preserve"> di operare liberamente </w:t>
            </w:r>
            <w:r>
              <w:rPr>
                <w:b/>
                <w:i/>
              </w:rPr>
              <w:t>e in conformità dei trattati</w:t>
            </w:r>
            <w:r>
              <w:t xml:space="preserve"> per la promozione delle norme in materia di diritti umani in tutto il mondo </w:t>
            </w:r>
            <w:r>
              <w:rPr>
                <w:b/>
                <w:i/>
              </w:rPr>
              <w:t>senza mettere gravemente a repentaglio gli interessi economici dell'Unione nella concorrenza globale</w:t>
            </w:r>
            <w:r>
              <w:t>; ricorda che i diritti umani e i diritti sociali possono essere promossi in modo credibile solo dai paesi che a loro volta rispettano i propri obblighi;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sottolinea che la leadership nel settore dei diritti umani a livello internazionale si consegue dando l'esempio, che consiste anche nella volontà di ratificare gli strumenti internazionali in materia di diritti umani nonché di attuarli pienamente ed efficacemente; osserva che l'impegno globale a favore dei diritti umani deve essere rafforzato anche attraverso l'uso di opportunità diplomatiche ed economiche per consolidare l'interesse nei confronti degli strumenti in materia di diritti umani </w:t>
            </w:r>
            <w:r>
              <w:rPr>
                <w:b/>
                <w:i/>
              </w:rPr>
              <w:t>e per consentire ad altri soggetti, come le organizzazioni non governative e i sindacati, di operare liberamente per la promozione delle norme in materia di diritti umani in tutto il mondo</w:t>
            </w:r>
            <w:r>
              <w:t>; ricorda che i diritti umani e i diritti sociali possono essere promossi in modo credibile solo dai paesi che a loro volta rispettano i propri obblighi;</w:t>
            </w:r>
          </w:p>
        </w:tc>
        <w:tc>
          <w:tcPr>
            <w:tcW w:w="4876" w:type="dxa"/>
            <w:tcBorders>
              <w:top w:val="nil"/>
              <w:left w:val="nil"/>
              <w:bottom w:val="nil"/>
              <w:right w:val="nil"/>
            </w:tcBorders>
          </w:tcPr>
          <w:p>
            <w:pPr>
              <w:pStyle w:val="Normal6a"/>
            </w:pPr>
            <w:r>
              <w:t>16.</w:t>
            </w:r>
            <w:r>
              <w:tab/>
            </w:r>
            <w:r>
              <w:t>sottolinea che la leadership nel settore dei diritti umani a livello internazionale si consegue dando l'esempio, che consiste anche nella volontà di ratificare gli strumenti internazionali in materia di diritti umani nonché di attuarli pienamente ed efficacemente; osserva che l'impegno globale a favore dei diritti umani deve essere rafforzato anche attraverso l'uso di opportunità diplomatiche ed economiche per consolidare l'interesse nei confronti degli strumenti in materia di diritti umani; ricorda che i diritti umani e i diritti sociali possono essere promossi in modo credibile solo dai paesi che a loro volta rispettano i propri obblighi;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sottolinea che la leadership nel settore dei diritti umani a livello internazionale si consegue dando l'esempio, che consiste anche nella volontà di ratificare gli strumenti internazionali in materia di diritti umani nonché di attuarli pienamente ed efficacemente; osserva che l'impegno globale a favore dei diritti umani deve essere rafforzato anche attraverso l'uso di opportunità diplomatiche ed economiche per consolidare l'interesse nei confronti degli strumenti in materia di diritti umani e per consentire ad altri soggetti, come le organizzazioni non governative e i sindacati, di operare liberamente per la promozione delle norme in materia di diritti umani in tutto il mondo; ricorda che i diritti umani e i diritti sociali possono essere promossi in modo credibile solo dai paesi che a loro volta rispettano i propri obblighi;</w:t>
            </w:r>
          </w:p>
        </w:tc>
        <w:tc>
          <w:tcPr>
            <w:tcW w:w="4876" w:type="dxa"/>
            <w:tcBorders>
              <w:top w:val="nil"/>
              <w:left w:val="nil"/>
              <w:bottom w:val="nil"/>
              <w:right w:val="nil"/>
            </w:tcBorders>
          </w:tcPr>
          <w:p>
            <w:pPr>
              <w:pStyle w:val="Normal6a"/>
            </w:pPr>
            <w:r>
              <w:t>16.</w:t>
            </w:r>
            <w:r>
              <w:tab/>
            </w:r>
            <w:r>
              <w:rPr>
                <w:b/>
                <w:i/>
              </w:rPr>
              <w:t>ricorda che la pace e la cooperazione globale sono le condizioni fondamentali per conseguire uno sviluppo sostenibile in Europa e nel mondo;</w:t>
            </w:r>
            <w:r>
              <w:t xml:space="preserve"> sottolinea che la leadership nel settore dei diritti umani a livello internazionale si consegue dando l'esempio, che consiste anche nella volontà di ratificare gli strumenti internazionali in materia di diritti umani nonché di attuarli pienamente ed efficacemente; osserva che l'impegno globale a favore dei diritti umani deve essere rafforzato anche attraverso l'uso di opportunità diplomatiche ed economiche per consolidare l'interesse nei confronti degli strumenti in materia di diritti umani e per consentire ad altri soggetti, come le organizzazioni non governative e i sindacati, di operare liberamente per la promozione delle norme in materia di diritti umani in tutto il mondo; ricorda che i diritti umani e i diritti sociali possono essere promossi in modo credibile solo dai paesi che a loro volta rispettano i propri obblighi;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sottolinea che </w:t>
            </w:r>
            <w:r>
              <w:rPr>
                <w:b/>
                <w:i/>
              </w:rPr>
              <w:t>la leadership</w:t>
            </w:r>
            <w:r>
              <w:t xml:space="preserve"> nel settore dei diritti umani </w:t>
            </w:r>
            <w:r>
              <w:rPr>
                <w:b/>
                <w:i/>
              </w:rPr>
              <w:t>a livello internazionale si consegue dando l'esempio, che consiste anche nella volontà di ratificare</w:t>
            </w:r>
            <w:r>
              <w:t xml:space="preserve"> gli strumenti internazionali in materia di diritti umani </w:t>
            </w:r>
            <w:r>
              <w:rPr>
                <w:b/>
                <w:i/>
              </w:rPr>
              <w:t>nonché di attuarli pienamente ed efficacemente</w:t>
            </w:r>
            <w:r>
              <w:t xml:space="preserve">; osserva che l'impegno globale a favore dei diritti umani deve essere rafforzato anche attraverso l'uso di opportunità diplomatiche ed economiche </w:t>
            </w:r>
            <w:r>
              <w:rPr>
                <w:b/>
                <w:i/>
              </w:rPr>
              <w:t>per consolidare l'interesse nei confronti degli strumenti in materia di diritti umani</w:t>
            </w:r>
            <w:r>
              <w:t xml:space="preserve"> e per consentire ad altri soggetti, come le organizzazioni non governative e i sindacati, di operare liberamente per la promozione delle norme in materia di diritti umani in tutto il mondo; ricorda che i diritti umani e i diritti sociali possono essere promossi in modo credibile solo dai paesi che a loro volta rispettano i propri obblighi;</w:t>
            </w:r>
          </w:p>
        </w:tc>
        <w:tc>
          <w:tcPr>
            <w:tcW w:w="4876" w:type="dxa"/>
            <w:tcBorders>
              <w:top w:val="nil"/>
              <w:left w:val="nil"/>
              <w:bottom w:val="nil"/>
              <w:right w:val="nil"/>
            </w:tcBorders>
          </w:tcPr>
          <w:p>
            <w:pPr>
              <w:pStyle w:val="Normal6a"/>
            </w:pPr>
            <w:r>
              <w:t>16.</w:t>
            </w:r>
            <w:r>
              <w:tab/>
            </w:r>
            <w:r>
              <w:t xml:space="preserve">sottolinea che </w:t>
            </w:r>
            <w:r>
              <w:rPr>
                <w:b/>
                <w:i/>
              </w:rPr>
              <w:t>l'UE deve svolgere un ruolo guida</w:t>
            </w:r>
            <w:r>
              <w:t xml:space="preserve"> nel settore dei diritti umani </w:t>
            </w:r>
            <w:r>
              <w:rPr>
                <w:b/>
                <w:i/>
              </w:rPr>
              <w:t>internazionali attuando pienamente ed efficacemente</w:t>
            </w:r>
            <w:r>
              <w:t xml:space="preserve"> gli strumenti internazionali in materia di diritti umani; osserva che l'impegno globale a favore </w:t>
            </w:r>
            <w:r>
              <w:rPr>
                <w:b/>
                <w:i/>
              </w:rPr>
              <w:t>degli strumenti</w:t>
            </w:r>
            <w:r>
              <w:t xml:space="preserve"> dei diritti umani deve essere rafforzato anche attraverso l'uso di opportunità diplomatiche ed economiche e per consentire ad altri soggetti, come le organizzazioni non governative e i sindacati, di operare liberamente per la promozione delle norme in materia di diritti umani </w:t>
            </w:r>
            <w:r>
              <w:rPr>
                <w:b/>
                <w:i/>
              </w:rPr>
              <w:t>e sociale</w:t>
            </w:r>
            <w:r>
              <w:t xml:space="preserve"> in tutto il mondo; ricorda che i diritti umani e i diritti sociali possono essere promossi in modo credibile solo dai paesi che a loro volta rispettano i propri obblighi;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sottolinea che le iniziative volte a stimolare la crescita economica non possono andare a scapito della giustizia sociale, dei diritti dei lavoratori o della protezione dell'ambiente;</w:t>
            </w:r>
            <w:r>
              <w:t xml:space="preserve"> </w:t>
            </w:r>
            <w:r>
              <w:rPr>
                <w:b/>
                <w:i/>
              </w:rPr>
              <w:t>invita l'UE a impegnarsi in modo costruttivo a favore dell'adozione del trattato delle Nazioni Unite su imprese e diritti umani per regolamentare le attività delle società transnazionali e di altre imprese commerciali e consentire alle vittime di presentare ricorso;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sottolinea la necessità di procedere periodicamente a un processo di revisione approfondito per valutare i progressi compiuti, individuare le lacune e rinnovare gli impegni;</w:t>
            </w:r>
            <w:r>
              <w:t xml:space="preserve"> </w:t>
            </w:r>
            <w:r>
              <w:rPr>
                <w:b/>
                <w:i/>
              </w:rPr>
              <w:t>invita l'Organizzazione internazionale del lavoro (OIL) a fungere da principale organo di monitoraggio degli impegni in materia di sviluppo sociale e a rafforzare il suo ruolo nel processo di revisione;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a nome della commissione per l'occupazione e gli affari sociali</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invita le Nazioni Unite a garantire il pieno rispetto dei diritti sociali e del lavoro nei paesi che ospitano i vertici sociali; </w:t>
            </w:r>
            <w:r>
              <w:rPr>
                <w:b/>
                <w:i/>
              </w:rPr>
              <w:t>chiede pertanto un'azione più decisa affinché sia fatto tutto il possibile per conseguire gli obiettivi principali dell'UE e gli OSS in tutta l'UE entro il 2030 e sia fatto di più per garantire che gli OSS siano raggiunti in tutto il mondo;</w:t>
            </w:r>
          </w:p>
        </w:tc>
        <w:tc>
          <w:tcPr>
            <w:tcW w:w="4876" w:type="dxa"/>
            <w:tcBorders>
              <w:top w:val="nil"/>
              <w:left w:val="nil"/>
              <w:bottom w:val="nil"/>
              <w:right w:val="nil"/>
            </w:tcBorders>
          </w:tcPr>
          <w:p>
            <w:pPr>
              <w:pStyle w:val="Normal6a"/>
            </w:pPr>
            <w:r>
              <w:t>17.</w:t>
            </w:r>
            <w:r>
              <w:tab/>
            </w:r>
            <w:r>
              <w:t>invita le Nazioni Unite a garantire il pieno rispetto dei diritti sociali e del lavoro nei paesi che ospitano i vertici sociali;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invita le Nazioni Unite </w:t>
            </w:r>
            <w:r>
              <w:rPr>
                <w:b/>
                <w:i/>
              </w:rPr>
              <w:t>a garantire il pieno rispetto dei</w:t>
            </w:r>
            <w:r>
              <w:t xml:space="preserve"> diritti sociali e del lavoro </w:t>
            </w:r>
            <w:r>
              <w:rPr>
                <w:b/>
                <w:i/>
              </w:rPr>
              <w:t>nei paesi che ospitano i vertici sociali</w:t>
            </w:r>
            <w:r>
              <w:t xml:space="preserve">; chiede pertanto </w:t>
            </w:r>
            <w:r>
              <w:rPr>
                <w:b/>
                <w:i/>
              </w:rPr>
              <w:t>un'azione più decisa affinché sia fatto tutto il possibile per conseguire gli</w:t>
            </w:r>
            <w:r>
              <w:t xml:space="preserve"> obiettivi </w:t>
            </w:r>
            <w:r>
              <w:rPr>
                <w:b/>
                <w:i/>
              </w:rPr>
              <w:t>principali dell'UE e gli OSS in tutta l'UE</w:t>
            </w:r>
            <w:r>
              <w:t xml:space="preserve"> entro il 2030 </w:t>
            </w:r>
            <w:r>
              <w:rPr>
                <w:b/>
                <w:i/>
              </w:rPr>
              <w:t>e sia fatto di più per garantire che gli OSS siano raggiunti in tutto il</w:t>
            </w:r>
            <w:r>
              <w:t xml:space="preserve"> mondo;</w:t>
            </w:r>
          </w:p>
        </w:tc>
        <w:tc>
          <w:tcPr>
            <w:tcW w:w="4876" w:type="dxa"/>
            <w:tcBorders>
              <w:top w:val="nil"/>
              <w:left w:val="nil"/>
              <w:bottom w:val="nil"/>
              <w:right w:val="nil"/>
            </w:tcBorders>
          </w:tcPr>
          <w:p>
            <w:pPr>
              <w:pStyle w:val="Normal6a"/>
            </w:pPr>
            <w:r>
              <w:t>17.</w:t>
            </w:r>
            <w:r>
              <w:tab/>
            </w:r>
            <w:r>
              <w:t xml:space="preserve">invita le Nazioni Unite </w:t>
            </w:r>
            <w:r>
              <w:rPr>
                <w:b/>
                <w:i/>
              </w:rPr>
              <w:t>e tutti i paesi partecipanti a rispettare pienamente i</w:t>
            </w:r>
            <w:r>
              <w:t xml:space="preserve"> diritti sociali e del lavoro</w:t>
            </w:r>
            <w:r>
              <w:rPr>
                <w:b/>
                <w:i/>
              </w:rPr>
              <w:t>, anche ratificando le convenzioni fondamentali dell'OIL, rispettando la parità tra uomini e donne e impegnandosi a rispettare i valori della dichiarazione sociale</w:t>
            </w:r>
            <w:r>
              <w:t>; chiede</w:t>
            </w:r>
            <w:r>
              <w:rPr>
                <w:b/>
                <w:i/>
              </w:rPr>
              <w:t>,</w:t>
            </w:r>
            <w:r>
              <w:t xml:space="preserve"> pertanto</w:t>
            </w:r>
            <w:r>
              <w:rPr>
                <w:b/>
                <w:i/>
              </w:rPr>
              <w:t>, un maggiore allineamento globale ai principi del pilastro europeo dei diritti sociali e della dichiarazione di La Hulpe;</w:t>
            </w:r>
            <w:r>
              <w:t xml:space="preserve"> </w:t>
            </w:r>
            <w:r>
              <w:rPr>
                <w:b/>
                <w:i/>
              </w:rPr>
              <w:t>sottolinea la necessità di un rinnovato impegno per il conseguimento degli</w:t>
            </w:r>
            <w:r>
              <w:t xml:space="preserve"> obiettivi </w:t>
            </w:r>
            <w:r>
              <w:rPr>
                <w:b/>
                <w:i/>
              </w:rPr>
              <w:t>sociali dell'UE e degli obiettivi di sviluppo sostenibile</w:t>
            </w:r>
            <w:r>
              <w:t xml:space="preserve"> entro il 2030</w:t>
            </w:r>
            <w:r>
              <w:rPr>
                <w:b/>
                <w:i/>
              </w:rPr>
              <w:t>, in Europa e nel</w:t>
            </w:r>
            <w:r>
              <w:t xml:space="preserve">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invita le Nazioni Unite a garantire il pieno rispetto dei diritti sociali e del lavoro nei paesi che ospitano i vertici sociali; chiede pertanto un'azione più decisa affinché sia fatto tutto il possibile per conseguire gli obiettivi principali dell'UE e gli OSS in tutta l'UE entro il 2030 e sia fatto di più per garantire che gli OSS siano raggiunti in tutto il mondo;</w:t>
            </w:r>
          </w:p>
        </w:tc>
        <w:tc>
          <w:tcPr>
            <w:tcW w:w="4876" w:type="dxa"/>
            <w:tcBorders>
              <w:top w:val="nil"/>
              <w:left w:val="nil"/>
              <w:bottom w:val="nil"/>
              <w:right w:val="nil"/>
            </w:tcBorders>
          </w:tcPr>
          <w:p>
            <w:pPr>
              <w:pStyle w:val="Normal6a"/>
            </w:pPr>
            <w:r>
              <w:t>17.</w:t>
            </w:r>
            <w:r>
              <w:tab/>
            </w:r>
            <w:r>
              <w:t xml:space="preserve">invita le Nazioni Unite a garantire il pieno rispetto dei diritti sociali e del lavoro </w:t>
            </w:r>
            <w:r>
              <w:rPr>
                <w:b/>
                <w:i/>
              </w:rPr>
              <w:t>in tutti gli Stati membri e in particolare</w:t>
            </w:r>
            <w:r>
              <w:t xml:space="preserve"> nei paesi che ospitano i vertici sociali; chiede pertanto un'azione più decisa affinché sia fatto tutto il possibile per conseguire gli obiettivi principali dell'UE e gli OSS in tutta l'UE entro il 2030 e sia fatto di più per garantire che gli OSS siano raggiunti in tutto il mondo;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invita l'UE a sostenere la transizione globale dall'occupazione informale a quella formale, in linea con la raccomandazione n. 204 dell'OIL, promuovendo norme di lavoro eque, un lavoro dignitoso e l'accesso alla protezione sociale;</w:t>
            </w:r>
            <w:r>
              <w:t xml:space="preserve"> </w:t>
            </w:r>
            <w:r>
              <w:rPr>
                <w:b/>
                <w:i/>
              </w:rPr>
              <w:t>incoraggia l'integrazione di tale obiettivo nelle politiche dell'UE in materia di sviluppo, commercio e azione esterna;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Progetto di proposta di risoluzione</w:t>
      </w:r>
      <w:r>
        <w:rPr>
          <w:rStyle w:val="HideTWBExt"/>
        </w:rPr>
        <w:t>&lt;/DocAmend&gt;</w:t>
      </w:r>
    </w:p>
    <w:p>
      <w:pPr>
        <w:pStyle w:val="NormalBold"/>
      </w:pPr>
      <w:r>
        <w:rPr>
          <w:rStyle w:val="HideTWBExt"/>
        </w:rPr>
        <w:t>&lt;Article&gt;</w:t>
      </w:r>
      <w:r>
        <w:t>Paragrafo 17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Progetto di 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invita le Nazioni Unite a istituire un solido quadro di follow-up del vertice sociale mondiale, che comprenda dichiarazioni ministeriali biennali e strutture di monitoraggio rafforzate;</w:t>
            </w:r>
            <w:r>
              <w:t xml:space="preserve"> </w:t>
            </w:r>
            <w:r>
              <w:rPr>
                <w:b/>
                <w:i/>
              </w:rPr>
              <w:t>sostiene il rilancio della Commissione delle Nazioni Unite per lo sviluppo sociale e un maggiore coinvolgimento dei ministeri del lavoro e delle parti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AM\1322547IT.docx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AM\1322547IT.docx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AM\1322547IT.docx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17619</Words>
  <Characters>104349</Characters>
  <Application>Microsoft Office Word</Application>
  <DocSecurity>0</DocSecurity>
  <Lines>1</Lines>
  <Paragraphs>1134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199572</vt:lpwstr>
  </property>
  <property fmtid="{D5CDD505-2E9C-101B-9397-08002B2CF9AE}" pid="7" name="dmxml.render.traceId">
    <vt:lpwstr>6853deb6b54bca49ce314cc865d9d5d0</vt:lpwstr>
  </property>
  <property fmtid="{D5CDD505-2E9C-101B-9397-08002B2CF9AE}" pid="8" name="FooterPath">
    <vt:lpwstr>AM\1322547IT.docx</vt:lpwstr>
  </property>
  <property fmtid="{D5CDD505-2E9C-101B-9397-08002B2CF9AE}" pid="9" name="PE Number">
    <vt:lpwstr>774.385</vt:lpwstr>
  </property>
  <property fmtid="{D5CDD505-2E9C-101B-9397-08002B2CF9AE}" pid="10" name="UID">
    <vt:lpwstr>eu.europa.europarl-DIN1-2025-0000118099_01.00-it-01.00_text-xml</vt:lpwstr>
  </property>
</Properties>
</file>