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Europees Parlement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{EMPL}</w:t>
      </w:r>
      <w:r>
        <w:t>Commissie werkgelegenheid en sociale zaken</w:t>
      </w:r>
      <w:r>
        <w:rPr>
          <w:rStyle w:val="HideTWBExt"/>
        </w:rPr>
        <w:t>&lt;/Commission&gt;</w:t>
      </w:r>
    </w:p>
    <w:p>
      <w:pPr>
        <w:pStyle w:val="LineBottom"/>
      </w:pPr>
      <w:r>
        <w:t xml:space="preserve"> </w:t>
      </w:r>
    </w:p>
    <w:p>
      <w:pPr>
        <w:pStyle w:val="CoverReference"/>
      </w:pPr>
      <w:r>
        <w:rPr>
          <w:rStyle w:val="HideTWBExt"/>
        </w:rPr>
        <w:t>&lt;RefProc&gt;</w:t>
      </w:r>
      <w:r>
        <w:t>2025/2654</w:t>
      </w:r>
      <w:r>
        <w:rPr>
          <w:rStyle w:val="HideTWBExt"/>
        </w:rPr>
        <w:t>&lt;/RefProc&gt;</w:t>
      </w:r>
      <w:r>
        <w:rPr>
          <w:rStyle w:val="HideTWBExt"/>
        </w:rPr>
        <w:t>&lt;RefTypeProc&gt;</w:t>
      </w:r>
      <w:r>
        <w:t>(RSP)</w:t>
      </w:r>
      <w:r>
        <w:rPr>
          <w:rStyle w:val="HideTWBExt"/>
        </w:rPr>
        <w:t>&lt;/RefTypeProc&gt;</w:t>
      </w:r>
    </w:p>
    <w:p>
      <w:pPr>
        <w:pStyle w:val="CoverDate"/>
      </w:pPr>
      <w:r>
        <w:rPr>
          <w:rStyle w:val="HideTWBExt"/>
        </w:rPr>
        <w:t>&lt;Date&gt;</w:t>
      </w:r>
      <w:r>
        <w:rPr>
          <w:rStyle w:val="HideTWBInt"/>
        </w:rPr>
        <w:t>{04/06/2025}</w:t>
      </w:r>
      <w:r>
        <w:t>4.6.2025</w:t>
      </w:r>
      <w:r>
        <w:rPr>
          <w:rStyle w:val="HideTWBExt"/>
        </w:rPr>
        <w:t>&lt;/Date&gt;</w:t>
      </w:r>
    </w:p>
    <w:p>
      <w:pPr>
        <w:pStyle w:val="CoverDocType"/>
      </w:pPr>
      <w:r>
        <w:rPr>
          <w:rStyle w:val="HideTWBExt"/>
        </w:rPr>
        <w:t>&lt;TypeAM&gt;</w:t>
      </w:r>
      <w:r>
        <w:t>AMENDEMENTEN</w:t>
      </w:r>
      <w:r>
        <w:rPr>
          <w:rStyle w:val="HideTWBExt"/>
        </w:rPr>
        <w:t>&lt;/TypeAM&gt;</w:t>
      </w:r>
    </w:p>
    <w:p>
      <w:pPr>
        <w:pStyle w:val="CoverDocType24a"/>
      </w:pPr>
      <w:r>
        <w:rPr>
          <w:rStyle w:val="HideTWBExt"/>
        </w:rPr>
        <w:t>&lt;RangeAM&gt;</w:t>
      </w:r>
      <w:r>
        <w:t>1</w:t>
      </w:r>
      <w:r>
        <w:t xml:space="preserve"> - </w:t>
      </w:r>
      <w:r>
        <w:t>123</w:t>
      </w:r>
      <w:r>
        <w:rPr>
          <w:rStyle w:val="HideTWBExt"/>
        </w:rPr>
        <w:t>&lt;/RangeAM&gt;</w:t>
      </w:r>
    </w:p>
    <w:p>
      <w:pPr>
        <w:pStyle w:val="CoverBold"/>
      </w:pPr>
      <w:r>
        <w:rPr>
          <w:rStyle w:val="HideTWBExt"/>
        </w:rPr>
        <w:t>&lt;TitreType&gt;</w:t>
      </w:r>
      <w:r>
        <w:t>Ontwerpresolutie</w:t>
      </w:r>
      <w:r>
        <w:rPr>
          <w:rStyle w:val="HideTWBExt"/>
        </w:rPr>
        <w:t>&lt;/TitreType&gt;</w:t>
      </w:r>
    </w:p>
    <w:p>
      <w:pPr>
        <w:pStyle w:val="CoverBold"/>
      </w:pPr>
      <w:r>
        <w:rPr>
          <w:rStyle w:val="HideTWBExt"/>
        </w:rPr>
        <w:t>&lt;Rapporteur&gt;</w:t>
      </w:r>
      <w:r>
        <w:t>Li Andersson</w:t>
      </w:r>
      <w:r>
        <w:rPr>
          <w:rStyle w:val="HideTWBExt"/>
        </w:rPr>
        <w:t>&lt;/Rapporteur&gt;</w:t>
      </w:r>
    </w:p>
    <w:p>
      <w:pPr>
        <w:pStyle w:val="CoverNormal24a"/>
      </w:pPr>
      <w:r>
        <w:rPr>
          <w:rStyle w:val="HideTWBExt"/>
        </w:rPr>
        <w:t>&lt;DocRefPE&gt;</w:t>
      </w:r>
      <w:r>
        <w:t>(PE772.196v01-00)</w:t>
      </w:r>
      <w:r>
        <w:rPr>
          <w:rStyle w:val="HideTWBExt"/>
        </w:rPr>
        <w:t>&lt;/DocRefPE&gt;</w:t>
      </w:r>
    </w:p>
    <w:p>
      <w:pPr>
        <w:pStyle w:val="CoverNormal"/>
      </w:pPr>
      <w:r>
        <w:rPr>
          <w:rStyle w:val="HideTWBExt"/>
        </w:rPr>
        <w:t>&lt;Titre&gt;</w:t>
      </w:r>
      <w:r>
        <w:t>Tweede Wereldtop over Sociale Ontwikkeling</w:t>
      </w:r>
      <w:r>
        <w:rPr>
          <w:rStyle w:val="HideTWBExt"/>
        </w:rPr>
        <w:t>&lt;/Titre&gt;</w:t>
      </w:r>
    </w:p>
    <w:p>
      <w:r>
        <w:br w:type="page"/>
      </w:r>
      <w:r>
        <w:t>AM_Com_NonLegRD</w:t>
      </w:r>
    </w:p>
    <w:p>
      <w:pPr>
        <w:pStyle w:val="AmNumberTabs"/>
      </w:pPr>
      <w:r>
        <w:br w:type="page"/>
      </w:r>
      <w:r>
        <w:rPr>
          <w:rStyle w:val="HideTWBExt"/>
        </w:rPr>
        <w:t>&lt;RepeatBlock-Amend&gt;</w:t>
      </w:r>
      <w:r>
        <w:rPr>
          <w:rStyle w:val="HideTWBExt"/>
        </w:rPr>
        <w:t>&lt;Amend&gt;</w:t>
      </w:r>
      <w:r>
        <w:t>Amendement</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Internationaal Verdrag inzake economische, sociale en culturele rechten (IVESCR),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het actieplan van de Europese pijler van sociale rechten (EPSR) en de kerndoelen voor 2030 die daarin zijn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kindergarantie,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strategie voor gendergelijkheid en de routekaart voor vrouwenrechten,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6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Europese strategie voor de rechten van personen met een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w:t>
            </w:r>
            <w:r>
              <w:tab/>
            </w:r>
            <w:r>
              <w:t>gezien de duurzameontwikkelingsdoelstellingen van de Verenigde Naties (VN),</w:t>
            </w:r>
          </w:p>
        </w:tc>
        <w:tc>
          <w:tcPr>
            <w:tcW w:w="4876" w:type="dxa"/>
            <w:tcBorders>
              <w:top w:val="nil"/>
              <w:left w:val="nil"/>
              <w:bottom w:val="nil"/>
              <w:right w:val="nil"/>
            </w:tcBorders>
          </w:tcPr>
          <w:p>
            <w:pPr>
              <w:pStyle w:val="Normal6a"/>
            </w:pPr>
            <w:r>
              <w:rPr>
                <w:b/>
                <w:i/>
              </w:rPr>
              <w:t>–</w:t>
            </w:r>
            <w:r>
              <w:tab/>
            </w:r>
            <w:r>
              <w:t xml:space="preserve">gezien de duurzameontwikkelingsdoelstellingen </w:t>
            </w:r>
            <w:r>
              <w:rPr>
                <w:b/>
                <w:i/>
              </w:rPr>
              <w:t>(SDG’s)</w:t>
            </w:r>
            <w:r>
              <w:t xml:space="preserve"> van de Verenigde Naties (VN), </w:t>
            </w:r>
            <w:r>
              <w:rPr>
                <w:b/>
                <w:i/>
              </w:rPr>
              <w:t>met name de doelstellingen 1, 2, 8 en 10,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Visum 8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w:t>
            </w:r>
            <w:r>
              <w:tab/>
            </w:r>
            <w:r>
              <w:rPr>
                <w:b/>
                <w:i/>
              </w:rPr>
              <w:t>gezien de kernverdragen van de IAO,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overwegende dat duurzame ontwikkeling zowel een kernbeginsel van het Verdrag betreffende de Europese Unie als een prioritaire doelstelling van het interne en externe beleid van de EU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bis.</w:t>
            </w:r>
            <w:r>
              <w:tab/>
            </w:r>
            <w:r>
              <w:rPr>
                <w:b/>
                <w:i/>
              </w:rPr>
              <w:t>overwegende dat de 17 duurzameontwikkelingsdoelstellingen de kern vormen van de Agenda 2030 voor duurzame ontwikkeling, die in 2015 door alle lidstaten van de Verenigde Naties is aangenomen;</w:t>
            </w:r>
            <w:r>
              <w:t xml:space="preserve"> </w:t>
            </w:r>
            <w:r>
              <w:rPr>
                <w:b/>
                <w:i/>
              </w:rPr>
              <w:t>overwegende dat hiermee wordt erkend dat het uitbannen van armoede en andere deprivatie hand in hand moet gaan met strategieën die de gezondheid en het onderwijs verbeteren, ongelijkheid verminderen en de economische groei stimuleren, en tegelijkertijd de klimaatverandering aanpakken en het milieu in stand 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 ter.</w:t>
            </w:r>
            <w:r>
              <w:tab/>
            </w:r>
            <w:r>
              <w:rPr>
                <w:b/>
                <w:i/>
              </w:rPr>
              <w:t>overwegende dat de inzet van de EU voor de Agenda 2030 tot uiting komt in een reeks transformatieve beleidsmaatregelen, waaronder de EPSR, de Europese Green Deal, de klimaatwet, een nieuwe industriestrategie voor Europa, de jaarlijkse strategieën voor duurzame groei, de geactualiseerde Europese vaardighedenagenda en de Europese onderwijsruimte;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overwegende dat er in de hele EU nog steeds grote ongelijkheden bestaan tussen mensen en regio’s, terwijl de inflatie onevenredig zware gevolgen </w:t>
            </w:r>
            <w:r>
              <w:rPr>
                <w:b/>
                <w:i/>
              </w:rPr>
              <w:t>heeft</w:t>
            </w:r>
            <w:r>
              <w:t xml:space="preserve"> voor huishoudens </w:t>
            </w:r>
            <w:r>
              <w:rPr>
                <w:b/>
                <w:i/>
              </w:rPr>
              <w:t>die naar verhouding meer uitgeven aan basisbehoeften zoals energie en voedsel, en</w:t>
            </w:r>
            <w:r>
              <w:t xml:space="preserve"> dat de huisvestingscrisis in de hele EU een uitdaging blijft; overwegende dat deze kwesties op lange termijn negatieve gevolgen hebben voor de </w:t>
            </w:r>
            <w:r>
              <w:rPr>
                <w:b/>
                <w:i/>
              </w:rPr>
              <w:t>sociale cohesie</w:t>
            </w:r>
            <w:r>
              <w:t xml:space="preserve"> en het welzijn van </w:t>
            </w:r>
            <w:r>
              <w:rPr>
                <w:b/>
                <w:i/>
              </w:rPr>
              <w:t>de EU-burgers</w:t>
            </w:r>
            <w:r>
              <w:t>;</w:t>
            </w:r>
          </w:p>
        </w:tc>
        <w:tc>
          <w:tcPr>
            <w:tcW w:w="4876" w:type="dxa"/>
            <w:tcBorders>
              <w:top w:val="nil"/>
              <w:left w:val="nil"/>
              <w:bottom w:val="nil"/>
              <w:right w:val="nil"/>
            </w:tcBorders>
          </w:tcPr>
          <w:p>
            <w:pPr>
              <w:pStyle w:val="Normal6a"/>
            </w:pPr>
            <w:r>
              <w:t>A.</w:t>
            </w:r>
            <w:r>
              <w:tab/>
            </w:r>
            <w:r>
              <w:t xml:space="preserve">overwegende dat er in de hele EU nog steeds grote ongelijkheden bestaan tussen mensen en regio’s, terwijl de inflatie </w:t>
            </w:r>
            <w:r>
              <w:rPr>
                <w:b/>
                <w:i/>
              </w:rPr>
              <w:t>en de stijgende kosten van het levensonderhoud</w:t>
            </w:r>
            <w:r>
              <w:t xml:space="preserve"> onevenredig zware gevolgen </w:t>
            </w:r>
            <w:r>
              <w:rPr>
                <w:b/>
                <w:i/>
              </w:rPr>
              <w:t>hebben</w:t>
            </w:r>
            <w:r>
              <w:t xml:space="preserve"> voor huishoudens </w:t>
            </w:r>
            <w:r>
              <w:rPr>
                <w:b/>
                <w:i/>
              </w:rPr>
              <w:t>met een laag inkomen en kwetsbare huishoudens;</w:t>
            </w:r>
            <w:r>
              <w:t xml:space="preserve"> </w:t>
            </w:r>
            <w:r>
              <w:rPr>
                <w:b/>
                <w:i/>
              </w:rPr>
              <w:t>overwegende</w:t>
            </w:r>
            <w:r>
              <w:t xml:space="preserve"> dat de huisvestingscrisis in de hele EU een uitdaging blijft; overwegende dat deze kwesties op lange termijn negatieve gevolgen hebben voor de </w:t>
            </w:r>
            <w:r>
              <w:rPr>
                <w:b/>
                <w:i/>
              </w:rPr>
              <w:t>economische stabiliteit</w:t>
            </w:r>
            <w:r>
              <w:t xml:space="preserve"> en het </w:t>
            </w:r>
            <w:r>
              <w:rPr>
                <w:b/>
                <w:i/>
              </w:rPr>
              <w:t>sociaal</w:t>
            </w:r>
            <w:r>
              <w:t xml:space="preserve"> welzijn van </w:t>
            </w:r>
            <w:r>
              <w:rPr>
                <w:b/>
                <w:i/>
              </w:rPr>
              <w:t>inwoners van de EU</w:t>
            </w:r>
            <w:r>
              <w:t xml:space="preserve">; </w:t>
            </w:r>
            <w:r>
              <w:rPr>
                <w:b/>
                <w:i/>
              </w:rPr>
              <w:t>overwegende dat er op EU-niveau geen gegevens over vermogensongelijkheid worden verzameld, maar dat uit sommige studies in de financiële sector blijkt dat in Europa de rijkste 10 % van het continent over maar liefst 67 % van het vermogen beschikt, terwijl de onderste helft van de volwassen inwoners slechts 1,2 % van het vermogen bezit</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Global Wealth Report 2023</w:t>
            </w:r>
            <w:r>
              <w:t xml:space="preserve"> </w:t>
            </w:r>
            <w:r>
              <w:rPr>
                <w:b/>
                <w:i/>
              </w:rPr>
              <w:t>, Credit Suisse AG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er in de hele EU nog steeds grote ongelijkheden bestaan tussen mensen en regio’s, terwijl de inflatie onevenredig zware gevolgen heeft voor huishoudens die naar verhouding meer uitgeven aan basisbehoeften zoals energie en voedsel, en dat de huisvestingscrisis in de hele EU een uitdaging blijft; overwegende dat deze kwesties op lange termijn negatieve gevolgen hebben voor de sociale cohesie en het welzijn van de EU-burgers;</w:t>
            </w:r>
          </w:p>
        </w:tc>
        <w:tc>
          <w:tcPr>
            <w:tcW w:w="4876" w:type="dxa"/>
            <w:tcBorders>
              <w:top w:val="nil"/>
              <w:left w:val="nil"/>
              <w:bottom w:val="nil"/>
              <w:right w:val="nil"/>
            </w:tcBorders>
          </w:tcPr>
          <w:p>
            <w:pPr>
              <w:pStyle w:val="Normal6a"/>
            </w:pPr>
            <w:r>
              <w:t>A.</w:t>
            </w:r>
            <w:r>
              <w:tab/>
            </w:r>
            <w:r>
              <w:rPr>
                <w:b/>
                <w:i/>
              </w:rPr>
              <w:t>overwegende dat in 2023 de Gini-coëfficiënt voor de EU27 een lichte neerwaartse trend van 29,6 % ten opzichte van 2014 vertoonde, waarbij 13 lidstaten boven dit gemiddelde uitkwamen</w:t>
            </w:r>
            <w:r>
              <w:rPr>
                <w:b/>
                <w:i/>
                <w:vertAlign w:val="superscript"/>
              </w:rPr>
              <w:t>1 bis</w:t>
            </w:r>
            <w:r>
              <w:rPr>
                <w:b/>
                <w:i/>
              </w:rPr>
              <w:t>;</w:t>
            </w:r>
            <w:r>
              <w:t xml:space="preserve"> overwegende dat er in de hele EU nog steeds grote ongelijkheden bestaan tussen mensen en regio’s</w:t>
            </w:r>
            <w:r>
              <w:rPr>
                <w:b/>
                <w:i/>
              </w:rPr>
              <w:t>, met name als het gaat om inkomens- en genderongelijkheid</w:t>
            </w:r>
            <w:r>
              <w:t xml:space="preserve">, terwijl de inflatie onevenredig zware gevolgen heeft voor huishoudens die naar verhouding meer uitgeven aan basisbehoeften zoals energie en voedsel, en dat de huisvestingscrisis in de hele EU een </w:t>
            </w:r>
            <w:r>
              <w:rPr>
                <w:b/>
                <w:i/>
              </w:rPr>
              <w:t>fikse</w:t>
            </w:r>
            <w:r>
              <w:t xml:space="preserve"> uitdaging blijft; overwegende dat deze kwesties op lange termijn negatieve gevolgen hebben voor de sociale cohesie</w:t>
            </w:r>
            <w:r>
              <w:rPr>
                <w:b/>
                <w:i/>
              </w:rPr>
              <w:t>, opwaartse sociale convergentie</w:t>
            </w:r>
            <w:r>
              <w:t xml:space="preserve"> en het welzijn van de EU-burgers;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https://ec.europa.eu/eurostat/statistics-explained/index.php?title=Living_conditions_in_Europe_-_income_distribution_and_income_inequality</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overwegende dat er in de hele EU nog steeds grote ongelijkheden bestaan tussen mensen en regio’s, terwijl de inflatie onevenredig zware gevolgen heeft voor huishoudens die naar verhouding meer uitgeven aan basisbehoeften zoals energie en voedsel, en dat de huisvestingscrisis in de hele EU een uitdaging blijft; overwegende dat deze kwesties op lange termijn negatieve gevolgen hebben voor de sociale cohesie en het welzijn van de EU-burgers;</w:t>
            </w:r>
          </w:p>
        </w:tc>
        <w:tc>
          <w:tcPr>
            <w:tcW w:w="4876" w:type="dxa"/>
            <w:tcBorders>
              <w:top w:val="nil"/>
              <w:left w:val="nil"/>
              <w:bottom w:val="nil"/>
              <w:right w:val="nil"/>
            </w:tcBorders>
          </w:tcPr>
          <w:p>
            <w:pPr>
              <w:pStyle w:val="Normal6a"/>
            </w:pPr>
            <w:r>
              <w:t>A.</w:t>
            </w:r>
            <w:r>
              <w:tab/>
            </w:r>
            <w:r>
              <w:t xml:space="preserve">overwegende dat er in de hele EU nog steeds grote ongelijkheden bestaan tussen mensen en regio’s, terwijl de inflatie onevenredig zware gevolgen heeft voor huishoudens die naar verhouding meer uitgeven aan basisbehoeften zoals energie en voedsel, en dat de huisvestingscrisis in de hele EU een uitdaging blijft; overwegende dat deze kwesties op lange termijn negatieve gevolgen hebben voor de sociale cohesie en het welzijn van de EU-burgers; </w:t>
            </w:r>
            <w:r>
              <w:rPr>
                <w:b/>
                <w:i/>
              </w:rPr>
              <w:t>overwegende dat onderzoek van Eurofound bevestigt dat de onbetaalbaarheid van huisvesting ertoe leidt dat mensen worden uitgesloten van huisvesting, dat er onzekerheid over huisvesting bestaat en dat er sprake is van problematische huisvestingskosten en ontoereikende huisvesting</w:t>
            </w:r>
            <w:r>
              <w:rPr>
                <w:b/>
                <w:i/>
                <w:vertAlign w:val="superscript"/>
              </w:rPr>
              <w:t>1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https://www.eurofound.europa.eu/en/publications/2023/unaffordable-and-inadequate-housing-europe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overwegende dat de EU </w:t>
            </w:r>
            <w:r>
              <w:rPr>
                <w:b/>
                <w:i/>
              </w:rPr>
              <w:t>voor 2030 de doelstelling</w:t>
            </w:r>
            <w:r>
              <w:t xml:space="preserve"> heeft </w:t>
            </w:r>
            <w:r>
              <w:rPr>
                <w:b/>
                <w:i/>
              </w:rPr>
              <w:t>aangenomen</w:t>
            </w:r>
            <w:r>
              <w:t xml:space="preserve"> om het aantal mensen dat in armoede en sociale uitsluiting dreigt te vervallen </w:t>
            </w:r>
            <w:r>
              <w:rPr>
                <w:b/>
                <w:i/>
              </w:rPr>
              <w:t>ten opzichte van 2019</w:t>
            </w:r>
            <w:r>
              <w:t xml:space="preserve"> met ten minste 15 miljoen te verminderen, waaronder ten minste 5 miljoen kinderen; overwegende dat de </w:t>
            </w:r>
            <w:r>
              <w:rPr>
                <w:b/>
                <w:i/>
              </w:rPr>
              <w:t>trend</w:t>
            </w:r>
            <w:r>
              <w:t xml:space="preserve"> in bijna de helft van de lidstaten de </w:t>
            </w:r>
            <w:r>
              <w:rPr>
                <w:b/>
                <w:i/>
              </w:rPr>
              <w:t>andere kant op gaat</w:t>
            </w:r>
            <w:r>
              <w:t xml:space="preserve">; overwegende dat een op de vijf kinderen in de EU nog steeds risico loopt op armoede en sociale uitsluiting; overwegende dat als de huidige trend zich voortzet, </w:t>
            </w:r>
            <w:r>
              <w:rPr>
                <w:b/>
                <w:i/>
              </w:rPr>
              <w:t>het onmogelijk zal zijn</w:t>
            </w:r>
            <w:r>
              <w:t xml:space="preserve"> de doelstelling voor 2030 </w:t>
            </w:r>
            <w:r>
              <w:rPr>
                <w:b/>
                <w:i/>
              </w:rPr>
              <w:t>te</w:t>
            </w:r>
            <w:r>
              <w:t xml:space="preserve"> halen </w:t>
            </w:r>
            <w:r>
              <w:rPr>
                <w:b/>
                <w:i/>
              </w:rPr>
              <w:t>om het aantal mensen dat risico loopt op armoede en sociale uitsluiting te verminderen, en</w:t>
            </w:r>
            <w:r>
              <w:t xml:space="preserve"> dat bovendien meer dan een op de tien Europeanen wordt getroffen door energiearmoede;</w:t>
            </w:r>
          </w:p>
        </w:tc>
        <w:tc>
          <w:tcPr>
            <w:tcW w:w="4876" w:type="dxa"/>
            <w:tcBorders>
              <w:top w:val="nil"/>
              <w:left w:val="nil"/>
              <w:bottom w:val="nil"/>
              <w:right w:val="nil"/>
            </w:tcBorders>
          </w:tcPr>
          <w:p>
            <w:pPr>
              <w:pStyle w:val="Normal6a"/>
            </w:pPr>
            <w:r>
              <w:t>B.</w:t>
            </w:r>
            <w:r>
              <w:tab/>
            </w:r>
            <w:r>
              <w:t xml:space="preserve">overwegende dat de EU </w:t>
            </w:r>
            <w:r>
              <w:rPr>
                <w:b/>
                <w:i/>
              </w:rPr>
              <w:t>zich er in het actieplan van de EPSR toe</w:t>
            </w:r>
            <w:r>
              <w:t xml:space="preserve"> heeft </w:t>
            </w:r>
            <w:r>
              <w:rPr>
                <w:b/>
                <w:i/>
              </w:rPr>
              <w:t>verbonden</w:t>
            </w:r>
            <w:r>
              <w:t xml:space="preserve"> om het aantal mensen dat in armoede en sociale uitsluiting dreigt te vervallen </w:t>
            </w:r>
            <w:r>
              <w:rPr>
                <w:b/>
                <w:i/>
              </w:rPr>
              <w:t>tegen 2030</w:t>
            </w:r>
            <w:r>
              <w:t xml:space="preserve"> met ten minste 15 miljoen te verminderen, waaronder ten minste 5 miljoen kinderen; overwegende dat de </w:t>
            </w:r>
            <w:r>
              <w:rPr>
                <w:b/>
                <w:i/>
              </w:rPr>
              <w:t>cijfers erop wijzen dat</w:t>
            </w:r>
            <w:r>
              <w:t xml:space="preserve"> in bijna de helft van de lidstaten de </w:t>
            </w:r>
            <w:r>
              <w:rPr>
                <w:b/>
                <w:i/>
              </w:rPr>
              <w:t>vooruitgang op het vlak van armoedereductie weer terugvalt</w:t>
            </w:r>
            <w:r>
              <w:t xml:space="preserve">; overwegende dat een op de vijf kinderen in de EU nog steeds risico loopt op armoede en sociale uitsluiting; overwegende dat als de huidige trend zich voortzet, de </w:t>
            </w:r>
            <w:r>
              <w:rPr>
                <w:b/>
                <w:i/>
              </w:rPr>
              <w:t>Unie haar</w:t>
            </w:r>
            <w:r>
              <w:t xml:space="preserve"> doelstelling voor 2030 </w:t>
            </w:r>
            <w:r>
              <w:rPr>
                <w:b/>
                <w:i/>
              </w:rPr>
              <w:t>niet zal</w:t>
            </w:r>
            <w:r>
              <w:t xml:space="preserve"> halen</w:t>
            </w:r>
            <w:r>
              <w:rPr>
                <w:b/>
                <w:i/>
              </w:rPr>
              <w:t>;</w:t>
            </w:r>
            <w:r>
              <w:t xml:space="preserve"> </w:t>
            </w:r>
            <w:r>
              <w:rPr>
                <w:b/>
                <w:i/>
              </w:rPr>
              <w:t>overwegende</w:t>
            </w:r>
            <w:r>
              <w:t xml:space="preserve"> dat bovendien meer dan een op de tien Europeanen wordt getroffen door energiearmoede</w:t>
            </w:r>
            <w:r>
              <w:rPr>
                <w:b/>
                <w:i/>
              </w:rPr>
              <w:t>, hetgeen de ongelijkheid verergert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overwegende dat de EU voor 2030 de doelstelling heeft aangenomen om het aantal mensen dat in armoede en sociale uitsluiting dreigt te vervallen ten opzichte van 2019 met ten minste 15 miljoen te verminderen, waaronder ten minste 5 miljoen kinderen; overwegende dat de trend in bijna de helft van de lidstaten de andere kant op gaat; overwegende dat een op de vijf kinderen in de EU nog steeds risico loopt op armoede en sociale uitsluiting; overwegende dat als de huidige trend zich voortzet, het onmogelijk zal zijn de doelstelling voor 2030 te halen om het aantal mensen dat risico loopt op armoede en sociale uitsluiting te verminderen, en dat bovendien meer dan een op de tien Europeanen wordt getroffen door energiearmoede;</w:t>
            </w:r>
          </w:p>
        </w:tc>
        <w:tc>
          <w:tcPr>
            <w:tcW w:w="4876" w:type="dxa"/>
            <w:tcBorders>
              <w:top w:val="nil"/>
              <w:left w:val="nil"/>
              <w:bottom w:val="nil"/>
              <w:right w:val="nil"/>
            </w:tcBorders>
          </w:tcPr>
          <w:p>
            <w:pPr>
              <w:pStyle w:val="Normal6a"/>
            </w:pPr>
            <w:r>
              <w:t>B.</w:t>
            </w:r>
            <w:r>
              <w:tab/>
            </w:r>
            <w:r>
              <w:t xml:space="preserve">overwegende dat de EU voor 2030 de doelstelling heeft aangenomen om het aantal mensen dat in armoede en sociale uitsluiting dreigt te vervallen ten opzichte van 2019 met ten minste 15 miljoen te verminderen, waaronder ten minste 5 miljoen kinderen; overwegende dat de trend in bijna de helft van de lidstaten </w:t>
            </w:r>
            <w:r>
              <w:rPr>
                <w:b/>
                <w:i/>
              </w:rPr>
              <w:t>helaas</w:t>
            </w:r>
            <w:r>
              <w:t xml:space="preserve"> de andere kant op gaat; overwegende dat een op de vijf kinderen in de EU nog steeds risico loopt op armoede en sociale uitsluiting; overwegende dat als de huidige trend zich voortzet, het onmogelijk zal zijn de doelstelling voor 2030 te halen om het aantal mensen dat risico loopt op armoede en sociale uitsluiting te verminderen, en dat bovendien meer dan een op de tien Europeanen wordt getroffen door energiearmoede;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B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 bis.</w:t>
            </w:r>
            <w:r>
              <w:tab/>
            </w:r>
            <w:r>
              <w:rPr>
                <w:b/>
                <w:i/>
              </w:rPr>
              <w:t>overwegende dat de situatie wereldwijd nog erger is, aangezien bijna 700 miljoen mensen in extreme armoede leven en nog eens 2,8 miljard mensen moeten overleven tussen de extreme armoedegrens en de norm van 6,85 USD per dag</w:t>
            </w:r>
            <w:r>
              <w:rPr>
                <w:b/>
                <w:i/>
                <w:vertAlign w:val="superscript"/>
              </w:rPr>
              <w:t>1 ter</w:t>
            </w:r>
            <w:r>
              <w:rPr>
                <w:b/>
                <w:i/>
              </w:rPr>
              <w:t>;</w:t>
            </w:r>
            <w:r>
              <w:t xml:space="preserve"> </w:t>
            </w:r>
            <w:r>
              <w:rPr>
                <w:b/>
                <w:i/>
              </w:rPr>
              <w:t>overwegende dat tot 35 % van de mensen die aan armoede zijn ontsnapt, in de afgelopen drie decennia weer in armoede zijn teruggevallen;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ter</w:t>
            </w:r>
            <w:r>
              <w:t xml:space="preserve"> </w:t>
            </w:r>
            <w:r>
              <w:rPr>
                <w:b/>
                <w:i/>
              </w:rPr>
              <w:t>https://www.worldbank.org/en/publication/poverty-prosperity-and-planet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w:t>
            </w:r>
            <w:r>
              <w:rPr>
                <w:b/>
                <w:i/>
              </w:rPr>
              <w:t>zoals de</w:t>
            </w:r>
            <w:r>
              <w:t xml:space="preserve"> hoge werkloosheidscijfers in sommige lidstaten, </w:t>
            </w:r>
            <w:r>
              <w:rPr>
                <w:b/>
                <w:i/>
              </w:rPr>
              <w:t>met name onder jongeren en personen met een handicap</w:t>
            </w:r>
            <w:r>
              <w:t>;</w:t>
            </w:r>
          </w:p>
        </w:tc>
        <w:tc>
          <w:tcPr>
            <w:tcW w:w="4876" w:type="dxa"/>
            <w:tcBorders>
              <w:top w:val="nil"/>
              <w:left w:val="nil"/>
              <w:bottom w:val="nil"/>
              <w:right w:val="nil"/>
            </w:tcBorders>
          </w:tcPr>
          <w:p>
            <w:pPr>
              <w:pStyle w:val="Normal6a"/>
            </w:pPr>
            <w:r>
              <w:t>C.</w:t>
            </w:r>
            <w:r>
              <w:tab/>
            </w:r>
            <w:r>
              <w:t xml:space="preserve">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w:t>
            </w:r>
            <w:r>
              <w:rPr>
                <w:b/>
                <w:i/>
              </w:rPr>
              <w:t>waaronder</w:t>
            </w:r>
            <w:r>
              <w:t xml:space="preserve"> hoge werkloosheidscijfers in sommige lidstaten, </w:t>
            </w:r>
            <w:r>
              <w:rPr>
                <w:b/>
                <w:i/>
              </w:rPr>
              <w:t>aanhoudende segmentatie van de arbeidsmarkt, een hoge frequentie van onzeker en atypisch werk, en aanhoudende verschillen in toegang tot hoogwaardige banen</w:t>
            </w:r>
            <w:r>
              <w:t xml:space="preserve">; </w:t>
            </w:r>
            <w:r>
              <w:rPr>
                <w:b/>
                <w:i/>
              </w:rPr>
              <w:t>overwegende dat 66,6 % van de werklozen en 10,9 % van de werkenden in 2024 het risico liep in armoede te vervallen</w:t>
            </w:r>
            <w:r>
              <w:rPr>
                <w:b/>
                <w:i/>
                <w:vertAlign w:val="superscript"/>
              </w:rPr>
              <w:t>2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2 bis</w:t>
            </w:r>
            <w:r>
              <w:t xml:space="preserve"> </w:t>
            </w:r>
            <w:r>
              <w:rPr>
                <w:b/>
                <w:i/>
              </w:rPr>
              <w:t>https://ec.europa.eu/eurostat/statistics-explained/index.php?title=Living_conditions_in_Europe_-_poverty_and_social_exclusion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zoals de hoge werkloosheidscijfers in sommige lidstaten, met name onder jongeren en personen met een handicap;</w:t>
            </w:r>
          </w:p>
        </w:tc>
        <w:tc>
          <w:tcPr>
            <w:tcW w:w="4876" w:type="dxa"/>
            <w:tcBorders>
              <w:top w:val="nil"/>
              <w:left w:val="nil"/>
              <w:bottom w:val="nil"/>
              <w:right w:val="nil"/>
            </w:tcBorders>
          </w:tcPr>
          <w:p>
            <w:pPr>
              <w:pStyle w:val="Normal6a"/>
            </w:pPr>
            <w:r>
              <w:t>C.</w:t>
            </w:r>
            <w:r>
              <w:tab/>
            </w:r>
            <w:r>
              <w:t>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zoals de hoge werkloosheidscijfers in sommige lidstaten, met name onder jongeren en personen met een handicap</w:t>
            </w:r>
            <w:r>
              <w:rPr>
                <w:b/>
                <w:i/>
              </w:rPr>
              <w:t>, en dat er ook nog steeds een aanzienlijke ongelijkheid bestaat tussen sectoren en regio’s, en verschillen in de sociale bescherming die de sociale cohesie en het welzijn van de Europese burgers op de lange termijn negatief zouden kunnen beïnvloeden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C</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zoals de hoge werkloosheidscijfers in sommige lidstaten, met name onder jongeren en personen met een handicap;</w:t>
            </w:r>
          </w:p>
        </w:tc>
        <w:tc>
          <w:tcPr>
            <w:tcW w:w="4876" w:type="dxa"/>
            <w:tcBorders>
              <w:top w:val="nil"/>
              <w:left w:val="nil"/>
              <w:bottom w:val="nil"/>
              <w:right w:val="nil"/>
            </w:tcBorders>
          </w:tcPr>
          <w:p>
            <w:pPr>
              <w:pStyle w:val="Normal6a"/>
            </w:pPr>
            <w:r>
              <w:t>C.</w:t>
            </w:r>
            <w:r>
              <w:tab/>
            </w:r>
            <w:r>
              <w:t xml:space="preserve">overwegende dat er vooruitgang is geboekt bij de verwezenlijking van de werkgelegenheidsdoelstelling van de EU, namelijk dat ten minste 78 % van de mensen tussen 20 en 64 jaar uiterlijk in 2030 een baan moet hebben; overwegende dat de werkgelegenheidsgraad in de EU volgens de economische najaarsprognose 2025 van de Commissie 75,3 % bedraagt; overwegende dat de werkgelegenheidsgroei in 2023 in twee derde van de lidstaten op schema lag om de nationale doelstellingen voor 2030 te halen; overwegende dat er desondanks nog steeds aanzienlijke uitdagingen zijn, zoals de </w:t>
            </w:r>
            <w:r>
              <w:rPr>
                <w:b/>
                <w:i/>
              </w:rPr>
              <w:t>genderkloof op het vlak van werkgelegenheid en de</w:t>
            </w:r>
            <w:r>
              <w:t xml:space="preserve"> hoge werkloosheidscijfers in sommige lidstaten, met name onder jongeren en personen met een handicap;</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overwegende dat er steeds vaker ondermaats gepresteerd wordt op het gebied van basisvaardigheden (lezen, wiskunde en wetenschappen) en dat het streefcijfer op EU-niveau om voor 2030 het percentage ondermaatse prestaties terug te dringen tot minder dan 15 %, in de nabije toekomst onhaalbaar is;</w:t>
            </w:r>
            <w:r>
              <w:t xml:space="preserve"> </w:t>
            </w:r>
            <w:r>
              <w:rPr>
                <w:b/>
                <w:i/>
              </w:rPr>
              <w:t>overwegende dat er vooral onder kansarme lerenden ondermaats wordt gepresteerd, waaruit blijkt dat de ongelijkheid in het onderwijs toeneemt;</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overwegende dat het in de EU steeds vaker voorkomt dat basisvaardigheden zoals lezen en rekenen en exacte vakken onvoldoende beheerst worden, met name onder kansarme leerlingen;</w:t>
            </w:r>
            <w:r>
              <w:t xml:space="preserve"> </w:t>
            </w:r>
            <w:r>
              <w:rPr>
                <w:b/>
                <w:i/>
              </w:rPr>
              <w:t>overwegende dat deze onderwijsongelijkheid de gelijke toegang tot vervolgonderwijs, opleidingsmogelijkheden en hoogwaardige banen ondermijnt en ertoe bijdraagt dat sociale uitsluiting en uitsluiting van de arbeidsmarkt in stand worden gehouden;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Mélanie Disdier, Marie Dauchy,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D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 bis.</w:t>
            </w:r>
            <w:r>
              <w:tab/>
            </w:r>
            <w:r>
              <w:rPr>
                <w:b/>
                <w:i/>
              </w:rPr>
              <w:t>benadrukt echter met betrekking tot de situatie binnen het onderwijs dat de daling van de basiskennis in veel lidstaten een wijdverbreid fenomeen is en niet alleen kansarme mensen betreft;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F.</w:t>
            </w:r>
            <w:r>
              <w:tab/>
            </w:r>
            <w:r>
              <w:rPr>
                <w:b/>
                <w:i/>
              </w:rPr>
              <w:t>overwegende dat demografische uitdagingen, waaronder de vergrijzing, lage geboortecijfers en ontvolking van het platteland – waarbij met name jongeren naar de steden trekken –, een grote uitwerking hebben op de economische vitaliteit en aantrekkelijkheid van regio’s in de EU, arbeidsmarkten en bijgevolg de houdbaarheid van de socialezekerheidsstelsels en de regionale verschillen in de EU nog verergeren, en daarom een structurele uitdaging vormen voor de economie van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overwegende dat demografische uitdagingen, waaronder de vergrijzing, lage geboortecijfers en ontvolking van het platteland – waarbij met name jongeren naar de steden trekken –, een grote uitwerking </w:t>
            </w:r>
            <w:r>
              <w:rPr>
                <w:b/>
                <w:i/>
              </w:rPr>
              <w:t>hebben</w:t>
            </w:r>
            <w:r>
              <w:t xml:space="preserve"> op de economische vitaliteit en aantrekkelijkheid van regio’s in de EU, arbeidsmarkten en bijgevolg de houdbaarheid van de socialezekerheidsstelsels en de regionale verschillen in de EU nog </w:t>
            </w:r>
            <w:r>
              <w:rPr>
                <w:b/>
                <w:i/>
              </w:rPr>
              <w:t>verergeren</w:t>
            </w:r>
            <w:r>
              <w:t xml:space="preserve">, en daarom een structurele uitdaging </w:t>
            </w:r>
            <w:r>
              <w:rPr>
                <w:b/>
                <w:i/>
              </w:rPr>
              <w:t>vormen</w:t>
            </w:r>
            <w:r>
              <w:t xml:space="preserve"> voor de economie van de EU;</w:t>
            </w:r>
          </w:p>
        </w:tc>
        <w:tc>
          <w:tcPr>
            <w:tcW w:w="4876" w:type="dxa"/>
            <w:tcBorders>
              <w:top w:val="nil"/>
              <w:left w:val="nil"/>
              <w:bottom w:val="nil"/>
              <w:right w:val="nil"/>
            </w:tcBorders>
          </w:tcPr>
          <w:p>
            <w:pPr>
              <w:pStyle w:val="Normal6a"/>
            </w:pPr>
            <w:r>
              <w:t>F.</w:t>
            </w:r>
            <w:r>
              <w:tab/>
            </w:r>
            <w:r>
              <w:t xml:space="preserve">overwegende dat </w:t>
            </w:r>
            <w:r>
              <w:rPr>
                <w:b/>
                <w:i/>
              </w:rPr>
              <w:t>als gevolg van</w:t>
            </w:r>
            <w:r>
              <w:t xml:space="preserve"> demografische uitdagingen, waaronder de vergrijzing, lage geboortecijfers en ontvolking van het platteland – waarbij met name jongeren naar de steden trekken –, </w:t>
            </w:r>
            <w:r>
              <w:rPr>
                <w:b/>
                <w:i/>
              </w:rPr>
              <w:t>de productiviteitsgroei van de EU consistent achterblijft bij die van de Verenigde Staten, hetgeen</w:t>
            </w:r>
            <w:r>
              <w:t xml:space="preserve"> een grote uitwerking </w:t>
            </w:r>
            <w:r>
              <w:rPr>
                <w:b/>
                <w:i/>
              </w:rPr>
              <w:t>heeft</w:t>
            </w:r>
            <w:r>
              <w:t xml:space="preserve"> op de economische vitaliteit en aantrekkelijkheid van regio’s in de EU, arbeidsmarkten en bijgevolg de houdbaarheid van de socialezekerheidsstelsels</w:t>
            </w:r>
            <w:r>
              <w:rPr>
                <w:b/>
                <w:i/>
              </w:rPr>
              <w:t>,</w:t>
            </w:r>
            <w:r>
              <w:t xml:space="preserve"> en de regionale verschillen in de EU nog </w:t>
            </w:r>
            <w:r>
              <w:rPr>
                <w:b/>
                <w:i/>
              </w:rPr>
              <w:t>erger maakt</w:t>
            </w:r>
            <w:r>
              <w:t xml:space="preserve">, en daarom een structurele uitdaging </w:t>
            </w:r>
            <w:r>
              <w:rPr>
                <w:b/>
                <w:i/>
              </w:rPr>
              <w:t>vormt</w:t>
            </w:r>
            <w:r>
              <w:t xml:space="preserve"> voor de economie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overwegende dat demografische uitdagingen, waaronder de vergrijzing, lage geboortecijfers en ontvolking van het platteland – waarbij met name jongeren naar de steden trekken –, een grote uitwerking hebben op de economische vitaliteit en aantrekkelijkheid van regio’s in de EU, arbeidsmarkten en bijgevolg de houdbaarheid van de socialezekerheidsstelsels en de regionale verschillen in de EU nog verergeren, en daarom een structurele uitdaging vormen voor de economie van de EU;</w:t>
            </w:r>
          </w:p>
        </w:tc>
        <w:tc>
          <w:tcPr>
            <w:tcW w:w="4876" w:type="dxa"/>
            <w:tcBorders>
              <w:top w:val="nil"/>
              <w:left w:val="nil"/>
              <w:bottom w:val="nil"/>
              <w:right w:val="nil"/>
            </w:tcBorders>
          </w:tcPr>
          <w:p>
            <w:pPr>
              <w:pStyle w:val="Normal6a"/>
            </w:pPr>
            <w:r>
              <w:t>F.</w:t>
            </w:r>
            <w:r>
              <w:tab/>
            </w:r>
            <w:r>
              <w:t>overwegende dat demografische uitdagingen, waaronder de vergrijzing, lage geboortecijfers en ontvolking van het platteland – waarbij met name jongeren naar de steden trekken –, een grote uitwerking hebben op de economische vitaliteit en aantrekkelijkheid van regio’s in de EU, arbeidsmarkten</w:t>
            </w:r>
            <w:r>
              <w:rPr>
                <w:b/>
                <w:i/>
              </w:rPr>
              <w:t>, openbare infrastructuur</w:t>
            </w:r>
            <w:r>
              <w:t xml:space="preserve"> en bijgevolg de houdbaarheid van de socialezekerheidsstelsels en de regionale verschillen in de EU nog verergeren, en daarom een structurele uitdaging vormen voor de economie van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F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 bis.</w:t>
            </w:r>
            <w:r>
              <w:tab/>
            </w:r>
            <w:r>
              <w:rPr>
                <w:b/>
                <w:i/>
              </w:rPr>
              <w:t>overwegende dat demografische uitdagingen, met name de vergrijzing, lage geboortecijfers en ontvolking van het platteland, indien hier niets aan wordt gedaan, de economische ongelijkheden kunnen verergeren en schadelijk kunnen zijn voor de sociale vooruitgang;</w:t>
            </w:r>
            <w:r>
              <w:t xml:space="preserve"> </w:t>
            </w:r>
            <w:r>
              <w:rPr>
                <w:b/>
                <w:i/>
              </w:rPr>
              <w:t>overwegende dat het gebrek aan universele openbare toegang tot kinderopvang (0-3 jaar) en tertiair onderwijs, het ontbreken van of onvoldoende kinderbijslag en onvoldoende betaald ouderschapsverlof de onderliggende oorzaken zijn van de lage geboortecijfers;</w:t>
            </w:r>
            <w:r>
              <w:t xml:space="preserve"> </w:t>
            </w:r>
            <w:r>
              <w:rPr>
                <w:b/>
                <w:i/>
              </w:rPr>
              <w:t>overwegende dat de integratie van migranten op de arbeidsmarkt een oplossing kan zijn voor de tekorten op de arbeidsmarkt;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tekorten aan arbeidskrachten </w:t>
            </w:r>
            <w:r>
              <w:rPr>
                <w:b/>
                <w:i/>
              </w:rPr>
              <w:t>en vaardigheden overal in de EU toenemen als gevolg van</w:t>
            </w:r>
            <w:r>
              <w:t xml:space="preserve"> demografische veranderingen, de vraag naar nieuwe vaardigheden en slechte arbeidsomstandigheden </w:t>
            </w:r>
            <w:r>
              <w:rPr>
                <w:b/>
                <w:i/>
              </w:rPr>
              <w:t>in bepaalde sectoren</w:t>
            </w:r>
            <w:r>
              <w:t>;</w:t>
            </w:r>
          </w:p>
        </w:tc>
        <w:tc>
          <w:tcPr>
            <w:tcW w:w="4876" w:type="dxa"/>
            <w:tcBorders>
              <w:top w:val="nil"/>
              <w:left w:val="nil"/>
              <w:bottom w:val="nil"/>
              <w:right w:val="nil"/>
            </w:tcBorders>
          </w:tcPr>
          <w:p>
            <w:pPr>
              <w:pStyle w:val="Normal6a"/>
            </w:pPr>
            <w:r>
              <w:t>G.</w:t>
            </w:r>
            <w:r>
              <w:tab/>
            </w:r>
            <w:r>
              <w:t xml:space="preserve">overwegende dat de tekorten aan arbeidskrachten </w:t>
            </w:r>
            <w:r>
              <w:rPr>
                <w:b/>
                <w:i/>
              </w:rPr>
              <w:t>voortkomen uit</w:t>
            </w:r>
            <w:r>
              <w:t xml:space="preserve"> demografische veranderingen </w:t>
            </w:r>
            <w:r>
              <w:rPr>
                <w:b/>
                <w:i/>
              </w:rPr>
              <w:t>en de transities</w:t>
            </w:r>
            <w:r>
              <w:t xml:space="preserve">, de vraag naar nieuwe vaardigheden en </w:t>
            </w:r>
            <w:r>
              <w:rPr>
                <w:b/>
                <w:i/>
              </w:rPr>
              <w:t>hoogwaardige banen, met hogere lonen en baanzekerheid, alsook de behoefte aan integratie op de arbeidsmarkt van personen van buiten de EU;</w:t>
            </w:r>
            <w:r>
              <w:t xml:space="preserve"> </w:t>
            </w:r>
            <w:r>
              <w:rPr>
                <w:b/>
                <w:i/>
              </w:rPr>
              <w:t>overwegende dat</w:t>
            </w:r>
            <w:r>
              <w:t xml:space="preserve"> slechte arbeidsomstandigheden </w:t>
            </w:r>
            <w:r>
              <w:rPr>
                <w:b/>
                <w:i/>
              </w:rPr>
              <w:t>overal in de EU toenemen en dat het vermogen van de EU om talent, zowel uit derde landen als binnen de Unie, aan te trekken en te behouden hierdoor rechtstreeks wordt belemmerd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overwegende dat de tekorten aan arbeidskrachten </w:t>
            </w:r>
            <w:r>
              <w:rPr>
                <w:b/>
                <w:i/>
              </w:rPr>
              <w:t>en vaardigheden</w:t>
            </w:r>
            <w:r>
              <w:t xml:space="preserve"> overal in de EU toenemen als gevolg van </w:t>
            </w:r>
            <w:r>
              <w:rPr>
                <w:b/>
                <w:i/>
              </w:rPr>
              <w:t>demografische veranderingen</w:t>
            </w:r>
            <w:r>
              <w:t xml:space="preserve">, de vraag naar nieuwe vaardigheden </w:t>
            </w:r>
            <w:r>
              <w:rPr>
                <w:b/>
                <w:i/>
              </w:rPr>
              <w:t>en slechte arbeidsomstandigheden in bepaalde sectoren</w:t>
            </w:r>
            <w:r>
              <w:t>;</w:t>
            </w:r>
          </w:p>
        </w:tc>
        <w:tc>
          <w:tcPr>
            <w:tcW w:w="4876" w:type="dxa"/>
            <w:tcBorders>
              <w:top w:val="nil"/>
              <w:left w:val="nil"/>
              <w:bottom w:val="nil"/>
              <w:right w:val="nil"/>
            </w:tcBorders>
          </w:tcPr>
          <w:p>
            <w:pPr>
              <w:pStyle w:val="Normal6a"/>
            </w:pPr>
            <w:r>
              <w:t>G.</w:t>
            </w:r>
            <w:r>
              <w:tab/>
            </w:r>
            <w:r>
              <w:t xml:space="preserve">overwegende dat de tekorten aan </w:t>
            </w:r>
            <w:r>
              <w:rPr>
                <w:b/>
                <w:i/>
              </w:rPr>
              <w:t>geschoolde</w:t>
            </w:r>
            <w:r>
              <w:t xml:space="preserve"> arbeidskrachten overal in de EU toenemen als gevolg van </w:t>
            </w:r>
            <w:r>
              <w:rPr>
                <w:b/>
                <w:i/>
              </w:rPr>
              <w:t>de ongekende daling van het geboortecijfer in alle lidstaten</w:t>
            </w:r>
            <w:r>
              <w:t xml:space="preserve">, </w:t>
            </w:r>
            <w:r>
              <w:rPr>
                <w:b/>
                <w:i/>
              </w:rPr>
              <w:t>het feit dat steeds meer jonge en geschoolde Europese werknemers naar het buitenland verhuizen en</w:t>
            </w:r>
            <w:r>
              <w:t xml:space="preserve"> de vraag naar nieuwe vaardigheden;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tekorten aan arbeidskrachten en vaardigheden overal in de EU toenemen als gevolg van demografische veranderingen, de vraag naar nieuwe vaardigheden en slechte arbeidsomstandigheden in bepaalde sectoren;</w:t>
            </w:r>
          </w:p>
        </w:tc>
        <w:tc>
          <w:tcPr>
            <w:tcW w:w="4876" w:type="dxa"/>
            <w:tcBorders>
              <w:top w:val="nil"/>
              <w:left w:val="nil"/>
              <w:bottom w:val="nil"/>
              <w:right w:val="nil"/>
            </w:tcBorders>
          </w:tcPr>
          <w:p>
            <w:pPr>
              <w:pStyle w:val="Normal6a"/>
            </w:pPr>
            <w:r>
              <w:t>G.</w:t>
            </w:r>
            <w:r>
              <w:tab/>
            </w:r>
            <w:r>
              <w:t xml:space="preserve">overwegende dat de tekorten aan arbeidskrachten en vaardigheden overal in de EU toenemen als gevolg van demografische veranderingen, de vraag naar nieuwe vaardigheden </w:t>
            </w:r>
            <w:r>
              <w:rPr>
                <w:b/>
                <w:i/>
              </w:rPr>
              <w:t>voor de groene en digitale transities</w:t>
            </w:r>
            <w:r>
              <w:t xml:space="preserve"> en slechte arbeidsomstandigheden </w:t>
            </w:r>
            <w:r>
              <w:rPr>
                <w:b/>
                <w:i/>
              </w:rPr>
              <w:t>en incompatibele vaardigheden</w:t>
            </w:r>
            <w:r>
              <w:t xml:space="preserve"> in bepaalde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overwegende dat de tekorten aan arbeidskrachten en vaardigheden overal in de EU toenemen als gevolg van demografische veranderingen, de vraag naar nieuwe vaardigheden en slechte arbeidsomstandigheden in bepaalde sectoren;</w:t>
            </w:r>
          </w:p>
        </w:tc>
        <w:tc>
          <w:tcPr>
            <w:tcW w:w="4876" w:type="dxa"/>
            <w:tcBorders>
              <w:top w:val="nil"/>
              <w:left w:val="nil"/>
              <w:bottom w:val="nil"/>
              <w:right w:val="nil"/>
            </w:tcBorders>
          </w:tcPr>
          <w:p>
            <w:pPr>
              <w:pStyle w:val="Normal6a"/>
            </w:pPr>
            <w:r>
              <w:t>G.</w:t>
            </w:r>
            <w:r>
              <w:tab/>
            </w:r>
            <w:r>
              <w:t xml:space="preserve">overwegende dat de tekorten aan arbeidskrachten en vaardigheden overal in de EU toenemen als gevolg van demografische veranderingen, de vraag naar nieuwe vaardigheden en slechte arbeidsomstandigheden </w:t>
            </w:r>
            <w:r>
              <w:rPr>
                <w:b/>
                <w:i/>
              </w:rPr>
              <w:t>en het ontbreken van investeringen in robotica</w:t>
            </w:r>
            <w:r>
              <w:t xml:space="preserve"> in bepaalde sectoren;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bis.</w:t>
            </w:r>
            <w:r>
              <w:tab/>
            </w:r>
            <w:r>
              <w:rPr>
                <w:b/>
                <w:i/>
              </w:rPr>
              <w:t>overwegende dat uit het verslag van Eurofound van 2024 blijkt dat het aantal zelfmoorden sinds 2021, na decennia van daling, toeneemt;</w:t>
            </w:r>
            <w:r>
              <w:t xml:space="preserve"> </w:t>
            </w:r>
            <w:r>
              <w:rPr>
                <w:b/>
                <w:i/>
              </w:rPr>
              <w:t>overwegende dat er meer moet worden gedaan om de oorzaken van geestelijke gezondheidsklachten in de context van arbeids- en levensomstandigheden aan te pakken</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Eurofound (2025 verwacht), Geestelijke gezondheid in de Europese Unie en Noorwegen:</w:t>
            </w:r>
            <w:r>
              <w:t xml:space="preserve"> </w:t>
            </w:r>
            <w:r>
              <w:rPr>
                <w:b/>
                <w:i/>
              </w:rPr>
              <w:t>risicogroepen, trends, diensten en beleid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de sociale economie respectievelijk sociale ondernemingen verschillende soorten particuliere entiteiten omvat die onafhankelijk zijn van overheidsinstanties, zoals coöperaties, onderlinge maatschappijen, verenigingen (met inbegrip van liefdadigheidsinstellingen), stichtingen (met inbegrip van sociale ondernemingen voor arbeidsintegratie) en andere rechtsvormen die per EU-lidstaat kunnen verschillen;</w:t>
            </w:r>
            <w:r>
              <w:t xml:space="preserve"> </w:t>
            </w:r>
            <w:r>
              <w:rPr>
                <w:b/>
                <w:i/>
              </w:rPr>
              <w:t>merkt op dat die ondernemingen en organisaties, die op alle gebieden actief zijn, in al hun diversiteit tevens een sterke gedeelde identiteit hebben die voortkomt uit gemeenschappelijke waarden en kenmerken, zoals het vooropstellen van het individu en sociale doelstellingen bóven kapitaal, gendergelijkheid, lokale en regionale verantwoordelijkheid, oog voor klimaat- en milieuproblematiek, inclusie en democratisch bestuur en het herinvesteren – met als gevolg een beperkte uitkering van winsten en activa aan leden en aandeelhouders – van het merendeel van de winst met het oog op het realiseren van de duurzame ontwikkelingsdoelen van de onderneming of organisatie, dan wel in het collectief of algemeen belang;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G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 ter.</w:t>
            </w:r>
            <w:r>
              <w:tab/>
            </w:r>
            <w:r>
              <w:rPr>
                <w:b/>
                <w:i/>
              </w:rPr>
              <w:t>overwegende dat tegen de achtergrond van een tergend langzame verbetering van de genderloonkloof uit onderzoek van Eurofound blijkt dat veel lidstaten tot dusver geen enkele maatregel hebben getroffen ten behoeve van loontransparantie en dat de meeste nationale instrumenten</w:t>
            </w:r>
            <w:r>
              <w:rPr>
                <w:b/>
                <w:i/>
                <w:vertAlign w:val="superscript"/>
              </w:rPr>
              <w:t>3 ter</w:t>
            </w:r>
            <w:r>
              <w:t xml:space="preserve"> </w:t>
            </w:r>
            <w:r>
              <w:rPr>
                <w:b/>
                <w:i/>
              </w:rPr>
              <w:t>die momenteel in gebruik zijn nog geen rekening houden met werk van gelijke waarde</w:t>
            </w:r>
            <w:r>
              <w:rPr>
                <w:b/>
                <w:i/>
                <w:vertAlign w:val="superscript"/>
              </w:rPr>
              <w:t>3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bis</w:t>
            </w:r>
            <w:r>
              <w:t xml:space="preserve"> </w:t>
            </w:r>
            <w:r>
              <w:rPr>
                <w:b/>
                <w:i/>
              </w:rPr>
              <w:t>Eurofound (2025, nog niet gepubliceerd onderzoek), Further experiences with pay transparency (Verdere ervaringen met loontransparantie).</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3 ter</w:t>
            </w:r>
            <w:r>
              <w:t xml:space="preserve"> </w:t>
            </w:r>
            <w:r>
              <w:rPr>
                <w:b/>
                <w:i/>
              </w:rPr>
              <w:t>Eurofound (2021), Gender pay transparency:</w:t>
            </w:r>
            <w:r>
              <w:t xml:space="preserve"> </w:t>
            </w:r>
            <w:r>
              <w:rPr>
                <w:b/>
                <w:i/>
              </w:rPr>
              <w:t>Advancing the cause through a truly European proposal (Gender en loontransparantie: Vooruitgang brengen via een echt Europees voorstel), artikel gepubliceerd op 18 juni 2021.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H.</w:t>
            </w:r>
            <w:r>
              <w:tab/>
            </w:r>
            <w:r>
              <w:rPr>
                <w:b/>
                <w:i/>
              </w:rPr>
              <w:t>overwegende dat eerlijke arbeidsmobiliteit kansen biedt voor bedrijven en werknemers en binnen de EU en onder werknemers uit derde landen moet worden bevorderd, waarbij wordt verzekerd dat de arbeids- en sociale rechten worden geëerbiedigd en gehandhaafd via legale migratiemogelijkheden;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overwegende dat eerlijke arbeidsmobiliteit kansen biedt voor bedrijven en werknemers en binnen de EU en onder werknemers uit derde landen moet worden bevorderd, waarbij wordt verzekerd dat de arbeids- en sociale rechten worden geëerbiedigd en gehandhaafd via legale migratiemogelijkheden;</w:t>
            </w:r>
          </w:p>
        </w:tc>
        <w:tc>
          <w:tcPr>
            <w:tcW w:w="4876" w:type="dxa"/>
            <w:tcBorders>
              <w:top w:val="nil"/>
              <w:left w:val="nil"/>
              <w:bottom w:val="nil"/>
              <w:right w:val="nil"/>
            </w:tcBorders>
          </w:tcPr>
          <w:p>
            <w:pPr>
              <w:pStyle w:val="Normal6a"/>
            </w:pPr>
            <w:r>
              <w:t>H.</w:t>
            </w:r>
            <w:r>
              <w:tab/>
            </w:r>
            <w:r>
              <w:t>overwegende dat eerlijke arbeidsmobiliteit kansen biedt voor bedrijven en werknemers en binnen de EU en onder werknemers uit derde landen moet worden bevorderd, waarbij wordt verzekerd dat de arbeids- en sociale rechten worden geëerbiedigd en gehandhaafd via legale migratiemogelijkheden</w:t>
            </w:r>
            <w:r>
              <w:rPr>
                <w:b/>
                <w:i/>
              </w:rPr>
              <w:t>, en dat ook gelijke behandeling en non-discriminatie worden geëerbiedigd en gehandhaafd, onder meer met betrekking tot de overdraagbaarheid binnen de interne markt van door arbeid verworven rechten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overwegende dat </w:t>
            </w:r>
            <w:r>
              <w:rPr>
                <w:b/>
                <w:i/>
              </w:rPr>
              <w:t>eerlijke</w:t>
            </w:r>
            <w:r>
              <w:t xml:space="preserve"> arbeidsmobiliteit kansen biedt voor bedrijven en werknemers en binnen de EU en onder werknemers uit derde landen moet worden bevorderd, waarbij wordt verzekerd dat de arbeids- en sociale rechten worden geëerbiedigd en gehandhaafd via legale migratiemogelijkheden;</w:t>
            </w:r>
          </w:p>
        </w:tc>
        <w:tc>
          <w:tcPr>
            <w:tcW w:w="4876" w:type="dxa"/>
            <w:tcBorders>
              <w:top w:val="nil"/>
              <w:left w:val="nil"/>
              <w:bottom w:val="nil"/>
              <w:right w:val="nil"/>
            </w:tcBorders>
          </w:tcPr>
          <w:p>
            <w:pPr>
              <w:pStyle w:val="Normal6a"/>
            </w:pPr>
            <w:r>
              <w:t>H.</w:t>
            </w:r>
            <w:r>
              <w:tab/>
            </w:r>
            <w:r>
              <w:t xml:space="preserve">overwegende dat arbeidsmobiliteit </w:t>
            </w:r>
            <w:r>
              <w:rPr>
                <w:b/>
                <w:i/>
              </w:rPr>
              <w:t>is verankerd in de Verdragen en</w:t>
            </w:r>
            <w:r>
              <w:t xml:space="preserve"> kansen biedt voor bedrijven en werknemers en binnen de EU en onder werknemers uit derde landen moet worden bevorderd, waarbij wordt verzekerd dat de arbeids- en sociale rechten </w:t>
            </w:r>
            <w:r>
              <w:rPr>
                <w:b/>
                <w:i/>
              </w:rPr>
              <w:t>ten volle</w:t>
            </w:r>
            <w:r>
              <w:t xml:space="preserve"> worden geëerbiedigd en gehandhaafd</w:t>
            </w:r>
            <w:r>
              <w:rPr>
                <w:b/>
                <w:i/>
              </w:rPr>
              <w:t>, ook voor onderdanen van derde landen</w:t>
            </w:r>
            <w:r>
              <w:t xml:space="preserve"> via legale migratiemogelijkheden </w:t>
            </w:r>
            <w:r>
              <w:rPr>
                <w:b/>
                <w:i/>
              </w:rPr>
              <w:t>en middels de bestrijding van zwartwerk</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H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H bis.</w:t>
            </w:r>
            <w:r>
              <w:tab/>
            </w:r>
            <w:r>
              <w:rPr>
                <w:b/>
                <w:i/>
              </w:rPr>
              <w:t>overwegende dat volgens onderzoek van Eurofound de industriële democratie nauw samenhangt met de kwaliteit van banen en werkgelegenheid en met het concurrentievermogen van de industrie, en dat de meest recente indicatoren inzake industriële democratie en industriële verhoudingen een gepolariseerd beeld laten zien met kleine groepen lidstaten die ofwel zeer hoog ofwel zeer laag scoren, waarbij voor de periode 2008 tot 2021 een licht toenemende divergentie wat betreft de score van lidstaten op industriële democratie kan worden vastgesteld</w:t>
            </w:r>
            <w:r>
              <w:rPr>
                <w:b/>
                <w:i/>
                <w:vertAlign w:val="superscript"/>
              </w:rPr>
              <w:t>4 bis</w:t>
            </w:r>
            <w:r>
              <w:rPr>
                <w:b/>
                <w:i/>
              </w:rP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4 bis</w:t>
            </w:r>
            <w:r>
              <w:t xml:space="preserve"> </w:t>
            </w:r>
            <w:r>
              <w:rPr>
                <w:b/>
                <w:i/>
              </w:rPr>
              <w:t>https://www.eurofound.europa.eu/en/publications/2023/measuring-key-dimensions-industrial-relations-and-industrial-democracy#:~:text=Executive%20summary,quality%20of%20work%20and%20employment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overwegende dat in het kader van de missie van de Internationale Arbeidsorganisatie om sociale rechtvaardigheid te bevorderen, haar fundamentele beginselen en rechten op het werk gericht zijn op het waarborgen van een eerlijke en fatsoenlijke werkomgeving voor iedereen – met inbegrip van de vrijheid van vereniging en het recht op collectieve onderhandelingen –, op de uitbanning van alle vormen van gedwongen of verplichte arbeid, op de daadwerkelijke afschaffing van kinderarbeid, op de uitbanning van discriminatie in arbeid en beroep, en op het recht op een veilige en gezonde werkomgeving; overwegende dat </w:t>
            </w:r>
            <w:r>
              <w:rPr>
                <w:b/>
                <w:i/>
              </w:rPr>
              <w:t>niet alle EU-lidstaten aan</w:t>
            </w:r>
            <w:r>
              <w:t xml:space="preserve"> deze verplichtingen </w:t>
            </w:r>
            <w:r>
              <w:rPr>
                <w:b/>
                <w:i/>
              </w:rPr>
              <w:t>voldoen</w:t>
            </w:r>
            <w:r>
              <w:t>;</w:t>
            </w:r>
          </w:p>
        </w:tc>
        <w:tc>
          <w:tcPr>
            <w:tcW w:w="4876" w:type="dxa"/>
            <w:tcBorders>
              <w:top w:val="nil"/>
              <w:left w:val="nil"/>
              <w:bottom w:val="nil"/>
              <w:right w:val="nil"/>
            </w:tcBorders>
          </w:tcPr>
          <w:p>
            <w:pPr>
              <w:pStyle w:val="Normal6a"/>
            </w:pPr>
            <w:r>
              <w:t>I.</w:t>
            </w:r>
            <w:r>
              <w:tab/>
            </w:r>
            <w:r>
              <w:rPr>
                <w:b/>
                <w:i/>
              </w:rPr>
              <w:t>overwegende dat de Internationale Arbeidsorganisatie gezien haar tripartiete structuur en brede lidmaatschap toonaangevend is op het gebied van mondiale arbeidsnormen;</w:t>
            </w:r>
            <w:r>
              <w:t xml:space="preserve"> overwegende dat in het kader van de missie van de Internationale Arbeidsorganisatie om sociale rechtvaardigheid te bevorderen, haar fundamentele beginselen en rechten op het werk gericht zijn op het waarborgen van een eerlijke en fatsoenlijke werkomgeving voor iedereen – met inbegrip van de vrijheid van vereniging en het recht op collectieve onderhandelingen –, op de uitbanning van alle vormen van gedwongen of verplichte arbeid, op de daadwerkelijke afschaffing van kinderarbeid, op de uitbanning van discriminatie in arbeid en beroep, en op het recht op een veilige en gezonde werkomgeving; overwegende dat </w:t>
            </w:r>
            <w:r>
              <w:rPr>
                <w:b/>
                <w:i/>
              </w:rPr>
              <w:t>sommige lidstaten problemen ondervinden bij de uitvoering en handhaving van</w:t>
            </w:r>
            <w:r>
              <w:t xml:space="preserve"> deze verplichtingen;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de sociale partners en maatschappelijke organisaties een centrale rol spelen bij het waarborgen van fatsoenlijke arbeidsomstandigheden en het bevorderen van sociale rechtvaardigheid en gelijkheid;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Overweging I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 bis.</w:t>
            </w:r>
            <w:r>
              <w:tab/>
            </w:r>
            <w:r>
              <w:rPr>
                <w:b/>
                <w:i/>
              </w:rPr>
              <w:t>overwegende dat deze rechten in de context van de EU worden beschermd door de EU-verdragen, het Handvest van de grondrechten en het EU-acquis inzake arbeidsrecht;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van mening dat de Commissie en de Raad hun inspanningen moeten opschroeven om de Europese pijler van sociale rechten (EPSR) toe te passen, in overeenstemming met </w:t>
            </w:r>
            <w:r>
              <w:rPr>
                <w:b/>
                <w:i/>
              </w:rPr>
              <w:t>het actieplan van maart 2021 en</w:t>
            </w:r>
            <w:r>
              <w:t xml:space="preserve"> de Verklaring van Terhulpen om de kerndoelen voor 2030 te verwezenlijken;</w:t>
            </w:r>
          </w:p>
        </w:tc>
        <w:tc>
          <w:tcPr>
            <w:tcW w:w="4876" w:type="dxa"/>
            <w:tcBorders>
              <w:top w:val="nil"/>
              <w:left w:val="nil"/>
              <w:bottom w:val="nil"/>
              <w:right w:val="nil"/>
            </w:tcBorders>
          </w:tcPr>
          <w:p>
            <w:pPr>
              <w:pStyle w:val="Normal6a"/>
            </w:pPr>
            <w:r>
              <w:t>1.</w:t>
            </w:r>
            <w:r>
              <w:tab/>
            </w:r>
            <w:r>
              <w:t xml:space="preserve">is van mening dat de Commissie en de Raad hun inspanningen moeten opschroeven om de Europese pijler van sociale rechten (EPSR) toe te passen, in overeenstemming met de Verklaring van Terhulpen </w:t>
            </w:r>
            <w:r>
              <w:rPr>
                <w:b/>
                <w:i/>
              </w:rPr>
              <w:t>en door middel van een ambitieuze actualisering van het actieplan, met concrete maatregelen en voorstellen om sociale convergentie te bevorderen, met name</w:t>
            </w:r>
            <w:r>
              <w:t xml:space="preserve"> om de kerndoelen voor 2030 te verwezenlijken; </w:t>
            </w:r>
            <w:r>
              <w:rPr>
                <w:b/>
                <w:i/>
              </w:rPr>
              <w:t>verzoekt de Commissie om, als onderdeel van het geactualiseerde actieplan, de huidige doelstellingen te beoordelen – om ervoor te zorgen dat zij hun relevantie behouden in de huidige sociale en arbeidscontext – en waar nodig aan te passen of aan te vullen;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is van mening dat de Commissie en de </w:t>
            </w:r>
            <w:r>
              <w:rPr>
                <w:b/>
                <w:i/>
              </w:rPr>
              <w:t>Raad</w:t>
            </w:r>
            <w:r>
              <w:t xml:space="preserve"> hun inspanningen moeten opschroeven om de Europese pijler van sociale rechten (EPSR) toe te passen, in overeenstemming met het actieplan van maart 2021 en de Verklaring van Terhulpen om de kerndoelen voor 2030 te verwezenlijken;</w:t>
            </w:r>
          </w:p>
        </w:tc>
        <w:tc>
          <w:tcPr>
            <w:tcW w:w="4876" w:type="dxa"/>
            <w:tcBorders>
              <w:top w:val="nil"/>
              <w:left w:val="nil"/>
              <w:bottom w:val="nil"/>
              <w:right w:val="nil"/>
            </w:tcBorders>
          </w:tcPr>
          <w:p>
            <w:pPr>
              <w:pStyle w:val="Normal6a"/>
            </w:pPr>
            <w:r>
              <w:t>1.</w:t>
            </w:r>
            <w:r>
              <w:tab/>
            </w:r>
            <w:r>
              <w:t xml:space="preserve">is van mening dat de Commissie en de </w:t>
            </w:r>
            <w:r>
              <w:rPr>
                <w:b/>
                <w:i/>
              </w:rPr>
              <w:t>lidstaten</w:t>
            </w:r>
            <w:r>
              <w:t xml:space="preserve"> hun inspanningen moeten opschroeven om de Europese pijler van sociale rechten (EPSR) toe te passen, in overeenstemming met </w:t>
            </w:r>
            <w:r>
              <w:rPr>
                <w:b/>
                <w:i/>
              </w:rPr>
              <w:t>Verordening (EU) 2024/1263.</w:t>
            </w:r>
            <w:r>
              <w:t xml:space="preserve"> het actieplan van maart 2021 en de Verklaring van Terhulpen om de kerndoelen voor 2030 te verwezenlijken; </w:t>
            </w:r>
            <w:r>
              <w:rPr>
                <w:b/>
                <w:i/>
              </w:rPr>
              <w:t>verzoekt de Commissie een nieuw actieplan voor te stellen met nieuwe kerndoelen en wetgevingsinitiatieven voor de volledige tenuitvoerlegging van de EPSR;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betreurt het feit dat de Europese Commissie haar focus heeft verlegd van sociale vooruitgang en de verwezenlijking van de SDG’s naar een agenda bestaande uit concurrentievermogen, vereenvoudiging en deregulering, waarbij zij haar sociale en groene verbintenissen heeft laten vallen; herinnert eraan dat sociale en economische veerkracht, met inbegrip van de Europese pijler van sociale rechten, tot de gemeenschappelijke doelstellingen van de Unie behoren;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bis.</w:t>
            </w:r>
            <w:r>
              <w:tab/>
            </w:r>
            <w:r>
              <w:rPr>
                <w:b/>
                <w:i/>
              </w:rPr>
              <w:t>herinnert eraan dat in de Agenda 2030 voor duurzame ontwikkeling van de VN en de daarmee samenhangende doelstellingen wordt erkend dat het uitbannen van armoede in al haar vormen en dimensies, met inbegrip van extreme armoede, de grootste mondiale uitdaging en een onmisbare vereiste voor duurzame ontwikkeling is, en dat niemand aan zijn lot mag worden overgelaten en dat degenen met de grootste achterstand als eerste geholpen moeten worden;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ter.</w:t>
            </w:r>
            <w:r>
              <w:tab/>
            </w:r>
            <w:r>
              <w:rPr>
                <w:b/>
                <w:i/>
              </w:rPr>
              <w:t>uit zijn bezorgdheid over het feit dat de SDG’s niet expliciet worden genoemd in de politieke beleidslijnen van de huidige voorzitter van de Europese Commissie en is ingenomen met het feit dat in de missie wordt gespecificeerd dat de individuele leden van het college er binnen hun respectieve beleidsterreinen op zullen toezien dat de EU-streefcijfers en -doelstellingen, alsook de duurzameontwikkelingsdoelstellingen van de Verenigde Naties, worden verwezenlijkt;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quater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quater.</w:t>
            </w:r>
            <w:r>
              <w:tab/>
            </w:r>
            <w:r>
              <w:rPr>
                <w:b/>
                <w:i/>
              </w:rPr>
              <w:t>betreurt de in het algemeen trage vooruitgang in de EU op het gebied van de SDG’s, erop wijzend dat het tempo van de SDG-vooruitgang in de periode 2020-2023 meer dan twee keer zo laag is (+ 0,8 punten) dan in de periode 2016-2019 (+ 1,9 punten);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quinquies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quinquies.</w:t>
            </w:r>
            <w:r>
              <w:tab/>
            </w:r>
            <w:r>
              <w:rPr>
                <w:b/>
                <w:i/>
              </w:rPr>
              <w:t>benadrukt dat de SDG’s grotendeels een investeringsagenda zijn, met name in menselijk kapitaal (o.a. onderwijs, gezondheid, sociale bescherming) en fysieke infrastructuur (o.a. hernieuwbare energie en netwerken, toegang tot technologie);</w:t>
            </w:r>
            <w:r>
              <w:t xml:space="preserve"> </w:t>
            </w:r>
            <w:r>
              <w:rPr>
                <w:b/>
                <w:i/>
              </w:rPr>
              <w:t>is bezorgd dat de Europese middelen zullen worden besteed aan defensie en concurrentievermogen, ten koste van de agenda voor sociale ontwikkeling;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 sexies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 sexies.</w:t>
            </w:r>
            <w:r>
              <w:tab/>
            </w:r>
            <w:r>
              <w:rPr>
                <w:b/>
                <w:i/>
              </w:rPr>
              <w:t>verzoekt de Commissie en de lidstaten samen te werken met het Europees Parlement bij de ontwikkeling van een nieuwe Europese sociale deal voor de toekomst met duidelijke toezeggingen en investeringen op de volgende gebieden:</w:t>
            </w:r>
            <w:r>
              <w:t xml:space="preserve"> </w:t>
            </w:r>
            <w:r>
              <w:rPr>
                <w:b/>
                <w:i/>
              </w:rPr>
              <w:t>verlaging van het risico op armoede en sociale uitsluiting van Europeanen, en verwezenlijking van nettonulemissies in de EU tegen 2050;</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de drie kernthema’s van de Wereldtop over Sociale Ontwikkeling van 1995 in Kopenhagen nog steeds relevant, belangrijk en onderling met elkaar verbonden zijn en worden beschouwd als de drie pijlers van sociale ontwikkeling, namelijk de uitbanning van armoede, volledige en productieve tewerkstelling en waardig werk voor iedereen, en sociale inclusie;</w:t>
            </w:r>
          </w:p>
        </w:tc>
        <w:tc>
          <w:tcPr>
            <w:tcW w:w="4876" w:type="dxa"/>
            <w:tcBorders>
              <w:top w:val="nil"/>
              <w:left w:val="nil"/>
              <w:bottom w:val="nil"/>
              <w:right w:val="nil"/>
            </w:tcBorders>
          </w:tcPr>
          <w:p>
            <w:pPr>
              <w:pStyle w:val="Normal6a"/>
            </w:pPr>
            <w:r>
              <w:t>2.</w:t>
            </w:r>
            <w:r>
              <w:tab/>
            </w:r>
            <w:r>
              <w:t>wijst erop dat de drie kernthema’s van de Wereldtop over Sociale Ontwikkeling van 1995 in Kopenhagen nog steeds relevant, belangrijk en onderling met elkaar verbonden zijn en worden beschouwd als de drie pijlers van sociale ontwikkeling, namelijk de uitbanning van armoede, volledige en productieve tewerkstelling en waardig werk voor iedereen, en sociale inclusie</w:t>
            </w:r>
            <w:r>
              <w:rPr>
                <w:b/>
                <w:i/>
              </w:rPr>
              <w:t>, maar benadrukt dat deze niet tegen lidstaten mogen worden ingezet met het al dan niet directe doel migratie vanuit derde landen te bevorderen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wijst erop dat de drie kernthema’s van de Wereldtop over Sociale Ontwikkeling van 1995 in Kopenhagen nog steeds relevant, belangrijk en onderling met elkaar verbonden zijn en worden beschouwd als de drie pijlers van sociale ontwikkeling, namelijk de uitbanning van armoede, volledige en productieve tewerkstelling en waardig werk voor iedereen, en sociale inclusie;</w:t>
            </w:r>
          </w:p>
        </w:tc>
        <w:tc>
          <w:tcPr>
            <w:tcW w:w="4876" w:type="dxa"/>
            <w:tcBorders>
              <w:top w:val="nil"/>
              <w:left w:val="nil"/>
              <w:bottom w:val="nil"/>
              <w:right w:val="nil"/>
            </w:tcBorders>
          </w:tcPr>
          <w:p>
            <w:pPr>
              <w:pStyle w:val="Normal6a"/>
            </w:pPr>
            <w:r>
              <w:t>2.</w:t>
            </w:r>
            <w:r>
              <w:tab/>
            </w:r>
            <w:r>
              <w:t>wijst erop dat de drie kernthema’s van de Wereldtop over Sociale Ontwikkeling van 1995 in Kopenhagen nog steeds relevant, belangrijk en onderling met elkaar verbonden zijn</w:t>
            </w:r>
            <w:r>
              <w:rPr>
                <w:b/>
                <w:i/>
              </w:rPr>
              <w:t>, en dat zij elkaar versterken</w:t>
            </w:r>
            <w:r>
              <w:t xml:space="preserve"> en worden beschouwd als de drie pijlers van sociale ontwikkeling, namelijk de uitbanning van armoede, volledige en productieve tewerkstelling en waardig werk voor iedereen, en sociale inclusie;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2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 bis.</w:t>
            </w:r>
            <w:r>
              <w:tab/>
            </w:r>
            <w:r>
              <w:rPr>
                <w:b/>
                <w:i/>
              </w:rPr>
              <w:t>dringt er bij de VN-lidstaten op aan de rol van de sociale partners en maatschappelijke organisaties op hun grondgebied te ondersteunen en te bevorderen en ervoor te zorgen dat zij op zinvolle wijze worden betrokken bij de voorbereiding en follow-up van de top;</w:t>
            </w:r>
            <w:r>
              <w:t xml:space="preserve"> </w:t>
            </w:r>
            <w:r>
              <w:rPr>
                <w:b/>
                <w:i/>
              </w:rPr>
              <w:t>benadrukt dat een sterke betrokkenheid van meerdere belanghebbenden bij de beleidsvorming en doeltreffende collectieve onderhandelingen een aanzienlijke bijdrage kunnen leveren aan de verwezenlijking van de doelstellingen van sociale ontwikkeling;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dat het belangrijk is het sociaal scorebord en het kader voor sociale convergentie te gebruiken om de risico’s in kaart te brengen en de vooruitgang te monitoren bij het verminderen van ongelijkheid, het versterken van socialebeschermingsstelsels en het bevorderen van fatsoenlijke arbeidsomstandigheden </w:t>
            </w:r>
            <w:r>
              <w:rPr>
                <w:b/>
                <w:i/>
              </w:rPr>
              <w:t>en steunmaatregelen voor werknemers</w:t>
            </w:r>
            <w:r>
              <w:t xml:space="preserve"> om de transities </w:t>
            </w:r>
            <w:r>
              <w:rPr>
                <w:b/>
                <w:i/>
              </w:rPr>
              <w:t>in goede banen te leiden</w:t>
            </w:r>
            <w:r>
              <w:t>; benadrukt dat het in dat verband noodzakelijk is om te streven naar een duurzaam, sociaal rechtvaardig en inclusief Europa waar sociale rechten volledig worden beschermd en gewaarborgd; herinnert eraan dat de EU-burgers hebben aangegeven dat een sociaal Europa een van hun prioriteiten is;</w:t>
            </w:r>
          </w:p>
        </w:tc>
        <w:tc>
          <w:tcPr>
            <w:tcW w:w="4876" w:type="dxa"/>
            <w:tcBorders>
              <w:top w:val="nil"/>
              <w:left w:val="nil"/>
              <w:bottom w:val="nil"/>
              <w:right w:val="nil"/>
            </w:tcBorders>
          </w:tcPr>
          <w:p>
            <w:pPr>
              <w:pStyle w:val="Normal6a"/>
            </w:pPr>
            <w:r>
              <w:t>3.</w:t>
            </w:r>
            <w:r>
              <w:tab/>
            </w:r>
            <w:r>
              <w:rPr>
                <w:b/>
                <w:i/>
              </w:rPr>
              <w:t>benadrukt dat de Commissie dringend met een pakket inzake hoogwaardige banen moet komen, met inbegrip van de nodige wetgevingsinitiatieven en investeringen die hoogwaardige banen moeten opleveren;</w:t>
            </w:r>
            <w:r>
              <w:t xml:space="preserve"> benadrukt dat het belangrijk is het sociaal scorebord en het kader voor sociale convergentie te gebruiken om de risico’s in kaart te brengen en de vooruitgang te monitoren bij het </w:t>
            </w:r>
            <w:r>
              <w:rPr>
                <w:b/>
                <w:i/>
              </w:rPr>
              <w:t>bewerkstelligen van opwaartse sociale en loonconvergentie, het</w:t>
            </w:r>
            <w:r>
              <w:t xml:space="preserve"> verminderen van ongelijkheid, het versterken van socialebeschermingsstelsels en het bevorderen van fatsoenlijke arbeidsomstandigheden om </w:t>
            </w:r>
            <w:r>
              <w:rPr>
                <w:b/>
                <w:i/>
              </w:rPr>
              <w:t>ervoor te zorgen dat</w:t>
            </w:r>
            <w:r>
              <w:t xml:space="preserve"> de transities </w:t>
            </w:r>
            <w:r>
              <w:rPr>
                <w:b/>
                <w:i/>
              </w:rPr>
              <w:t>eerlijk verlopen</w:t>
            </w:r>
            <w:r>
              <w:t>; benadrukt dat het in dat verband noodzakelijk is om te streven naar een duurzaam, sociaal rechtvaardig en inclusief Europa waar sociale rechten volledig worden beschermd en gewaarborgd; herinnert eraan dat de EU-burgers hebben aangegeven dat een sociaal Europa een van hun prioriteiten 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Marie Dauchy, Mélanie Disdier, Rachel Blom</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benadrukt dat het belangrijk is het sociaal scorebord en het kader voor sociale convergentie te gebruiken om de risico’s in kaart te brengen en de vooruitgang te monitoren bij het verminderen van ongelijkheid, het versterken van socialebeschermingsstelsels en het bevorderen van fatsoenlijke arbeidsomstandigheden en steunmaatregelen voor werknemers om de </w:t>
            </w:r>
            <w:r>
              <w:rPr>
                <w:b/>
                <w:i/>
              </w:rPr>
              <w:t>transities</w:t>
            </w:r>
            <w:r>
              <w:t xml:space="preserve"> in goede banen te leiden; benadrukt dat het in dat verband noodzakelijk is om te streven naar een duurzaam, sociaal rechtvaardig en inclusief Europa waar sociale rechten volledig worden beschermd en gewaarborgd; herinnert eraan dat de EU-burgers hebben aangegeven dat een sociaal Europa een van </w:t>
            </w:r>
            <w:r>
              <w:rPr>
                <w:b/>
                <w:i/>
              </w:rPr>
              <w:t>hun</w:t>
            </w:r>
            <w:r>
              <w:t xml:space="preserve"> prioriteiten is;</w:t>
            </w:r>
          </w:p>
        </w:tc>
        <w:tc>
          <w:tcPr>
            <w:tcW w:w="4876" w:type="dxa"/>
            <w:tcBorders>
              <w:top w:val="nil"/>
              <w:left w:val="nil"/>
              <w:bottom w:val="nil"/>
              <w:right w:val="nil"/>
            </w:tcBorders>
          </w:tcPr>
          <w:p>
            <w:pPr>
              <w:pStyle w:val="Normal6a"/>
            </w:pPr>
            <w:r>
              <w:t>3.</w:t>
            </w:r>
            <w:r>
              <w:tab/>
            </w:r>
            <w:r>
              <w:t xml:space="preserve">benadrukt dat het belangrijk is het sociaal scorebord en het kader voor sociale convergentie te gebruiken om de risico’s in kaart te brengen en de vooruitgang te monitoren bij het verminderen van ongelijkheid, het versterken van socialebeschermingsstelsels en het bevorderen van fatsoenlijke arbeidsomstandigheden en steunmaatregelen voor werknemers om de </w:t>
            </w:r>
            <w:r>
              <w:rPr>
                <w:b/>
                <w:i/>
              </w:rPr>
              <w:t>loopbaantransities</w:t>
            </w:r>
            <w:r>
              <w:t xml:space="preserve"> in goede banen te leiden; benadrukt dat het in dat verband noodzakelijk is om </w:t>
            </w:r>
            <w:r>
              <w:rPr>
                <w:b/>
                <w:i/>
              </w:rPr>
              <w:t>voor de Europeanen</w:t>
            </w:r>
            <w:r>
              <w:t xml:space="preserve"> te streven naar een duurzaam, sociaal rechtvaardig en inclusief Europa waar sociale rechten volledig worden beschermd en gewaarborgd; herinnert eraan dat de EU-burgers hebben aangegeven dat een sociaal Europa </w:t>
            </w:r>
            <w:r>
              <w:rPr>
                <w:b/>
                <w:i/>
              </w:rPr>
              <w:t>voor hen zelf</w:t>
            </w:r>
            <w:r>
              <w:t xml:space="preserve"> een van </w:t>
            </w:r>
            <w:r>
              <w:rPr>
                <w:b/>
                <w:i/>
              </w:rPr>
              <w:t>de</w:t>
            </w:r>
            <w:r>
              <w:t xml:space="preserve"> prioriteiten is;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dringt er bij</w:t>
            </w:r>
            <w:r>
              <w:t xml:space="preserve"> de lidstaten </w:t>
            </w:r>
            <w:r>
              <w:rPr>
                <w:b/>
                <w:i/>
              </w:rPr>
              <w:t>op aan democratie op het werk, de sociale dialoog en collectieve onderhandelingen te bevorderen en</w:t>
            </w:r>
            <w:r>
              <w:t xml:space="preserve"> de rechten van werknemers te beschermen, met name in </w:t>
            </w:r>
            <w:r>
              <w:rPr>
                <w:b/>
                <w:i/>
              </w:rPr>
              <w:t>het kader van de groene en</w:t>
            </w:r>
            <w:r>
              <w:t xml:space="preserve"> de digitale </w:t>
            </w:r>
            <w:r>
              <w:rPr>
                <w:b/>
                <w:i/>
              </w:rPr>
              <w:t>transitie, te zorgen voor</w:t>
            </w:r>
            <w:r>
              <w:t xml:space="preserve"> een gelijke beloning van mannen en vrouwen voor gelijk werk</w:t>
            </w:r>
            <w:r>
              <w:rPr>
                <w:b/>
                <w:i/>
              </w:rPr>
              <w:t>, de loontransparantie te verhogen en gendergerelateerde ongelijkheid aan te pakken om de genderloonkloof in de EU te dichten</w:t>
            </w:r>
            <w:r>
              <w:t>;</w:t>
            </w:r>
          </w:p>
        </w:tc>
        <w:tc>
          <w:tcPr>
            <w:tcW w:w="4876" w:type="dxa"/>
            <w:tcBorders>
              <w:top w:val="nil"/>
              <w:left w:val="nil"/>
              <w:bottom w:val="nil"/>
              <w:right w:val="nil"/>
            </w:tcBorders>
          </w:tcPr>
          <w:p>
            <w:pPr>
              <w:pStyle w:val="Normal6a"/>
            </w:pPr>
            <w:r>
              <w:t>4.</w:t>
            </w:r>
            <w:r>
              <w:tab/>
            </w:r>
            <w:r>
              <w:rPr>
                <w:b/>
                <w:i/>
              </w:rPr>
              <w:t>beveelt</w:t>
            </w:r>
            <w:r>
              <w:t xml:space="preserve"> de lidstaten </w:t>
            </w:r>
            <w:r>
              <w:rPr>
                <w:b/>
                <w:i/>
              </w:rPr>
              <w:t>aan</w:t>
            </w:r>
            <w:r>
              <w:t xml:space="preserve"> de rechten van werknemers te beschermen, met name in </w:t>
            </w:r>
            <w:r>
              <w:rPr>
                <w:b/>
                <w:i/>
              </w:rPr>
              <w:t>de context van</w:t>
            </w:r>
            <w:r>
              <w:t xml:space="preserve"> de digitale </w:t>
            </w:r>
            <w:r>
              <w:rPr>
                <w:b/>
                <w:i/>
              </w:rPr>
              <w:t>en milieutransformatie, en</w:t>
            </w:r>
            <w:r>
              <w:t xml:space="preserve"> een gelijke beloning van mannen en vrouwen voor gelijk werk </w:t>
            </w:r>
            <w:r>
              <w:rPr>
                <w:b/>
                <w:i/>
              </w:rPr>
              <w:t>te bevorderen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er bij de lidstaten op aan democratie op het werk, de sociale dialoog en collectieve onderhandelingen te bevorderen en de rechten van werknemers te beschermen, met name in het kader van de groene en de digitale transitie, te zorgen voor een gelijke beloning van mannen en vrouwen voor gelijk werk, de loontransparantie te verhogen en gendergerelateerde ongelijkheid aan te pakken om de genderloonkloof in de EU te dichten;</w:t>
            </w:r>
          </w:p>
        </w:tc>
        <w:tc>
          <w:tcPr>
            <w:tcW w:w="4876" w:type="dxa"/>
            <w:tcBorders>
              <w:top w:val="nil"/>
              <w:left w:val="nil"/>
              <w:bottom w:val="nil"/>
              <w:right w:val="nil"/>
            </w:tcBorders>
          </w:tcPr>
          <w:p>
            <w:pPr>
              <w:pStyle w:val="Normal6a"/>
            </w:pPr>
            <w:r>
              <w:t>4.</w:t>
            </w:r>
            <w:r>
              <w:tab/>
            </w:r>
            <w:r>
              <w:t xml:space="preserve">dringt er bij </w:t>
            </w:r>
            <w:r>
              <w:rPr>
                <w:b/>
                <w:i/>
              </w:rPr>
              <w:t>de Commissie en</w:t>
            </w:r>
            <w:r>
              <w:t xml:space="preserve"> de lidstaten op aan democratie op het werk, de sociale dialoog en collectieve onderhandelingen te bevorderen en de rechten van werknemers te beschermen, met name in het kader van de groene en de digitale transitie, te zorgen voor een gelijke beloning van mannen en vrouwen voor gelijk werk, de loontransparantie te verhogen en gendergerelateerde ongelijkheid aan te pakken om de genderloonkloof in de EU te dichten; </w:t>
            </w:r>
            <w:r>
              <w:rPr>
                <w:b/>
                <w:i/>
              </w:rPr>
              <w:t>benadrukt dat in het volgende MFK voldoende middelen moeten worden toegewezen om de sociale dialoog en collectieve onderhandelingen te ondersteunen en de capaciteitsopbouw voor de sociale partners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dringt er bij</w:t>
            </w:r>
            <w:r>
              <w:t xml:space="preserve"> de lidstaten </w:t>
            </w:r>
            <w:r>
              <w:rPr>
                <w:b/>
                <w:i/>
              </w:rPr>
              <w:t>op aan</w:t>
            </w:r>
            <w:r>
              <w:t xml:space="preserve"> democratie </w:t>
            </w:r>
            <w:r>
              <w:rPr>
                <w:b/>
                <w:i/>
              </w:rPr>
              <w:t>op het werk</w:t>
            </w:r>
            <w:r>
              <w:t>, de sociale dialoog en collectieve onderhandelingen te bevorderen en de rechten van werknemers te beschermen, met name in het kader van de groene en de digitale transitie, te zorgen voor een gelijke beloning van mannen en vrouwen voor gelijk werk, de loontransparantie te verhogen en gendergerelateerde ongelijkheid aan te pakken om de genderloonkloof in de EU te dichten;</w:t>
            </w:r>
          </w:p>
        </w:tc>
        <w:tc>
          <w:tcPr>
            <w:tcW w:w="4876" w:type="dxa"/>
            <w:tcBorders>
              <w:top w:val="nil"/>
              <w:left w:val="nil"/>
              <w:bottom w:val="nil"/>
              <w:right w:val="nil"/>
            </w:tcBorders>
          </w:tcPr>
          <w:p>
            <w:pPr>
              <w:pStyle w:val="Normal6a"/>
            </w:pPr>
            <w:r>
              <w:t>4.</w:t>
            </w:r>
            <w:r>
              <w:tab/>
            </w:r>
            <w:r>
              <w:rPr>
                <w:b/>
                <w:i/>
              </w:rPr>
              <w:t>verzoekt</w:t>
            </w:r>
            <w:r>
              <w:t xml:space="preserve"> de lidstaten </w:t>
            </w:r>
            <w:r>
              <w:rPr>
                <w:b/>
                <w:i/>
              </w:rPr>
              <w:t>de</w:t>
            </w:r>
            <w:r>
              <w:t xml:space="preserve"> democratie, de sociale dialoog en collectieve onderhandelingen te bevorderen en de rechten van werknemers te beschermen, met name in het kader van de groene en de digitale transitie, te zorgen voor een gelijke beloning van mannen en vrouwen voor gelijk werk, de loontransparantie te verhogen</w:t>
            </w:r>
            <w:r>
              <w:rPr>
                <w:b/>
                <w:i/>
              </w:rPr>
              <w:t>, de integratie van mensen met een handicap op de werkvloer en hun toegang tot aangepaste huisvesting te ondersteunen,</w:t>
            </w:r>
            <w:r>
              <w:t xml:space="preserve"> en gendergerelateerde ongelijkheid aan te pakken om de genderloonkloof in de EU te dichten;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Francesco Torselli, Chiara Gemma,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dringt er bij de lidstaten op aan democratie op het werk</w:t>
            </w:r>
            <w:r>
              <w:rPr>
                <w:b/>
                <w:i/>
              </w:rPr>
              <w:t>,</w:t>
            </w:r>
            <w:r>
              <w:t xml:space="preserve"> de sociale dialoog </w:t>
            </w:r>
            <w:r>
              <w:rPr>
                <w:b/>
                <w:i/>
              </w:rPr>
              <w:t>en collectieve onderhandelingen</w:t>
            </w:r>
            <w:r>
              <w:t xml:space="preserve"> te bevorderen en de rechten van werknemers te beschermen</w:t>
            </w:r>
            <w:r>
              <w:rPr>
                <w:b/>
                <w:i/>
              </w:rPr>
              <w:t>, met name in het kader van de groene en de digitale transitie,</w:t>
            </w:r>
            <w:r>
              <w:t xml:space="preserve"> te zorgen voor een gelijke beloning van mannen en vrouwen voor gelijk werk, de loontransparantie te verhogen en gendergerelateerde ongelijkheid aan te pakken om de genderloonkloof in de EU te dichten;</w:t>
            </w:r>
          </w:p>
        </w:tc>
        <w:tc>
          <w:tcPr>
            <w:tcW w:w="4876" w:type="dxa"/>
            <w:tcBorders>
              <w:top w:val="nil"/>
              <w:left w:val="nil"/>
              <w:bottom w:val="nil"/>
              <w:right w:val="nil"/>
            </w:tcBorders>
          </w:tcPr>
          <w:p>
            <w:pPr>
              <w:pStyle w:val="Normal6a"/>
            </w:pPr>
            <w:r>
              <w:t>4.</w:t>
            </w:r>
            <w:r>
              <w:tab/>
            </w:r>
            <w:r>
              <w:t xml:space="preserve">dringt er bij de lidstaten op aan democratie op het werk </w:t>
            </w:r>
            <w:r>
              <w:rPr>
                <w:b/>
                <w:i/>
              </w:rPr>
              <w:t>en</w:t>
            </w:r>
            <w:r>
              <w:t xml:space="preserve"> de sociale dialoog te bevorderen en de rechten van werknemers te beschermen </w:t>
            </w:r>
            <w:r>
              <w:rPr>
                <w:b/>
                <w:i/>
              </w:rPr>
              <w:t>en</w:t>
            </w:r>
            <w:r>
              <w:t xml:space="preserve"> te zorgen voor een gelijke beloning van mannen en vrouwen voor gelijk werk, de loontransparantie te verhogen en gendergerelateerde ongelijkheid aan te pakken om de genderloonkloof in de EU te dichten;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dringt er bij de lidstaten op aan democratie op het werk, de sociale dialoog en collectieve onderhandelingen te bevorderen en de rechten van werknemers te beschermen, met name in het kader van de groene en de digitale transitie, te zorgen voor een gelijke beloning van mannen en vrouwen voor gelijk werk, de loontransparantie te verhogen en gendergerelateerde ongelijkheid aan te pakken om de </w:t>
            </w:r>
            <w:r>
              <w:rPr>
                <w:b/>
                <w:i/>
              </w:rPr>
              <w:t>genderloonkloof</w:t>
            </w:r>
            <w:r>
              <w:t xml:space="preserve"> in de EU te dichten;</w:t>
            </w:r>
          </w:p>
        </w:tc>
        <w:tc>
          <w:tcPr>
            <w:tcW w:w="4876" w:type="dxa"/>
            <w:tcBorders>
              <w:top w:val="nil"/>
              <w:left w:val="nil"/>
              <w:bottom w:val="nil"/>
              <w:right w:val="nil"/>
            </w:tcBorders>
          </w:tcPr>
          <w:p>
            <w:pPr>
              <w:pStyle w:val="Normal6a"/>
            </w:pPr>
            <w:r>
              <w:t>4.</w:t>
            </w:r>
            <w:r>
              <w:tab/>
            </w:r>
            <w:r>
              <w:t xml:space="preserve">dringt er bij de lidstaten op aan democratie op het werk, de sociale dialoog en collectieve onderhandelingen te bevorderen en de rechten van werknemers te beschermen, met name in het kader van de groene en de digitale transitie, te zorgen voor een gelijke beloning van mannen en vrouwen voor gelijk werk, de loontransparantie te verhogen en gendergerelateerde ongelijkheid aan te pakken om de </w:t>
            </w:r>
            <w:r>
              <w:rPr>
                <w:b/>
                <w:i/>
              </w:rPr>
              <w:t>genderkloof op het gebied van lonen, pensioenen en werkgelegenheid</w:t>
            </w:r>
            <w:r>
              <w:t xml:space="preserve"> in de EU te dichten;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 bis.</w:t>
            </w:r>
            <w:r>
              <w:tab/>
            </w:r>
            <w:r>
              <w:rPr>
                <w:b/>
                <w:i/>
              </w:rPr>
              <w:t>dringt aan op loonsverhogingen met het oog op het waarborgen van een fatsoenlijke levensstandaard en de bevordering van opwaartse loonconvergentie, onder meer door collectieve onderhandelingen te bevorderen en Richtlijn (EU) 2022/2041 betreffende toereikende minimumlonen in de Europese Unie volledig ten uitvoer te leggen;</w:t>
            </w:r>
            <w:r>
              <w:t xml:space="preserve"> </w:t>
            </w:r>
            <w:r>
              <w:rPr>
                <w:b/>
                <w:i/>
              </w:rPr>
              <w:t>herhaalt voorts dat het belangrijk is ervoor te zorgen dat in mondiale toeleveringsketens fatsoenlijke, toereikende lonen worden betaald, en dringt erop aan dat multinationale ondernemingen in dit verband verantwoording afleggen, onder meer door middel van bindende wetgeving inzake passende zorgvuldigheid die ook buiten de EU eerlijke loonpraktijken handhaaft;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dringt erop aan meer inspanningen te leveren in de strijd tegen discriminatie en intimidatie op de werkvloer;</w:t>
            </w:r>
          </w:p>
        </w:tc>
        <w:tc>
          <w:tcPr>
            <w:tcW w:w="4876" w:type="dxa"/>
            <w:tcBorders>
              <w:top w:val="nil"/>
              <w:left w:val="nil"/>
              <w:bottom w:val="nil"/>
              <w:right w:val="nil"/>
            </w:tcBorders>
          </w:tcPr>
          <w:p>
            <w:pPr>
              <w:pStyle w:val="Normal6a"/>
            </w:pPr>
            <w:r>
              <w:t>5.</w:t>
            </w:r>
            <w:r>
              <w:tab/>
            </w:r>
            <w:r>
              <w:t xml:space="preserve">dringt erop aan meer inspanningen te leveren in de strijd tegen </w:t>
            </w:r>
            <w:r>
              <w:rPr>
                <w:b/>
                <w:i/>
              </w:rPr>
              <w:t>geweld,</w:t>
            </w:r>
            <w:r>
              <w:t xml:space="preserve"> discriminatie en intimidatie op de werkvloer</w:t>
            </w:r>
            <w:r>
              <w:rPr>
                <w:b/>
                <w:i/>
              </w:rPr>
              <w:t>, ook in digitale omgevingen</w:t>
            </w:r>
            <w:r>
              <w:t xml:space="preserve">; </w:t>
            </w:r>
            <w:r>
              <w:rPr>
                <w:b/>
                <w:i/>
              </w:rPr>
              <w:t>benadrukt het belang van preventieve en beschermende maatregelen op de werkplek om het welzijn en de lichamelijke en geestelijke gezondheid van werknemers te beschermen;</w:t>
            </w:r>
            <w:r>
              <w:t xml:space="preserve"> </w:t>
            </w:r>
            <w:r>
              <w:rPr>
                <w:b/>
                <w:i/>
              </w:rPr>
              <w:t>wijst op de toename van werkgerelateerde psychologische stress, waaronder burn-out, angst en posttraumatische stress, die in verband worden gebracht met nieuwe vormen van arbeidsorganisatie, constante bereikbaarheid en digitale surveillance;</w:t>
            </w:r>
            <w:r>
              <w:t xml:space="preserve"> </w:t>
            </w:r>
            <w:r>
              <w:rPr>
                <w:b/>
                <w:i/>
              </w:rPr>
              <w:t>verzoekt de Commissie de geestelijke gezondheid van werknemers te beschermen en herhaalt dat er dringend behoefte is aan een wetgevingsinitiatief om psychosociale risico’s op het werk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herinnert aan de rol van relevante Europese fondsen zoals het ESF+, het Sociaal Klimaatfonds en de herstel- en veerkrachtfaciliteit bij de bestrijding van armoede en sociale uitsluiting en dringt er bij de lidstaten op aan om, met de steun van de Commissie, hun potentieel in dit verband ten volle te benutten;</w:t>
            </w:r>
            <w:r>
              <w:t xml:space="preserve"> </w:t>
            </w:r>
            <w:r>
              <w:rPr>
                <w:b/>
                <w:i/>
              </w:rPr>
              <w:t>benadrukt dat in het volgende MFK krachtige, op zichzelf staande instrumenten ter bestrijding van armoede en sociale uitsluiting moeten worden opgenomen;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bis.</w:t>
            </w:r>
            <w:r>
              <w:tab/>
            </w:r>
            <w:r>
              <w:rPr>
                <w:b/>
                <w:i/>
              </w:rPr>
              <w:t>verzoekt de Commissie en de lidstaten gendermainstreaming toe te passen op alle beleidsterreinen en wetgevingsteksten;</w:t>
            </w:r>
            <w:r>
              <w:t xml:space="preserve"> </w:t>
            </w:r>
            <w:r>
              <w:rPr>
                <w:b/>
                <w:i/>
              </w:rPr>
              <w:t>herinnert eraan dat sociale inclusie en rechtvaardigheid nooit zullen worden bereikt zonder gelijke behandeling;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5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 ter.</w:t>
            </w:r>
            <w:r>
              <w:tab/>
            </w:r>
            <w:r>
              <w:rPr>
                <w:b/>
                <w:i/>
              </w:rPr>
              <w:t>herinnert voorts aan de rol die de Europese Unie speelt in de sociale ontwikkeling van derde landen, onder meer via fondsen zoals Europa in de wereld;</w:t>
            </w:r>
            <w:r>
              <w:t xml:space="preserve"> </w:t>
            </w:r>
            <w:r>
              <w:rPr>
                <w:b/>
                <w:i/>
              </w:rPr>
              <w:t>betreurt ten zeerste dat een aantal landen hun financiering voor ontwikkeling, met inbegrip van sociale ontwikkeling, hebben ingetrokken, hetgeen verwoestende gevolgen heeft voor de levens en de bestaansmiddelen van mensen;</w:t>
            </w:r>
            <w:r>
              <w:t xml:space="preserve"> </w:t>
            </w:r>
            <w:r>
              <w:rPr>
                <w:b/>
                <w:i/>
              </w:rPr>
              <w:t>dringt er bij de Europese Unie op aan zich in het huidige en het volgende MFK krachtig te blijven inzetten voor de ondersteuning van sociale ontwikkeling in het buitenland om stabiliteit en stabiele financiering te waarborgen, en samen te werken met alle relevante actoren om te zorgen voor een blijvende inzet voor de doelstellingen inzake sociale ontwikkeling wereldwijd;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6.</w:t>
            </w:r>
            <w:r>
              <w:tab/>
            </w:r>
            <w:r>
              <w:rPr>
                <w:b/>
                <w:i/>
              </w:rPr>
              <w:t>dringt aan op een holistische visie op sociale bescherming en inclusie en op een voorstel voor een ambitieuze strategie die vergezeld moet gaan van voldoende steun in het volgende meerjarig financieel kader (MFK), op basis van het komende initiatiefverslag van het Parlement over de EU-strategie tegen armoede en een ambitieus plan voor betaalbare huisvesting om de huisvestingscrisis aan te pakken en dakloosheid te bestrijden;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dringt aan op een holistische visie op sociale bescherming en inclusie en op een voorstel voor een ambitieuze strategie die vergezeld moet gaan van voldoende steun in het volgende meerjarig financieel kader (MFK), op basis van het komende initiatiefverslag van het Parlement over de EU-strategie tegen armoede en een ambitieus plan voor betaalbare huisvesting om de huisvestingscrisis aan te pakken en dakloosheid te bestrijden;</w:t>
            </w:r>
          </w:p>
        </w:tc>
        <w:tc>
          <w:tcPr>
            <w:tcW w:w="4876" w:type="dxa"/>
            <w:tcBorders>
              <w:top w:val="nil"/>
              <w:left w:val="nil"/>
              <w:bottom w:val="nil"/>
              <w:right w:val="nil"/>
            </w:tcBorders>
          </w:tcPr>
          <w:p>
            <w:pPr>
              <w:pStyle w:val="Normal6a"/>
            </w:pPr>
            <w:r>
              <w:t>6.</w:t>
            </w:r>
            <w:r>
              <w:tab/>
            </w:r>
            <w:r>
              <w:t xml:space="preserve">dringt aan op een holistische visie op </w:t>
            </w:r>
            <w:r>
              <w:rPr>
                <w:b/>
                <w:i/>
              </w:rPr>
              <w:t>de uitbanning van armoede,</w:t>
            </w:r>
            <w:r>
              <w:t xml:space="preserve"> sociale bescherming en inclusie en op een voorstel voor een ambitieuze strategie die vergezeld moet gaan van voldoende steun in het volgende meerjarig financieel kader (MFK), op basis van het komende initiatiefverslag van het Parlement over de EU-strategie tegen armoede en een ambitieus plan voor betaalbare huisvesting om de huisvestingscrisis aan te pakken en dakloosheid te bestrijden; </w:t>
            </w:r>
            <w:r>
              <w:rPr>
                <w:b/>
                <w:i/>
              </w:rPr>
              <w:t>benadrukt dat deze nieuwe initiatieven een aanvulling moeten vormen op andere gerelateerde EU-strategieën, zoals de routekaart voor vrouwenrechten, de strategie inzake de rechten van personen met een handicap en de kindergarantie, om te zorgen voor een intersectionele benadering van de multidimensionale aard van armoede;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dringt aan </w:t>
            </w:r>
            <w:r>
              <w:rPr>
                <w:b/>
                <w:i/>
              </w:rPr>
              <w:t>op een holistische visie</w:t>
            </w:r>
            <w:r>
              <w:t xml:space="preserve"> op sociale bescherming en inclusie en op een voorstel voor een ambitieuze strategie die vergezeld moet gaan van voldoende steun in het volgende meerjarig financieel kader (MFK), </w:t>
            </w:r>
            <w:r>
              <w:rPr>
                <w:b/>
                <w:i/>
              </w:rPr>
              <w:t>op basis van het komende initiatiefverslag van het Parlement over de EU-strategie tegen armoede en een ambitieus plan</w:t>
            </w:r>
            <w:r>
              <w:t xml:space="preserve"> voor betaalbare huisvesting </w:t>
            </w:r>
            <w:r>
              <w:rPr>
                <w:b/>
                <w:i/>
              </w:rPr>
              <w:t>om de huisvestingscrisis aan te pakken en dakloosheid te bestrijden</w:t>
            </w:r>
            <w:r>
              <w:t>;</w:t>
            </w:r>
          </w:p>
        </w:tc>
        <w:tc>
          <w:tcPr>
            <w:tcW w:w="4876" w:type="dxa"/>
            <w:tcBorders>
              <w:top w:val="nil"/>
              <w:left w:val="nil"/>
              <w:bottom w:val="nil"/>
              <w:right w:val="nil"/>
            </w:tcBorders>
          </w:tcPr>
          <w:p>
            <w:pPr>
              <w:pStyle w:val="Normal6a"/>
            </w:pPr>
            <w:r>
              <w:t>6.</w:t>
            </w:r>
            <w:r>
              <w:tab/>
            </w:r>
            <w:r>
              <w:t xml:space="preserve">dringt aan op sociale bescherming en inclusie en op een voorstel voor een ambitieuze strategie die vergezeld moet gaan van voldoende steun in het volgende meerjarig financieel kader (MFK), </w:t>
            </w:r>
            <w:r>
              <w:rPr>
                <w:b/>
                <w:i/>
              </w:rPr>
              <w:t>waarbij de sociale investeringen op hetzelfde niveau moeten liggen als de investeringen in defensie of concurrentievermogen;</w:t>
            </w:r>
            <w:r>
              <w:t xml:space="preserve"> </w:t>
            </w:r>
            <w:r>
              <w:rPr>
                <w:b/>
                <w:i/>
              </w:rPr>
              <w:t>herinnert eraan dat reeds in 2020 door de Commissie geraamd werd dat de sociale investeringen</w:t>
            </w:r>
            <w:r>
              <w:rPr>
                <w:b/>
                <w:i/>
                <w:vertAlign w:val="superscript"/>
              </w:rPr>
              <w:t>5 bis</w:t>
            </w:r>
            <w:r>
              <w:t xml:space="preserve"> </w:t>
            </w:r>
            <w:r>
              <w:rPr>
                <w:b/>
                <w:i/>
              </w:rPr>
              <w:t>192 miljard euro lager waren dan het bedrag dat jaarlijks nodig zou zijn om aan de behoeften van burgers tegemoet te komen, namelijk 120 miljard euro voor gezondheid, 57 miljard euro</w:t>
            </w:r>
            <w:r>
              <w:t xml:space="preserve"> voor betaalbare huisvesting </w:t>
            </w:r>
            <w:r>
              <w:rPr>
                <w:b/>
                <w:i/>
              </w:rPr>
              <w:t>en 15 miljard voor onderwijs</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5 bis</w:t>
            </w:r>
            <w:r>
              <w:t xml:space="preserve"> </w:t>
            </w:r>
            <w:r>
              <w:rPr>
                <w:b/>
                <w:i/>
              </w:rPr>
              <w:t>https://eur-lex.europa.eu/legal-content/EN/TXT/PDF/?uri=CELEX:52020SC0098</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bis.</w:t>
            </w:r>
            <w:r>
              <w:tab/>
            </w:r>
            <w:r>
              <w:rPr>
                <w:b/>
                <w:i/>
              </w:rPr>
              <w:t>herinnert eraan dat de hoogte van de minimuminkomensuitkeringen meestal ver onder de nationale armoedegrens ligt;</w:t>
            </w:r>
            <w:r>
              <w:t xml:space="preserve"> </w:t>
            </w:r>
            <w:r>
              <w:rPr>
                <w:b/>
                <w:i/>
              </w:rPr>
              <w:t>dringt er bij de lidstaten op aan de Aanbeveling van de Raad over een toereikend minimuminkomen volledig uit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6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 ter.</w:t>
            </w:r>
            <w:r>
              <w:tab/>
            </w:r>
            <w:r>
              <w:rPr>
                <w:b/>
                <w:i/>
              </w:rPr>
              <w:t>benadrukt dat een EU-kaderrichtlijn inzake een toereikend minimuminkomen en actieve inclusie, met toepassing van het subsidiariteitsbeginsel, zou bijdragen tot de doelstellingen om armoede en sociale uitsluiting terug te dringen en de integratie van mensen die niet deelnemen aan de arbeidsmarkt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rPr>
                <w:b/>
                <w:i/>
              </w:rPr>
              <w:t>spoort alle</w:t>
            </w:r>
            <w:r>
              <w:t xml:space="preserve"> lidstaten aan </w:t>
            </w:r>
            <w:r>
              <w:rPr>
                <w:b/>
                <w:i/>
              </w:rPr>
              <w:t>tot</w:t>
            </w:r>
            <w:r>
              <w:t xml:space="preserve"> grotere inspanningen om kinderarmoede tegen te gaan door hun nationale actieplan </w:t>
            </w:r>
            <w:r>
              <w:rPr>
                <w:b/>
                <w:i/>
              </w:rPr>
              <w:t>inzake de Europese kindergarantie</w:t>
            </w:r>
            <w:r>
              <w:t xml:space="preserve"> uit te voeren</w:t>
            </w:r>
            <w:r>
              <w:rPr>
                <w:b/>
                <w:i/>
              </w:rPr>
              <w:t>, en dringt erop aan dat deze in het volgende MFK een eigen begrotingslijn krijgen met voldoende middelen</w:t>
            </w:r>
            <w:r>
              <w:t>;</w:t>
            </w:r>
          </w:p>
        </w:tc>
        <w:tc>
          <w:tcPr>
            <w:tcW w:w="4876" w:type="dxa"/>
            <w:tcBorders>
              <w:top w:val="nil"/>
              <w:left w:val="nil"/>
              <w:bottom w:val="nil"/>
              <w:right w:val="nil"/>
            </w:tcBorders>
          </w:tcPr>
          <w:p>
            <w:pPr>
              <w:pStyle w:val="Normal6a"/>
            </w:pPr>
            <w:r>
              <w:t>7.</w:t>
            </w:r>
            <w:r>
              <w:tab/>
            </w:r>
            <w:r>
              <w:rPr>
                <w:b/>
                <w:i/>
              </w:rPr>
              <w:t>beveelt de</w:t>
            </w:r>
            <w:r>
              <w:t xml:space="preserve"> lidstaten aan grotere inspanningen </w:t>
            </w:r>
            <w:r>
              <w:rPr>
                <w:b/>
                <w:i/>
              </w:rPr>
              <w:t>te leveren</w:t>
            </w:r>
            <w:r>
              <w:t xml:space="preserve"> om kinderarmoede tegen te gaan door hun nationale actieplan uit te voeren;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w:t>
            </w:r>
            <w:r>
              <w:rPr>
                <w:b/>
                <w:i/>
              </w:rPr>
              <w:t>erop aan dat deze</w:t>
            </w:r>
            <w:r>
              <w:t xml:space="preserve"> in het volgende MFK een eigen begrotingslijn </w:t>
            </w:r>
            <w:r>
              <w:rPr>
                <w:b/>
                <w:i/>
              </w:rPr>
              <w:t>krijgen met voldoende middelen</w:t>
            </w:r>
            <w:r>
              <w:t>;</w:t>
            </w:r>
          </w:p>
        </w:tc>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w:t>
            </w:r>
            <w:r>
              <w:rPr>
                <w:b/>
                <w:i/>
              </w:rPr>
              <w:t>er bij de Commissie op aan ervoor te zorgen dat hiervoor</w:t>
            </w:r>
            <w:r>
              <w:t xml:space="preserve"> in het volgende MFK een eigen begrotingslijn </w:t>
            </w:r>
            <w:r>
              <w:rPr>
                <w:b/>
                <w:i/>
              </w:rPr>
              <w:t>van ten minste 20 miljard EUR beschikbaar 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een eigen begrotingslijn krijgen met </w:t>
            </w:r>
            <w:r>
              <w:rPr>
                <w:b/>
                <w:i/>
              </w:rPr>
              <w:t>voldoende middelen</w:t>
            </w:r>
            <w:r>
              <w:t>;</w:t>
            </w:r>
          </w:p>
        </w:tc>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een eigen begrotingslijn krijgen met </w:t>
            </w:r>
            <w:r>
              <w:rPr>
                <w:b/>
                <w:i/>
              </w:rPr>
              <w:t>ten minste 20 miljard euro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een eigen begrotingslijn krijgen </w:t>
            </w:r>
            <w:r>
              <w:rPr>
                <w:b/>
                <w:i/>
              </w:rPr>
              <w:t>met voldoende middelen</w:t>
            </w:r>
            <w:r>
              <w:t>;</w:t>
            </w:r>
          </w:p>
        </w:tc>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een eigen begrotingslijn </w:t>
            </w:r>
            <w:r>
              <w:rPr>
                <w:b/>
                <w:i/>
              </w:rPr>
              <w:t>van 20 miljard euro</w:t>
            </w:r>
            <w:r>
              <w:t xml:space="preserve"> krijgen;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w:t>
            </w:r>
            <w:r>
              <w:rPr>
                <w:b/>
                <w:i/>
              </w:rPr>
              <w:t>een eigen begrotingslijn krijgen met</w:t>
            </w:r>
            <w:r>
              <w:t xml:space="preserve"> voldoende middelen;</w:t>
            </w:r>
          </w:p>
        </w:tc>
        <w:tc>
          <w:tcPr>
            <w:tcW w:w="4876" w:type="dxa"/>
            <w:tcBorders>
              <w:top w:val="nil"/>
              <w:left w:val="nil"/>
              <w:bottom w:val="nil"/>
              <w:right w:val="nil"/>
            </w:tcBorders>
          </w:tcPr>
          <w:p>
            <w:pPr>
              <w:pStyle w:val="Normal6a"/>
            </w:pPr>
            <w:r>
              <w:t>7.</w:t>
            </w:r>
            <w:r>
              <w:tab/>
            </w:r>
            <w:r>
              <w:t xml:space="preserve">spoort alle lidstaten aan tot grotere inspanningen om kinderarmoede tegen te gaan door hun nationale actieplan inzake de Europese kindergarantie uit te voeren, en dringt erop aan dat deze in het volgende MFK voldoende middelen </w:t>
            </w:r>
            <w:r>
              <w:rPr>
                <w:b/>
                <w:i/>
              </w:rPr>
              <w:t>krijgen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 bis.</w:t>
            </w:r>
            <w:r>
              <w:tab/>
            </w:r>
            <w:r>
              <w:rPr>
                <w:b/>
                <w:i/>
              </w:rPr>
              <w:t>verzoekt de Commissie en de lidstaten de Europese zorgstrategie volledig ten uitvoer te leggen en in de hele EU te zorgen voor hoogwaardige, betaalbare en toegankelijke zorgdiensten;</w:t>
            </w:r>
            <w:r>
              <w:t xml:space="preserve"> </w:t>
            </w:r>
            <w:r>
              <w:rPr>
                <w:b/>
                <w:i/>
              </w:rPr>
              <w:t>benadrukt dat zorg moet worden beschouwd als een sociale en economische investering, in overeenstemming met beginsel 18 van de Europese pijler van sociale rechten;</w:t>
            </w:r>
            <w:r>
              <w:t xml:space="preserve"> </w:t>
            </w:r>
            <w:r>
              <w:rPr>
                <w:b/>
                <w:i/>
              </w:rPr>
              <w:t>dringt erop aan bindende maatregelen te ontwikkelen op zowel Europees als mondiaal niveau om zorg als een algemeen goed te erkennen, de arbeidsomstandigheden in de zorgsector te verbeteren, gendergelijkheid te bevorderen en te zorgen voor toegankelijke, betaalbare en hoogwaardige zorgdiensten voor iedereen;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de behoefte aan meer maatregelen om de gevolgen van de </w:t>
            </w:r>
            <w:r>
              <w:rPr>
                <w:b/>
                <w:i/>
              </w:rPr>
              <w:t>dubbele transitie – groene en</w:t>
            </w:r>
            <w:r>
              <w:t xml:space="preserve"> digitale </w:t>
            </w:r>
            <w:r>
              <w:rPr>
                <w:b/>
                <w:i/>
              </w:rPr>
              <w:t>transitie –</w:t>
            </w:r>
            <w:r>
              <w:t xml:space="preserve"> voor de arbeidswereld op te vangen door harder in te zetten op het beginsel dat de mens de uiteindelijke controle </w:t>
            </w:r>
            <w:r>
              <w:rPr>
                <w:b/>
                <w:i/>
              </w:rPr>
              <w:t>over AI</w:t>
            </w:r>
            <w:r>
              <w:t xml:space="preserve"> behoudt </w:t>
            </w:r>
            <w:r>
              <w:rPr>
                <w:b/>
                <w:i/>
              </w:rPr>
              <w:t>aan de hand van een nieuw wetgevingsinitiatief inzake AI op de werkvloer en algoritmisch beheer</w:t>
            </w:r>
            <w:r>
              <w:t xml:space="preserve">; benadrukt dat er duurzame hoogwaardige banen moeten worden gecreëerd </w:t>
            </w:r>
            <w:r>
              <w:rPr>
                <w:b/>
                <w:i/>
              </w:rPr>
              <w:t>en dat tegelijkertijd het rechtskader voor het beheer van en de anticipatie op de transitie moet worden versterkt, de rol en de deelname van de sociale partners moeten worden vergroot en de integratie op de arbeidsmarkt moet worden bevorderd</w:t>
            </w:r>
            <w:r>
              <w:t>;</w:t>
            </w:r>
          </w:p>
        </w:tc>
        <w:tc>
          <w:tcPr>
            <w:tcW w:w="4876" w:type="dxa"/>
            <w:tcBorders>
              <w:top w:val="nil"/>
              <w:left w:val="nil"/>
              <w:bottom w:val="nil"/>
              <w:right w:val="nil"/>
            </w:tcBorders>
          </w:tcPr>
          <w:p>
            <w:pPr>
              <w:pStyle w:val="Normal6a"/>
            </w:pPr>
            <w:r>
              <w:t>8.</w:t>
            </w:r>
            <w:r>
              <w:tab/>
            </w:r>
            <w:r>
              <w:t xml:space="preserve">benadrukt de behoefte aan meer maatregelen om de gevolgen van de digitale </w:t>
            </w:r>
            <w:r>
              <w:rPr>
                <w:b/>
                <w:i/>
              </w:rPr>
              <w:t>en milieutransformatie</w:t>
            </w:r>
            <w:r>
              <w:t xml:space="preserve"> voor de arbeidswereld op te vangen door harder in te zetten op het beginsel dat de mens de uiteindelijke controle behoudt; benadrukt dat er duurzame hoogwaardige banen moeten worden gecreëerd;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w:t>
            </w:r>
            <w:r>
              <w:rPr>
                <w:b/>
                <w:i/>
              </w:rPr>
              <w:t>de behoefte aan meer maatregelen om de gevolgen van de dubbele transitie – groene en digitale transitie – voor de arbeidswereld op te vangen door harder in te zetten op</w:t>
            </w:r>
            <w:r>
              <w:t xml:space="preserve"> het beginsel dat de mens de uiteindelijke controle over AI behoudt </w:t>
            </w:r>
            <w:r>
              <w:rPr>
                <w:b/>
                <w:i/>
              </w:rPr>
              <w:t>aan de hand van</w:t>
            </w:r>
            <w:r>
              <w:t xml:space="preserve"> een nieuw wetgevingsinitiatief inzake AI </w:t>
            </w:r>
            <w:r>
              <w:rPr>
                <w:b/>
                <w:i/>
              </w:rPr>
              <w:t>op de werkvloer</w:t>
            </w:r>
            <w:r>
              <w:t xml:space="preserve"> en algoritmisch beheer; benadrukt dat er duurzame hoogwaardige banen moeten worden gecreëerd en dat </w:t>
            </w:r>
            <w:r>
              <w:rPr>
                <w:b/>
                <w:i/>
              </w:rPr>
              <w:t>tegelijkertijd het rechtskader</w:t>
            </w:r>
            <w:r>
              <w:t xml:space="preserve"> voor het beheer van en de anticipatie op de </w:t>
            </w:r>
            <w:r>
              <w:rPr>
                <w:b/>
                <w:i/>
              </w:rPr>
              <w:t>transitie</w:t>
            </w:r>
            <w:r>
              <w:t xml:space="preserve"> moet worden versterkt, </w:t>
            </w:r>
            <w:r>
              <w:rPr>
                <w:b/>
                <w:i/>
              </w:rPr>
              <w:t>de rol</w:t>
            </w:r>
            <w:r>
              <w:t xml:space="preserve"> en de </w:t>
            </w:r>
            <w:r>
              <w:rPr>
                <w:b/>
                <w:i/>
              </w:rPr>
              <w:t>deelname</w:t>
            </w:r>
            <w:r>
              <w:t xml:space="preserve"> van de sociale partners </w:t>
            </w:r>
            <w:r>
              <w:rPr>
                <w:b/>
                <w:i/>
              </w:rPr>
              <w:t>moeten worden vergroot en de integratie op de arbeidsmarkt moet worden bevorderd</w:t>
            </w:r>
            <w:r>
              <w:t>;</w:t>
            </w:r>
          </w:p>
        </w:tc>
        <w:tc>
          <w:tcPr>
            <w:tcW w:w="4876" w:type="dxa"/>
            <w:tcBorders>
              <w:top w:val="nil"/>
              <w:left w:val="nil"/>
              <w:bottom w:val="nil"/>
              <w:right w:val="nil"/>
            </w:tcBorders>
          </w:tcPr>
          <w:p>
            <w:pPr>
              <w:pStyle w:val="Normal6a"/>
            </w:pPr>
            <w:r>
              <w:t>8.</w:t>
            </w:r>
            <w:r>
              <w:tab/>
            </w:r>
            <w:r>
              <w:rPr>
                <w:b/>
                <w:i/>
              </w:rPr>
              <w:t>is ingenomen met de recente goedkeuring van de richtlijn platformwerk als een belangrijke stap in de richting van de bescherming van werknemers in de digitale economie en het waarborgen van eerlijke voorwaarden en algoritmische verantwoordingsplicht;</w:t>
            </w:r>
            <w:r>
              <w:t xml:space="preserve"> benadrukt </w:t>
            </w:r>
            <w:r>
              <w:rPr>
                <w:b/>
                <w:i/>
              </w:rPr>
              <w:t>dat het nodig is dezelfde bescherming uit te breiden naar werknemers in alle sectoren die met AI te maken krijgen door ervoor te zorgen dat</w:t>
            </w:r>
            <w:r>
              <w:t xml:space="preserve"> het beginsel dat de mens de uiteindelijke controle over AI behoudt </w:t>
            </w:r>
            <w:r>
              <w:rPr>
                <w:b/>
                <w:i/>
              </w:rPr>
              <w:t>een bindende norm wordt, en herhaalt zijn verzoek om</w:t>
            </w:r>
            <w:r>
              <w:t xml:space="preserve"> een nieuw wetgevingsinitiatief inzake AI en algoritmisch beheer </w:t>
            </w:r>
            <w:r>
              <w:rPr>
                <w:b/>
                <w:i/>
              </w:rPr>
              <w:t>op de werkvloer</w:t>
            </w:r>
            <w:r>
              <w:t>; benadrukt dat er duurzame</w:t>
            </w:r>
            <w:r>
              <w:rPr>
                <w:b/>
                <w:i/>
              </w:rPr>
              <w:t>,</w:t>
            </w:r>
            <w:r>
              <w:t xml:space="preserve"> hoogwaardige banen moeten worden gecreëerd en dat </w:t>
            </w:r>
            <w:r>
              <w:rPr>
                <w:b/>
                <w:i/>
              </w:rPr>
              <w:t>het juridisch en financieel kader</w:t>
            </w:r>
            <w:r>
              <w:t xml:space="preserve"> voor het beheer van en de anticipatie op de </w:t>
            </w:r>
            <w:r>
              <w:rPr>
                <w:b/>
                <w:i/>
              </w:rPr>
              <w:t>transities</w:t>
            </w:r>
            <w:r>
              <w:t xml:space="preserve"> moet worden versterkt, </w:t>
            </w:r>
            <w:r>
              <w:rPr>
                <w:b/>
                <w:i/>
              </w:rPr>
              <w:t>onder meer door middel van een toename aan ESF+-investeringen;</w:t>
            </w:r>
            <w:r>
              <w:t xml:space="preserve"> </w:t>
            </w:r>
            <w:r>
              <w:rPr>
                <w:b/>
                <w:i/>
              </w:rPr>
              <w:t>onderstreept het belang van collectieve onderhandelingen</w:t>
            </w:r>
            <w:r>
              <w:t xml:space="preserve"> en de </w:t>
            </w:r>
            <w:r>
              <w:rPr>
                <w:b/>
                <w:i/>
              </w:rPr>
              <w:t>betrokkenheid</w:t>
            </w:r>
            <w:r>
              <w:t xml:space="preserve"> van de sociale partners </w:t>
            </w:r>
            <w:r>
              <w:rPr>
                <w:b/>
                <w:i/>
              </w:rPr>
              <w:t>bij het ontwerpen en bevorderen van inclusief arbeidsmarktbeleid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benadrukt de behoefte aan meer maatregelen om de gevolgen van de dubbele transitie – groene en digitale transitie – voor de arbeidswereld op te vangen door harder in te zetten op het beginsel dat de mens de uiteindelijke controle over AI behoudt aan de hand van een nieuw wetgevingsinitiatief inzake AI op de werkvloer en algoritmisch beheer; benadrukt dat er duurzame hoogwaardige banen moeten worden gecreëerd en dat tegelijkertijd het rechtskader voor het beheer van en de anticipatie op de transitie moet worden versterkt, de rol en de deelname van de sociale partners moeten worden vergroot en de integratie op de arbeidsmarkt moet worden bevorderd;</w:t>
            </w:r>
          </w:p>
        </w:tc>
        <w:tc>
          <w:tcPr>
            <w:tcW w:w="4876" w:type="dxa"/>
            <w:tcBorders>
              <w:top w:val="nil"/>
              <w:left w:val="nil"/>
              <w:bottom w:val="nil"/>
              <w:right w:val="nil"/>
            </w:tcBorders>
          </w:tcPr>
          <w:p>
            <w:pPr>
              <w:pStyle w:val="Normal6a"/>
            </w:pPr>
            <w:r>
              <w:t>8.</w:t>
            </w:r>
            <w:r>
              <w:tab/>
            </w:r>
            <w:r>
              <w:t xml:space="preserve">benadrukt de behoefte aan meer maatregelen om de gevolgen van de dubbele transitie – groene en digitale transitie – voor de arbeidswereld op te vangen door </w:t>
            </w:r>
            <w:r>
              <w:rPr>
                <w:b/>
                <w:i/>
              </w:rPr>
              <w:t>hier aandacht voor te vragen en</w:t>
            </w:r>
            <w:r>
              <w:t xml:space="preserve"> harder in te zetten op het beginsel dat de mens de uiteindelijke controle over AI behoudt aan de hand van een nieuw wetgevingsinitiatief inzake AI op de werkvloer en algoritmisch beheer; benadrukt dat er duurzame hoogwaardige banen moeten worden gecreëerd en dat tegelijkertijd het rechtskader voor het beheer van en de anticipatie op de transitie moet worden versterkt, de rol en de deelname van de sociale partners moeten worden vergroot en de integratie op de arbeidsmarkt moet worden bevorderd; </w:t>
            </w:r>
            <w:r>
              <w:rPr>
                <w:b/>
                <w:i/>
              </w:rPr>
              <w:t>waarschuwt voor de gevolgen van AI voor milieuafval, met name het massale gebruik van water, en verzoekt de Commissie een effectbeoordeling uit te voeren en AI-systemen te reguleren die niet in overeenstemming zijn met de groene transitie en de klimaatdoelstellingen;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benadrukt de behoefte aan meer maatregelen om de gevolgen van de dubbele transitie – groene en digitale transitie – voor de arbeidswereld op te vangen door harder in te zetten op het beginsel dat de mens de uiteindelijke controle over AI behoudt aan de hand van een nieuw wetgevingsinitiatief inzake AI op de werkvloer en algoritmisch beheer; benadrukt dat er duurzame hoogwaardige banen moeten worden gecreëerd en dat tegelijkertijd het rechtskader voor het beheer van en de anticipatie op de transitie moet worden versterkt, de rol en de deelname van de sociale partners moeten worden vergroot en de integratie op de arbeidsmarkt moet worden bevorderd;</w:t>
            </w:r>
          </w:p>
        </w:tc>
        <w:tc>
          <w:tcPr>
            <w:tcW w:w="4876" w:type="dxa"/>
            <w:tcBorders>
              <w:top w:val="nil"/>
              <w:left w:val="nil"/>
              <w:bottom w:val="nil"/>
              <w:right w:val="nil"/>
            </w:tcBorders>
          </w:tcPr>
          <w:p>
            <w:pPr>
              <w:pStyle w:val="Normal6a"/>
            </w:pPr>
            <w:r>
              <w:t>8.</w:t>
            </w:r>
            <w:r>
              <w:tab/>
            </w:r>
            <w:r>
              <w:t xml:space="preserve">benadrukt de behoefte aan meer maatregelen om de gevolgen van de dubbele transitie – groene en digitale transitie – voor de arbeidswereld op te vangen door harder in te zetten op het beginsel dat de mens de uiteindelijke controle over AI behoudt aan de hand van een nieuw wetgevingsinitiatief inzake AI op de werkvloer en algoritmisch beheer </w:t>
            </w:r>
            <w:r>
              <w:rPr>
                <w:b/>
                <w:i/>
              </w:rPr>
              <w:t>en een recht om offline te zijn met het oog op de balans tussen werk en privéleven</w:t>
            </w:r>
            <w:r>
              <w:t xml:space="preserve">; benadrukt dat er duurzame hoogwaardige banen moeten worden gecreëerd </w:t>
            </w:r>
            <w:r>
              <w:rPr>
                <w:b/>
                <w:i/>
              </w:rPr>
              <w:t>ter vervanging van banen die als gevolg van de dubbele transitie zijn verdwenen of veranderd</w:t>
            </w:r>
            <w:r>
              <w:t xml:space="preserve"> en dat tegelijkertijd het rechtskader voor het beheer van en de anticipatie op de transitie moet worden versterkt, de rol en de deelname van de sociale partners moeten worden vergroot en de integratie op de arbeidsmarkt moet worden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benadrukt de behoefte aan meer maatregelen om de gevolgen van de dubbele transitie – groene en digitale transitie – voor de arbeidswereld op te vangen door harder in te zetten op het beginsel dat de mens de uiteindelijke controle over AI behoudt aan de hand van een nieuw wetgevingsinitiatief inzake AI op de werkvloer </w:t>
            </w:r>
            <w:r>
              <w:rPr>
                <w:b/>
                <w:i/>
              </w:rPr>
              <w:t>en algoritmisch beheer</w:t>
            </w:r>
            <w:r>
              <w:t>; benadrukt dat er duurzame hoogwaardige banen moeten worden gecreëerd en dat tegelijkertijd het rechtskader voor het beheer van en de anticipatie op de transitie moet worden versterkt, de rol en de deelname van de sociale partners moeten worden vergroot en de integratie op de arbeidsmarkt moet worden bevorderd;</w:t>
            </w:r>
          </w:p>
        </w:tc>
        <w:tc>
          <w:tcPr>
            <w:tcW w:w="4876" w:type="dxa"/>
            <w:tcBorders>
              <w:top w:val="nil"/>
              <w:left w:val="nil"/>
              <w:bottom w:val="nil"/>
              <w:right w:val="nil"/>
            </w:tcBorders>
          </w:tcPr>
          <w:p>
            <w:pPr>
              <w:pStyle w:val="Normal6a"/>
            </w:pPr>
            <w:r>
              <w:t>8.</w:t>
            </w:r>
            <w:r>
              <w:tab/>
            </w:r>
            <w:r>
              <w:t xml:space="preserve">benadrukt de behoefte aan meer maatregelen om de gevolgen van de dubbele transitie – groene en digitale transitie – voor de arbeidswereld op te vangen door harder in te zetten op het beginsel dat de mens de uiteindelijke controle over AI behoudt aan de hand van een nieuw wetgevingsinitiatief inzake AI op de werkvloer </w:t>
            </w:r>
            <w:r>
              <w:rPr>
                <w:b/>
                <w:i/>
              </w:rPr>
              <w:t>alsook de beschikbaarheid van goedkopere energie ten behoeve van server farms in verband met algoritmische controle</w:t>
            </w:r>
            <w:r>
              <w:t>; benadrukt dat er duurzame hoogwaardige banen moeten worden gecreëerd en dat tegelijkertijd het rechtskader voor het beheer van en de anticipatie op de transitie moet worden versterkt, de rol en de deelname van de sociale partners moeten worden vergroot en de integratie op de arbeidsmarkt moet worden bevorderd;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beklemtoont dat verdere beleidsmaatregelen nodig zijn om </w:t>
            </w:r>
            <w:r>
              <w:rPr>
                <w:b/>
                <w:i/>
              </w:rPr>
              <w:t>het aanbod van en de toegang tot hoogwaardige opleidingen</w:t>
            </w:r>
            <w:r>
              <w:t xml:space="preserve"> te waarborgen, teneinde een leven lang leren te bevorderen; merkt op dat alle werknemers, ook werknemers met een handicap, toegang moeten hebben tot bijscholings-, omscholings- en opleidingsprogramma’s</w:t>
            </w:r>
            <w:r>
              <w:rPr>
                <w:b/>
                <w:i/>
              </w:rPr>
              <w:t>,</w:t>
            </w:r>
            <w:r>
              <w:t xml:space="preserve"> die bovendien moeten worden afgestemd op de behoeften en vermogens van de werknemers;</w:t>
            </w:r>
          </w:p>
        </w:tc>
        <w:tc>
          <w:tcPr>
            <w:tcW w:w="4876" w:type="dxa"/>
            <w:tcBorders>
              <w:top w:val="nil"/>
              <w:left w:val="nil"/>
              <w:bottom w:val="nil"/>
              <w:right w:val="nil"/>
            </w:tcBorders>
          </w:tcPr>
          <w:p>
            <w:pPr>
              <w:pStyle w:val="Normal6a"/>
            </w:pPr>
            <w:r>
              <w:t>9.</w:t>
            </w:r>
            <w:r>
              <w:tab/>
            </w:r>
            <w:r>
              <w:t xml:space="preserve">beklemtoont dat verdere beleidsmaatregelen nodig zijn om </w:t>
            </w:r>
            <w:r>
              <w:rPr>
                <w:b/>
                <w:i/>
              </w:rPr>
              <w:t>ervoor te zorgen dat gratis openbaar onderwijs van hoge kwaliteit wordt aangeboden en universeel toegankelijk is, alsook een hoogwaardig opleidingsbeleid</w:t>
            </w:r>
            <w:r>
              <w:t xml:space="preserve"> te waarborgen, teneinde </w:t>
            </w:r>
            <w:r>
              <w:rPr>
                <w:b/>
                <w:i/>
              </w:rPr>
              <w:t>ten minste een fatsoenlijk minimumloon te waarborgen en</w:t>
            </w:r>
            <w:r>
              <w:t xml:space="preserve"> een leven lang leren te bevorderen; merkt op dat alle werknemers, ook werknemers met een handicap, toegang moeten hebben tot bijscholings-, omscholings- en opleidingsprogramma’s </w:t>
            </w:r>
            <w:r>
              <w:rPr>
                <w:b/>
                <w:i/>
              </w:rPr>
              <w:t>– in combinatie met een vergoeding van de opleidingskosten –</w:t>
            </w:r>
            <w:r>
              <w:t xml:space="preserve"> die bovendien moeten worden afgestemd op de behoeften en vermogens van de werknemers; </w:t>
            </w:r>
            <w:r>
              <w:rPr>
                <w:b/>
                <w:i/>
              </w:rPr>
              <w:t>wijst er tevens op dat studieschulden moeten worden vervangen door studiefinanciering en gratis universitaire opleidingen om een armoedeval voor jongeren met een laag inkomen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beklemtoont dat verdere beleidsmaatregelen nodig zijn om het aanbod van en de toegang tot hoogwaardige opleidingen te waarborgen, teneinde een leven lang leren te bevorderen; merkt op dat alle werknemers, ook werknemers met een handicap, toegang moeten hebben tot bijscholings-, omscholings- en opleidingsprogramma’s, die bovendien moeten worden afgestemd op de behoeften en vermogens van de werknemers;</w:t>
            </w:r>
          </w:p>
        </w:tc>
        <w:tc>
          <w:tcPr>
            <w:tcW w:w="4876" w:type="dxa"/>
            <w:tcBorders>
              <w:top w:val="nil"/>
              <w:left w:val="nil"/>
              <w:bottom w:val="nil"/>
              <w:right w:val="nil"/>
            </w:tcBorders>
          </w:tcPr>
          <w:p>
            <w:pPr>
              <w:pStyle w:val="Normal6a"/>
            </w:pPr>
            <w:r>
              <w:t>9.</w:t>
            </w:r>
            <w:r>
              <w:tab/>
            </w:r>
            <w:r>
              <w:t xml:space="preserve">beklemtoont dat verdere beleidsmaatregelen nodig zijn om het aanbod van en de toegang tot hoogwaardige opleidingen te waarborgen, teneinde een leven lang leren te bevorderen; merkt op dat alle werknemers, ook werknemers met een handicap, toegang moeten hebben tot </w:t>
            </w:r>
            <w:r>
              <w:rPr>
                <w:b/>
                <w:i/>
              </w:rPr>
              <w:t>strategische</w:t>
            </w:r>
            <w:r>
              <w:t xml:space="preserve"> bijscholings-, omscholings- en opleidingsprogramma’s, die bovendien moeten worden afgestemd op de behoeften en vermogens van de werknemers; </w:t>
            </w:r>
            <w:r>
              <w:rPr>
                <w:b/>
                <w:i/>
              </w:rPr>
              <w:t>stelt voor om op Europees niveau een individueel recht op opleiding en bijscholing voor werknemers in te voeren;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beklemtoont dat verdere beleidsmaatregelen nodig zijn om het aanbod van en de toegang tot hoogwaardige opleidingen te waarborgen, teneinde een leven lang leren te bevorderen; merkt op dat </w:t>
            </w:r>
            <w:r>
              <w:rPr>
                <w:b/>
                <w:i/>
              </w:rPr>
              <w:t>alle</w:t>
            </w:r>
            <w:r>
              <w:t xml:space="preserve"> werknemers, ook werknemers met een handicap, toegang moeten hebben tot bijscholings-, omscholings- en opleidingsprogramma’s, die bovendien moeten worden afgestemd op de behoeften en vermogens van de werknemers;</w:t>
            </w:r>
          </w:p>
        </w:tc>
        <w:tc>
          <w:tcPr>
            <w:tcW w:w="4876" w:type="dxa"/>
            <w:tcBorders>
              <w:top w:val="nil"/>
              <w:left w:val="nil"/>
              <w:bottom w:val="nil"/>
              <w:right w:val="nil"/>
            </w:tcBorders>
          </w:tcPr>
          <w:p>
            <w:pPr>
              <w:pStyle w:val="Normal6a"/>
            </w:pPr>
            <w:r>
              <w:t>9.</w:t>
            </w:r>
            <w:r>
              <w:tab/>
            </w:r>
            <w:r>
              <w:t xml:space="preserve">beklemtoont dat verdere beleidsmaatregelen nodig zijn om het aanbod van en de toegang tot hoogwaardige opleidingen te waarborgen, teneinde een leven lang leren te bevorderen; merkt op dat </w:t>
            </w:r>
            <w:r>
              <w:rPr>
                <w:b/>
                <w:i/>
              </w:rPr>
              <w:t>alleen Europese</w:t>
            </w:r>
            <w:r>
              <w:t xml:space="preserve"> werknemers, ook werknemers met een handicap, toegang moeten hebben tot bijscholings-, omscholings- en opleidingsprogramma’s, die bovendien moeten worden afgestemd op de behoeften en vermogens van de werknemers;</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w:t>
            </w:r>
            <w:r>
              <w:rPr>
                <w:b/>
                <w:i/>
              </w:rPr>
              <w:t>en dat een rechtvaardige transitie binnen ieders bereik moet liggen</w:t>
            </w:r>
            <w:r>
              <w:t xml:space="preserve">;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 </w:t>
            </w:r>
            <w:r>
              <w:rPr>
                <w:b/>
                <w:i/>
              </w:rPr>
              <w:t>verzoekt de lidstaten universele, op rechten gebaseerde toegang tot hoogwaardige openbare diensten te waarborgen en daarin te investeren;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dringt aan op </w:t>
            </w:r>
            <w:r>
              <w:rPr>
                <w:b/>
                <w:i/>
              </w:rPr>
              <w:t>de indiening</w:t>
            </w:r>
            <w:r>
              <w:t xml:space="preserve"> van initiatieven om zowel jongeren als ouderen te ondersteunen, </w:t>
            </w:r>
            <w:r>
              <w:rPr>
                <w:b/>
                <w:i/>
              </w:rPr>
              <w:t>en</w:t>
            </w:r>
            <w:r>
              <w:t xml:space="preserve"> maatregelen </w:t>
            </w:r>
            <w:r>
              <w:rPr>
                <w:b/>
                <w:i/>
              </w:rPr>
              <w:t>tegen</w:t>
            </w:r>
            <w:r>
              <w:t xml:space="preserve">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dringt aan op </w:t>
            </w:r>
            <w:r>
              <w:rPr>
                <w:b/>
                <w:i/>
              </w:rPr>
              <w:t>het voorstellen</w:t>
            </w:r>
            <w:r>
              <w:t xml:space="preserve"> van initiatieven om zowel jongeren als ouderen </w:t>
            </w:r>
            <w:r>
              <w:rPr>
                <w:b/>
                <w:i/>
              </w:rPr>
              <w:t>overeenkomstig hun bijdragen</w:t>
            </w:r>
            <w:r>
              <w:t xml:space="preserve"> te ondersteunen </w:t>
            </w:r>
            <w:r>
              <w:rPr>
                <w:b/>
                <w:i/>
              </w:rPr>
              <w:t>om meer kinderen te hebben</w:t>
            </w:r>
            <w:r>
              <w:t xml:space="preserve">, </w:t>
            </w:r>
            <w:r>
              <w:rPr>
                <w:b/>
                <w:i/>
              </w:rPr>
              <w:t>in de context van het versterken van de samenwerking tussen generaties en gezinsgerichte</w:t>
            </w:r>
            <w:r>
              <w:t xml:space="preserve"> maatregelen </w:t>
            </w:r>
            <w:r>
              <w:rPr>
                <w:b/>
                <w:i/>
              </w:rPr>
              <w:t>om</w:t>
            </w:r>
            <w:r>
              <w:t xml:space="preserve"> de ontvolking in regio’s </w:t>
            </w:r>
            <w:r>
              <w:rPr>
                <w:b/>
                <w:i/>
              </w:rPr>
              <w:t>terug te draaien</w:t>
            </w:r>
            <w:r>
              <w:t>, zoals het verbeteren van de toegang tot infrastructuur, met inbegrip van vervoer, digitale connectiviteit en betaalbare huisvesting, openbare diensten, gezondheidszorg, zorg en onderwijs, en roept op tot investeringen in de werkgelegenheid om ontvolking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w:t>
            </w:r>
            <w:r>
              <w:rPr>
                <w:b/>
                <w:i/>
              </w:rPr>
              <w:t>betreurt in dit verband de nieuwe aanpak van de Commissie om het cohesiebeleid te gebruiken om de defensie-uitgaven te verhogen;</w:t>
            </w:r>
            <w:r>
              <w:t xml:space="preserve"> dringt aan op de indiening van initiatieven om zowel jongeren als ouderen te ondersteunen, en maatregelen tegen de ontvolking in regio’s, zoals het verbeteren van de toegang </w:t>
            </w:r>
            <w:r>
              <w:rPr>
                <w:b/>
                <w:i/>
              </w:rPr>
              <w:t>– ook voor mensen met een handicap –</w:t>
            </w:r>
            <w:r>
              <w:t xml:space="preserve"> tot infrastructuur, met inbegrip van vervoer, digitale connectiviteit en betaalbare huisvesting, openbare diensten, gezondheidszorg, zorg en onderwijs, en roept op tot investeringen in de werkgelegenheid om ontvolking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 Rachel Blom</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r>
              <w:rPr>
                <w:b/>
                <w:i/>
              </w:rPr>
              <w:t>, zonder toevlucht te nemen tot migratie van buiten Europa</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w:t>
            </w:r>
            <w:r>
              <w:rPr>
                <w:b/>
                <w:i/>
              </w:rPr>
              <w:t>zorg</w:t>
            </w:r>
            <w:r>
              <w:t xml:space="preserve">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w:t>
            </w:r>
            <w:r>
              <w:rPr>
                <w:b/>
                <w:i/>
              </w:rPr>
              <w:t>openbaar</w:t>
            </w:r>
            <w:r>
              <w:t xml:space="preserve"> vervoer, digitale connectiviteit en betaalbare huisvesting, openbare diensten, gezondheidszorg, </w:t>
            </w:r>
            <w:r>
              <w:rPr>
                <w:b/>
                <w:i/>
              </w:rPr>
              <w:t>langdurige zorg, opvang van jonge kinderen</w:t>
            </w:r>
            <w:r>
              <w:t xml:space="preserve"> en onderwijs, en roept op tot investeringen in de werkgelegenheid om ontvolking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benadrukt dat gezien de klimaat- en biodiversiteitscrises 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 xml:space="preserve">benadrukt dat gezien de klimaat- en biodiversiteitscrises en de economische en demografische uitdagingen, geen enkele generatie of regio in de EU – nu of in de toekomst – aan haar lot mag worden overgelaten; dringt aan op de indiening van initiatieven om zowel jongeren als ouderen </w:t>
            </w:r>
            <w:r>
              <w:rPr>
                <w:b/>
                <w:i/>
              </w:rPr>
              <w:t>en mensen met een handicap</w:t>
            </w:r>
            <w:r>
              <w:t xml:space="preserve">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benadrukt dat gezien </w:t>
            </w:r>
            <w:r>
              <w:rPr>
                <w:b/>
                <w:i/>
              </w:rPr>
              <w:t>de klimaat- en biodiversiteitscrises en</w:t>
            </w:r>
            <w:r>
              <w:t xml:space="preserve">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c>
          <w:tcPr>
            <w:tcW w:w="4876" w:type="dxa"/>
            <w:tcBorders>
              <w:top w:val="nil"/>
              <w:left w:val="nil"/>
              <w:bottom w:val="nil"/>
              <w:right w:val="nil"/>
            </w:tcBorders>
          </w:tcPr>
          <w:p>
            <w:pPr>
              <w:pStyle w:val="Normal6a"/>
            </w:pPr>
            <w:r>
              <w:t>10.</w:t>
            </w:r>
            <w:r>
              <w:tab/>
            </w:r>
            <w:r>
              <w:t>benadrukt dat gezien de economische en demografische uitdagingen, geen enkele generatie of regio in de EU – nu of in de toekomst – aan haar lot mag worden overgelaten; dringt aan op de indiening van initiatieven om zowel jongeren als ouderen te ondersteunen, en maatregelen tegen de ontvolking in regio’s, zoals het verbeteren van de toegang tot infrastructuur, met inbegrip van vervoer, digitale connectiviteit en betaalbare huisvesting, openbare diensten, gezondheidszorg, zorg en onderwijs, en roept op tot investeringen in de werkgelegenheid om ontvolking te voorkomen;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Marie Dauchy,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dringt erop aan dat de rechtvaardige transitie van werknemers en ondernemingen in de EU wordt ondersteund bij de overgang naar een groene economie;</w:t>
            </w:r>
            <w:r>
              <w:t xml:space="preserve"> </w:t>
            </w:r>
            <w:r>
              <w:rPr>
                <w:b/>
                <w:i/>
              </w:rPr>
              <w:t>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11.</w:t>
            </w:r>
            <w:r>
              <w:tab/>
            </w:r>
            <w:r>
              <w:rPr>
                <w:b/>
                <w:i/>
              </w:rPr>
              <w:t>dringt erop aan dat de rechtvaardige transitie van werknemers en ondernemingen in de EU wordt ondersteund bij de overgang naar een groene economie;</w:t>
            </w:r>
            <w:r>
              <w:t xml:space="preserve"> </w:t>
            </w:r>
            <w:r>
              <w:rPr>
                <w:b/>
                <w:i/>
              </w:rPr>
              <w:t>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dringt </w:t>
            </w:r>
            <w:r>
              <w:rPr>
                <w:b/>
                <w:i/>
              </w:rPr>
              <w:t>erop aan</w:t>
            </w:r>
            <w:r>
              <w:t xml:space="preserve"> dat de </w:t>
            </w:r>
            <w:r>
              <w:rPr>
                <w:b/>
                <w:i/>
              </w:rPr>
              <w:t>rechtvaardige</w:t>
            </w:r>
            <w:r>
              <w:t xml:space="preserve"> transitie </w:t>
            </w:r>
            <w:r>
              <w:rPr>
                <w:b/>
                <w:i/>
              </w:rPr>
              <w:t>van</w:t>
            </w:r>
            <w:r>
              <w:t xml:space="preserve"> werknemers en ondernemingen </w:t>
            </w:r>
            <w:r>
              <w:rPr>
                <w:b/>
                <w:i/>
              </w:rPr>
              <w:t>in de EU wordt ondersteund bij de overgang naar een groene economie</w:t>
            </w:r>
            <w:r>
              <w:t xml:space="preserve">; merkt op dat </w:t>
            </w:r>
            <w:r>
              <w:rPr>
                <w:b/>
                <w:i/>
              </w:rPr>
              <w:t>het proces van</w:t>
            </w:r>
            <w:r>
              <w:t xml:space="preserve"> aanpassing aan en beperking van de klimaatverandering – mits </w:t>
            </w:r>
            <w:r>
              <w:rPr>
                <w:b/>
                <w:i/>
              </w:rPr>
              <w:t>dit proces zorgvuldig wordt opgezet via</w:t>
            </w:r>
            <w:r>
              <w:t xml:space="preserve"> een robuuste, sociale dialoog – </w:t>
            </w:r>
            <w:r>
              <w:rPr>
                <w:b/>
                <w:i/>
              </w:rPr>
              <w:t>kan</w:t>
            </w:r>
            <w:r>
              <w:t xml:space="preserve"> zorgen voor </w:t>
            </w:r>
            <w:r>
              <w:rPr>
                <w:b/>
                <w:i/>
              </w:rPr>
              <w:t>robuustere</w:t>
            </w:r>
            <w:r>
              <w:t xml:space="preserve"> ecosystemen, </w:t>
            </w:r>
            <w:r>
              <w:rPr>
                <w:b/>
                <w:i/>
              </w:rPr>
              <w:t>nieuwe waardige</w:t>
            </w:r>
            <w:r>
              <w:t xml:space="preserve"> banen, duurzame </w:t>
            </w:r>
            <w:r>
              <w:rPr>
                <w:b/>
                <w:i/>
              </w:rPr>
              <w:t>ondernemingen</w:t>
            </w:r>
            <w:r>
              <w:t xml:space="preserve"> en inclusievere samenlevingen, waarbij niemand aan zijn lot wordt overgelaten;</w:t>
            </w:r>
          </w:p>
        </w:tc>
        <w:tc>
          <w:tcPr>
            <w:tcW w:w="4876" w:type="dxa"/>
            <w:tcBorders>
              <w:top w:val="nil"/>
              <w:left w:val="nil"/>
              <w:bottom w:val="nil"/>
              <w:right w:val="nil"/>
            </w:tcBorders>
          </w:tcPr>
          <w:p>
            <w:pPr>
              <w:pStyle w:val="Normal6a"/>
            </w:pPr>
            <w:r>
              <w:t>11.</w:t>
            </w:r>
            <w:r>
              <w:tab/>
            </w:r>
            <w:r>
              <w:t xml:space="preserve">dringt </w:t>
            </w:r>
            <w:r>
              <w:rPr>
                <w:b/>
                <w:i/>
              </w:rPr>
              <w:t>er bij de EU en de lidstaten op aan ervoor te zorgen</w:t>
            </w:r>
            <w:r>
              <w:t xml:space="preserve"> dat de </w:t>
            </w:r>
            <w:r>
              <w:rPr>
                <w:b/>
                <w:i/>
              </w:rPr>
              <w:t>groene</w:t>
            </w:r>
            <w:r>
              <w:t xml:space="preserve"> transitie </w:t>
            </w:r>
            <w:r>
              <w:rPr>
                <w:b/>
                <w:i/>
              </w:rPr>
              <w:t>sociaal rechtvaardig is, met specifieke steun voor</w:t>
            </w:r>
            <w:r>
              <w:t xml:space="preserve"> werknemers</w:t>
            </w:r>
            <w:r>
              <w:rPr>
                <w:b/>
                <w:i/>
              </w:rPr>
              <w:t>, huishoudens, regio’s</w:t>
            </w:r>
            <w:r>
              <w:t xml:space="preserve"> en ondernemingen </w:t>
            </w:r>
            <w:r>
              <w:rPr>
                <w:b/>
                <w:i/>
              </w:rPr>
              <w:t>die worden geraakt door structurele veranderingen en veranderingen aan de vraagkant van de arbeidsmarkt</w:t>
            </w:r>
            <w:r>
              <w:t xml:space="preserve">; merkt op dat </w:t>
            </w:r>
            <w:r>
              <w:rPr>
                <w:b/>
                <w:i/>
              </w:rPr>
              <w:t>strategieën voor</w:t>
            </w:r>
            <w:r>
              <w:t xml:space="preserve"> aanpassing aan en beperking van de klimaatverandering – mits </w:t>
            </w:r>
            <w:r>
              <w:rPr>
                <w:b/>
                <w:i/>
              </w:rPr>
              <w:t>geïnformeerd door</w:t>
            </w:r>
            <w:r>
              <w:t xml:space="preserve"> een robuuste, sociale dialoog – </w:t>
            </w:r>
            <w:r>
              <w:rPr>
                <w:b/>
                <w:i/>
              </w:rPr>
              <w:t>kunnen</w:t>
            </w:r>
            <w:r>
              <w:t xml:space="preserve"> zorgen voor </w:t>
            </w:r>
            <w:r>
              <w:rPr>
                <w:b/>
                <w:i/>
              </w:rPr>
              <w:t>veerkrachtige economische</w:t>
            </w:r>
            <w:r>
              <w:t xml:space="preserve"> ecosystemen, </w:t>
            </w:r>
            <w:r>
              <w:rPr>
                <w:b/>
                <w:i/>
              </w:rPr>
              <w:t>hoogwaardige</w:t>
            </w:r>
            <w:r>
              <w:t xml:space="preserve"> banen, duurzame </w:t>
            </w:r>
            <w:r>
              <w:rPr>
                <w:b/>
                <w:i/>
              </w:rPr>
              <w:t>bedrijfsmodellen</w:t>
            </w:r>
            <w:r>
              <w:t xml:space="preserve"> en inclusievere samenlevingen, waarbij niemand aan zijn lot wordt overgelaten; </w:t>
            </w:r>
            <w:r>
              <w:rPr>
                <w:b/>
                <w:i/>
              </w:rPr>
              <w:t>dringt aan op de spoedige invoering van groene socialebeschermingsregelingen en investeringen om milieurechtvaardigheid te waarborgen en mensen te beschermen tegen de gevolgen van de klimaatverandering;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dringt erop aan dat de rechtvaardige transitie van werknemers en ondernemingen in de EU wordt ondersteund bij de overgang naar een groene economie; 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w:t>
            </w:r>
          </w:p>
        </w:tc>
        <w:tc>
          <w:tcPr>
            <w:tcW w:w="4876" w:type="dxa"/>
            <w:tcBorders>
              <w:top w:val="nil"/>
              <w:left w:val="nil"/>
              <w:bottom w:val="nil"/>
              <w:right w:val="nil"/>
            </w:tcBorders>
          </w:tcPr>
          <w:p>
            <w:pPr>
              <w:pStyle w:val="Normal6a"/>
            </w:pPr>
            <w:r>
              <w:t>11.</w:t>
            </w:r>
            <w:r>
              <w:tab/>
            </w:r>
            <w:r>
              <w:t xml:space="preserve">dringt erop aan dat de rechtvaardige transitie van werknemers en ondernemingen in de EU wordt ondersteund bij de overgang naar een groene economie; 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 </w:t>
            </w:r>
            <w:r>
              <w:rPr>
                <w:b/>
                <w:i/>
              </w:rPr>
              <w:t>verzoekt de Commissie een richtlijn inzake een rechtvaardige transitie in de arbeidswereld voor te stellen om ervoor te zorgen dat deze beginselen op het niveau van de Unie worden gewaarborgd;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dringt erop aan dat de rechtvaardige transitie van werknemers en ondernemingen in de EU wordt ondersteund bij de overgang naar een groene economie; 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w:t>
            </w:r>
          </w:p>
        </w:tc>
        <w:tc>
          <w:tcPr>
            <w:tcW w:w="4876" w:type="dxa"/>
            <w:tcBorders>
              <w:top w:val="nil"/>
              <w:left w:val="nil"/>
              <w:bottom w:val="nil"/>
              <w:right w:val="nil"/>
            </w:tcBorders>
          </w:tcPr>
          <w:p>
            <w:pPr>
              <w:pStyle w:val="Normal6a"/>
            </w:pPr>
            <w:r>
              <w:t>11.</w:t>
            </w:r>
            <w:r>
              <w:tab/>
            </w:r>
            <w:r>
              <w:t xml:space="preserve">dringt erop aan dat de rechtvaardige transitie van werknemers en ondernemingen in de EU wordt ondersteund bij de </w:t>
            </w:r>
            <w:r>
              <w:rPr>
                <w:b/>
                <w:i/>
              </w:rPr>
              <w:t>redelijke</w:t>
            </w:r>
            <w:r>
              <w:t xml:space="preserve"> overgang naar een groene economie; merkt op dat het proces van aanpassing aan en beperking van de klimaatverandering – mits dit proces zorgvuldig wordt opgezet via een robuuste, sociale dialoog – kan zorgen voor robuustere ecosystemen, nieuwe waardige banen, duurzame ondernemingen en inclusievere samenlevingen, waarbij niemand aan zijn lot wordt overgelaten;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11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11 bis.</w:t>
            </w:r>
            <w:r>
              <w:tab/>
            </w:r>
            <w:r>
              <w:rPr>
                <w:b/>
                <w:i/>
              </w:rPr>
              <w:t>wijst op de bijdrage van de sociale economie aan de groene transitie;</w:t>
            </w:r>
            <w:r>
              <w:t xml:space="preserve"> </w:t>
            </w:r>
            <w:r>
              <w:rPr>
                <w:b/>
                <w:i/>
              </w:rPr>
              <w:t>merkt op dat veel organisaties in de sociale economie duurzame en groene praktijken ontwikkelen en mensen ondersteunen bij het aanpassen en bijdragen aan een groenere economie;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12.</w:t>
            </w:r>
            <w:r>
              <w:tab/>
            </w:r>
            <w:r>
              <w:rPr>
                <w:b/>
                <w:i/>
              </w:rPr>
              <w:t>dringt aan op meer steun voor onderdanen van derde landen om zich op de arbeidsmarkt van de EU te integreren en hun talenten ten volle te benutten onder goede arbeidsomstandigheden die worden bevorderd door een doeltreffend integratiebeleid, ter aanvulling op het benutten van talenten uit de EU;</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dringt aan op meer steun voor onderdanen van derde landen om zich op de arbeidsmarkt van de EU te integreren en hun talenten ten volle te benutten onder goede arbeidsomstandigheden die worden bevorderd door een doeltreffend integratiebeleid, ter aanvulling op het benutten van talenten uit de EU;</w:t>
            </w:r>
          </w:p>
        </w:tc>
        <w:tc>
          <w:tcPr>
            <w:tcW w:w="4876" w:type="dxa"/>
            <w:tcBorders>
              <w:top w:val="nil"/>
              <w:left w:val="nil"/>
              <w:bottom w:val="nil"/>
              <w:right w:val="nil"/>
            </w:tcBorders>
          </w:tcPr>
          <w:p>
            <w:pPr>
              <w:pStyle w:val="Normal6a"/>
            </w:pPr>
            <w:r>
              <w:t>12.</w:t>
            </w:r>
            <w:r>
              <w:tab/>
            </w:r>
            <w:r>
              <w:t>dringt aan op meer steun voor onderdanen van derde landen om zich op de arbeidsmarkt van de EU te integreren en hun talenten ten volle te benutten onder goede arbeidsomstandigheden die worden bevorderd door een doeltreffend integratiebeleid, ter aanvulling op het benutten van talenten uit de EU</w:t>
            </w:r>
            <w:r>
              <w:rPr>
                <w:b/>
                <w:i/>
              </w:rPr>
              <w:t>, en dringt aan op hun gelijke behandeling</w:t>
            </w:r>
            <w:r>
              <w:t xml:space="preserve">; </w:t>
            </w:r>
            <w:r>
              <w:rPr>
                <w:b/>
                <w:i/>
              </w:rPr>
              <w:t>dringt aan op regularisatie van migranten zonder papieren in de EU om sociale integratie en integratie op de arbeidsmarkt mogelijk te maken;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w:t>
            </w:r>
            <w:r>
              <w:rPr>
                <w:b/>
                <w:i/>
              </w:rPr>
              <w:t>meer</w:t>
            </w:r>
            <w:r>
              <w:t xml:space="preserve"> steun voor onderdanen van derde landen om zich op de arbeidsmarkt van de EU te integreren en hun talenten ten volle te benutten onder goede arbeidsomstandigheden die worden bevorderd door een doeltreffend integratiebeleid, ter aanvulling op het benutten van talenten uit de EU;</w:t>
            </w:r>
          </w:p>
        </w:tc>
        <w:tc>
          <w:tcPr>
            <w:tcW w:w="4876" w:type="dxa"/>
            <w:tcBorders>
              <w:top w:val="nil"/>
              <w:left w:val="nil"/>
              <w:bottom w:val="nil"/>
              <w:right w:val="nil"/>
            </w:tcBorders>
          </w:tcPr>
          <w:p>
            <w:pPr>
              <w:pStyle w:val="Normal6a"/>
            </w:pPr>
            <w:r>
              <w:t>12.</w:t>
            </w:r>
            <w:r>
              <w:tab/>
            </w:r>
            <w:r>
              <w:t xml:space="preserve">dringt aan op steun voor onderdanen van derde landen </w:t>
            </w:r>
            <w:r>
              <w:rPr>
                <w:b/>
                <w:i/>
              </w:rPr>
              <w:t>die legaal in de Europese Unie verblijven</w:t>
            </w:r>
            <w:r>
              <w:t xml:space="preserve"> om zich op de arbeidsmarkt van de EU te integreren en hun talenten ten volle te benutten onder goede arbeidsomstandigheden die worden bevorderd door een doeltreffend integratiebeleid, ter aanvulling op het benutten van talenten uit de EU;</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 xml:space="preserve">dringt aan op meer steun voor onderdanen van derde landen om zich op de arbeidsmarkt van de EU te integreren en hun talenten ten volle te benutten onder </w:t>
            </w:r>
            <w:r>
              <w:rPr>
                <w:b/>
                <w:i/>
              </w:rPr>
              <w:t>goede</w:t>
            </w:r>
            <w:r>
              <w:t xml:space="preserve"> arbeidsomstandigheden die worden bevorderd door een doeltreffend integratiebeleid, ter aanvulling op het benutten van talenten uit de EU;</w:t>
            </w:r>
          </w:p>
        </w:tc>
        <w:tc>
          <w:tcPr>
            <w:tcW w:w="4876" w:type="dxa"/>
            <w:tcBorders>
              <w:top w:val="nil"/>
              <w:left w:val="nil"/>
              <w:bottom w:val="nil"/>
              <w:right w:val="nil"/>
            </w:tcBorders>
          </w:tcPr>
          <w:p>
            <w:pPr>
              <w:pStyle w:val="Normal6a"/>
            </w:pPr>
            <w:r>
              <w:t>12.</w:t>
            </w:r>
            <w:r>
              <w:tab/>
            </w:r>
            <w:r>
              <w:t xml:space="preserve">dringt aan op meer steun voor onderdanen van derde landen om zich op de arbeidsmarkt van de EU te integreren en hun talenten ten volle te benutten </w:t>
            </w:r>
            <w:r>
              <w:rPr>
                <w:b/>
                <w:i/>
              </w:rPr>
              <w:t>in banen en</w:t>
            </w:r>
            <w:r>
              <w:t xml:space="preserve"> onder arbeidsomstandigheden </w:t>
            </w:r>
            <w:r>
              <w:rPr>
                <w:b/>
                <w:i/>
              </w:rPr>
              <w:t>van hoge kwaliteit</w:t>
            </w:r>
            <w:r>
              <w:t xml:space="preserve"> die worden bevorderd door een doeltreffend integratiebeleid, ter aanvulling op het benutten van talenten uit de EU;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pleit voor een nauwlettend toezicht op actieve arbeidsmarktmaatregelen en voor voldoende inkomenssteun en sociale zekerheid zodat mensen die moeilijk hun weg vinden naar de arbeidsmarkt, met name mensen met een handicap en de Roma, op voet van gelijkheid aan de arbeidsmarkt kunnen deelnemen;</w:t>
            </w:r>
          </w:p>
        </w:tc>
        <w:tc>
          <w:tcPr>
            <w:tcW w:w="4876" w:type="dxa"/>
            <w:tcBorders>
              <w:top w:val="nil"/>
              <w:left w:val="nil"/>
              <w:bottom w:val="nil"/>
              <w:right w:val="nil"/>
            </w:tcBorders>
          </w:tcPr>
          <w:p>
            <w:pPr>
              <w:pStyle w:val="Normal6a"/>
            </w:pPr>
            <w:r>
              <w:t>13.</w:t>
            </w:r>
            <w:r>
              <w:tab/>
            </w:r>
            <w:r>
              <w:t xml:space="preserve">pleit voor een nauwlettend toezicht op actieve arbeidsmarktmaatregelen en voor voldoende inkomenssteun en sociale zekerheid zodat mensen die moeilijk hun weg vinden naar de arbeidsmarkt, met name </w:t>
            </w:r>
            <w:r>
              <w:rPr>
                <w:b/>
                <w:i/>
              </w:rPr>
              <w:t>vrouwen,</w:t>
            </w:r>
            <w:r>
              <w:t xml:space="preserve"> mensen met een handicap</w:t>
            </w:r>
            <w:r>
              <w:rPr>
                <w:b/>
                <w:i/>
              </w:rPr>
              <w:t>, werknemers met een migrantenachtergrond, mensen in de lhbtiq+ -gemeenschap, jonge mensen die voor het eerst aan de arbeidsmarkt deelnemen</w:t>
            </w:r>
            <w:r>
              <w:t xml:space="preserve"> en de Roma, op voet van gelijkheid aan de arbeidsmarkt kunnen deelnemen; </w:t>
            </w:r>
            <w:r>
              <w:rPr>
                <w:b/>
                <w:i/>
              </w:rPr>
              <w:t>mensen die, onder andere, extra steun nodig zouden kunnen hebben;</w:t>
            </w:r>
            <w:r>
              <w:t xml:space="preserve"> </w:t>
            </w:r>
            <w:r>
              <w:rPr>
                <w:b/>
                <w:i/>
              </w:rPr>
              <w:t>herinnert in dit verband aan de oproep van het Parlement voor een richtlijn inzake minimuminkomen</w:t>
            </w:r>
            <w:r>
              <w:rPr>
                <w:b/>
                <w:i/>
                <w:vertAlign w:val="superscript"/>
              </w:rPr>
              <w:t>1 bis</w:t>
            </w:r>
            <w:r>
              <w:t xml:space="preserve"> </w:t>
            </w:r>
            <w:r>
              <w:rPr>
                <w:b/>
                <w:i/>
              </w:rPr>
              <w:t>om de toegankelijkheid, toereikendheid en doeltreffendheid van minimuminkomensregelingen verder te verbeteren, teneinde opwaartse sociale convergentie te bevorderen;</w:t>
            </w:r>
            <w:r>
              <w:t xml:space="preserve"> </w:t>
            </w:r>
            <w:r>
              <w:rPr>
                <w:b/>
                <w:i/>
              </w:rPr>
              <w:t>herinnert eraan dat regelingen voor een minimuminkomen mensen die niet over voldoende middelen beschikken tegen armoede en sociale uitsluiting moeten beschermen;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b/>
                <w:i/>
                <w:vertAlign w:val="superscript"/>
              </w:rPr>
              <w:t>1 bis</w:t>
            </w:r>
            <w:r>
              <w:t xml:space="preserve"> </w:t>
            </w:r>
            <w:r>
              <w:rPr>
                <w:b/>
                <w:i/>
              </w:rPr>
              <w:t>https://www.europarl.europa.eu/doceo/document/TA-9-2023-0076_NL.html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pleit voor een nauwlettend toezicht op actieve arbeidsmarktmaatregelen en voor voldoende inkomenssteun en sociale zekerheid zodat mensen die moeilijk hun weg vinden naar de arbeidsmarkt</w:t>
            </w:r>
            <w:r>
              <w:rPr>
                <w:b/>
                <w:i/>
              </w:rPr>
              <w:t>, met name mensen met een handicap en de Roma,</w:t>
            </w:r>
            <w:r>
              <w:t xml:space="preserve"> op voet van gelijkheid aan de arbeidsmarkt kunnen deelnemen;</w:t>
            </w:r>
          </w:p>
        </w:tc>
        <w:tc>
          <w:tcPr>
            <w:tcW w:w="4876" w:type="dxa"/>
            <w:tcBorders>
              <w:top w:val="nil"/>
              <w:left w:val="nil"/>
              <w:bottom w:val="nil"/>
              <w:right w:val="nil"/>
            </w:tcBorders>
          </w:tcPr>
          <w:p>
            <w:pPr>
              <w:pStyle w:val="Normal6a"/>
            </w:pPr>
            <w:r>
              <w:t>13.</w:t>
            </w:r>
            <w:r>
              <w:tab/>
            </w:r>
            <w:r>
              <w:t xml:space="preserve">pleit voor een nauwlettend toezicht op actieve arbeidsmarktmaatregelen </w:t>
            </w:r>
            <w:r>
              <w:rPr>
                <w:b/>
                <w:i/>
              </w:rPr>
              <w:t>waaronder gelijke toegang tot hoogwaardige banen,</w:t>
            </w:r>
            <w:r>
              <w:t xml:space="preserve"> en voor voldoende inkomenssteun en sociale zekerheid zodat </w:t>
            </w:r>
            <w:r>
              <w:rPr>
                <w:b/>
                <w:i/>
              </w:rPr>
              <w:t>kwetsbare groepen en</w:t>
            </w:r>
            <w:r>
              <w:t xml:space="preserve"> mensen die moeilijk hun weg vinden naar de arbeidsmarkt op voet van gelijkheid aan de arbeidsmarkt kunnen deelnemen; </w:t>
            </w:r>
            <w:r>
              <w:rPr>
                <w:b/>
                <w:i/>
              </w:rPr>
              <w:t>benadrukt in dit verband het belang van de vaststelling van een bindend EU-kader voor toereikende minimuminkomensregelingen, zoals gevraagd in de resolutie van het Europees Parlement, om inkomenszekerheid te waarborgen, armoede terug te dringen en inclusie op de arbeidsmarkt te ondersteunen;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pleit voor een nauwlettend toezicht op actieve arbeidsmarktmaatregelen en voor voldoende </w:t>
            </w:r>
            <w:r>
              <w:rPr>
                <w:b/>
                <w:i/>
              </w:rPr>
              <w:t>inkomenssteun en</w:t>
            </w:r>
            <w:r>
              <w:t xml:space="preserve"> sociale zekerheid zodat mensen die moeilijk hun weg vinden naar de arbeidsmarkt, met name mensen met een handicap </w:t>
            </w:r>
            <w:r>
              <w:rPr>
                <w:b/>
                <w:i/>
              </w:rPr>
              <w:t>en de Roma</w:t>
            </w:r>
            <w:r>
              <w:t>, op voet van gelijkheid aan de arbeidsmarkt kunnen deelnemen;</w:t>
            </w:r>
          </w:p>
        </w:tc>
        <w:tc>
          <w:tcPr>
            <w:tcW w:w="4876" w:type="dxa"/>
            <w:tcBorders>
              <w:top w:val="nil"/>
              <w:left w:val="nil"/>
              <w:bottom w:val="nil"/>
              <w:right w:val="nil"/>
            </w:tcBorders>
          </w:tcPr>
          <w:p>
            <w:pPr>
              <w:pStyle w:val="Normal6a"/>
            </w:pPr>
            <w:r>
              <w:t>13.</w:t>
            </w:r>
            <w:r>
              <w:tab/>
            </w:r>
            <w:r>
              <w:t xml:space="preserve">pleit voor een nauwlettend toezicht op actieve arbeidsmarktmaatregelen en voor voldoende </w:t>
            </w:r>
            <w:r>
              <w:rPr>
                <w:b/>
                <w:i/>
              </w:rPr>
              <w:t>minimuminkomenssteun en universele</w:t>
            </w:r>
            <w:r>
              <w:t xml:space="preserve"> sociale zekerheid zodat mensen die moeilijk hun weg vinden naar de arbeidsmarkt, met name mensen met een handicap</w:t>
            </w:r>
            <w:r>
              <w:rPr>
                <w:b/>
                <w:i/>
              </w:rPr>
              <w:t>, Roma en langdurig werklozen</w:t>
            </w:r>
            <w:r>
              <w:t xml:space="preserve">, op voet van gelijkheid aan de arbeidsmarkt kunnen deelnemen; </w:t>
            </w:r>
            <w:r>
              <w:rPr>
                <w:b/>
                <w:i/>
              </w:rPr>
              <w:t>benadrukt de noodzaak van adequate sociale bescherming en ondersteuning, ook voor zelfstandig ondernemers;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rPr>
                <w:b/>
                <w:i/>
              </w:rPr>
              <w:t>pleit voor een nauwlettend toezicht op actieve arbeidsmarktmaatregelen en voor voldoende</w:t>
            </w:r>
            <w:r>
              <w:t xml:space="preserve"> inkomenssteun en sociale zekerheid </w:t>
            </w:r>
            <w:r>
              <w:rPr>
                <w:b/>
                <w:i/>
              </w:rPr>
              <w:t>zodat mensen die moeilijk hun weg vinden naar de arbeidsmarkt, met name</w:t>
            </w:r>
            <w:r>
              <w:t xml:space="preserve"> mensen met een handicap </w:t>
            </w:r>
            <w:r>
              <w:rPr>
                <w:b/>
                <w:i/>
              </w:rPr>
              <w:t>en de Roma,</w:t>
            </w:r>
            <w:r>
              <w:t xml:space="preserve"> op voet van gelijkheid aan de arbeidsmarkt kunnen deelnemen;</w:t>
            </w:r>
          </w:p>
        </w:tc>
        <w:tc>
          <w:tcPr>
            <w:tcW w:w="4876" w:type="dxa"/>
            <w:tcBorders>
              <w:top w:val="nil"/>
              <w:left w:val="nil"/>
              <w:bottom w:val="nil"/>
              <w:right w:val="nil"/>
            </w:tcBorders>
          </w:tcPr>
          <w:p>
            <w:pPr>
              <w:pStyle w:val="Normal6a"/>
            </w:pPr>
            <w:r>
              <w:t>13.</w:t>
            </w:r>
            <w:r>
              <w:tab/>
            </w:r>
            <w:r>
              <w:rPr>
                <w:b/>
                <w:i/>
              </w:rPr>
              <w:t>beveelt aan dat de lidstaten die nog geen specifiek programma hebben,</w:t>
            </w:r>
            <w:r>
              <w:t xml:space="preserve"> inkomenssteun en </w:t>
            </w:r>
            <w:r>
              <w:rPr>
                <w:b/>
                <w:i/>
              </w:rPr>
              <w:t>voldoende</w:t>
            </w:r>
            <w:r>
              <w:t xml:space="preserve"> sociale zekerheid </w:t>
            </w:r>
            <w:r>
              <w:rPr>
                <w:b/>
                <w:i/>
              </w:rPr>
              <w:t>invoeren, om te garanderen dat</w:t>
            </w:r>
            <w:r>
              <w:t xml:space="preserve"> mensen met een handicap op voet van gelijkheid aan de arbeidsmarkt kunnen deelnemen;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pleit voor een nauwlettend toezicht op actieve arbeidsmarktmaatregelen en voor voldoende inkomenssteun en sociale zekerheid zodat mensen die moeilijk hun weg vinden naar de arbeidsmarkt, </w:t>
            </w:r>
            <w:r>
              <w:rPr>
                <w:b/>
                <w:i/>
              </w:rPr>
              <w:t>met name</w:t>
            </w:r>
            <w:r>
              <w:t xml:space="preserve"> mensen met een handicap en </w:t>
            </w:r>
            <w:r>
              <w:rPr>
                <w:b/>
                <w:i/>
              </w:rPr>
              <w:t>de Roma</w:t>
            </w:r>
            <w:r>
              <w:t>, op voet van gelijkheid aan de arbeidsmarkt kunnen deelnemen;</w:t>
            </w:r>
          </w:p>
        </w:tc>
        <w:tc>
          <w:tcPr>
            <w:tcW w:w="4876" w:type="dxa"/>
            <w:tcBorders>
              <w:top w:val="nil"/>
              <w:left w:val="nil"/>
              <w:bottom w:val="nil"/>
              <w:right w:val="nil"/>
            </w:tcBorders>
          </w:tcPr>
          <w:p>
            <w:pPr>
              <w:pStyle w:val="Normal6a"/>
            </w:pPr>
            <w:r>
              <w:t>13.</w:t>
            </w:r>
            <w:r>
              <w:tab/>
            </w:r>
            <w:r>
              <w:t xml:space="preserve">pleit voor een nauwlettend toezicht op actieve arbeidsmarktmaatregelen en voor voldoende inkomenssteun en sociale zekerheid zodat mensen die moeilijk hun weg vinden naar de arbeidsmarkt, </w:t>
            </w:r>
            <w:r>
              <w:rPr>
                <w:b/>
                <w:i/>
              </w:rPr>
              <w:t>waaronder</w:t>
            </w:r>
            <w:r>
              <w:t xml:space="preserve"> mensen met een handicap en </w:t>
            </w:r>
            <w:r>
              <w:rPr>
                <w:b/>
                <w:i/>
              </w:rPr>
              <w:t>minderheden</w:t>
            </w:r>
            <w:r>
              <w:t>, op voet van gelijkheid aan de arbeidsmarkt kunnen deelnemen;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is van mening dat de sociale economie een belangrijke drijvende kracht is achter de uitvoering van de EPSR en de doelstellingen daarvan, omdat zij vaak werkgelegenheid biedt aan kwetsbare en uitgesloten groepen; verzoekt de Commissie en de lidstaten meer steun te verlenen aan alle ondernemingen van de sociale economie</w:t>
            </w:r>
            <w:r>
              <w:rPr>
                <w:b/>
                <w:i/>
              </w:rPr>
              <w:t>, met name ondernemingen zonder winstoogmerk,</w:t>
            </w:r>
            <w:r>
              <w:t xml:space="preserve"> om hoogwaardig, waardig en inclusief werk te bevorderen;</w:t>
            </w:r>
          </w:p>
        </w:tc>
        <w:tc>
          <w:tcPr>
            <w:tcW w:w="4876" w:type="dxa"/>
            <w:tcBorders>
              <w:top w:val="nil"/>
              <w:left w:val="nil"/>
              <w:bottom w:val="nil"/>
              <w:right w:val="nil"/>
            </w:tcBorders>
          </w:tcPr>
          <w:p>
            <w:pPr>
              <w:pStyle w:val="Normal6a"/>
            </w:pPr>
            <w:r>
              <w:t>14.</w:t>
            </w:r>
            <w:r>
              <w:tab/>
            </w:r>
            <w:r>
              <w:t>is van mening dat de sociale economie een belangrijke drijvende kracht is achter de uitvoering van de EPSR en de doelstellingen daarvan, omdat zij vaak werkgelegenheid biedt aan kwetsbare en uitgesloten groepen; verzoekt de Commissie en de lidstaten meer steun te verlenen aan alle ondernemingen van de sociale economie om hoogwaardig, waardig en inclusief werk te bevorderen;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is van mening dat de sociale economie </w:t>
            </w:r>
            <w:r>
              <w:rPr>
                <w:b/>
                <w:i/>
              </w:rPr>
              <w:t>een belangrijke drijvende kracht is achter de uitvoering</w:t>
            </w:r>
            <w:r>
              <w:t xml:space="preserve"> van de </w:t>
            </w:r>
            <w:r>
              <w:rPr>
                <w:b/>
                <w:i/>
              </w:rPr>
              <w:t>EPSR en de doelstellingen daarvan, omdat zij vaak werkgelegenheid biedt aan kwetsbare en uitgesloten groepen;</w:t>
            </w:r>
            <w:r>
              <w:t xml:space="preserve"> </w:t>
            </w:r>
            <w:r>
              <w:rPr>
                <w:b/>
                <w:i/>
              </w:rPr>
              <w:t>verzoekt de Commissie en</w:t>
            </w:r>
            <w:r>
              <w:t xml:space="preserve"> de lidstaten </w:t>
            </w:r>
            <w:r>
              <w:rPr>
                <w:b/>
                <w:i/>
              </w:rPr>
              <w:t>meer</w:t>
            </w:r>
            <w:r>
              <w:t xml:space="preserve"> steun te verlenen aan </w:t>
            </w:r>
            <w:r>
              <w:rPr>
                <w:b/>
                <w:i/>
              </w:rPr>
              <w:t>alle</w:t>
            </w:r>
            <w:r>
              <w:t xml:space="preserve"> ondernemingen </w:t>
            </w:r>
            <w:r>
              <w:rPr>
                <w:b/>
                <w:i/>
              </w:rPr>
              <w:t>van de sociale economie, met name ondernemingen zonder winstoogmerk, om hoogwaardig,</w:t>
            </w:r>
            <w:r>
              <w:t xml:space="preserve"> waardig en </w:t>
            </w:r>
            <w:r>
              <w:rPr>
                <w:b/>
                <w:i/>
              </w:rPr>
              <w:t>inclusief</w:t>
            </w:r>
            <w:r>
              <w:t xml:space="preserve"> werk te </w:t>
            </w:r>
            <w:r>
              <w:rPr>
                <w:b/>
                <w:i/>
              </w:rPr>
              <w:t>bevorderen</w:t>
            </w:r>
            <w:r>
              <w:t>;</w:t>
            </w:r>
          </w:p>
        </w:tc>
        <w:tc>
          <w:tcPr>
            <w:tcW w:w="4876" w:type="dxa"/>
            <w:tcBorders>
              <w:top w:val="nil"/>
              <w:left w:val="nil"/>
              <w:bottom w:val="nil"/>
              <w:right w:val="nil"/>
            </w:tcBorders>
          </w:tcPr>
          <w:p>
            <w:pPr>
              <w:pStyle w:val="Normal6a"/>
            </w:pPr>
            <w:r>
              <w:t>14.</w:t>
            </w:r>
            <w:r>
              <w:tab/>
            </w:r>
            <w:r>
              <w:t xml:space="preserve">is van mening dat de sociale </w:t>
            </w:r>
            <w:r>
              <w:rPr>
                <w:b/>
                <w:i/>
              </w:rPr>
              <w:t>en solidaire</w:t>
            </w:r>
            <w:r>
              <w:t xml:space="preserve"> economie </w:t>
            </w:r>
            <w:r>
              <w:rPr>
                <w:b/>
                <w:i/>
              </w:rPr>
              <w:t>bijdraagt tot de eerbiediging</w:t>
            </w:r>
            <w:r>
              <w:t xml:space="preserve"> van de </w:t>
            </w:r>
            <w:r>
              <w:rPr>
                <w:b/>
                <w:i/>
              </w:rPr>
              <w:t>sociale rechten van werknemers voor een aantal opvangfaciliteiten, met name voor faciliteiten die werk bieden aan mensen met een handicap;</w:t>
            </w:r>
            <w:r>
              <w:t xml:space="preserve"> </w:t>
            </w:r>
            <w:r>
              <w:rPr>
                <w:b/>
                <w:i/>
              </w:rPr>
              <w:t>beveelt</w:t>
            </w:r>
            <w:r>
              <w:t xml:space="preserve"> de lidstaten </w:t>
            </w:r>
            <w:r>
              <w:rPr>
                <w:b/>
                <w:i/>
              </w:rPr>
              <w:t>aan</w:t>
            </w:r>
            <w:r>
              <w:t xml:space="preserve"> steun te verlenen aan </w:t>
            </w:r>
            <w:r>
              <w:rPr>
                <w:b/>
                <w:i/>
              </w:rPr>
              <w:t>sociale en solidaire</w:t>
            </w:r>
            <w:r>
              <w:t xml:space="preserve"> ondernemingen </w:t>
            </w:r>
            <w:r>
              <w:rPr>
                <w:b/>
                <w:i/>
              </w:rPr>
              <w:t>die bijdragen tot de inclusie van mensen met een handicap, om voor</w:t>
            </w:r>
            <w:r>
              <w:t xml:space="preserve"> waardig en </w:t>
            </w:r>
            <w:r>
              <w:rPr>
                <w:b/>
                <w:i/>
              </w:rPr>
              <w:t>hoogwaardig</w:t>
            </w:r>
            <w:r>
              <w:t xml:space="preserve"> werk te </w:t>
            </w:r>
            <w:r>
              <w:rPr>
                <w:b/>
                <w:i/>
              </w:rPr>
              <w:t>zorgen</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14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 bis.</w:t>
            </w:r>
            <w:r>
              <w:tab/>
            </w:r>
            <w:r>
              <w:rPr>
                <w:b/>
                <w:i/>
              </w:rPr>
              <w:t>merkt op dat het volledige potentieel van de sociale-economiesector om sociaal-economische uitdagingen aan te pakken, een duidelijke omschrijving van de sociale prioriteiten door de overheid vereist;</w:t>
            </w:r>
            <w:r>
              <w:t xml:space="preserve"> </w:t>
            </w:r>
            <w:r>
              <w:rPr>
                <w:b/>
                <w:i/>
              </w:rPr>
              <w:t>en aanbieders van sociale diensten in de frontlinie;</w:t>
            </w:r>
            <w:r>
              <w:t xml:space="preserve"> </w:t>
            </w:r>
            <w:r>
              <w:rPr>
                <w:b/>
                <w:i/>
              </w:rPr>
              <w:t>benadrukt dat projecten van de sociale economie over het algemeen een nauw partnerschap met overheidsinstanties vereisen, en verzoekt de Commissie en de lidstaten daarom binnen het op EU-niveau geboden kader van macro-economische governance een (nieuwe) strategie voor sociale investeringen te ontwikkelen die niet op de bestaande financieringsinstrumenten teruggrijpt en waarin, in overeenstemming met de pijler van sociale rechten, de sociale prioriteiten duidelijk in kaart worden gebracht en die een kader kan bieden voor samenwerking tussen overheidsinstanties en organisaties van de sociale economie;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benadrukt dat voor de verwezenlijking van de doelstellingen voor 2030 ook beginselen van goed bestuur moeten worden toegepast die steunen op de rechtsstaat, verantwoordelijke instellingen, doeltreffende regelgeving en het vermijden van rechtsonzekerheid;</w:t>
            </w:r>
          </w:p>
        </w:tc>
        <w:tc>
          <w:tcPr>
            <w:tcW w:w="4876" w:type="dxa"/>
            <w:tcBorders>
              <w:top w:val="nil"/>
              <w:left w:val="nil"/>
              <w:bottom w:val="nil"/>
              <w:right w:val="nil"/>
            </w:tcBorders>
          </w:tcPr>
          <w:p>
            <w:pPr>
              <w:pStyle w:val="Normal6a"/>
            </w:pPr>
            <w:r>
              <w:t>15.</w:t>
            </w:r>
            <w:r>
              <w:tab/>
            </w:r>
            <w:r>
              <w:t xml:space="preserve">benadrukt dat voor de verwezenlijking van de doelstellingen voor 2030 ook beginselen van goed bestuur moeten worden toegepast die steunen op de rechtsstaat, verantwoordelijke instellingen, doeltreffende regelgeving en het vermijden van rechtsonzekerheid; </w:t>
            </w:r>
            <w:r>
              <w:rPr>
                <w:b/>
                <w:i/>
              </w:rPr>
              <w:t>is bezorgd dat de dereguleringsagenda van de Commissie kan leiden tot een verlaging van de bestaande sociale en milieunormen, waardoor de vooruitgang van de Unie bij de verwezenlijking van de doelstellingen voor 2030 wordt belemmerd;</w:t>
            </w:r>
            <w:r>
              <w:t xml:space="preserve"> </w:t>
            </w:r>
            <w:r>
              <w:rPr>
                <w:b/>
                <w:i/>
              </w:rPr>
              <w:t>verzoekt de Commissie en de lidstaten hun verbintenis ten aanzien van de gemeenschappelijke doelstellingen van de Unie na te komen, en met name artikel 3 van het Verdrag betreffende de Europese Unie;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benadrukt dat voor de verwezenlijking van de doelstellingen voor 2030 ook beginselen van goed bestuur moeten worden toegepast die steunen op de rechtsstaat, verantwoordelijke instellingen, </w:t>
            </w:r>
            <w:r>
              <w:rPr>
                <w:b/>
                <w:i/>
              </w:rPr>
              <w:t>doeltreffende regelgeving</w:t>
            </w:r>
            <w:r>
              <w:t xml:space="preserve"> en het vermijden van rechtsonzekerheid;</w:t>
            </w:r>
          </w:p>
        </w:tc>
        <w:tc>
          <w:tcPr>
            <w:tcW w:w="4876" w:type="dxa"/>
            <w:tcBorders>
              <w:top w:val="nil"/>
              <w:left w:val="nil"/>
              <w:bottom w:val="nil"/>
              <w:right w:val="nil"/>
            </w:tcBorders>
          </w:tcPr>
          <w:p>
            <w:pPr>
              <w:pStyle w:val="Normal6a"/>
            </w:pPr>
            <w:r>
              <w:t>15.</w:t>
            </w:r>
            <w:r>
              <w:tab/>
            </w:r>
            <w:r>
              <w:t xml:space="preserve">benadrukt dat voor de verwezenlijking van de doelstellingen voor 2030 ook beginselen van goed bestuur moeten worden toegepast die steunen op de rechtsstaat, verantwoordelijke instellingen, </w:t>
            </w:r>
            <w:r>
              <w:rPr>
                <w:b/>
                <w:i/>
              </w:rPr>
              <w:t>doeltreffendheid van uitvoering, monitoring en handhaving</w:t>
            </w:r>
            <w:r>
              <w:t xml:space="preserve"> en het vermijden van rechtsonzekerheid; </w:t>
            </w:r>
            <w:r>
              <w:rPr>
                <w:b/>
                <w:i/>
              </w:rPr>
              <w:t>dringt er in dit verband op aan dat in de politieke verklaring naar aanleiding van de Tweede Wereldtop betekenisvolle toezeggingen worden opgenomen over het bevorderen van de SDG’s en het aanpakken van hardnekkige tekortkomingen op het vlak van sociale ontwikkeling, alsook krachtige monitoring- en evaluatiemechanismen;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Isabelle Le Callennec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benadrukt dat voor de verwezenlijking van de doelstellingen voor 2030 ook beginselen van goed bestuur moeten worden toegepast die steunen op de rechtsstaat, verantwoordelijke instellingen</w:t>
            </w:r>
            <w:r>
              <w:rPr>
                <w:b/>
                <w:i/>
              </w:rPr>
              <w:t>,</w:t>
            </w:r>
            <w:r>
              <w:t xml:space="preserve"> doeltreffende regelgeving </w:t>
            </w:r>
            <w:r>
              <w:rPr>
                <w:b/>
                <w:i/>
              </w:rPr>
              <w:t>en het vermijden van</w:t>
            </w:r>
            <w:r>
              <w:t xml:space="preserve"> rechtsonzekerheid;</w:t>
            </w:r>
          </w:p>
        </w:tc>
        <w:tc>
          <w:tcPr>
            <w:tcW w:w="4876" w:type="dxa"/>
            <w:tcBorders>
              <w:top w:val="nil"/>
              <w:left w:val="nil"/>
              <w:bottom w:val="nil"/>
              <w:right w:val="nil"/>
            </w:tcBorders>
          </w:tcPr>
          <w:p>
            <w:pPr>
              <w:pStyle w:val="Normal6a"/>
            </w:pPr>
            <w:r>
              <w:t>15.</w:t>
            </w:r>
            <w:r>
              <w:tab/>
            </w:r>
            <w:r>
              <w:t xml:space="preserve">benadrukt dat voor de verwezenlijking van de doelstellingen voor 2030 ook beginselen van goed bestuur moeten worden toegepast die steunen op de rechtsstaat, verantwoordelijke instellingen </w:t>
            </w:r>
            <w:r>
              <w:rPr>
                <w:b/>
                <w:i/>
              </w:rPr>
              <w:t>en</w:t>
            </w:r>
            <w:r>
              <w:t xml:space="preserve"> doeltreffende regelgeving</w:t>
            </w:r>
            <w:r>
              <w:rPr>
                <w:b/>
                <w:i/>
              </w:rPr>
              <w:t>, waarbij</w:t>
            </w:r>
            <w:r>
              <w:t xml:space="preserve"> rechtsonzekerheid </w:t>
            </w:r>
            <w:r>
              <w:rPr>
                <w:b/>
                <w:i/>
              </w:rPr>
              <w:t>moet worden vermeden, onder meer voor kandidaat-lidstaten van de Europese Unie</w:t>
            </w:r>
            <w:r>
              <w: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15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 bis.</w:t>
            </w:r>
            <w:r>
              <w:tab/>
            </w:r>
            <w:r>
              <w:rPr>
                <w:b/>
                <w:i/>
              </w:rPr>
              <w:t>benadrukt tevens dat deze beginselen gebaseerd zijn op de soevereiniteit van de lidstaten, de strijd tegen buitenlandse inmenging omvatten en afhankelijk zijn van de vrijheid van handelen van staten om de rechten van de bevolking te eerbiedigen;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Marie Dauchy, Mélanie Disdier, Nikola Bartůšek</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16.</w:t>
            </w:r>
            <w:r>
              <w:tab/>
            </w:r>
            <w:r>
              <w:rPr>
                <w:b/>
                <w:i/>
              </w:rPr>
              <w:t>benadrukt dat leiderschap op het gebied van de internationale mensenrechten het best bereikt wordt door het voorbeeld te geven, met inbegrip van de bereidheid om internationale mensenrechteninstrumenten te ratificeren en volledig en doeltreffend uit te voeren;</w:t>
            </w:r>
            <w:r>
              <w:t xml:space="preserve"> </w:t>
            </w:r>
            <w:r>
              <w:rPr>
                <w:b/>
                <w:i/>
              </w:rPr>
              <w:t>merkt op dat de wereldwijde inzet voor de mensenrechten ook moet worden verhoogd door gebruik te maken van diplomatieke en economische kansen om de steun voor mensenrechteninstrumenten te vergroten en anderen, zoals niet-gouvernementele organisaties en vakbonden, de kans te geven om ongehinderd te streven naar betere mensenrechtennormen in de hele wereld;</w:t>
            </w:r>
            <w:r>
              <w:t xml:space="preserve"> </w:t>
            </w:r>
            <w:r>
              <w:rPr>
                <w:b/>
                <w:i/>
              </w:rPr>
              <w:t>herinnert eraan dat mensenrechten en sociale rechten alleen op geloofwaardige wijze kunnen worden bevorderd door landen die zelf hun verplichtingen nakomen;</w:t>
            </w:r>
          </w:p>
        </w:tc>
        <w:tc>
          <w:tcPr>
            <w:tcW w:w="4876" w:type="dxa"/>
            <w:tcBorders>
              <w:top w:val="nil"/>
              <w:left w:val="nil"/>
              <w:bottom w:val="nil"/>
              <w:right w:val="nil"/>
            </w:tcBorders>
          </w:tcPr>
          <w:p>
            <w:pPr>
              <w:pStyle w:val="Normal6a"/>
            </w:pPr>
            <w:r>
              <w:rPr>
                <w:b/>
                <w:i/>
              </w:rPr>
              <w:t>Schrappen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benadrukt dat leiderschap op het gebied van de internationale mensenrechten het best bereikt wordt door het voorbeeld te geven,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en anderen, zoals niet-gouvernementele organisaties en vakbonden, de kans te geven om ongehinderd te streven naar betere mensenrechtennormen in de hele wereld; herinnert eraan dat mensenrechten en sociale rechten alleen op geloofwaardige wijze kunnen worden bevorderd door landen die zelf hun verplichtingen nakomen;</w:t>
            </w:r>
          </w:p>
        </w:tc>
        <w:tc>
          <w:tcPr>
            <w:tcW w:w="4876" w:type="dxa"/>
            <w:tcBorders>
              <w:top w:val="nil"/>
              <w:left w:val="nil"/>
              <w:bottom w:val="nil"/>
              <w:right w:val="nil"/>
            </w:tcBorders>
          </w:tcPr>
          <w:p>
            <w:pPr>
              <w:pStyle w:val="Normal6a"/>
            </w:pPr>
            <w:r>
              <w:t>16.</w:t>
            </w:r>
            <w:r>
              <w:tab/>
            </w:r>
            <w:r>
              <w:t>benadrukt dat leiderschap op het gebied van de internationale mensenrechten het best bereikt wordt door het voorbeeld te geven</w:t>
            </w:r>
            <w:r>
              <w:rPr>
                <w:b/>
                <w:i/>
              </w:rPr>
              <w:t>, met name in het geval van de EU-instellingen</w:t>
            </w:r>
            <w:r>
              <w:t xml:space="preserve">,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en anderen, zoals niet-gouvernementele organisaties en vakbonden </w:t>
            </w:r>
            <w:r>
              <w:rPr>
                <w:b/>
                <w:i/>
              </w:rPr>
              <w:t>met steun van de EU-begroting</w:t>
            </w:r>
            <w:r>
              <w:t xml:space="preserve">, de kans te geven om ongehinderd </w:t>
            </w:r>
            <w:r>
              <w:rPr>
                <w:b/>
                <w:i/>
              </w:rPr>
              <w:t>en overeenkomstig de Verdragen</w:t>
            </w:r>
            <w:r>
              <w:t xml:space="preserve"> te streven naar betere mensenrechtennormen in de hele wereld </w:t>
            </w:r>
            <w:r>
              <w:rPr>
                <w:b/>
                <w:i/>
              </w:rPr>
              <w:t>zonder de economische belangen van de Unie in de context van mondiale concurrentie daarbij ernstig in gevaar te brengen</w:t>
            </w:r>
            <w:r>
              <w:t>; herinnert eraan dat mensenrechten en sociale rechten alleen op geloofwaardige wijze kunnen worden bevorderd door landen die zelf hun verplichtingen nakomen;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Chiara Gemma, Francesco Torselli, Elena Donazzan, Mariateresa Vivaldini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benadrukt dat leiderschap op het gebied van de internationale mensenrechten het best bereikt wordt door het voorbeeld te geven,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w:t>
            </w:r>
            <w:r>
              <w:rPr>
                <w:b/>
                <w:i/>
              </w:rPr>
              <w:t>en anderen, zoals niet-gouvernementele organisaties en vakbonden, de kans te geven om ongehinderd te streven naar betere mensenrechtennormen in de hele wereld</w:t>
            </w:r>
            <w:r>
              <w:t>; herinnert eraan dat mensenrechten en sociale rechten alleen op geloofwaardige wijze kunnen worden bevorderd door landen die zelf hun verplichtingen nakomen;</w:t>
            </w:r>
          </w:p>
        </w:tc>
        <w:tc>
          <w:tcPr>
            <w:tcW w:w="4876" w:type="dxa"/>
            <w:tcBorders>
              <w:top w:val="nil"/>
              <w:left w:val="nil"/>
              <w:bottom w:val="nil"/>
              <w:right w:val="nil"/>
            </w:tcBorders>
          </w:tcPr>
          <w:p>
            <w:pPr>
              <w:pStyle w:val="Normal6a"/>
            </w:pPr>
            <w:r>
              <w:t>16.</w:t>
            </w:r>
            <w:r>
              <w:tab/>
            </w:r>
            <w:r>
              <w:t>benadrukt dat leiderschap op het gebied van de internationale mensenrechten het best bereikt wordt door het voorbeeld te geven,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herinnert eraan dat mensenrechten en sociale rechten alleen op geloofwaardige wijze kunnen worden bevorderd door landen die zelf hun verplichtingen nakomen;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benadrukt dat leiderschap op het gebied van de internationale mensenrechten het best bereikt wordt door het voorbeeld te geven,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en anderen, zoals niet-gouvernementele organisaties en vakbonden, de kans te geven om ongehinderd te streven naar betere mensenrechtennormen in de hele wereld; herinnert eraan dat mensenrechten en sociale rechten alleen op geloofwaardige wijze kunnen worden bevorderd door landen die zelf hun verplichtingen nakomen;</w:t>
            </w:r>
          </w:p>
        </w:tc>
        <w:tc>
          <w:tcPr>
            <w:tcW w:w="4876" w:type="dxa"/>
            <w:tcBorders>
              <w:top w:val="nil"/>
              <w:left w:val="nil"/>
              <w:bottom w:val="nil"/>
              <w:right w:val="nil"/>
            </w:tcBorders>
          </w:tcPr>
          <w:p>
            <w:pPr>
              <w:pStyle w:val="Normal6a"/>
            </w:pPr>
            <w:r>
              <w:t>16.</w:t>
            </w:r>
            <w:r>
              <w:tab/>
            </w:r>
            <w:r>
              <w:rPr>
                <w:b/>
                <w:i/>
              </w:rPr>
              <w:t>herinnert eraan dat vrede en mondiale samenwerking de fundamentele voorwaarden zijn voor duurzame ontwikkeling, zowel in Europa als wereldwijd;</w:t>
            </w:r>
            <w:r>
              <w:t xml:space="preserve"> benadrukt dat leiderschap op het gebied van de internationale mensenrechten het best bereikt wordt door het voorbeeld te geven, met inbegrip van de bereidheid om internationale mensenrechteninstrumenten te ratificeren en volledig en doeltreffend uit te voeren; merkt op dat de wereldwijde inzet voor de mensenrechten ook moet worden verhoogd door gebruik te maken van diplomatieke en economische kansen om de steun voor mensenrechteninstrumenten te vergroten en anderen, zoals niet-gouvernementele organisaties en vakbonden, de kans te geven om ongehinderd te streven naar betere mensenrechtennormen in de hele wereld; herinnert eraan dat mensenrechten en sociale rechten alleen op geloofwaardige wijze kunnen worden bevorderd door landen die zelf hun verplichtingen nakomen;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benadrukt dat </w:t>
            </w:r>
            <w:r>
              <w:rPr>
                <w:b/>
                <w:i/>
              </w:rPr>
              <w:t>leiderschap</w:t>
            </w:r>
            <w:r>
              <w:t xml:space="preserve"> op het gebied van de internationale mensenrechten </w:t>
            </w:r>
            <w:r>
              <w:rPr>
                <w:b/>
                <w:i/>
              </w:rPr>
              <w:t>het best bereikt wordt door het voorbeeld te geven, met inbegrip van de bereidheid om</w:t>
            </w:r>
            <w:r>
              <w:t xml:space="preserve"> internationale mensenrechteninstrumenten </w:t>
            </w:r>
            <w:r>
              <w:rPr>
                <w:b/>
                <w:i/>
              </w:rPr>
              <w:t>te ratificeren en</w:t>
            </w:r>
            <w:r>
              <w:t xml:space="preserve"> volledig en doeltreffend </w:t>
            </w:r>
            <w:r>
              <w:rPr>
                <w:b/>
                <w:i/>
              </w:rPr>
              <w:t>uit te voeren</w:t>
            </w:r>
            <w:r>
              <w:t xml:space="preserve">; merkt op dat de wereldwijde inzet voor </w:t>
            </w:r>
            <w:r>
              <w:rPr>
                <w:b/>
                <w:i/>
              </w:rPr>
              <w:t>de mensenrechten</w:t>
            </w:r>
            <w:r>
              <w:t xml:space="preserve"> ook moet worden verhoogd door gebruik te maken van diplomatieke en economische kansen </w:t>
            </w:r>
            <w:r>
              <w:rPr>
                <w:b/>
                <w:i/>
              </w:rPr>
              <w:t>om de steun voor mensenrechteninstrumenten te vergroten</w:t>
            </w:r>
            <w:r>
              <w:t xml:space="preserve"> en anderen, zoals niet-gouvernementele organisaties en vakbonden, de kans te geven om ongehinderd te streven naar betere </w:t>
            </w:r>
            <w:r>
              <w:rPr>
                <w:b/>
                <w:i/>
              </w:rPr>
              <w:t>mensenrechtennormen</w:t>
            </w:r>
            <w:r>
              <w:t xml:space="preserve"> in de hele wereld; herinnert eraan dat mensenrechten en sociale rechten alleen op geloofwaardige wijze kunnen worden bevorderd door landen die zelf hun verplichtingen nakomen;</w:t>
            </w:r>
          </w:p>
        </w:tc>
        <w:tc>
          <w:tcPr>
            <w:tcW w:w="4876" w:type="dxa"/>
            <w:tcBorders>
              <w:top w:val="nil"/>
              <w:left w:val="nil"/>
              <w:bottom w:val="nil"/>
              <w:right w:val="nil"/>
            </w:tcBorders>
          </w:tcPr>
          <w:p>
            <w:pPr>
              <w:pStyle w:val="Normal6a"/>
            </w:pPr>
            <w:r>
              <w:t>16.</w:t>
            </w:r>
            <w:r>
              <w:tab/>
            </w:r>
            <w:r>
              <w:t xml:space="preserve">benadrukt dat </w:t>
            </w:r>
            <w:r>
              <w:rPr>
                <w:b/>
                <w:i/>
              </w:rPr>
              <w:t>de EU een leidende rol moet spelen</w:t>
            </w:r>
            <w:r>
              <w:t xml:space="preserve"> op het gebied van de internationale mensenrechten </w:t>
            </w:r>
            <w:r>
              <w:rPr>
                <w:b/>
                <w:i/>
              </w:rPr>
              <w:t>door de</w:t>
            </w:r>
            <w:r>
              <w:t xml:space="preserve"> internationale mensenrechteninstrumenten volledig en doeltreffend </w:t>
            </w:r>
            <w:r>
              <w:rPr>
                <w:b/>
                <w:i/>
              </w:rPr>
              <w:t>ten uitvoer te leggen</w:t>
            </w:r>
            <w:r>
              <w:t xml:space="preserve">; merkt op dat de wereldwijde inzet voor </w:t>
            </w:r>
            <w:r>
              <w:rPr>
                <w:b/>
                <w:i/>
              </w:rPr>
              <w:t>mensenrechteninstrumenten</w:t>
            </w:r>
            <w:r>
              <w:t xml:space="preserve"> ook moet worden verhoogd door gebruik te maken van diplomatieke en economische kansen en </w:t>
            </w:r>
            <w:r>
              <w:rPr>
                <w:b/>
                <w:i/>
              </w:rPr>
              <w:t>door</w:t>
            </w:r>
            <w:r>
              <w:t xml:space="preserve"> anderen, zoals niet-gouvernementele organisaties en vakbonden, de kans te geven om ongehinderd te streven naar betere </w:t>
            </w:r>
            <w:r>
              <w:rPr>
                <w:b/>
                <w:i/>
              </w:rPr>
              <w:t>mensenrechten- en sociale normen</w:t>
            </w:r>
            <w:r>
              <w:t xml:space="preserve"> in de hele wereld; herinnert eraan dat mensenrechten en sociale rechten alleen op geloofwaardige wijze kunnen worden bevorderd door landen die zelf hun verplichtingen nakomen;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Katrin Langensiepen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benadrukt dat initiatieven die gericht zijn op het stimuleren van economische groei niet ten koste mogen gaan van sociale rechtvaardigheid, arbeidsrechten of milieubescherming;</w:t>
            </w:r>
            <w:r>
              <w:t xml:space="preserve"> </w:t>
            </w:r>
            <w:r>
              <w:rPr>
                <w:b/>
                <w:i/>
              </w:rPr>
              <w:t>verzoekt de EU zich constructief in te zetten voor het aannemen van het VN-verdrag inzake bedrijfsleven en mensenrechten om de activiteiten van transnationale corporaties en andere ondernemingen te reguleren en slachtoffers in staat te stellen verhaal te halen;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Li Andersson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16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16 bis.</w:t>
            </w:r>
            <w:r>
              <w:tab/>
            </w:r>
            <w:r>
              <w:rPr>
                <w:b/>
                <w:i/>
              </w:rPr>
              <w:t>benadrukt dat regelmatig een grondig evaluatieproces moet worden uitgevoerd om de vooruitgang te beoordelen, tekortkomingen vast te stellen en toezeggingen te hernieuwen;</w:t>
            </w:r>
            <w:r>
              <w:t xml:space="preserve"> </w:t>
            </w:r>
            <w:r>
              <w:rPr>
                <w:b/>
                <w:i/>
              </w:rPr>
              <w:t>verzoekt de Internationale Arbeidsorganisatie (IAO) op te treden als het belangrijkste follow-uporgaan voor toezeggingen op het gebied van sociale ontwikkeling en haar rol in het evaluatieproces te versterken;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Marie Dauchy, Mélanie Disdier</w:t>
      </w:r>
      <w:r>
        <w:rPr>
          <w:rStyle w:val="HideTWBExt"/>
          <w:b w:val="0"/>
        </w:rPr>
        <w:t>&lt;/Members&gt;</w:t>
      </w:r>
    </w:p>
    <w:p>
      <w:r>
        <w:rPr>
          <w:rStyle w:val="HideTWBExt"/>
          <w:b w:val="0"/>
        </w:rPr>
        <w:t>&lt;AuNomDe&gt;</w:t>
      </w:r>
      <w:r>
        <w:rPr>
          <w:rStyle w:val="HideTWBInt"/>
        </w:rPr>
        <w:t>{EMPL}</w:t>
      </w:r>
      <w:r>
        <w:t>namens de Commissie werkgelegenheid en sociale zaken</w:t>
      </w:r>
      <w:r>
        <w:rPr>
          <w:rStyle w:val="HideTWBExt"/>
          <w:b w:val="0"/>
        </w:rPr>
        <w:t>&lt;/AuNomDe&gt;</w:t>
      </w:r>
    </w:p>
    <w:p>
      <w:pPr>
        <w:pStyle w:val="NormalBold"/>
      </w:pPr>
      <w:r>
        <w:rPr>
          <w:rStyle w:val="HideTWBExt"/>
          <w:b w:val="0"/>
        </w:rPr>
        <w:t>&lt;Members&gt;</w:t>
      </w:r>
      <w:r>
        <w:t>Séverine Werbrouck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verzoekt de VN erop toe te zien dat in de gastlanden van de sociale topbijeenkomsten de arbeids- en sociale rechten volledig worden geëerbiedigd; </w:t>
            </w:r>
            <w:r>
              <w:rPr>
                <w:b/>
                <w:i/>
              </w:rPr>
              <w:t>dringt er daarom op aan doortastender op te treden om alles in het werk te stellen om de kerndoelen van de EU en de SDG’s in de hele EU voor 2030 te verwezenlijken en om grotere inspanningen te leveren zodat de SDG’s overal ter wereld worden gehaald;</w:t>
            </w:r>
          </w:p>
        </w:tc>
        <w:tc>
          <w:tcPr>
            <w:tcW w:w="4876" w:type="dxa"/>
            <w:tcBorders>
              <w:top w:val="nil"/>
              <w:left w:val="nil"/>
              <w:bottom w:val="nil"/>
              <w:right w:val="nil"/>
            </w:tcBorders>
          </w:tcPr>
          <w:p>
            <w:pPr>
              <w:pStyle w:val="Normal6a"/>
            </w:pPr>
            <w:r>
              <w:t>17.</w:t>
            </w:r>
            <w:r>
              <w:tab/>
            </w:r>
            <w:r>
              <w:t>verzoekt de VN erop toe te zien dat in de gastlanden van de sociale topbijeenkomsten de arbeids- en sociale rechten volledig worden geëerbiedigd;</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verzoekt de </w:t>
            </w:r>
            <w:r>
              <w:rPr>
                <w:b/>
                <w:i/>
              </w:rPr>
              <w:t>VN erop toe te zien dat in de gastlanden van de sociale topbijeenkomsten</w:t>
            </w:r>
            <w:r>
              <w:t xml:space="preserve"> de arbeids- en sociale rechten volledig </w:t>
            </w:r>
            <w:r>
              <w:rPr>
                <w:b/>
                <w:i/>
              </w:rPr>
              <w:t>worden geëerbiedigd</w:t>
            </w:r>
            <w:r>
              <w:t xml:space="preserve">; dringt </w:t>
            </w:r>
            <w:r>
              <w:rPr>
                <w:b/>
                <w:i/>
              </w:rPr>
              <w:t>er</w:t>
            </w:r>
            <w:r>
              <w:t xml:space="preserve"> daarom </w:t>
            </w:r>
            <w:r>
              <w:rPr>
                <w:b/>
                <w:i/>
              </w:rPr>
              <w:t>op aan doortastender op te treden om alles in het werk te stellen om de kerndoelen</w:t>
            </w:r>
            <w:r>
              <w:t xml:space="preserve"> van de EU </w:t>
            </w:r>
            <w:r>
              <w:rPr>
                <w:b/>
                <w:i/>
              </w:rPr>
              <w:t>en de SDG’s in de hele EU voor 2030 te verwezenlijken en om grotere inspanningen te leveren zodat de SDG’s overal ter wereld worden gehaald</w:t>
            </w:r>
            <w:r>
              <w:t>;</w:t>
            </w:r>
          </w:p>
        </w:tc>
        <w:tc>
          <w:tcPr>
            <w:tcW w:w="4876" w:type="dxa"/>
            <w:tcBorders>
              <w:top w:val="nil"/>
              <w:left w:val="nil"/>
              <w:bottom w:val="nil"/>
              <w:right w:val="nil"/>
            </w:tcBorders>
          </w:tcPr>
          <w:p>
            <w:pPr>
              <w:pStyle w:val="Normal6a"/>
            </w:pPr>
            <w:r>
              <w:t>17.</w:t>
            </w:r>
            <w:r>
              <w:tab/>
            </w:r>
            <w:r>
              <w:t xml:space="preserve">verzoekt de </w:t>
            </w:r>
            <w:r>
              <w:rPr>
                <w:b/>
                <w:i/>
              </w:rPr>
              <w:t>Verenigde Naties en alle deelnemende landen</w:t>
            </w:r>
            <w:r>
              <w:t xml:space="preserve"> de arbeids- en sociale rechten volledig </w:t>
            </w:r>
            <w:r>
              <w:rPr>
                <w:b/>
                <w:i/>
              </w:rPr>
              <w:t>te eerbiedigen, onder meer door de kernverdragen van de IAO te ratificeren, de gelijkheid van mannen en vrouwen te respecteren en zich in te zetten voor de waarden van de Verklaring over sociale gerechtigheid</w:t>
            </w:r>
            <w:r>
              <w:t xml:space="preserve">; dringt daarom </w:t>
            </w:r>
            <w:r>
              <w:rPr>
                <w:b/>
                <w:i/>
              </w:rPr>
              <w:t>aan op een sterkere mondiale afstemming op de beginselen van de Europese pijler van sociale rechten en de verklaring van Terhulpen;</w:t>
            </w:r>
            <w:r>
              <w:t xml:space="preserve"> </w:t>
            </w:r>
            <w:r>
              <w:rPr>
                <w:b/>
                <w:i/>
              </w:rPr>
              <w:t>benadrukt de noodzaak van hernieuwde inzet voor de verwezenlijking tegen 2030 van zowel de sociale doelstellingen</w:t>
            </w:r>
            <w:r>
              <w:t xml:space="preserve"> van de EU </w:t>
            </w:r>
            <w:r>
              <w:rPr>
                <w:b/>
                <w:i/>
              </w:rPr>
              <w:t>als de duurzameontwikkelingsdoelstellingen, zowel in Europa als wereldwijd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Jana Toom, Irena Joveva, Hristo Petrov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verzoekt de VN erop toe te zien dat in de gastlanden van de sociale topbijeenkomsten de arbeids- en sociale rechten volledig worden geëerbiedigd; dringt er daarom op aan doortastender op te treden om alles in het werk te stellen om de kerndoelen van de EU en de SDG’s in de hele EU voor 2030 te verwezenlijken en om grotere inspanningen te leveren zodat de SDG’s overal ter wereld worden gehaald;</w:t>
            </w:r>
          </w:p>
        </w:tc>
        <w:tc>
          <w:tcPr>
            <w:tcW w:w="4876" w:type="dxa"/>
            <w:tcBorders>
              <w:top w:val="nil"/>
              <w:left w:val="nil"/>
              <w:bottom w:val="nil"/>
              <w:right w:val="nil"/>
            </w:tcBorders>
          </w:tcPr>
          <w:p>
            <w:pPr>
              <w:pStyle w:val="Normal6a"/>
            </w:pPr>
            <w:r>
              <w:t>17.</w:t>
            </w:r>
            <w:r>
              <w:tab/>
            </w:r>
            <w:r>
              <w:t xml:space="preserve">verzoekt de VN erop toe te zien dat </w:t>
            </w:r>
            <w:r>
              <w:rPr>
                <w:b/>
                <w:i/>
              </w:rPr>
              <w:t>in alle lidstaten en met name</w:t>
            </w:r>
            <w:r>
              <w:t xml:space="preserve"> in de gastlanden van de sociale topbijeenkomsten de arbeids- en sociale rechten volledig worden geëerbiedigd; dringt er daarom op aan doortastender op te treden om alles in het werk te stellen om de kerndoelen van de EU en de SDG’s in de hele EU voor 2030 te verwezenlijken en om grotere inspanningen te leveren zodat de SDG’s overal ter wereld worden gehaald;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bis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bis.</w:t>
            </w:r>
            <w:r>
              <w:tab/>
            </w:r>
            <w:r>
              <w:rPr>
                <w:b/>
                <w:i/>
              </w:rPr>
              <w:t>verzoekt de EU de wereldwijde overgang van informele naar formele werkgelegenheid te ondersteunen, in overeenstemming met IAO-aanbeveling 204, door eerlijke arbeidsnormen, fatsoenlijk werk en toegang tot sociale bescherming te bevorderen;</w:t>
            </w:r>
            <w:r>
              <w:t xml:space="preserve"> </w:t>
            </w:r>
            <w:r>
              <w:rPr>
                <w:b/>
                <w:i/>
              </w:rPr>
              <w:t>is er voorstander van deze doelstelling onderdeel te maken van het beleid van de EU op het gebied van ontwikkeling, handel en extern optreden;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Amendement</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Estelle Ceulemans, Alicia Homs Ginel, Idoia Mendia, Romana Jerković, Marit Maij, Vilija Blinkevičiūtė</w:t>
      </w:r>
      <w:r>
        <w:rPr>
          <w:rStyle w:val="HideTWBExt"/>
          <w:b w:val="0"/>
        </w:rPr>
        <w:t>&lt;/Members&gt;</w:t>
      </w:r>
    </w:p>
    <w:p>
      <w:pPr>
        <w:pStyle w:val="NormalBold"/>
      </w:pPr>
      <w:r>
        <w:rPr>
          <w:rStyle w:val="HideTWBExt"/>
          <w:b w:val="0"/>
        </w:rPr>
        <w:t>&lt;/RepeatBlock-By&gt;</w:t>
      </w:r>
    </w:p>
    <w:p>
      <w:pPr>
        <w:pStyle w:val="NormalBold"/>
      </w:pPr>
      <w:r>
        <w:rPr>
          <w:rStyle w:val="HideTWBExt"/>
        </w:rPr>
        <w:t>&lt;DocAmend&gt;</w:t>
      </w:r>
      <w:r>
        <w:t>Ontwerpresolutie</w:t>
      </w:r>
      <w:r>
        <w:rPr>
          <w:rStyle w:val="HideTWBExt"/>
        </w:rPr>
        <w:t>&lt;/DocAmend&gt;</w:t>
      </w:r>
    </w:p>
    <w:p>
      <w:pPr>
        <w:pStyle w:val="NormalBold"/>
      </w:pPr>
      <w:r>
        <w:rPr>
          <w:rStyle w:val="HideTWBExt"/>
        </w:rPr>
        <w:t>&lt;Article&gt;</w:t>
      </w:r>
      <w:r>
        <w:t>Paragraaf 17 ter (nieuw)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Ontwerpresolutie</w:t>
            </w:r>
          </w:p>
        </w:tc>
        <w:tc>
          <w:tcPr>
            <w:tcW w:w="4876" w:type="dxa"/>
            <w:tcBorders>
              <w:top w:val="nil"/>
              <w:left w:val="nil"/>
              <w:bottom w:val="nil"/>
              <w:right w:val="nil"/>
            </w:tcBorders>
          </w:tcPr>
          <w:p>
            <w:pPr>
              <w:pStyle w:val="AmColumnHeading"/>
            </w:pPr>
            <w:r>
              <w:t>Amendement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 ter.</w:t>
            </w:r>
            <w:r>
              <w:tab/>
            </w:r>
            <w:r>
              <w:rPr>
                <w:b/>
                <w:i/>
              </w:rPr>
              <w:t>verzoekt de VN een robuust kader voor de follow-up van de Sociale Wereldtop vast te stellen, met tweejaarlijkse ministeriële verklaringen en versterkte monitoringstructuren;</w:t>
            </w:r>
            <w:r>
              <w:t xml:space="preserve"> </w:t>
            </w:r>
            <w:r>
              <w:rPr>
                <w:b/>
                <w:i/>
              </w:rPr>
              <w:t>steunt de revitalisering van de VN-Commissie voor sociale ontwikkeling en een grotere betrokkenheid van de ministeries van Werkgelegenheid en de sociale partners;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774.385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72</w:t>
    </w:r>
    <w:r>
      <w:fldChar w:fldCharType="end"/>
    </w:r>
    <w:r>
      <w:t>/</w:t>
    </w:r>
    <w:r>
      <w:fldChar w:fldCharType="begin"/>
    </w:r>
    <w:r>
      <w:instrText xml:space="preserve"> NUMPAGES </w:instrText>
    </w:r>
    <w:r>
      <w:fldChar w:fldCharType="separate"/>
    </w:r>
    <w:r>
      <w:t>72</w:t>
    </w:r>
    <w:r>
      <w:fldChar w:fldCharType="end"/>
    </w:r>
    <w:r>
      <w:tab/>
    </w:r>
    <w:r>
      <w:rPr>
        <w:rStyle w:val="HideTWBExt"/>
      </w:rPr>
      <w:t>&lt;PathFdR&gt;</w:t>
    </w:r>
    <w:r>
      <w:t>AM\1322547NL.docx</w:t>
    </w:r>
    <w:r>
      <w:rPr>
        <w:rStyle w:val="HideTWBExt"/>
      </w:rPr>
      <w:t>&lt;/PathFdR&gt;</w:t>
    </w:r>
  </w:p>
  <w:p>
    <w:pPr>
      <w:pStyle w:val="EPFooter2"/>
    </w:pPr>
    <w:r>
      <w:t>NL</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AM\1322547NL.docx</w:t>
    </w:r>
    <w:r>
      <w:rPr>
        <w:rStyle w:val="HideTWBExt"/>
      </w:rPr>
      <w:t>&lt;/PathFdR&gt;</w:t>
    </w:r>
    <w:r>
      <w:tab/>
    </w:r>
    <w:r>
      <w:fldChar w:fldCharType="begin"/>
    </w:r>
    <w:r>
      <w:instrText xml:space="preserve"> PAGE </w:instrText>
    </w:r>
    <w:r>
      <w:fldChar w:fldCharType="separate"/>
    </w:r>
    <w:r>
      <w:t>71</w:t>
    </w:r>
    <w:r>
      <w:fldChar w:fldCharType="end"/>
    </w:r>
    <w:r>
      <w:t>/</w:t>
    </w:r>
    <w:r>
      <w:fldChar w:fldCharType="begin"/>
    </w:r>
    <w:r>
      <w:instrText xml:space="preserve"> NUMPAGES </w:instrText>
    </w:r>
    <w:r>
      <w:fldChar w:fldCharType="separate"/>
    </w:r>
    <w:r>
      <w:t>72</w:t>
    </w:r>
    <w:r>
      <w:fldChar w:fldCharType="end"/>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ab/>
    </w:r>
    <w:r>
      <w:tab/>
    </w:r>
    <w:r>
      <w:t>NL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AM\1322547NL.docx</w:t>
    </w:r>
    <w:r>
      <w:rPr>
        <w:rStyle w:val="HideTWBExt"/>
      </w:rPr>
      <w:t>&lt;/PathFdR&gt;</w:t>
    </w:r>
    <w:r>
      <w:tab/>
    </w:r>
    <w:r>
      <w:tab/>
    </w:r>
    <w:r>
      <w:t>PE</w:t>
    </w:r>
    <w:r>
      <w:rPr>
        <w:rStyle w:val="HideTWBExt"/>
      </w:rPr>
      <w:t>&lt;NoPE&gt;</w:t>
    </w:r>
    <w:r>
      <w:t>774.385</w:t>
    </w:r>
    <w:r>
      <w:rPr>
        <w:rStyle w:val="HideTWBExt"/>
      </w:rPr>
      <w:t>&lt;/NoPE&gt;</w:t>
    </w:r>
    <w:r>
      <w:rPr>
        <w:rStyle w:val="HideTWBExt"/>
      </w:rPr>
      <w:t>&lt;Version&gt;</w:t>
    </w:r>
    <w:r>
      <w:t>v01-00</w:t>
    </w:r>
    <w:r>
      <w:rPr>
        <w:rStyle w:val="HideTWBExt"/>
      </w:rPr>
      <w:t>&lt;/Version&gt;</w:t>
    </w:r>
  </w:p>
  <w:p>
    <w:pPr>
      <w:pStyle w:val="EPFooter2"/>
    </w:pPr>
    <w:r>
      <w:t>NL</w:t>
    </w:r>
    <w:r>
      <w:tab/>
    </w:r>
    <w:r>
      <w:rPr>
        <w:rStyle w:val="EPFooter2Motto"/>
      </w:rPr>
      <w:t>In verscheidenheid verenigd</w:t>
    </w:r>
    <w:r>
      <w:tab/>
    </w:r>
    <w:r>
      <w:t>NL</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fbimajor\f31503\fbidi \fswiss\fcharset0\fprq2 DokChampa;}&#13;_x000a_{\flominor\f31504\fbidi \froman\fcharset0\fprq2{\*\panose 02020603050405020304}Times New Roman;}{\fdbminor\f31505\fbidi \froman\fcharset0\fprq2{\*\panose 02020603050405020304}Times New Roman;}&#13;_x000a_{\fhiminor\f31506\fbidi \fswiss\fcharset0\fprq2{\*\panose 020f0502020204030204}Calibri;}{\fbiminor\f31507\fbidi \fswiss\fcharset0\fprq2 DokChampa;}{\f302\fbidi \froman\fcharset238\fprq2 Times New Roman CE;}&#13;_x000a_{\f303\fbidi \froman\fcharset204\fprq2 Times New Roman Cyr;}{\f305\fbidi \froman\fcharset161\fprq2 Times New Roman Greek;}{\f306\fbidi \froman\fcharset162\fprq2 Times New Roman Tur;}{\f307\fbidi \froman\fcharset177\fprq2 Times New Roman (Hebrew);}&#13;_x000a_{\f308\fbidi \froman\fcharset178\fprq2 Times New Roman (Arabic);}{\f309\fbidi \froman\fcharset186\fprq2 Times New Roman Baltic;}{\f310\fbidi \froman\fcharset163\fprq2 Times New Roman (Vietnamese);}{\f312\fbidi \fswiss\fcharset238\fprq2 Arial CE;}&#13;_x000a_{\f313\fbidi \fswiss\fcharset204\fprq2 Arial Cyr;}{\f315\fbidi \fswiss\fcharset161\fprq2 Arial Greek;}{\f316\fbidi \fswiss\fcharset162\fprq2 Arial Tur;}{\f317\fbidi \fswiss\fcharset177\fprq2 Arial (Hebrew);}&#13;_x000a_{\f318\fbidi \fswiss\fcharset178\fprq2 Arial (Arabic);}{\f319\fbidi \fswiss\fcharset186\fprq2 Arial Baltic;}{\f320\fbidi \fswiss\fcharset163\fprq2 Arial (Vietnamese);}{\f642\fbidi \froman\fcharset238\fprq2 Cambria Math CE;}&#13;_x000a_{\f643\fbidi \froman\fcharset204\fprq2 Cambria Math Cyr;}{\f645\fbidi \froman\fcharset161\fprq2 Cambria Math Greek;}{\f646\fbidi \froman\fcharset162\fprq2 Cambria Math Tur;}{\f649\fbidi \froman\fcharset186\fprq2 Cambria Math Baltic;}&#13;_x000a_{\f650\fbidi \froman\fcharset163\fprq2 Cambria Math (Vietnamese);}{\flomajor\f31508\fbidi \froman\fcharset238\fprq2 Times New Roman CE;}{\flomajor\f31509\fbidi \froman\fcharset204\fprq2 Times New Roman Cyr;}&#13;_x000a_{\flomajor\f31511\fbidi \froman\fcharset161\fprq2 Times New Roman Greek;}{\flomajor\f31512\fbidi \froman\fcharset162\fprq2 Times New Roman Tur;}{\flomajor\f31513\fbidi \froman\fcharset177\fprq2 Times New Roman (Hebrew);}&#13;_x000a_{\flomajor\f31514\fbidi \froman\fcharset178\fprq2 Times New Roman (Arabic);}{\flomajor\f31515\fbidi \froman\fcharset186\fprq2 Times New Roman Baltic;}{\flomajor\f31516\fbidi \froman\fcharset163\fprq2 Times New Roman (Vietnamese);}&#13;_x000a_{\fdbmajor\f31518\fbidi \froman\fcharset238\fprq2 Times New Roman CE;}{\fdbmajor\f31519\fbidi \froman\fcharset204\fprq2 Times New Roman Cyr;}{\fdbmajor\f31521\fbidi \froman\fcharset161\fprq2 Times New Roman Greek;}&#13;_x000a_{\fdbmajor\f31522\fbidi \froman\fcharset162\fprq2 Times New Roman Tur;}{\fdbmajor\f31523\fbidi \froman\fcharset177\fprq2 Times New Roman (Hebrew);}{\fdbmajor\f31524\fbidi \froman\fcharset178\fprq2 Times New Roman (Arabic);}&#13;_x000a_{\fdbmajor\f31525\fbidi \froman\fcharset186\fprq2 Times New Roman Baltic;}{\fdbmajor\f31526\fbidi \froman\fcharset163\fprq2 Times New Roman (Vietnamese);}{\fhimajor\f31528\fbidi \fswiss\fcharset238\fprq2 Calibri Light CE;}&#13;_x000a_{\fhimajor\f31529\fbidi \fswiss\fcharset204\fprq2 Calibri Light Cyr;}{\fhimajor\f31531\fbidi \fswiss\fcharset161\fprq2 Calibri Light Greek;}{\fhimajor\f31532\fbidi \fswiss\fcharset162\fprq2 Calibri Light Tur;}&#13;_x000a_{\fhimajor\f31533\fbidi \fswiss\fcharset177\fprq2 Calibri Light (Hebrew);}{\fhimajor\f31534\fbidi \fswiss\fcharset178\fprq2 Calibri Light (Arabic);}{\fhimajor\f31535\fbidi \fswiss\fcharset186\fprq2 Calibri Light Baltic;}&#13;_x000a_{\fhimajor\f31536\fbidi \fswiss\fcharset163\fprq2 Calibri Light (Vietnamese);}{\fbimajor\f31547\fbidi \fswiss\fcharset222\fprq2 DokChampa (Thai);}{\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7\fbidi \fswiss\fcharset222\fprq2 DokChampa (Tha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7\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7\loch\f31502\hich\af31502\dbch\af31501 \sbasedon10 \slink1 \slocked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5068917 HideTWBExt;}{&#13;_x000a_\s18\qr \li0\ri0\sb240\sa240\nowidctlpar\wrapdefault\aspalpha\aspnum\faauto\adjustright\rin0\lin0\itap0 \rtlch\fcs1 \af0\afs20\alang1025 \ltrch\fcs0 \fs24\lang2057\langfe2057\cgrid\langnp2057\langfenp2057 \sbasedon0 \snext18 \spriority0 \styrsid5068917 &#13;_x000a_AmOrLang;}{\s19\ql \li0\ri0\sa120\nowidctlpar\wrapdefault\aspalpha\aspnum\faauto\adjustright\rin0\lin0\itap0 \rtlch\fcs1 \af0\afs20\alang1025 \ltrch\fcs0 \fs24\lang2057\langfe2057\cgrid\langnp2057\langfenp2057 &#13;_x000a_\sbasedon0 \snext19 \spriority0 \styrsid5068917 Normal6a;}{\s20\ql \li0\ri0\nowidctlpar\wrapdefault\aspalpha\aspnum\faauto\adjustright\rin0\lin0\itap0 \rtlch\fcs1 \af0\afs20\alang1025 \ltrch\fcs0 \b\fs24\lang2057\langfe2057\cgrid\langnp2057\langfenp2057 &#13;_x000a_\sbasedon0 \snext20 \spriority0 \styrsid5068917 NormalBold;}{\s21\qc \li0\ri0\sa240\nowidctlpar\wrapdefault\aspalpha\aspnum\faauto\adjustright\rin0\lin0\itap0 \rtlch\fcs1 \af0\afs20\alang1025 \ltrch\fcs0 &#13;_x000a_\i\fs24\lang2057\langfe2057\cgrid\langnp2057\langfenp2057 \sbasedon0 \snext21 \spriority0 \styrsid5068917 AmColumnHeading;}{\s22\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2 \spriority0 \styrsid5068917 AmNumberTabs;}}{\*\rsidtbl \rsid24658\rsid223860\rsid735077\rsid1718133\rsid2892074\rsid3565327\rsid4666813\rsid5068917\rsid6641733&#13;_x000a_\rsid7823322\rsid9636012\rsid10377208\rsid11215221\rsid11549030\rsid12154954\rsid14382809\rsid14424199\rsid15204470\rsid15285974\rsid15950462\rsid16324206\rsid16404612\rsid16662270}{\mmathPr\mmathFont34\mbrkBin0\mbrkBinSub0\msmallFrac0\mdispDef1\mlMargin0&#13;_x000a_\mrMargin0\mdefJc1\mwrapIndent1440\mintLim0\mnaryLim1}{\info{\author FELIX Karina}{\operator FELIX Karina}{\creatim\yr2022\mo1\dy10\hr18\min34}{\revtim\yr2022\mo1\dy10\hr18\min34}{\version1}{\edmins0}{\nofpages1}{\nofwords47}{\nofchars269}{\nofcharsws315}&#13;_x000a_{\vern105}}{\*\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splytwnine\ftnlytwnine\htmautsp\nolnhtadjtbl\useltbaln\alntblind\lytcalctblwd\lyttblrtgr\lnbrkrule\nobrkwrptbl\snaptogridincell\allowfieldendsel\wrppunct&#13;_x000a_\asianbrkrule\nojkernpunct\rsidroot5068917\newtblstyruls\nogrowautofit\usenormstyforlist\noindnmbrts\felnbrelev\nocxsptable\indrlsweleven\noafcnsttbl\afelev\utinl\hwelev\spltpgpar\notcvasp\notbrkcnstfrctbl\notvatxbx\krnprsnet\cachedcolbal &#13;_x000a_\nouicompat \fet0{\*\wgrffmtfilter 013f}\nofeaturethrottle1\ilfomacatclnup0{\*\template C:\\Users\\kfelix\\AppData\\Local\\Temp\\Blank1.dotx}{\*\ftnsep \ltrpar \pard\plain \ltrpar&#13;_x000a_\ql \li0\ri0\widctlpar\wrapdefault\aspalpha\aspnum\faauto\adjustright\rin0\lin0\itap0 \rtlch\fcs1 \af0\afs20\alang1025 \ltrch\fcs0 \fs24\lang2057\langfe2057\cgrid\langnp2057\langfenp2057 {\rtlch\fcs1 \af0 \ltrch\fcs0 \insrsid16404612 \chftnsep &#13;_x000a_\par }}{\*\ftnsepc \ltrpar \pard\plain \ltrpar\ql \li0\ri0\widctlpar\wrapdefault\aspalpha\aspnum\faauto\adjustright\rin0\lin0\itap0 \rtlch\fcs1 \af0\afs20\alang1025 \ltrch\fcs0 \fs24\lang2057\langfe2057\cgrid\langnp2057\langfenp2057 {\rtlch\fcs1 \af0 &#13;_x000a_\ltrch\fcs0 \insrsid16404612 \chftnsepc &#13;_x000a_\par }}{\*\aftnsep \ltrpar \pard\plain \ltrpar\ql \li0\ri0\widctlpar\wrapdefault\aspalpha\aspnum\faauto\adjustright\rin0\lin0\itap0 \rtlch\fcs1 \af0\afs20\alang1025 \ltrch\fcs0 \fs24\lang2057\langfe2057\cgrid\langnp2057\langfenp2057 {\rtlch\fcs1 \af0 &#13;_x000a_\ltrch\fcs0 \insrsid16404612 \chftnsep &#13;_x000a_\par }}{\*\aftnsepc \ltrpar \pard\plain \ltrpar\ql \li0\ri0\widctlpar\wrapdefault\aspalpha\aspnum\faauto\adjustright\rin0\lin0\itap0 \rtlch\fcs1 \af0\afs20\alang1025 \ltrch\fcs0 \fs24\lang2057\langfe2057\cgrid\langnp2057\langfenp2057 {\rtlch\fcs1 \af0 &#13;_x000a_\ltrch\fcs0 \insrsid16404612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2\ql \li0\ri0\sb240\keepn\nowidctlpar&#13;_x000a_\tx879\tx936\tx1021\tx1077\tx1134\tx1191\tx1247\tx1304\tx1361\tx1418\tx1474\tx1531\tx1588\tx1644\tx1701\tx1758\tx1814\tx1871\tx2070\tx2126\tx3374\tx3430\wrapdefault\aspalpha\aspnum\faauto\adjustright\rin0\lin0\itap0\pararsid5068917 \rtlch\fcs1 &#13;_x000a_\af0\afs20\alang1025 \ltrch\fcs0 \b\fs24\lang2057\langfe2057\cgrid\langnp2057\langfenp2057 {\rtlch\fcs1 \af0 \ltrch\fcs0 \cs17\b0\v\f1\fs20\cf9\lang1024\langfe1024\noproof\insrsid5068917\charrsid4417459 {\*\bkmkstart restart}&lt;Amend&gt;}{\rtlch\fcs1 \af0 &#13;_x000a_\ltrch\fcs0 \insrsid5068917\charrsid1799708 [ZAMENDMENT]}{\rtlch\fcs1 \af0 \ltrch\fcs0 \insrsid5068917 \tab \tab }{\rtlch\fcs1 \af0 \ltrch\fcs0 \cs17\b0\v\f1\fs20\cf9\lang1024\langfe1024\noproof\insrsid5068917\charrsid4417459 &lt;NumAm&gt;}{\rtlch\fcs1 \af0 &#13;_x000a_\ltrch\fcs0 \insrsid5068917\charrsid1799708 [ZNRAM]}{\rtlch\fcs1 \af0 \ltrch\fcs0 \cs17\b0\v\f1\fs20\cf9\lang1024\langfe1024\noproof\insrsid5068917\charrsid4417459 &lt;/NumAm&gt;}{\rtlch\fcs1 \af0 \ltrch\fcs0 \insrsid5068917\charrsid4080556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14699840 &lt;RepeatBlock-By&gt;}{\rtlch\fcs1 \af0 \ltrch\fcs0 \lang1024\langfe1024\noproof\insrsid5068917\charrsid14699840 [RepeatMembers]}{\rtlch\fcs1 \af0 \ltrch\fcs0 &#13;_x000a_\cs17\b0\v\f1\fs20\cf9\lang1024\langfe1024\noproof\insrsid5068917\charrsid14699840 &lt;Members&gt;}{\rtlch\fcs1 \af0 \ltrch\fcs0 \insrsid5068917\charrsid14699840 [ZMEMBERS]}{\rtlch\fcs1 \af0 \ltrch\fcs0 &#13;_x000a_\cs17\b0\v\f1\fs20\cf9\lang1024\langfe1024\noproof\insrsid5068917\charrsid14699840 &lt;/Members&gt;}{\rtlch\fcs1 \af0 \ltrch\fcs0 \insrsid5068917\charrsid14699840 &#13;_x000a_\par }\pard\plain \ltrpar\ql \li0\ri0\widctlpar\wrapdefault\aspalpha\aspnum\faauto\adjustright\rin0\lin0\itap0\pararsid5068917 \rtlch\fcs1 \af0\afs20\alang1025 \ltrch\fcs0 \fs24\lang2057\langfe2057\cgrid\langnp2057\langfenp2057 {\rtlch\fcs1 \af0 \ltrch\fcs0 &#13;_x000a_\cs17\v\f1\fs20\cf9\lang1024\langfe1024\noproof\langnp1043\insrsid5068917\charrsid2558431 &lt;AuNomDe&gt;&lt;OptDel&gt;}{\rtlch\fcs1 \af0 \ltrch\fcs0 \lang1043\langfe2057\langnp1043\insrsid5068917\charrsid2558431 [ZONBEHALF]}{\rtlch\fcs1 \af0 \ltrch\fcs0 &#13;_x000a_\cs17\v\f1\fs20\cf9\lang1024\langfe1024\noproof\langnp1043\insrsid5068917\charrsid2558431 &lt;/OptDel&gt;&lt;/AuNomDe&gt;}{\rtlch\fcs1 \af0 \ltrch\fcs0 \lang1043\langfe2057\langnp1043\insrsid5068917\charrsid2558431 &#13;_x000a_\par }{\rtlch\fcs1 \af0 \ltrch\fcs0 \insrsid5068917\charrsid14699840 &lt;&lt;&lt;}{\rtlch\fcs1 \af0 \ltrch\fcs0 \cs17\v\f1\fs20\cf9\lang1024\langfe1024\noproof\insrsid5068917\charrsid14699840 &lt;/RepeatBlock-By&gt;}{\rtlch\fcs1 \af0 \ltrch\fcs0 &#13;_x000a_\insrsid5068917\charrsid14699840 &#13;_x000a_\par }\pard\plain \ltrpar\s20\ql \li0\ri0\nowidctlpar\wrapdefault\aspalpha\aspnum\faauto\adjustright\rin0\lin0\itap0\pararsid5068917 \rtlch\fcs1 \af0\afs20\alang1025 \ltrch\fcs0 \b\fs24\lang2057\langfe2057\cgrid\langnp2057\langfenp2057 {\rtlch\fcs1 \af0 &#13;_x000a_\ltrch\fcs0 \cs17\b0\v\f1\fs20\cf9\lang1024\langfe1024\noproof\insrsid5068917\charrsid4737239 &lt;DocAmend&gt;}{\rtlch\fcs1 \af0 \ltrch\fcs0 \insrsid5068917\charrsid1799708 [Z}{\rtlch\fcs1 \af0 \ltrch\fcs0 \insrsid5068917 AMDOC}{\rtlch\fcs1 \af0 \ltrch\fcs0 &#13;_x000a_\insrsid5068917\charrsid1799708 ]}{\rtlch\fcs1 \af0 \ltrch\fcs0 \cs17\b0\v\f1\fs20\cf9\lang1024\langfe1024\noproof\insrsid5068917\charrsid4737239 &lt;/DocAmend&gt;}{\rtlch\fcs1 \af0 \ltrch\fcs0 \insrsid5068917\charrsid1799708 &#13;_x000a_\par }{\rtlch\fcs1 \af0 \ltrch\fcs0 \cs17\b0\v\f1\fs20\cf9\lang1024\langfe1024\noproof\insrsid5068917\charrsid1799708 &lt;Article&gt;}{\rtlch\fcs1 \af0 \ltrch\fcs0 \insrsid5068917\charrsid1799708 [ZAMPART]}{\rtlch\fcs1 \af0 \ltrch\fcs0 &#13;_x000a_\cs17\b0\v\f1\fs20\cf9\lang1024\langfe1024\noproof\insrsid5068917\charrsid1799708 &lt;/Article&gt;}{\rtlch\fcs1 \af0 \ltrch\fcs0 \insrsid5068917\charrsid1799708 &#13;_x000a_\par \ltrrow}\trowd \irow0\irowband0\ltrrow\ts11\trqc\trgaph340\trleft-340\trftsWidth3\trwWidth9752\trftsWidthB3\trpaddl340\trpaddr340\trpaddfl3\trpaddft3\trpaddfb3\trpaddfr3\tblrsid14055546\tblind0\tblindtype3 \clvertalt\clbrdrt\brdrtbl \clbrdrl\brdrtbl &#13;_x000a_\clbrdrb\brdrtbl \clbrdrr\brdrtbl \cltxlrtb\clftsWidth3\clwWidth9752\clshdrawnil \cellx9412\pard\plain \ltrpar\ql \li0\ri0\keepn\widctlpar\intbl\wrapdefault\aspalpha\aspnum\faauto\adjustright\rin0\lin0\pararsid13137226 \rtlch\fcs1 \af0\afs20\alang1025 &#13;_x000a_\ltrch\fcs0 \fs24\lang2057\langfe2057\cgrid\langnp2057\langfenp2057 {\rtlch\fcs1 \af0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0\irowband0\ltrrow&#13;_x000a_\ts11\trqc\trgaph340\trleft-340\trftsWidth3\trwWidth9752\trftsWidthB3\trpaddl340\trpaddr340\trpaddfl3\trpaddft3\trpaddfb3\trpaddfr3\tblrsid14055546\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1\qc \li0\ri0\sa240\keepn\nowidctlpar\intbl\wrapdefault\aspalpha\aspnum\faauto\adjustright\rin0\lin0\pararsid13137226 \rtlch\fcs1 \af0\afs20\alang1025 \ltrch\fcs0 \i\fs24\lang2057\langfe2057\cgrid\langnp2057\langfenp2057 {\rtlch\fcs1 \af0 \ltrch\fcs0 &#13;_x000a_\insrsid5068917\charrsid1799708 [ZLEFT]\cell [ZRIGHT]\cell }\pard\plain \ltrpar\ql \li0\ri0\widctlpar\intbl\wrapdefault\aspalpha\aspnum\faauto\adjustright\rin0\lin0 \rtlch\fcs1 \af0\afs20\alang1025 \ltrch\fcs0 &#13;_x000a_\fs24\lang2057\langfe2057\cgrid\langnp2057\langfenp2057 {\rtlch\fcs1 \af0 \ltrch\fcs0 \insrsid5068917\charrsid1799708 \trowd \irow1\irowband1\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9\ql \li0\ri0\sa120\nowidctlpar\intbl\wrapdefault\aspalpha\aspnum\faauto\adjustright\rin0\lin0\pararsid14055546 \rtlch\fcs1 \af0\afs20\alang1025 \ltrch\fcs0 \fs24\lang2057\langfe2057\cgrid\langnp2057\langfenp2057 {\rtlch\fcs1 \af0 \ltrch\fcs0 &#13;_x000a_\insrsid5068917\charrsid1799708 [ZTEXTL]\cell [ZTEXTR]}{\rtlch\fcs1 \af0\afs24 \ltrch\fcs0 \insrsid5068917\charrsid1799708 \cell }\pard\plain \ltrpar\ql \li0\ri0\widctlpar\intbl\wrapdefault\aspalpha\aspnum\faauto\adjustright\rin0\lin0 \rtlch\fcs1 &#13;_x000a_\af0\afs20\alang1025 \ltrch\fcs0 \fs24\lang2057\langfe2057\cgrid\langnp2057\langfenp2057 {\rtlch\fcs1 \af0 \ltrch\fcs0 \insrsid5068917\charrsid1799708 \trowd \irow2\irowband2\lastrow \ltrrow&#13;_x000a_\ts11\trqc\trgaph340\trleft-340\trftsWidth3\trwWidth9752\trftsWidthB3\trpaddl340\trpaddr340\trpaddfl3\trpaddft3\trpaddfb3\trpaddfr3\tblrsid14055546\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068917 \rtlch\fcs1 \af0\afs20\alang1025 \ltrch\fcs0 \fs24\lang2057\langfe2057\cgrid\langnp2057\langfenp2057 {\rtlch\fcs1 \af0 \ltrch\fcs0 &#13;_x000a_\insrsid5068917\charrsid1799708 Or. }{\rtlch\fcs1 \af0 \ltrch\fcs0 \cs17\v\f1\fs20\cf9\lang1024\langfe1024\noproof\insrsid5068917\charrsid1799708 &lt;Original&gt;}{\rtlch\fcs1 \af0 \ltrch\fcs0 \insrsid5068917\charrsid1799708 [ZORLANG]}{\rtlch\fcs1 \af0 &#13;_x000a_\ltrch\fcs0 \cs17\v\f1\fs20\cf9\lang1024\langfe1024\noproof\insrsid5068917\charrsid1799708 &lt;/Original&gt;}{\rtlch\fcs1 \af0 \ltrch\fcs0 \insrsid5068917\charrsid1799708 &#13;_x000a_\par }\pard\plain \ltrpar\ql \li0\ri0\widctlpar\wrapdefault\aspalpha\aspnum\faauto\adjustright\rin0\lin0\itap0\pararsid5068917 \rtlch\fcs1 \af0\afs20\alang1025 \ltrch\fcs0 \fs24\lang2057\langfe2057\cgrid\langnp2057\langfenp2057 {\rtlch\fcs1 \af0 \ltrch\fcs0 &#13;_x000a_\cs17\v\f1\fs20\cf9\lang1024\langfe1024\noproof\insrsid5068917\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c074&#13;_x000a_d8604806d8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nl-NL"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paragraph" w:styleId="Heading1">
    <w:name w:val="heading 1"/>
    <w:basedOn w:val="Normal"/>
    <w:next w:val="Normal"/>
    <w:qFormat/>
    <w:rsid w:val="00EF7B96"/>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Logo">
    <w:name w:val="EPLogo"/>
    <w:basedOn w:val="Normal"/>
    <w:pPr>
      <w:widowControl w:val="0"/>
      <w:jc w:val="right"/>
    </w:pPr>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styleId="TOCHeading">
    <w:name w:val="TOC Heading"/>
    <w:basedOn w:val="Normal"/>
    <w:next w:val="Normal"/>
    <w:uiPriority w:val="39"/>
    <w:unhideWhenUsed/>
    <w:qFormat/>
    <w:rsid w:val="000200DD"/>
    <w:pPr>
      <w:keepLines/>
      <w:widowControl w:val="0"/>
      <w:spacing w:after="240"/>
      <w:outlineLvl w:val="9"/>
    </w:pPr>
    <w:rPr>
      <w:b/>
      <w:color w:val="2E74B5"/>
      <w:sz w:val="32"/>
      <w:shd w:val="pct50" w:color="auto" w:fill="auto" w:themeColor="accent1" w:themeFill="accent1"/>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 w:type="paragraph" w:customStyle="1" w:styleId="NormalBold12b">
    <w:name w:val="NormalBold12b"/>
    <w:basedOn w:val="Normal"/>
    <w:pPr>
      <w:widowControl w:val="0"/>
      <w:spacing w:before="240"/>
    </w:pPr>
    <w:rPr>
      <w:b/>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JustText">
    <w:name w:val="AmJustText"/>
    <w:basedOn w:val="Normal"/>
    <w:pPr>
      <w:widowControl w:val="0"/>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72</Pages>
  <Words>16544</Words>
  <Characters>99482</Characters>
  <Application>Microsoft Office Word</Application>
  <DocSecurity>0</DocSecurity>
  <Lines>1</Lines>
  <Paragraphs>1136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AM_Com_NonLegRD</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1322547</vt:lpwstr>
  </property>
  <property fmtid="{D5CDD505-2E9C-101B-9397-08002B2CF9AE}" pid="4" name="&lt;Model&gt;">
    <vt:lpwstr>AM_Com_NonLegRD</vt:lpwstr>
  </property>
  <property fmtid="{D5CDD505-2E9C-101B-9397-08002B2CF9AE}" pid="5" name="&lt;Type&gt;">
    <vt:lpwstr>AM</vt:lpwstr>
  </property>
  <property fmtid="{D5CDD505-2E9C-101B-9397-08002B2CF9AE}" pid="6" name="dmxml.render.id">
    <vt:lpwstr>199920</vt:lpwstr>
  </property>
  <property fmtid="{D5CDD505-2E9C-101B-9397-08002B2CF9AE}" pid="7" name="dmxml.render.traceId">
    <vt:lpwstr>68541fe1ee7f4b78240e51709e8a15eb</vt:lpwstr>
  </property>
  <property fmtid="{D5CDD505-2E9C-101B-9397-08002B2CF9AE}" pid="8" name="FooterPath">
    <vt:lpwstr>AM\1322547NL.docx</vt:lpwstr>
  </property>
  <property fmtid="{D5CDD505-2E9C-101B-9397-08002B2CF9AE}" pid="9" name="PE Number">
    <vt:lpwstr>774.385</vt:lpwstr>
  </property>
  <property fmtid="{D5CDD505-2E9C-101B-9397-08002B2CF9AE}" pid="10" name="UID">
    <vt:lpwstr>eu.europa.europarl-DIN1-2025-0000118099_01.00-nl-01.00_text-xml</vt:lpwstr>
  </property>
</Properties>
</file>