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Comisia pentru ocuparea forței de muncă și afaceri sociale</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Proiect de propunere de rezoluție</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Cel de al doilea summit mondial pentru dezvoltare socială</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Amendamentul</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4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Pactul internațional cu privire la drepturile economice, sociale și culturale (PIDESC),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5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Planul de acțiune privind Pilonul european al drepturilor sociale și obiectivele sale principale pentru 2030,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6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Garanția europeană pentru copii,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6 b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strategia europeană privind egalitatea de gen și foaia de parcurs privind drepturile femeilor,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6 c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Strategia europeană privind drepturile persoanelor cu handicap,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având în vedere obiectivele de dezvoltare durabilă (ODD) ale Organizației Națiunilor Unite (ONU),</w:t>
            </w:r>
          </w:p>
        </w:tc>
        <w:tc>
          <w:tcPr>
            <w:tcW w:w="4876" w:type="dxa"/>
            <w:tcBorders>
              <w:top w:val="nil"/>
              <w:left w:val="nil"/>
              <w:bottom w:val="nil"/>
              <w:right w:val="nil"/>
            </w:tcBorders>
          </w:tcPr>
          <w:p>
            <w:pPr>
              <w:pStyle w:val="Normal6a"/>
            </w:pPr>
            <w:r>
              <w:rPr>
                <w:b/>
                <w:i/>
              </w:rPr>
              <w:t>–</w:t>
            </w:r>
            <w:r>
              <w:tab/>
            </w:r>
            <w:r>
              <w:t xml:space="preserve">având în vedere obiectivele de dezvoltare durabilă (ODD) ale Organizației Națiunilor Unite (ONU), </w:t>
            </w:r>
            <w:r>
              <w:rPr>
                <w:b/>
                <w:i/>
              </w:rPr>
              <w:t>în special obiectivele 1, 2, 8 și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Referirea 8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principalele convenții ale Organizației Internaționale a Muncii (OIM),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întrucât dezvoltarea durabilă este un principiu fundamental al Tratatului privind Uniunea Europeană și un obiectiv prioritar al politicilor interne și externe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-Aa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întrucât cele 17 obiective de dezvoltare durabilă (ODD) se află în centrul Agendei 2030 pentru dezvoltare durabilă, adoptată de toate statele membre ale Organizației Națiunilor Unite în 2015;</w:t>
            </w:r>
            <w:r>
              <w:t xml:space="preserve"> </w:t>
            </w:r>
            <w:r>
              <w:rPr>
                <w:b/>
                <w:i/>
              </w:rPr>
              <w:t>întrucât ele recunosc că eradicarea sărăciei și a altor privațiuni trebuie să meargă mână în mână cu strategii care îmbunătățesc sănătatea și educația, reduc inegalitățile și stimulează creșterea economică, combătând în același timp schimbările climatice și acționând pentru protejarea mediului;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-Ab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întrucât angajamentul UE față de Agenda 2030 a fost transpus într-un set de politici transformatoare, inclusiv, printre altele, Pilonul european al drepturilor sociale, Pactul verde european, Regulamentul de instituire a cadrului pentru realizarea neutralității climatice, noua Strategie industrială pentru Europa, Strategiile anuale privind creșterea durabilă, Agenda europeană pentru competențe actualizată sau Spațiul european al educației;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în întreaga UE, persistă inegalități semnificative între persoane și regiuni, în timp ce inflația afectează</w:t>
            </w:r>
            <w:r>
              <w:rPr>
                <w:b/>
                <w:i/>
              </w:rPr>
              <w:t xml:space="preserve">  </w:t>
            </w:r>
            <w:r>
              <w:t xml:space="preserve">în mod disproporționat gospodăriile </w:t>
            </w:r>
            <w:r>
              <w:rPr>
                <w:b/>
                <w:i/>
              </w:rPr>
              <w:t>ale căror cheltuieli pentru bunuri de primă necesitate, cum ar fi energia și alimentele, sunt mai mari decât media, iar</w:t>
            </w:r>
            <w:r>
              <w:t xml:space="preserve"> criza locuințelor </w:t>
            </w:r>
            <w:r>
              <w:rPr>
                <w:b/>
                <w:i/>
              </w:rPr>
              <w:t>rămâne</w:t>
            </w:r>
            <w:r>
              <w:t xml:space="preserve"> o provocare în întreaga UE; întrucât aceste aspecte afectează în mod negativ </w:t>
            </w:r>
            <w:r>
              <w:rPr>
                <w:b/>
                <w:i/>
              </w:rPr>
              <w:t>coeziunea socială</w:t>
            </w:r>
            <w:r>
              <w:t xml:space="preserve"> și bunăstarea </w:t>
            </w:r>
            <w:r>
              <w:rPr>
                <w:b/>
                <w:i/>
              </w:rPr>
              <w:t>cetățenilor UE pe termen lung</w:t>
            </w:r>
            <w:r>
              <w:t>;</w:t>
            </w:r>
          </w:p>
        </w:tc>
        <w:tc>
          <w:tcPr>
            <w:tcW w:w="4876" w:type="dxa"/>
            <w:tcBorders>
              <w:top w:val="nil"/>
              <w:left w:val="nil"/>
              <w:bottom w:val="nil"/>
              <w:right w:val="nil"/>
            </w:tcBorders>
          </w:tcPr>
          <w:p>
            <w:pPr>
              <w:pStyle w:val="Normal6a"/>
            </w:pPr>
            <w:r>
              <w:t>A.</w:t>
            </w:r>
            <w:r>
              <w:tab/>
            </w:r>
            <w:r>
              <w:t xml:space="preserve">întrucât, în întreaga UE, persistă inegalități semnificative între persoane și regiuni, în timp ce inflația </w:t>
            </w:r>
            <w:r>
              <w:rPr>
                <w:b/>
                <w:i/>
              </w:rPr>
              <w:t>și creșterea costului vieții</w:t>
            </w:r>
            <w:r>
              <w:t xml:space="preserve"> afectează în mod disproporționat gospodăriile </w:t>
            </w:r>
            <w:r>
              <w:rPr>
                <w:b/>
                <w:i/>
              </w:rPr>
              <w:t>vulnerabile și cu venituri mici;</w:t>
            </w:r>
            <w:r>
              <w:t xml:space="preserve"> </w:t>
            </w:r>
            <w:r>
              <w:rPr>
                <w:b/>
                <w:i/>
              </w:rPr>
              <w:t>întrucât</w:t>
            </w:r>
            <w:r>
              <w:t xml:space="preserve"> criza locuințelor </w:t>
            </w:r>
            <w:r>
              <w:rPr>
                <w:b/>
                <w:i/>
              </w:rPr>
              <w:t>continuă să reprezinte</w:t>
            </w:r>
            <w:r>
              <w:t xml:space="preserve"> o provocare în întreaga UE; întrucât aceste aspecte afectează în mod negativ </w:t>
            </w:r>
            <w:r>
              <w:rPr>
                <w:b/>
                <w:i/>
              </w:rPr>
              <w:t>stabilitatea economică</w:t>
            </w:r>
            <w:r>
              <w:t xml:space="preserve"> și bunăstarea </w:t>
            </w:r>
            <w:r>
              <w:rPr>
                <w:b/>
                <w:i/>
              </w:rPr>
              <w:t>socială a persoanelor care trăiesc în UE;</w:t>
            </w:r>
            <w:r>
              <w:t xml:space="preserve"> </w:t>
            </w:r>
            <w:r>
              <w:rPr>
                <w:b/>
                <w:i/>
              </w:rPr>
              <w:t>întrucât nu se colectează date privind inegalitatea în materie de bogăție la nivelul UE, dar unele studii din sectorul financiar sugerează că, în Europa, 10 % dintre cei mai bogați oameni de pe continent dețin proporția spectaculoasă de 67 % din bogăție, în timp ce jumătate din adulții cei mai săraci dețin doar 1,2 % din ea</w:t>
            </w:r>
            <w:r>
              <w:rPr>
                <w:b/>
                <w:i/>
                <w:vertAlign w:val="superscript"/>
              </w:rPr>
              <w:t>1a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Global Wealth Report 2023 (Raportul pe 2023 privind bogăția mondială)</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în întreaga UE, persistă inegalități semnificative între persoane și regiuni, în timp ce inflația afectează</w:t>
            </w:r>
            <w:r>
              <w:rPr>
                <w:b/>
                <w:i/>
              </w:rPr>
              <w:t xml:space="preserve">  </w:t>
            </w:r>
            <w:r>
              <w:t xml:space="preserve">în mod disproporționat gospodăriile ale căror cheltuieli pentru bunuri de primă necesitate, cum ar fi energia și alimentele, sunt mai mari decât media, iar criza locuințelor </w:t>
            </w:r>
            <w:r>
              <w:rPr>
                <w:b/>
                <w:i/>
              </w:rPr>
              <w:t>rămâne</w:t>
            </w:r>
            <w:r>
              <w:t xml:space="preserve"> o provocare în întreaga UE; întrucât aceste aspecte afectează în mod negativ coeziunea socială și bunăstarea cetățenilor UE pe termen lung;</w:t>
            </w:r>
          </w:p>
        </w:tc>
        <w:tc>
          <w:tcPr>
            <w:tcW w:w="4876" w:type="dxa"/>
            <w:tcBorders>
              <w:top w:val="nil"/>
              <w:left w:val="nil"/>
              <w:bottom w:val="nil"/>
              <w:right w:val="nil"/>
            </w:tcBorders>
          </w:tcPr>
          <w:p>
            <w:pPr>
              <w:pStyle w:val="Normal6a"/>
            </w:pPr>
            <w:r>
              <w:t>A.</w:t>
            </w:r>
            <w:r>
              <w:tab/>
            </w:r>
            <w:r>
              <w:rPr>
                <w:b/>
                <w:i/>
              </w:rPr>
              <w:t>întrucât, în 2023, coeficientul Gini pentru UE-27 a fost de 29,6 %, cu o tendință ușor descendentă din 2014, în timp ce 13 state membre au depășit această medie</w:t>
            </w:r>
            <w:r>
              <w:rPr>
                <w:b/>
                <w:i/>
                <w:vertAlign w:val="superscript"/>
              </w:rPr>
              <w:t>1a</w:t>
            </w:r>
            <w:r>
              <w:rPr>
                <w:b/>
                <w:i/>
              </w:rPr>
              <w:t>;</w:t>
            </w:r>
            <w:r>
              <w:t xml:space="preserve"> întrucât, în întreaga UE, persistă inegalități semnificative între persoane și regiuni, </w:t>
            </w:r>
            <w:r>
              <w:rPr>
                <w:b/>
                <w:i/>
              </w:rPr>
              <w:t>îndeosebi inegalități de remunerare și de gen,</w:t>
            </w:r>
            <w:r>
              <w:t xml:space="preserve"> în timp ce inflația afectează în mod disproporționat gospodăriile ale căror cheltuieli pentru bunuri de primă necesitate, cum ar fi energia și alimentele, sunt mai mari decât media, iar criza locuințelor </w:t>
            </w:r>
            <w:r>
              <w:rPr>
                <w:b/>
                <w:i/>
              </w:rPr>
              <w:t>continuă să reprezinte</w:t>
            </w:r>
            <w:r>
              <w:t xml:space="preserve"> o provocare </w:t>
            </w:r>
            <w:r>
              <w:rPr>
                <w:b/>
                <w:i/>
              </w:rPr>
              <w:t>considerabilă</w:t>
            </w:r>
            <w:r>
              <w:t xml:space="preserve"> în întreaga UE; întrucât aceste aspecte afectează în mod negativ coeziunea socială</w:t>
            </w:r>
            <w:r>
              <w:rPr>
                <w:b/>
                <w:i/>
              </w:rPr>
              <w:t>, convergența socială ascendentă</w:t>
            </w:r>
            <w:r>
              <w:t xml:space="preserve"> și bunăstarea cetățenilor UE pe termen lung;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întrucât, în întreaga UE, persistă inegalități semnificative între persoane și regiuni, în timp ce inflația afectează</w:t>
            </w:r>
            <w:r>
              <w:rPr>
                <w:b/>
                <w:i/>
              </w:rPr>
              <w:t xml:space="preserve">  </w:t>
            </w:r>
            <w:r>
              <w:t>în mod disproporționat gospodăriile ale căror cheltuieli pentru bunuri de primă necesitate, cum ar fi energia și alimentele, sunt mai mari decât media, iar criza locuințelor rămâne o provocare în întreaga UE; întrucât aceste aspecte afectează în mod negativ coeziunea socială și bunăstarea cetățenilor UE pe termen lung;</w:t>
            </w:r>
          </w:p>
        </w:tc>
        <w:tc>
          <w:tcPr>
            <w:tcW w:w="4876" w:type="dxa"/>
            <w:tcBorders>
              <w:top w:val="nil"/>
              <w:left w:val="nil"/>
              <w:bottom w:val="nil"/>
              <w:right w:val="nil"/>
            </w:tcBorders>
          </w:tcPr>
          <w:p>
            <w:pPr>
              <w:pStyle w:val="Normal6a"/>
            </w:pPr>
            <w:r>
              <w:t>A.</w:t>
            </w:r>
            <w:r>
              <w:tab/>
            </w:r>
            <w:r>
              <w:t xml:space="preserve">întrucât, în întreaga UE, persistă inegalități semnificative între persoane și regiuni, în timp ce inflația afectează în mod disproporționat gospodăriile ale căror cheltuieli pentru bunuri de primă necesitate, cum ar fi energia și alimentele, sunt mai mari decât media, iar criza locuințelor rămâne o provocare în întreaga UE; întrucât aceste aspecte afectează în mod negativ coeziunea socială și bunăstarea cetățenilor UE pe termen lung; </w:t>
            </w:r>
            <w:r>
              <w:rPr>
                <w:b/>
                <w:i/>
              </w:rPr>
              <w:t>întrucât cercetările efectuate de Eurofound confirmă că inaccesibilitatea locuințelor duce la excluziune și insecuritate locativă, la costuri locative problematice și la locuințe neadecvate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https://www.eurofound.europa.eu/en/publications/2023/unaffordable-and-inadequate-housing-europe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întrucât Uniunea </w:t>
            </w:r>
            <w:r>
              <w:rPr>
                <w:b/>
                <w:i/>
              </w:rPr>
              <w:t>a stabilit obiectivul de a reduce</w:t>
            </w:r>
            <w:r>
              <w:t xml:space="preserve"> până în 2030 numărul persoanelor expuse riscului de sărăcie și de excluziune socială cu cel puțin 15 milioane </w:t>
            </w:r>
            <w:r>
              <w:rPr>
                <w:b/>
                <w:i/>
              </w:rPr>
              <w:t>–</w:t>
            </w:r>
            <w:r>
              <w:t xml:space="preserve"> dintre care cel puțin </w:t>
            </w:r>
            <w:r>
              <w:rPr>
                <w:b/>
                <w:i/>
              </w:rPr>
              <w:t>5</w:t>
            </w:r>
            <w:r>
              <w:t xml:space="preserve"> milioane de copii </w:t>
            </w:r>
            <w:r>
              <w:rPr>
                <w:b/>
                <w:i/>
              </w:rPr>
              <w:t>– față de 2019</w:t>
            </w:r>
            <w:r>
              <w:t xml:space="preserve">; întrucât, în aproape jumătate dintre statele membre, </w:t>
            </w:r>
            <w:r>
              <w:rPr>
                <w:b/>
                <w:i/>
              </w:rPr>
              <w:t>se remarcă în acest domeniu o tendință inversă</w:t>
            </w:r>
            <w:r>
              <w:t xml:space="preserve">; întrucât un copil din cinci din Uniunea Europeană este încă expus riscului de sărăcie și de excluziune socială; întrucât, dacă tendința actuală continuă, </w:t>
            </w:r>
            <w:r>
              <w:rPr>
                <w:b/>
                <w:i/>
              </w:rPr>
              <w:t>nu va fi posibil să se atingă</w:t>
            </w:r>
            <w:r>
              <w:t xml:space="preserve"> obiectivul </w:t>
            </w:r>
            <w:r>
              <w:rPr>
                <w:b/>
                <w:i/>
              </w:rPr>
              <w:t>stabilit</w:t>
            </w:r>
            <w:r>
              <w:t xml:space="preserve"> pentru 2030 </w:t>
            </w:r>
            <w:r>
              <w:rPr>
                <w:b/>
                <w:i/>
              </w:rPr>
              <w:t>de reducere a numărului de persoane expuse riscului de sărăcie și de excluziune socială și</w:t>
            </w:r>
            <w:r>
              <w:t xml:space="preserve">, în plus, sărăcia energetică afectează </w:t>
            </w:r>
            <w:r>
              <w:rPr>
                <w:b/>
                <w:i/>
              </w:rPr>
              <w:t>în continuare</w:t>
            </w:r>
            <w:r>
              <w:t xml:space="preserve"> mai mult de unul din zece europeni;</w:t>
            </w:r>
          </w:p>
        </w:tc>
        <w:tc>
          <w:tcPr>
            <w:tcW w:w="4876" w:type="dxa"/>
            <w:tcBorders>
              <w:top w:val="nil"/>
              <w:left w:val="nil"/>
              <w:bottom w:val="nil"/>
              <w:right w:val="nil"/>
            </w:tcBorders>
          </w:tcPr>
          <w:p>
            <w:pPr>
              <w:pStyle w:val="Normal6a"/>
            </w:pPr>
            <w:r>
              <w:t>B.</w:t>
            </w:r>
            <w:r>
              <w:tab/>
            </w:r>
            <w:r>
              <w:t xml:space="preserve">întrucât Uniunea </w:t>
            </w:r>
            <w:r>
              <w:rPr>
                <w:b/>
                <w:i/>
              </w:rPr>
              <w:t>s-a angajat în Planul de acțiune privind Pilonul european al drepturilor sociale să reducă</w:t>
            </w:r>
            <w:r>
              <w:t xml:space="preserve"> până în 2030 numărul persoanelor expuse riscului de sărăcie și de excluziune socială cu cel puțin 15 milioane</w:t>
            </w:r>
            <w:r>
              <w:rPr>
                <w:b/>
                <w:i/>
              </w:rPr>
              <w:t>,</w:t>
            </w:r>
            <w:r>
              <w:t xml:space="preserve"> dintre care cel puțin </w:t>
            </w:r>
            <w:r>
              <w:rPr>
                <w:b/>
                <w:i/>
              </w:rPr>
              <w:t>cinci</w:t>
            </w:r>
            <w:r>
              <w:t xml:space="preserve"> milioane de copii; întrucât, în aproape jumătate dintre statele membre, </w:t>
            </w:r>
            <w:r>
              <w:rPr>
                <w:b/>
                <w:i/>
              </w:rPr>
              <w:t>datele indică un regres în ceea ce privește reducerea sărăciei</w:t>
            </w:r>
            <w:r>
              <w:t xml:space="preserve">; întrucât un copil din cinci din Uniunea Europeană este încă expus riscului de sărăcie și de excluziune socială; întrucât, dacă tendința actuală continuă, </w:t>
            </w:r>
            <w:r>
              <w:rPr>
                <w:b/>
                <w:i/>
              </w:rPr>
              <w:t>Uniunea nu își va atinge</w:t>
            </w:r>
            <w:r>
              <w:t xml:space="preserve"> obiectivul pentru 2030</w:t>
            </w:r>
            <w:r>
              <w:rPr>
                <w:b/>
                <w:i/>
              </w:rPr>
              <w:t>;</w:t>
            </w:r>
            <w:r>
              <w:t xml:space="preserve"> </w:t>
            </w:r>
            <w:r>
              <w:rPr>
                <w:b/>
                <w:i/>
              </w:rPr>
              <w:t>întrucât</w:t>
            </w:r>
            <w:r>
              <w:t>, în plus, sărăcia energetică afectează mai mult de unul din zece europeni</w:t>
            </w:r>
            <w:r>
              <w:rPr>
                <w:b/>
                <w:i/>
              </w:rPr>
              <w:t>, exacerbând inegalitățile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întrucât Uniunea a stabilit obiectivul de a reduce până în 2030 numărul persoanelor expuse riscului de sărăcie și de excluziune socială cu cel puțin 15 milioane – dintre care cel puțin 5 milioane de copii – față de 2019; întrucât, în aproape jumătate dintre statele membre, se remarcă în acest domeniu o tendință inversă; întrucât un copil din cinci din Uniunea Europeană este încă expus riscului de sărăcie și de excluziune socială; întrucât, dacă tendința actuală continuă, nu va fi posibil să se atingă obiectivul stabilit pentru 2030 de reducere a numărului de persoane expuse riscului de sărăcie și de excluziune socială și, în plus, sărăcia energetică afectează în continuare mai mult de unul din zece europeni;</w:t>
            </w:r>
          </w:p>
        </w:tc>
        <w:tc>
          <w:tcPr>
            <w:tcW w:w="4876" w:type="dxa"/>
            <w:tcBorders>
              <w:top w:val="nil"/>
              <w:left w:val="nil"/>
              <w:bottom w:val="nil"/>
              <w:right w:val="nil"/>
            </w:tcBorders>
          </w:tcPr>
          <w:p>
            <w:pPr>
              <w:pStyle w:val="Normal6a"/>
            </w:pPr>
            <w:r>
              <w:t>B.</w:t>
            </w:r>
            <w:r>
              <w:tab/>
            </w:r>
            <w:r>
              <w:t>întrucât Uniunea a stabilit obiectivul de a reduce până în 2030 numărul persoanelor expuse riscului de sărăcie și de excluziune socială cu cel puțin 15 milioane – dintre care cel puțin 5 milioane de copii – față de 2019; întrucât</w:t>
            </w:r>
            <w:r>
              <w:rPr>
                <w:b/>
                <w:i/>
              </w:rPr>
              <w:t>, din păcate</w:t>
            </w:r>
            <w:r>
              <w:t>, în aproape jumătate dintre statele membre, se remarcă în acest domeniu o tendință inversă; întrucât un copil din cinci din Uniunea Europeană este încă expus riscului de sărăcie și de excluziune socială; întrucât, dacă tendința actuală continuă, nu va fi posibil să se atingă obiectivul stabilit pentru 2030 de reducere a numărului de persoane expuse riscului de sărăcie și de excluziune socială și, în plus, sărăcia energetică afectează în continuare mai mult de unul din zece europeni;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Ba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întrucât situația la nivel mondial este și mai gravă, dat fiind că aproape 700 de milioane de persoane trăiesc în condiții de sărăcie extremă și alte 2,8 miliarde de persoane trăiesc între pragul de sărăcie extremă și standardul de 6,85 USD pe zi</w:t>
            </w:r>
            <w:r>
              <w:rPr>
                <w:b/>
                <w:i/>
                <w:vertAlign w:val="superscript"/>
              </w:rPr>
              <w:t>1b</w:t>
            </w:r>
            <w:r>
              <w:rPr>
                <w:b/>
                <w:i/>
              </w:rPr>
              <w:t>;</w:t>
            </w:r>
            <w:r>
              <w:t xml:space="preserve"> </w:t>
            </w:r>
            <w:r>
              <w:rPr>
                <w:b/>
                <w:i/>
              </w:rPr>
              <w:t>întrucât până la 35 % dintre persoanele care au depășit sărăcia au revenit la această condiție în ultimele trei decenii;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întrucât s-au înregistrat progrese în direcția atingerii obiectivului UE privind ocuparea forței de muncă, și anume ca cel puțin 78 % dintre persoanele cu vârste cuprinse între 20 și 64 de ani să aibă un loc de muncă până în 2030; întrucât, potrivit previziunilor economice ale Comisiei pentru toamna anului 2025, rata de ocupare a forței de muncă în UE a atins 75,3 %; întrucât, în două treimi dintre statele membre, creșterea ratei de ocupare a forței de muncă în 2023 s-a înscris pe traiectoria stabilită în scopul atingerii obiectivului național pentru 2030; întrucât persistă totuși provocări semnificative, cum ar fi ratele ridicate ale șomajului în unele state membre, </w:t>
            </w:r>
            <w:r>
              <w:rPr>
                <w:b/>
                <w:i/>
              </w:rPr>
              <w:t>în special în rândul tinerilor și al persoanelor cu dizabilități</w:t>
            </w:r>
            <w:r>
              <w:t>;</w:t>
            </w:r>
          </w:p>
        </w:tc>
        <w:tc>
          <w:tcPr>
            <w:tcW w:w="4876" w:type="dxa"/>
            <w:tcBorders>
              <w:top w:val="nil"/>
              <w:left w:val="nil"/>
              <w:bottom w:val="nil"/>
              <w:right w:val="nil"/>
            </w:tcBorders>
          </w:tcPr>
          <w:p>
            <w:pPr>
              <w:pStyle w:val="Normal6a"/>
            </w:pPr>
            <w:r>
              <w:t>C.</w:t>
            </w:r>
            <w:r>
              <w:tab/>
            </w:r>
            <w:r>
              <w:t xml:space="preserve">întrucât s-au înregistrat progrese în direcția atingerii obiectivului UE privind ocuparea forței de muncă, și anume ca cel puțin 78 % dintre persoanele cu vârste cuprinse între 20 și 64 de ani să aibă un loc de muncă până în 2030; întrucât, potrivit previziunilor economice ale Comisiei pentru toamna anului 2025, rata de ocupare a forței de muncă în UE a atins 75,3 %; întrucât, în două treimi dintre statele membre, creșterea ratei de ocupare a forței de muncă în 2023 s-a înscris pe traiectoria stabilită în scopul atingerii obiectivului național pentru 2030; întrucât persistă totuși provocări semnificative, cum ar fi ratele ridicate ale șomajului în unele state membre, </w:t>
            </w:r>
            <w:r>
              <w:rPr>
                <w:b/>
                <w:i/>
              </w:rPr>
              <w:t>segmentarea persistentă a pieței muncii, o incidență ridicată a muncii precare și atipice și disparități continue în ceea ce privește accesul la locuri de muncă de calitate</w:t>
            </w:r>
            <w:r>
              <w:t xml:space="preserve">; </w:t>
            </w:r>
            <w:r>
              <w:rPr>
                <w:b/>
                <w:i/>
              </w:rPr>
              <w:t>întrucât 66,6 % dintre șomeri și 10,9 % dintre persoanele angajate erau expuse riscului de sărăcie în 2024</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https://ec.europa.eu/eurostat/statistics-explained/index.php?title=Living_conditions_in_Europe_-_poverty_and_social_exclusion</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s-au înregistrat progrese în direcția atingerii obiectivului UE privind ocuparea forței de muncă, și anume ca cel puțin 78 % dintre persoanele cu vârste cuprinse între 20 și 64 de ani să aibă un loc de muncă până în 2030; întrucât, potrivit previziunilor economice ale Comisiei pentru toamna anului 2025, rata de ocupare a forței de muncă în UE a atins 75,3 %; întrucât, în două treimi dintre statele membre, creșterea ratei de ocupare a forței de muncă în 2023 s-a înscris pe traiectoria stabilită în scopul atingerii obiectivului național pentru 2030; întrucât persistă totuși provocări semnificative, cum ar fi ratele ridicate ale șomajului în unele state membre, în special în rândul tinerilor și al persoanelor cu dizabilități;</w:t>
            </w:r>
          </w:p>
        </w:tc>
        <w:tc>
          <w:tcPr>
            <w:tcW w:w="4876" w:type="dxa"/>
            <w:tcBorders>
              <w:top w:val="nil"/>
              <w:left w:val="nil"/>
              <w:bottom w:val="nil"/>
              <w:right w:val="nil"/>
            </w:tcBorders>
          </w:tcPr>
          <w:p>
            <w:pPr>
              <w:pStyle w:val="Normal6a"/>
            </w:pPr>
            <w:r>
              <w:t>C.</w:t>
            </w:r>
            <w:r>
              <w:tab/>
            </w:r>
            <w:r>
              <w:t>întrucât s-au înregistrat progrese în direcția atingerii obiectivului UE privind ocuparea forței de muncă, și anume ca cel puțin 78 % dintre persoanele cu vârste cuprinse între 20 și 64 de ani să aibă un loc de muncă până în 2030; întrucât, potrivit previziunilor economice ale Comisiei pentru toamna anului 2025, rata de ocupare a forței de muncă în UE a atins 75,3 %; întrucât, în două treimi dintre statele membre, creșterea ratei de ocupare a forței de muncă în 2023 s-a înscris pe traiectoria stabilită în scopul atingerii obiectivului național pentru 2030; întrucât persistă totuși provocări semnificative, cum ar fi ratele ridicate ale șomajului în unele state membre, în special în rândul tinerilor și al persoanelor cu dizabilități</w:t>
            </w:r>
            <w:r>
              <w:rPr>
                <w:b/>
                <w:i/>
              </w:rPr>
              <w:t>, precum și inegalități considerabile între sectoare și regiuni și disparități în materie de protecție socială, care ar putea afecta negativ coeziunea socială și starea de bine a cetățenilor europeni pe termen lung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întrucât s-au înregistrat progrese în direcția atingerii obiectivului UE privind ocuparea forței de muncă, și anume ca cel puțin 78 % dintre persoanele cu vârste cuprinse între 20 și 64 de ani să aibă un loc de muncă până în 2030; întrucât, potrivit previziunilor economice ale Comisiei pentru toamna anului 2025, rata de ocupare a forței de muncă în UE a atins 75,3 %; întrucât, în două treimi dintre statele membre, creșterea ratei de ocupare a forței de muncă în 2023 s-a înscris pe traiectoria stabilită în scopul atingerii obiectivului național pentru 2030; întrucât persistă totuși provocări semnificative, cum ar fi ratele ridicate ale șomajului în unele state membre, în special în rândul tinerilor și al persoanelor cu dizabilități;</w:t>
            </w:r>
          </w:p>
        </w:tc>
        <w:tc>
          <w:tcPr>
            <w:tcW w:w="4876" w:type="dxa"/>
            <w:tcBorders>
              <w:top w:val="nil"/>
              <w:left w:val="nil"/>
              <w:bottom w:val="nil"/>
              <w:right w:val="nil"/>
            </w:tcBorders>
          </w:tcPr>
          <w:p>
            <w:pPr>
              <w:pStyle w:val="Normal6a"/>
            </w:pPr>
            <w:r>
              <w:t>C.</w:t>
            </w:r>
            <w:r>
              <w:tab/>
            </w:r>
            <w:r>
              <w:t xml:space="preserve">întrucât s-au înregistrat progrese în direcția atingerii obiectivului UE privind ocuparea forței de muncă, și anume ca cel puțin 78 % dintre persoanele cu vârste cuprinse între 20 și 64 de ani să aibă un loc de muncă până în 2030; întrucât, potrivit previziunilor economice ale Comisiei pentru toamna anului 2025, rata de ocupare a forței de muncă în UE a atins 75,3 %; întrucât, în două treimi dintre statele membre, creșterea ratei de ocupare a forței de muncă în 2023 s-a înscris pe traiectoria stabilită în scopul atingerii obiectivului național pentru 2030; întrucât persistă totuși provocări semnificative, cum ar fi </w:t>
            </w:r>
            <w:r>
              <w:rPr>
                <w:b/>
                <w:i/>
              </w:rPr>
              <w:t>disparitatea de gen în ceea ce privește ocuparea forței de muncă și</w:t>
            </w:r>
            <w:r>
              <w:t xml:space="preserve"> ratele ridicate ale șomajului în unele state membre, în special în rândul tinerilor și al persoanelor cu dizabilități;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întrucât incidența rezultatelor slabe în ceea ce privește competențele de bază este în creștere (citire, matematică și științe), iar obiectivul stabilit pentru 2030 la nivelul UE privind o pondere sub 15 % a rezultatelor slabe rămâne imposibil de atins în viitorul apropiat;</w:t>
            </w:r>
            <w:r>
              <w:t xml:space="preserve"> </w:t>
            </w:r>
            <w:r>
              <w:rPr>
                <w:b/>
                <w:i/>
              </w:rPr>
              <w:t>întrucât rezultatele slabe sunt predominante în rândul cursanților defavorizați, ceea ce demonstrează o creștere a inegalităților educaționale;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întrucât rezultatele slabe în ceea ce privește competențele de bază, cum ar fi lectura, matematica și științele, sunt în creștere în Uniune, în special în rândul cursanților defavorizați;</w:t>
            </w:r>
            <w:r>
              <w:t xml:space="preserve"> </w:t>
            </w:r>
            <w:r>
              <w:rPr>
                <w:b/>
                <w:i/>
              </w:rPr>
              <w:t>întrucât această inegalitate în materie de educație subminează accesul egal la educația continuă, la oportunități de formare și la locuri de muncă de calitate și contribuie la persistența excluziunii sociale și de pe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Da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subliniază totuși, în legătură cu cadrul aplicabil școlilor, că declinul cunoștințelor de bază este larg răspândit în multe state membre și nu afectează doar persoanele dezavantajate;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întrucât provocările demografice, inclusiv îmbătrânirea populației, ratele scăzute ale natalității și depopularea rurală, manifestată prin tendința observată în special la tineri de a se muta în zonele urbane, afectează profund vitalitatea economică și atractivitatea regiunilor UE, piețele forței de muncă și, prin urmare, sustenabilitatea sistemelor de protecție socială, agravând și mai mult disparitățile regionale din UE, și reprezintă, prin urmare, o provocare structurală pentru economia UE;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întrucât </w:t>
            </w:r>
            <w:r>
              <w:rPr>
                <w:b/>
                <w:i/>
              </w:rPr>
              <w:t>provocările</w:t>
            </w:r>
            <w:r>
              <w:t xml:space="preserve"> demografice, </w:t>
            </w:r>
            <w:r>
              <w:rPr>
                <w:b/>
                <w:i/>
              </w:rPr>
              <w:t>inclusiv</w:t>
            </w:r>
            <w:r>
              <w:t xml:space="preserve"> îmbătrânirea populației, ratele scăzute ale natalității și depopularea rurală, manifestată prin tendința observată în special la tineri de a se muta în zonele urbane, afectează profund vitalitatea economică și atractivitatea regiunilor UE, piețele forței de muncă și, prin urmare, sustenabilitatea sistemelor de protecție socială, agravând și mai mult disparitățile regionale din UE, și reprezintă, prin urmare, o provocare structurală pentru economia UE;</w:t>
            </w:r>
          </w:p>
        </w:tc>
        <w:tc>
          <w:tcPr>
            <w:tcW w:w="4876" w:type="dxa"/>
            <w:tcBorders>
              <w:top w:val="nil"/>
              <w:left w:val="nil"/>
              <w:bottom w:val="nil"/>
              <w:right w:val="nil"/>
            </w:tcBorders>
          </w:tcPr>
          <w:p>
            <w:pPr>
              <w:pStyle w:val="Normal6a"/>
            </w:pPr>
            <w:r>
              <w:t>F.</w:t>
            </w:r>
            <w:r>
              <w:tab/>
            </w:r>
            <w:r>
              <w:t xml:space="preserve">întrucât </w:t>
            </w:r>
            <w:r>
              <w:rPr>
                <w:b/>
                <w:i/>
              </w:rPr>
              <w:t>din cauza provocărilor</w:t>
            </w:r>
            <w:r>
              <w:t xml:space="preserve"> demografice, </w:t>
            </w:r>
            <w:r>
              <w:rPr>
                <w:b/>
                <w:i/>
              </w:rPr>
              <w:t>cum ar fi</w:t>
            </w:r>
            <w:r>
              <w:t xml:space="preserve"> îmbătrânirea populației, ratele scăzute ale natalității și depopularea rurală, manifestată prin tendința observată în special la tineri de a se muta în zonele urbane, </w:t>
            </w:r>
            <w:r>
              <w:rPr>
                <w:b/>
                <w:i/>
              </w:rPr>
              <w:t>creșterea productivității UE a rămas în mod constant în urma Statelor Unite ceea ce</w:t>
            </w:r>
            <w:r>
              <w:t xml:space="preserve"> afectează profund vitalitatea economică și atractivitatea regiunilor UE, piețele forței de muncă și, prin urmare, sustenabilitatea sistemelor de protecție socială, agravând și mai mult disparitățile regionale din UE, și reprezintă, prin urmare, o provocare structurală pentru economia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întrucât provocările demografice, inclusiv îmbătrânirea populației, ratele scăzute ale natalității și depopularea rurală, manifestată prin tendința observată în special la tineri de a se muta în zonele urbane, afectează profund vitalitatea economică și atractivitatea regiunilor UE, piețele forței de muncă și, prin urmare, sustenabilitatea sistemelor de protecție socială, agravând și mai mult disparitățile regionale din UE, și reprezintă, prin urmare, o provocare structurală pentru economia UE;</w:t>
            </w:r>
          </w:p>
        </w:tc>
        <w:tc>
          <w:tcPr>
            <w:tcW w:w="4876" w:type="dxa"/>
            <w:tcBorders>
              <w:top w:val="nil"/>
              <w:left w:val="nil"/>
              <w:bottom w:val="nil"/>
              <w:right w:val="nil"/>
            </w:tcBorders>
          </w:tcPr>
          <w:p>
            <w:pPr>
              <w:pStyle w:val="Normal6a"/>
            </w:pPr>
            <w:r>
              <w:t>F.</w:t>
            </w:r>
            <w:r>
              <w:tab/>
            </w:r>
            <w:r>
              <w:t>întrucât provocările demografice, inclusiv îmbătrânirea populației, ratele scăzute ale natalității și depopularea rurală, manifestată prin tendința observată în special la tineri de a se muta în zonele urbane, afectează profund vitalitatea economică și atractivitatea regiunilor UE, piețele forței de muncă</w:t>
            </w:r>
            <w:r>
              <w:rPr>
                <w:b/>
                <w:i/>
              </w:rPr>
              <w:t>, infrastructurile publice</w:t>
            </w:r>
            <w:r>
              <w:t xml:space="preserve"> și, prin urmare, sustenabilitatea sistemelor de protecție socială, agravând și mai mult disparitățile regionale din UE, și reprezintă, prin urmare, o provocare structurală pentru economia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Fa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întrucât provocările demografice, în special îmbătrânirea populației, ratele scăzute ale natalității și depopularea zonelor rurale, dacă nu sunt controlate, ar putea agrava inegalitățile economice și afecta progresul social;</w:t>
            </w:r>
            <w:r>
              <w:t xml:space="preserve"> </w:t>
            </w:r>
            <w:r>
              <w:rPr>
                <w:b/>
                <w:i/>
              </w:rPr>
              <w:t>întrucât absența accesului public universal la servicii de îngrijire a copiilor (de la 0 la 3 ani) și la învățământul terțiar, absența sau insuficiența alocațiilor pentru copii și insuficiența concediului plătit pentru creșterea copilului sunt cauzele profunde ale ratei scăzute a natalității;</w:t>
            </w:r>
            <w:r>
              <w:t xml:space="preserve"> </w:t>
            </w:r>
            <w:r>
              <w:rPr>
                <w:b/>
                <w:i/>
              </w:rPr>
              <w:t>întrucât integrarea migranților pe piața muncii poate reduce deficitul de mână de lucru de pe piață;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deficitul de forță de muncă și de competențe </w:t>
            </w:r>
            <w:r>
              <w:rPr>
                <w:b/>
                <w:i/>
              </w:rPr>
              <w:t>–</w:t>
            </w:r>
            <w:r>
              <w:t xml:space="preserve"> determinat de schimbările demografice, de cererea de noi competențe și de condițiile de muncă precare </w:t>
            </w:r>
            <w:r>
              <w:rPr>
                <w:b/>
                <w:i/>
              </w:rPr>
              <w:t>din anumite sectoare – este</w:t>
            </w:r>
            <w:r>
              <w:t xml:space="preserve"> în creștere în întreaga UE;</w:t>
            </w:r>
          </w:p>
        </w:tc>
        <w:tc>
          <w:tcPr>
            <w:tcW w:w="4876" w:type="dxa"/>
            <w:tcBorders>
              <w:top w:val="nil"/>
              <w:left w:val="nil"/>
              <w:bottom w:val="nil"/>
              <w:right w:val="nil"/>
            </w:tcBorders>
          </w:tcPr>
          <w:p>
            <w:pPr>
              <w:pStyle w:val="Normal6a"/>
            </w:pPr>
            <w:r>
              <w:t>G.</w:t>
            </w:r>
            <w:r>
              <w:tab/>
            </w:r>
            <w:r>
              <w:t xml:space="preserve">întrucât deficitul de forță de muncă și de competențe </w:t>
            </w:r>
            <w:r>
              <w:rPr>
                <w:b/>
                <w:i/>
              </w:rPr>
              <w:t>este</w:t>
            </w:r>
            <w:r>
              <w:t xml:space="preserve"> determinat de schimbările demografice </w:t>
            </w:r>
            <w:r>
              <w:rPr>
                <w:b/>
                <w:i/>
              </w:rPr>
              <w:t>și de tranziții</w:t>
            </w:r>
            <w:r>
              <w:t xml:space="preserve">, de cererea de noi competențe și de </w:t>
            </w:r>
            <w:r>
              <w:rPr>
                <w:b/>
                <w:i/>
              </w:rPr>
              <w:t>locuri de muncă de calitate, stabile și cu salarii mai mari, precum și de integrarea resortisanților țărilor terțe pe piețele muncii;</w:t>
            </w:r>
            <w:r>
              <w:t xml:space="preserve"> </w:t>
            </w:r>
            <w:r>
              <w:rPr>
                <w:b/>
                <w:i/>
              </w:rPr>
              <w:t>întrucât</w:t>
            </w:r>
            <w:r>
              <w:t xml:space="preserve"> condițiile de muncă precare </w:t>
            </w:r>
            <w:r>
              <w:rPr>
                <w:b/>
                <w:i/>
              </w:rPr>
              <w:t>sunt</w:t>
            </w:r>
            <w:r>
              <w:t xml:space="preserve"> în creștere în întreaga UE </w:t>
            </w:r>
            <w:r>
              <w:rPr>
                <w:b/>
                <w:i/>
              </w:rPr>
              <w:t>și limitează în mod direct capacitatea UE de a atrage și de a păstra talente, atât din țări terțe, cât și în interiorul Uniunii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deficitul de forță de muncă </w:t>
            </w:r>
            <w:r>
              <w:rPr>
                <w:b/>
                <w:i/>
              </w:rPr>
              <w:t>și de competențe</w:t>
            </w:r>
            <w:r>
              <w:t xml:space="preserve"> – determinat de </w:t>
            </w:r>
            <w:r>
              <w:rPr>
                <w:b/>
                <w:i/>
              </w:rPr>
              <w:t>schimbările demografice</w:t>
            </w:r>
            <w:r>
              <w:t xml:space="preserve">, de cererea de noi competențe </w:t>
            </w:r>
            <w:r>
              <w:rPr>
                <w:b/>
                <w:i/>
              </w:rPr>
              <w:t>și de condițiile de muncă precare</w:t>
            </w:r>
            <w:r>
              <w:t xml:space="preserve"> din anumite sectoare – este în creștere în întreaga UE;</w:t>
            </w:r>
          </w:p>
        </w:tc>
        <w:tc>
          <w:tcPr>
            <w:tcW w:w="4876" w:type="dxa"/>
            <w:tcBorders>
              <w:top w:val="nil"/>
              <w:left w:val="nil"/>
              <w:bottom w:val="nil"/>
              <w:right w:val="nil"/>
            </w:tcBorders>
          </w:tcPr>
          <w:p>
            <w:pPr>
              <w:pStyle w:val="Normal6a"/>
            </w:pPr>
            <w:r>
              <w:t>G.</w:t>
            </w:r>
            <w:r>
              <w:tab/>
            </w:r>
            <w:r>
              <w:t xml:space="preserve">întrucât deficitul de forță de muncă </w:t>
            </w:r>
            <w:r>
              <w:rPr>
                <w:b/>
                <w:i/>
              </w:rPr>
              <w:t>calificată</w:t>
            </w:r>
            <w:r>
              <w:t xml:space="preserve"> – determinat de </w:t>
            </w:r>
            <w:r>
              <w:rPr>
                <w:b/>
                <w:i/>
              </w:rPr>
              <w:t>scăderea fără precedent a natalității în toate statele membre, de tendința tot mai puternică de părăsire a țării de origine în rândul tinerilor europeni calificați</w:t>
            </w:r>
            <w:r>
              <w:t>, de cererea de noi competențe din anumite sectoare – este în creștere în întreaga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întrucât deficitul de forță de muncă și de competențe – determinat de schimbările demografice, de cererea de noi competențe și de condițiile de muncă precare din anumite sectoare – este în creștere în întreaga UE;</w:t>
            </w:r>
          </w:p>
        </w:tc>
        <w:tc>
          <w:tcPr>
            <w:tcW w:w="4876" w:type="dxa"/>
            <w:tcBorders>
              <w:top w:val="nil"/>
              <w:left w:val="nil"/>
              <w:bottom w:val="nil"/>
              <w:right w:val="nil"/>
            </w:tcBorders>
          </w:tcPr>
          <w:p>
            <w:pPr>
              <w:pStyle w:val="Normal6a"/>
            </w:pPr>
            <w:r>
              <w:t>G.</w:t>
            </w:r>
            <w:r>
              <w:tab/>
            </w:r>
            <w:r>
              <w:t xml:space="preserve">întrucât deficitul de forță de muncă și de competențe – determinat de schimbările demografice, de cererea de noi competențe </w:t>
            </w:r>
            <w:r>
              <w:rPr>
                <w:b/>
                <w:i/>
              </w:rPr>
              <w:t>pentru dubla tranziție verde și digitală</w:t>
            </w:r>
            <w:r>
              <w:t xml:space="preserve"> și de condițiile de muncă precare </w:t>
            </w:r>
            <w:r>
              <w:rPr>
                <w:b/>
                <w:i/>
              </w:rPr>
              <w:t>și decalajul între competențe și cererea pieței</w:t>
            </w:r>
            <w:r>
              <w:t xml:space="preserve"> din anumite sectoare – este în creștere în întreaga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întrucât deficitul de forță de muncă și de competențe – determinat de schimbările demografice, de cererea de noi competențe </w:t>
            </w:r>
            <w:r>
              <w:rPr>
                <w:b/>
                <w:i/>
              </w:rPr>
              <w:t>și</w:t>
            </w:r>
            <w:r>
              <w:t xml:space="preserve"> de condițiile de muncă precare din anumite sectoare – este în creștere în întreaga UE;</w:t>
            </w:r>
          </w:p>
        </w:tc>
        <w:tc>
          <w:tcPr>
            <w:tcW w:w="4876" w:type="dxa"/>
            <w:tcBorders>
              <w:top w:val="nil"/>
              <w:left w:val="nil"/>
              <w:bottom w:val="nil"/>
              <w:right w:val="nil"/>
            </w:tcBorders>
          </w:tcPr>
          <w:p>
            <w:pPr>
              <w:pStyle w:val="Normal6a"/>
            </w:pPr>
            <w:r>
              <w:t>G.</w:t>
            </w:r>
            <w:r>
              <w:tab/>
            </w:r>
            <w:r>
              <w:t>întrucât deficitul de forță de muncă și de competențe – determinat de schimbările demografice, de cererea de noi competențe</w:t>
            </w:r>
            <w:r>
              <w:rPr>
                <w:b/>
                <w:i/>
              </w:rPr>
              <w:t>,</w:t>
            </w:r>
            <w:r>
              <w:t xml:space="preserve"> de condițiile de muncă precare </w:t>
            </w:r>
            <w:r>
              <w:rPr>
                <w:b/>
                <w:i/>
              </w:rPr>
              <w:t>și de absența investițiilor în robotică</w:t>
            </w:r>
            <w:r>
              <w:t xml:space="preserve"> din anumite sectoare – este în creștere în întreaga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întrucât raportul Eurofound din 2024 arată că ratele sinuciderilor cresc din 2021, după decenii de declin;</w:t>
            </w:r>
            <w:r>
              <w:t xml:space="preserve"> </w:t>
            </w:r>
            <w:r>
              <w:rPr>
                <w:b/>
                <w:i/>
              </w:rPr>
              <w:t>întrucât trebuie depuse mai multe eforturi pentru a combate cauzele tulburărilor de sănătate mintală în condițiile de muncă și de viață</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Eurofound (în curs de apariție în 2025), Sănătatea mintală în Uniunea Europeană și Norvegia:</w:t>
            </w:r>
            <w:r>
              <w:t xml:space="preserve"> </w:t>
            </w:r>
            <w:r>
              <w:rPr>
                <w:b/>
                <w:i/>
              </w:rPr>
              <w:t>grupuri de risc, tendințe, servicii și politici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economia socială, respectiv întreprinderile sociale, cuprinde diverse tipuri de entități private, independente de autoritățile publice, cum ar fi cooperativele, societățile de ajutor reciproc, asociațiile (inclusiv organizațiile caritabile), fundațiile (inclusiv întreprinderile sociale de integrare în muncă și alte forme juridice în funcție de fiecare stat membru al UE;</w:t>
            </w:r>
            <w:r>
              <w:t xml:space="preserve"> </w:t>
            </w:r>
            <w:r>
              <w:rPr>
                <w:b/>
                <w:i/>
              </w:rPr>
              <w:t>întrucât această diversitate de întreprinderi și organizații, care operează în toate domeniile de activitate, au în comun o identitate puternică, bazată pe valori și caracteristici comune, de pildă întâietatea oamenilor și a scopului social asupra capitalului, egalitatea de gen, responsabilitatea locală și regională, sensibilitatea la provocările climatice și de mediu, incluziunea și guvernanța democratică și reinvestirea majorității profiturilor pentru a atinge obiectivele de dezvoltare durabilă ale întreprinderii sau organizației sau în interesul colectiv și general și, prin urmare, distribuirea limitată a profiturilor și activelor între membri sau acționari;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Gb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întrucât, în contextul unei scăderi constant lente a diferenței de remunerare între femei și bărbați, cercetările Eurofound arată că multe state membre nu au pus în aplicare nicio măsură de transparență salarială până în prezent, iar majoritatea instrumentelor naționale</w:t>
            </w:r>
            <w:r>
              <w:rPr>
                <w:b/>
                <w:i/>
                <w:vertAlign w:val="superscript"/>
              </w:rPr>
              <w:t>3b</w:t>
            </w:r>
            <w:r>
              <w:t xml:space="preserve"> </w:t>
            </w:r>
            <w:r>
              <w:rPr>
                <w:b/>
                <w:i/>
              </w:rPr>
              <w:t>în vigoare în prezent nu iau încă în considerare munca de valoare egală</w:t>
            </w:r>
            <w:r>
              <w:rPr>
                <w:b/>
                <w:i/>
                <w:vertAlign w:val="superscript"/>
              </w:rPr>
              <w:t>3a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Cercetare Eurofound în curs de apariție în 2025, Further experiences with pay transparency (Alte experiențe în materie de transparență salarială)</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3b</w:t>
            </w:r>
            <w:r>
              <w:t xml:space="preserve"> </w:t>
            </w:r>
            <w:r>
              <w:rPr>
                <w:b/>
                <w:i/>
              </w:rPr>
              <w:t>Eurofound (2021), Gender pay transparency:</w:t>
            </w:r>
            <w:r>
              <w:t xml:space="preserve"> </w:t>
            </w:r>
            <w:r>
              <w:rPr>
                <w:b/>
                <w:i/>
              </w:rPr>
              <w:t>Advancing the cause through a truly European proposal (Transparența diferențelor de salarizare între femei și bărbați: Promovarea cauzei printr-o propunere cu adevărat europeană), articol, 18 iunie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întrucât mobilitatea echitabilă a forței de muncă oferă oportunități pentru întreprinderi și lucrători și ar trebui promovată atât în cadrul UE, cât și în rândul lucrătorilor din țări terțe, asigurând în același timp respectarea și exercitarea efectivă a drepturilor lucrătorilor și a drepturilor sociale, prin intermediul căilor legale de migrație;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întrucât mobilitatea echitabilă a forței de muncă oferă oportunități pentru întreprinderi și lucrători și ar trebui promovată atât în cadrul UE, cât și în rândul lucrătorilor din țări terțe, asigurând în același timp respectarea și exercitarea efectivă a drepturilor lucrătorilor și a drepturilor sociale, prin </w:t>
            </w:r>
            <w:r>
              <w:rPr>
                <w:b/>
                <w:i/>
              </w:rPr>
              <w:t>intermediul căilor</w:t>
            </w:r>
            <w:r>
              <w:t xml:space="preserve"> legale de migrație;</w:t>
            </w:r>
          </w:p>
        </w:tc>
        <w:tc>
          <w:tcPr>
            <w:tcW w:w="4876" w:type="dxa"/>
            <w:tcBorders>
              <w:top w:val="nil"/>
              <w:left w:val="nil"/>
              <w:bottom w:val="nil"/>
              <w:right w:val="nil"/>
            </w:tcBorders>
          </w:tcPr>
          <w:p>
            <w:pPr>
              <w:pStyle w:val="Normal6a"/>
            </w:pPr>
            <w:r>
              <w:t>H.</w:t>
            </w:r>
            <w:r>
              <w:tab/>
            </w:r>
            <w:r>
              <w:t xml:space="preserve">întrucât mobilitatea echitabilă a forței de muncă oferă oportunități pentru întreprinderi și lucrători și ar trebui promovată atât în cadrul UE, cât și în rândul lucrătorilor din țări terțe, asigurând în același timp respectarea și exercitarea efectivă a drepturilor lucrătorilor și a drepturilor sociale, prin </w:t>
            </w:r>
            <w:r>
              <w:rPr>
                <w:b/>
                <w:i/>
              </w:rPr>
              <w:t>căi</w:t>
            </w:r>
            <w:r>
              <w:t xml:space="preserve"> legale de migrație</w:t>
            </w:r>
            <w:r>
              <w:rPr>
                <w:b/>
                <w:i/>
              </w:rPr>
              <w:t>, precum și egalitatea de tratament și nediscriminarea, inclusiv în ceea ce privește portabilitatea drepturilor dobândite în cadrul raportului de muncă pe piața unică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întrucât mobilitatea </w:t>
            </w:r>
            <w:r>
              <w:rPr>
                <w:b/>
                <w:i/>
              </w:rPr>
              <w:t>echitabilă a</w:t>
            </w:r>
            <w:r>
              <w:t xml:space="preserve"> forței de muncă oferă oportunități pentru întreprinderi și lucrători și ar trebui promovată atât în cadrul UE, cât și în rândul lucrătorilor din țări terțe, asigurând în același timp respectarea și exercitarea efectivă a drepturilor lucrătorilor și a drepturilor sociale, </w:t>
            </w:r>
            <w:r>
              <w:rPr>
                <w:b/>
                <w:i/>
              </w:rPr>
              <w:t>prin intermediul căilor</w:t>
            </w:r>
            <w:r>
              <w:t xml:space="preserve"> legale de migrație;</w:t>
            </w:r>
          </w:p>
        </w:tc>
        <w:tc>
          <w:tcPr>
            <w:tcW w:w="4876" w:type="dxa"/>
            <w:tcBorders>
              <w:top w:val="nil"/>
              <w:left w:val="nil"/>
              <w:bottom w:val="nil"/>
              <w:right w:val="nil"/>
            </w:tcBorders>
          </w:tcPr>
          <w:p>
            <w:pPr>
              <w:pStyle w:val="Normal6a"/>
            </w:pPr>
            <w:r>
              <w:t>H.</w:t>
            </w:r>
            <w:r>
              <w:tab/>
            </w:r>
            <w:r>
              <w:t xml:space="preserve">întrucât mobilitatea forței de muncă </w:t>
            </w:r>
            <w:r>
              <w:rPr>
                <w:b/>
                <w:i/>
              </w:rPr>
              <w:t>este consacrată în tratate și</w:t>
            </w:r>
            <w:r>
              <w:t xml:space="preserve"> oferă oportunități pentru întreprinderi și lucrători și ar trebui promovată atât în cadrul UE, cât și în rândul lucrătorilor din țări terțe, asigurând</w:t>
            </w:r>
            <w:r>
              <w:rPr>
                <w:b/>
                <w:i/>
              </w:rPr>
              <w:t>,</w:t>
            </w:r>
            <w:r>
              <w:t xml:space="preserve"> în același timp</w:t>
            </w:r>
            <w:r>
              <w:rPr>
                <w:b/>
                <w:i/>
              </w:rPr>
              <w:t>,</w:t>
            </w:r>
            <w:r>
              <w:t xml:space="preserve"> respectarea </w:t>
            </w:r>
            <w:r>
              <w:rPr>
                <w:b/>
                <w:i/>
              </w:rPr>
              <w:t>deplină</w:t>
            </w:r>
            <w:r>
              <w:t xml:space="preserve"> și exercitarea efectivă a drepturilor lucrătorilor și a drepturilor sociale, </w:t>
            </w:r>
            <w:r>
              <w:rPr>
                <w:b/>
                <w:i/>
              </w:rPr>
              <w:t>inclusiv pentru resortisanții țărilor terțe, prin căi</w:t>
            </w:r>
            <w:r>
              <w:t xml:space="preserve"> legale de migrație </w:t>
            </w:r>
            <w:r>
              <w:rPr>
                <w:b/>
                <w:i/>
              </w:rPr>
              <w:t>și combaterea muncii nedeclarate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Ha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întrucât, potrivit cercetărilor Eurofound, democrația industrială este strâns corelată cu calitatea muncii și a locurilor de muncă și cu competitivitatea industrială; întrucât indicii actualizați ai democrației industriale și ai relațiilor industriale prezintă o imagine polarizată, grupuri mici de state membre având performanțe foarte ridicate sau foarte scăzute; întrucât în perioada 2008-2021 a fost detectată o tendință de ușoară deviere ascendentă a democrației industriale</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https://www.eurofound.europa.eu/en/publications/2023/measuring-key-dimensions-industrial-relations-and-industrial-democracy#:~:text=Executive%20summary,quality%20of%20work%20and%20employment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întrucât, în contextul misiunii Organizației Internaționale a Muncii de a promova justiția socială, principiile și drepturile fundamentale la locul de muncă instituite de acest organism se axează pe asigurarea unui mediu de lucru echitabil și decent pentru toți, inclusiv a libertății de asociere și a dreptului la negociere colectivă, pe eliminarea tuturor formelor de muncă forțată sau obligatorie, pe abolirea efectivă a muncii copiilor, pe eliminarea discriminării în ceea ce privește încadrarea în muncă și ocuparea forței de muncă și pe dreptul la un mediu de lucru sigur și sănătos; întrucât </w:t>
            </w:r>
            <w:r>
              <w:rPr>
                <w:b/>
                <w:i/>
              </w:rPr>
              <w:t>nu toate statele</w:t>
            </w:r>
            <w:r>
              <w:t xml:space="preserve"> membre </w:t>
            </w:r>
            <w:r>
              <w:rPr>
                <w:b/>
                <w:i/>
              </w:rPr>
              <w:t>ale UE respectă aceste</w:t>
            </w:r>
            <w:r>
              <w:t xml:space="preserve"> obligații</w:t>
            </w:r>
            <w:r>
              <w:rPr>
                <w:b/>
                <w:i/>
              </w:rPr>
              <w:t>,</w:t>
            </w:r>
          </w:p>
        </w:tc>
        <w:tc>
          <w:tcPr>
            <w:tcW w:w="4876" w:type="dxa"/>
            <w:tcBorders>
              <w:top w:val="nil"/>
              <w:left w:val="nil"/>
              <w:bottom w:val="nil"/>
              <w:right w:val="nil"/>
            </w:tcBorders>
          </w:tcPr>
          <w:p>
            <w:pPr>
              <w:pStyle w:val="Normal6a"/>
            </w:pPr>
            <w:r>
              <w:t>I.</w:t>
            </w:r>
            <w:r>
              <w:tab/>
            </w:r>
            <w:r>
              <w:rPr>
                <w:b/>
                <w:i/>
              </w:rPr>
              <w:t>întrucât structura tripartită și numărul mare de membri ai Organizației Internaționale a Muncii o disting ca lider în ceea ce privește standardele de muncă la nivel mondial;</w:t>
            </w:r>
            <w:r>
              <w:t xml:space="preserve"> întrucât, în contextul misiunii Organizației Internaționale a Muncii de a promova justiția socială, principiile și drepturile fundamentale la locul de muncă instituite de acest organism se axează pe asigurarea unui mediu de lucru echitabil și decent pentru toți, inclusiv a libertății de asociere și a dreptului la negociere colectivă, pe eliminarea tuturor formelor de muncă forțată sau obligatorie, pe abolirea efectivă a muncii copiilor, pe eliminarea discriminării în ceea ce privește încadrarea în muncă și ocuparea forței de muncă și pe dreptul la un mediu de lucru sigur și sănătos; întrucât </w:t>
            </w:r>
            <w:r>
              <w:rPr>
                <w:b/>
                <w:i/>
              </w:rPr>
              <w:t>unele state</w:t>
            </w:r>
            <w:r>
              <w:t xml:space="preserve"> membre </w:t>
            </w:r>
            <w:r>
              <w:rPr>
                <w:b/>
                <w:i/>
              </w:rPr>
              <w:t>se confruntă cu provocări în punerea în aplicare și asigurarea respectării acestor</w:t>
            </w:r>
            <w:r>
              <w:t xml:space="preserve"> obligații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Ia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întrucât partenerii sociali și organizațiile societății civile joacă un rol esențial în asigurarea unor condiții de muncă decente și în promovarea justiției și egalității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Considerentul Ia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întrucât, în contextul UE, aceste drepturi sunt protejate de tratatele UE, de Carta drepturilor fundamentale și de acquis-ul UE în domeniul dreptului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consideră că Comisia și Consiliul ar trebui să depună mai multe eforturi pentru a pune în aplicare Pilonul european al drepturilor sociale (PEDS), în conformitate cu planul de acțiune din martie 2021 și Declarația de la Hulpe</w:t>
            </w:r>
            <w:r>
              <w:rPr>
                <w:b/>
                <w:i/>
              </w:rPr>
              <w:t>, cu scopul de</w:t>
            </w:r>
            <w:r>
              <w:t xml:space="preserve"> a atinge obiectivele principale pentru 2030;</w:t>
            </w:r>
          </w:p>
        </w:tc>
        <w:tc>
          <w:tcPr>
            <w:tcW w:w="4876" w:type="dxa"/>
            <w:tcBorders>
              <w:top w:val="nil"/>
              <w:left w:val="nil"/>
              <w:bottom w:val="nil"/>
              <w:right w:val="nil"/>
            </w:tcBorders>
          </w:tcPr>
          <w:p>
            <w:pPr>
              <w:pStyle w:val="Normal6a"/>
            </w:pPr>
            <w:r>
              <w:t>1.</w:t>
            </w:r>
            <w:r>
              <w:tab/>
            </w:r>
            <w:r>
              <w:t xml:space="preserve">consideră că Comisia și Consiliul ar trebui să depună mai multe eforturi pentru a pune în aplicare Pilonul european al drepturilor sociale (PEDS), în conformitate cu planul de acțiune din martie 2021 și Declarația de la Hulpe </w:t>
            </w:r>
            <w:r>
              <w:rPr>
                <w:b/>
                <w:i/>
              </w:rPr>
              <w:t>și printr-o actualizare ambițioasă a planului de acțiune, cu acțiuni concrete și propuneri de promovare a convergenței sociale, în special pentru</w:t>
            </w:r>
            <w:r>
              <w:t xml:space="preserve"> a atinge obiectivele principale pentru 2030; </w:t>
            </w:r>
            <w:r>
              <w:rPr>
                <w:b/>
                <w:i/>
              </w:rPr>
              <w:t>invită Comisia, ca parte a planului de acțiune actualizat, să evalueze obiectivele actuale pentru a asigura relevanța lor continuă în contextul social și al muncii actual și să le actualizeze sau să le completeze, dacă este necesar;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consideră că Comisia și </w:t>
            </w:r>
            <w:r>
              <w:rPr>
                <w:b/>
                <w:i/>
              </w:rPr>
              <w:t>Consiliul</w:t>
            </w:r>
            <w:r>
              <w:t xml:space="preserve"> ar trebui să depună mai multe eforturi pentru a pune în aplicare Pilonul european al drepturilor sociale (PEDS), în conformitate cu planul de acțiune din martie 2021 și Declarația de la Hulpe, cu scopul de a atinge obiectivele principale pentru 2030;</w:t>
            </w:r>
          </w:p>
        </w:tc>
        <w:tc>
          <w:tcPr>
            <w:tcW w:w="4876" w:type="dxa"/>
            <w:tcBorders>
              <w:top w:val="nil"/>
              <w:left w:val="nil"/>
              <w:bottom w:val="nil"/>
              <w:right w:val="nil"/>
            </w:tcBorders>
          </w:tcPr>
          <w:p>
            <w:pPr>
              <w:pStyle w:val="Normal6a"/>
            </w:pPr>
            <w:r>
              <w:t>1.</w:t>
            </w:r>
            <w:r>
              <w:tab/>
            </w:r>
            <w:r>
              <w:t xml:space="preserve">consideră că Comisia și </w:t>
            </w:r>
            <w:r>
              <w:rPr>
                <w:b/>
                <w:i/>
              </w:rPr>
              <w:t>statele membre</w:t>
            </w:r>
            <w:r>
              <w:t xml:space="preserve"> ar trebui să depună mai multe eforturi pentru a pune în aplicare Pilonul european al drepturilor sociale (PEDS), în conformitate cu </w:t>
            </w:r>
            <w:r>
              <w:rPr>
                <w:b/>
                <w:i/>
              </w:rPr>
              <w:t>Regulamentul (UE) 2024/1263,</w:t>
            </w:r>
            <w:r>
              <w:t xml:space="preserve"> planul de acțiune din martie 2021 și Declarația de la Hulpe, cu scopul de a atinge obiectivele principale pentru 2030; </w:t>
            </w:r>
            <w:r>
              <w:rPr>
                <w:b/>
                <w:i/>
              </w:rPr>
              <w:t>invită Comisia să prezinte un nou plan de acțiune care să includă noi obiective principale, precum și inițiative legislative pentru a pune pe deplin în aplicare Pilonul european al drepturilor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regretă că Comisia Europeană s-a îndepărtat de la angajamentul său în direcția progresului social și a realizării ODD-urilor pentru a se îndrepta către o agendă în favoarea competitivității, simplificării și dereglementării, care nu ține seama de angajamentele sociale și ecologice; reamintește că reziliența socială și economică, inclusiv Pilonul european al drepturilor sociale, se numără printre obiectivele comune ale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reamintește că Agenda 2030 pentru dezvoltare durabilă a ONU și obiectivele conexe recunosc că eradicarea sărăciei în toate formele și dimensiunile sale, inclusiv a sărăciei extreme, reprezintă cea mai mare provocare globală și o cerință indispensabilă pentru dezvoltarea durabilă și că nimeni nu ar trebui lăsat în urmă, iar persoanele cele mai defavorizate ar trebui să fie primele ajutate;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își exprimă îngrijorarea că ODD nu au fost menționate în mod explicit în orientările politice ale actualei Președinte a Comisiei Europene și se bucură că misiunea precizează că fiecare membru al colegiului va asigura îndeplinirea țintelor și obiectivelor UE, precum și a obiectivelor de dezvoltare durabilă ale Organizației Națiunilor Unite în domeniile lor de politică;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 c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1c.</w:t>
            </w:r>
            <w:r>
              <w:tab/>
            </w:r>
            <w:r>
              <w:rPr>
                <w:b/>
                <w:i/>
              </w:rPr>
              <w:t>regretă, că în ansamblu, progresele în realizarea ODD înregistrează o întârziere în întreaga UE, ritmul progreselor în realizarea ODD în perioada 2020-2023 fiind de peste două ori mai mic (+ 0.8 puncte) decât în perioada 2016-2019 (+ 1.9 puncte);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 d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1d.</w:t>
            </w:r>
            <w:r>
              <w:tab/>
            </w:r>
            <w:r>
              <w:rPr>
                <w:b/>
                <w:i/>
              </w:rPr>
              <w:t>subliniază că ODD reprezintă în mare măsură o agendă de investiții, în special în capitalul uman (educație, sănătate, protecție socială, altele) și în infrastructura fizică (energie din surse regenerabile și rețele, acces la tehnologie, altele);</w:t>
            </w:r>
            <w:r>
              <w:t xml:space="preserve"> </w:t>
            </w:r>
            <w:r>
              <w:rPr>
                <w:b/>
                <w:i/>
              </w:rPr>
              <w:t>este preocupat că fondurile europene vor fi dedicate apărării și competitivității în detrimentul agendei de dezvoltare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 e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1e.</w:t>
            </w:r>
            <w:r>
              <w:tab/>
            </w:r>
            <w:r>
              <w:rPr>
                <w:b/>
                <w:i/>
              </w:rPr>
              <w:t>invită Comisia și statele membre să coopereze cu Parlamentul European la elaborarea unui nou Pact social european pentru viitor, cu angajamente și investiții clare în următoarele domenii:</w:t>
            </w:r>
            <w:r>
              <w:t xml:space="preserve"> </w:t>
            </w:r>
            <w:r>
              <w:rPr>
                <w:b/>
                <w:i/>
              </w:rPr>
              <w:t>reducerea riscului de sărăcie și de excluziune socială a europenilor și atingerea obiectivului de zero emisii nete în UE până în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recunoaște relevanța </w:t>
            </w:r>
            <w:r>
              <w:rPr>
                <w:b/>
                <w:i/>
              </w:rPr>
              <w:t>și importanța constantă – precum și natura interconectată – a</w:t>
            </w:r>
            <w:r>
              <w:t xml:space="preserve"> celor trei teme principale ale Summitului mondial pentru dezvoltare socială de la Copenhaga din 1995, considerate a fi cei trei piloni ai dezvoltării sociale, și anume eradicarea sărăciei, ocuparea integrală și productivă a forței de muncă și munca decentă pentru toți, precum și incluziunea socială;</w:t>
            </w:r>
          </w:p>
        </w:tc>
        <w:tc>
          <w:tcPr>
            <w:tcW w:w="4876" w:type="dxa"/>
            <w:tcBorders>
              <w:top w:val="nil"/>
              <w:left w:val="nil"/>
              <w:bottom w:val="nil"/>
              <w:right w:val="nil"/>
            </w:tcBorders>
          </w:tcPr>
          <w:p>
            <w:pPr>
              <w:pStyle w:val="Normal6a"/>
            </w:pPr>
            <w:r>
              <w:t>2.</w:t>
            </w:r>
            <w:r>
              <w:tab/>
            </w:r>
            <w:r>
              <w:t>recunoaște relevanța celor trei teme principale ale Summitului mondial pentru dezvoltare socială de la Copenhaga din 1995, considerate a fi cei trei piloni ai dezvoltării sociale, și anume eradicarea sărăciei, ocuparea integrală și productivă a forței de muncă și munca decentă pentru toți, precum și incluziunea socială</w:t>
            </w:r>
            <w:r>
              <w:rPr>
                <w:b/>
                <w:i/>
              </w:rPr>
              <w:t>, însă subliniază că acestea nu trebuie folosite împotriva statelor membre cu scopul direct sau indirect de promovare a imigrației din țările terțe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recunoaște relevanța și importanța constantă – precum și natura interconectată – a celor trei teme principale ale Summitului mondial pentru dezvoltare socială de la Copenhaga din 1995, considerate a fi cei trei piloni ai dezvoltării sociale, și anume eradicarea sărăciei, ocuparea integrală și productivă a forței de muncă și munca decentă pentru toți, precum și incluziunea socială;</w:t>
            </w:r>
          </w:p>
        </w:tc>
        <w:tc>
          <w:tcPr>
            <w:tcW w:w="4876" w:type="dxa"/>
            <w:tcBorders>
              <w:top w:val="nil"/>
              <w:left w:val="nil"/>
              <w:bottom w:val="nil"/>
              <w:right w:val="nil"/>
            </w:tcBorders>
          </w:tcPr>
          <w:p>
            <w:pPr>
              <w:pStyle w:val="Normal6a"/>
            </w:pPr>
            <w:r>
              <w:t>2.</w:t>
            </w:r>
            <w:r>
              <w:tab/>
            </w:r>
            <w:r>
              <w:t xml:space="preserve">recunoaște relevanța și importanța constantă – precum și natura interconectată </w:t>
            </w:r>
            <w:r>
              <w:rPr>
                <w:b/>
                <w:i/>
              </w:rPr>
              <w:t>și de consolidare reciprocă</w:t>
            </w:r>
            <w:r>
              <w:t>– a celor trei teme principale ale Summitului mondial pentru dezvoltare socială de la Copenhaga din 1995, considerate a fi cei trei piloni ai dezvoltării sociale, și anume eradicarea sărăciei, ocuparea integrală și productivă a forței de muncă și munca decentă pentru toți, precum și incluziunea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îndeamnă statele membre ale ONU să sprijine și să promoveze rolul partenerilor sociali și al organizațiilor societății civile pe teritoriile lor și să se asigure că aceștia participă activ la pregătirea și monitorizarea summitului;</w:t>
            </w:r>
            <w:r>
              <w:t xml:space="preserve"> </w:t>
            </w:r>
            <w:r>
              <w:rPr>
                <w:b/>
                <w:i/>
              </w:rPr>
              <w:t>subliniază că o participare puternică a mai multor părți interesate la elaborarea politicilor și o negociere colectivă eficace pot contribui în mod substanțial la realizarea de progrese în direcția obiectivelor de dezvoltare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subliniază că este important să se utilizeze tabloul de bord social și cadrul de convergență socială pentru a identifica riscurile </w:t>
            </w:r>
            <w:r>
              <w:rPr>
                <w:b/>
                <w:i/>
              </w:rPr>
              <w:t>și a urmări progresele înregistrate</w:t>
            </w:r>
            <w:r>
              <w:t xml:space="preserve"> în ceea ce privește reducerea inegalităților, consolidarea sistemelor de protecție socială și promovarea </w:t>
            </w:r>
            <w:r>
              <w:rPr>
                <w:b/>
                <w:i/>
              </w:rPr>
              <w:t>unor condiții</w:t>
            </w:r>
            <w:r>
              <w:t xml:space="preserve"> de muncă decente </w:t>
            </w:r>
            <w:r>
              <w:rPr>
                <w:b/>
                <w:i/>
              </w:rPr>
              <w:t>și a unor măsuri de sprijin</w:t>
            </w:r>
            <w:r>
              <w:t xml:space="preserve"> pentru </w:t>
            </w:r>
            <w:r>
              <w:rPr>
                <w:b/>
                <w:i/>
              </w:rPr>
              <w:t>lucrători în vederea gestionării tranzițiilor</w:t>
            </w:r>
            <w:r>
              <w:t>; subliniază, în acest sens, că trebuie să se garanteze o Europă sustenabilă, justă din punct de vedere social și favorabilă incluziunii, în care drepturile sociale să fie pe deplin protejate și garantate; reamintește că cetățenii UE identifică Europa socială ca una dintre prioritățile lor;</w:t>
            </w:r>
          </w:p>
        </w:tc>
        <w:tc>
          <w:tcPr>
            <w:tcW w:w="4876" w:type="dxa"/>
            <w:tcBorders>
              <w:top w:val="nil"/>
              <w:left w:val="nil"/>
              <w:bottom w:val="nil"/>
              <w:right w:val="nil"/>
            </w:tcBorders>
          </w:tcPr>
          <w:p>
            <w:pPr>
              <w:pStyle w:val="Normal6a"/>
            </w:pPr>
            <w:r>
              <w:t>3.</w:t>
            </w:r>
            <w:r>
              <w:tab/>
            </w:r>
            <w:r>
              <w:rPr>
                <w:b/>
                <w:i/>
              </w:rPr>
              <w:t>subliniază că este necesar ca Comisia să prezinte de urgență un pachet legislativ privind locurile de muncă de calitate, care să includă inițiativele legislative și investițiile necesare pentru a asigura locuri de muncă de calitate;</w:t>
            </w:r>
            <w:r>
              <w:t xml:space="preserve"> subliniază că este important să se utilizeze tabloul de bord social și cadrul de convergență socială pentru a identifica riscurile în ceea ce privește </w:t>
            </w:r>
            <w:r>
              <w:rPr>
                <w:b/>
                <w:i/>
              </w:rPr>
              <w:t>asigurarea convergenței sociale și salariale ascendente,</w:t>
            </w:r>
            <w:r>
              <w:t xml:space="preserve"> reducerea inegalităților, consolidarea sistemelor de protecție socială și promovarea </w:t>
            </w:r>
            <w:r>
              <w:rPr>
                <w:b/>
                <w:i/>
              </w:rPr>
              <w:t>condițiilor</w:t>
            </w:r>
            <w:r>
              <w:t xml:space="preserve"> de muncă decente </w:t>
            </w:r>
            <w:r>
              <w:rPr>
                <w:b/>
                <w:i/>
              </w:rPr>
              <w:t>cu scopul de a asigura echitatea în tranziții, precum și</w:t>
            </w:r>
            <w:r>
              <w:t xml:space="preserve"> pentru </w:t>
            </w:r>
            <w:r>
              <w:rPr>
                <w:b/>
                <w:i/>
              </w:rPr>
              <w:t>a urmări progresele realizate în aceste domenii</w:t>
            </w:r>
            <w:r>
              <w:t>; subliniază, în acest sens, că trebuie să se garanteze o Europă sustenabilă, justă din punct de vedere social și favorabilă incluziunii, în care drepturile sociale să fie pe deplin protejate și garantate; reamintește că cetățenii UE identifică Europa socială ca una dintre prioritățile 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subliniază că este important să se utilizeze tabloul de bord social și cadrul de convergență socială pentru a identifica riscurile și a urmări progresele înregistrate în ceea ce privește reducerea inegalităților, consolidarea sistemelor de protecție socială și promovarea unor condiții de muncă decente și a unor măsuri de sprijin pentru lucrători în vederea gestionării tranzițiilor; subliniază, în acest sens, că trebuie să se garanteze o Europă sustenabilă, justă din punct de vedere social și favorabilă incluziunii, în care drepturile sociale să fie pe deplin protejate și garantate; reamintește că cetățenii UE identifică Europa socială ca una dintre prioritățile lor;</w:t>
            </w:r>
          </w:p>
        </w:tc>
        <w:tc>
          <w:tcPr>
            <w:tcW w:w="4876" w:type="dxa"/>
            <w:tcBorders>
              <w:top w:val="nil"/>
              <w:left w:val="nil"/>
              <w:bottom w:val="nil"/>
              <w:right w:val="nil"/>
            </w:tcBorders>
          </w:tcPr>
          <w:p>
            <w:pPr>
              <w:pStyle w:val="Normal6a"/>
            </w:pPr>
            <w:r>
              <w:t>3.</w:t>
            </w:r>
            <w:r>
              <w:tab/>
            </w:r>
            <w:r>
              <w:t xml:space="preserve">subliniază că este important să se utilizeze tabloul de bord social și cadrul de convergență socială pentru a identifica riscurile și a urmări progresele înregistrate în ceea ce privește reducerea inegalităților, consolidarea sistemelor de protecție socială și promovarea unor condiții de muncă decente și a unor măsuri de sprijin pentru lucrători în vederea gestionării tranzițiilor </w:t>
            </w:r>
            <w:r>
              <w:rPr>
                <w:b/>
                <w:i/>
              </w:rPr>
              <w:t>profesionale</w:t>
            </w:r>
            <w:r>
              <w:t xml:space="preserve">; subliniază, în acest sens, că trebuie să </w:t>
            </w:r>
            <w:r>
              <w:rPr>
                <w:b/>
                <w:i/>
              </w:rPr>
              <w:t>li</w:t>
            </w:r>
            <w:r>
              <w:t xml:space="preserve"> se garanteze </w:t>
            </w:r>
            <w:r>
              <w:rPr>
                <w:b/>
                <w:i/>
              </w:rPr>
              <w:t>cetățenilor europeni</w:t>
            </w:r>
            <w:r>
              <w:t xml:space="preserve"> o Europă sustenabilă, justă din punct de vedere social și favorabilă incluziunii, în care drepturile sociale să fie pe deplin protejate și garantate; reamintește că cetățenii UE identifică Europa socială ca </w:t>
            </w:r>
            <w:r>
              <w:rPr>
                <w:b/>
                <w:i/>
              </w:rPr>
              <w:t>reprezentând, pentru ei înșiși,</w:t>
            </w:r>
            <w:r>
              <w:t xml:space="preserve"> una dintre prioritățile lor;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îndeamnă statele</w:t>
            </w:r>
            <w:r>
              <w:t xml:space="preserve"> membre </w:t>
            </w:r>
            <w:r>
              <w:rPr>
                <w:b/>
                <w:i/>
              </w:rPr>
              <w:t>să promoveze democrația la locul de muncă, dialogul social și negocierile colective și</w:t>
            </w:r>
            <w:r>
              <w:t xml:space="preserve"> să protejeze drepturile lucrătorilor, în special în contextul </w:t>
            </w:r>
            <w:r>
              <w:rPr>
                <w:b/>
                <w:i/>
              </w:rPr>
              <w:t>dublei tranziții verzi și</w:t>
            </w:r>
            <w:r>
              <w:t xml:space="preserve"> digitale</w:t>
            </w:r>
            <w:r>
              <w:rPr>
                <w:b/>
                <w:i/>
              </w:rPr>
              <w:t>, precum</w:t>
            </w:r>
            <w:r>
              <w:t xml:space="preserve"> și să </w:t>
            </w:r>
            <w:r>
              <w:rPr>
                <w:b/>
                <w:i/>
              </w:rPr>
              <w:t>asigure</w:t>
            </w:r>
            <w:r>
              <w:t xml:space="preserve"> remunerarea egală pentru muncă egală în rândul bărbaților și femeilor</w:t>
            </w:r>
            <w:r>
              <w:rPr>
                <w:b/>
                <w:i/>
              </w:rPr>
              <w:t>, să îmbunătățească transparența salarială și să combată inegalitatea de gen pentru a elimina diferența de remunerare între femei și bărbați în UE</w:t>
            </w:r>
            <w:r>
              <w:t>;</w:t>
            </w:r>
          </w:p>
        </w:tc>
        <w:tc>
          <w:tcPr>
            <w:tcW w:w="4876" w:type="dxa"/>
            <w:tcBorders>
              <w:top w:val="nil"/>
              <w:left w:val="nil"/>
              <w:bottom w:val="nil"/>
              <w:right w:val="nil"/>
            </w:tcBorders>
          </w:tcPr>
          <w:p>
            <w:pPr>
              <w:pStyle w:val="Normal6a"/>
            </w:pPr>
            <w:r>
              <w:t>4.</w:t>
            </w:r>
            <w:r>
              <w:tab/>
            </w:r>
            <w:r>
              <w:rPr>
                <w:b/>
                <w:i/>
              </w:rPr>
              <w:t>recomandă statelor</w:t>
            </w:r>
            <w:r>
              <w:t xml:space="preserve"> membre să protejeze drepturile lucrătorilor, în special în contextul </w:t>
            </w:r>
            <w:r>
              <w:rPr>
                <w:b/>
                <w:i/>
              </w:rPr>
              <w:t>transformărilor</w:t>
            </w:r>
            <w:r>
              <w:t xml:space="preserve"> digitale </w:t>
            </w:r>
            <w:r>
              <w:rPr>
                <w:b/>
                <w:i/>
              </w:rPr>
              <w:t>și ecologice</w:t>
            </w:r>
            <w:r>
              <w:t xml:space="preserve"> și să </w:t>
            </w:r>
            <w:r>
              <w:rPr>
                <w:b/>
                <w:i/>
              </w:rPr>
              <w:t>promoveze</w:t>
            </w:r>
            <w:r>
              <w:t xml:space="preserve"> remunerarea egală pentru muncă egală în rândul bărbaților și femeilor;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îndeamnă statele membre să promoveze democrația la locul de muncă, dialogul social și negocierile colective și să protejeze drepturile lucrătorilor, în special în contextul dublei tranziții verzi și digitale, precum și să asigure remunerarea egală pentru muncă egală în rândul bărbaților și femeilor, să îmbunătățească transparența salarială și să combată inegalitatea de gen pentru a elimina diferența de remunerare între femei și bărbați în UE;</w:t>
            </w:r>
          </w:p>
        </w:tc>
        <w:tc>
          <w:tcPr>
            <w:tcW w:w="4876" w:type="dxa"/>
            <w:tcBorders>
              <w:top w:val="nil"/>
              <w:left w:val="nil"/>
              <w:bottom w:val="nil"/>
              <w:right w:val="nil"/>
            </w:tcBorders>
          </w:tcPr>
          <w:p>
            <w:pPr>
              <w:pStyle w:val="Normal6a"/>
            </w:pPr>
            <w:r>
              <w:t>4.</w:t>
            </w:r>
            <w:r>
              <w:tab/>
            </w:r>
            <w:r>
              <w:t xml:space="preserve">îndeamnă </w:t>
            </w:r>
            <w:r>
              <w:rPr>
                <w:b/>
                <w:i/>
              </w:rPr>
              <w:t>Comisia și</w:t>
            </w:r>
            <w:r>
              <w:t xml:space="preserve"> statele membre să promoveze democrația la locul de muncă, dialogul social și negocierile colective și să protejeze drepturile lucrătorilor, în special în contextul dublei tranziții verzi și digitale, precum și să asigure remunerarea egală pentru muncă egală în rândul bărbaților și femeilor, să îmbunătățească transparența salarială și să combată inegalitatea de gen pentru a elimina diferența de remunerare între femei și bărbați în UE; </w:t>
            </w:r>
            <w:r>
              <w:rPr>
                <w:b/>
                <w:i/>
              </w:rPr>
              <w:t>subliniază că este necesar să se aloce resurse suficiente în următorul CFM pentru a sprijini dialogul social și negocierile colective și pentru a consolida capacitățile partenerilor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îndeamnă</w:t>
            </w:r>
            <w:r>
              <w:t xml:space="preserve"> statele membre să promoveze democrația </w:t>
            </w:r>
            <w:r>
              <w:rPr>
                <w:b/>
                <w:i/>
              </w:rPr>
              <w:t>la locul de muncă</w:t>
            </w:r>
            <w:r>
              <w:t>, dialogul social și negocierile colective și să protejeze drepturile lucrătorilor, în special în contextul dublei tranziții verzi și digitale, precum și să asigure remunerarea egală pentru muncă egală în rândul bărbaților și femeilor, să îmbunătățească transparența salarială și să combată inegalitatea de gen pentru a elimina diferența de remunerare între femei și bărbați în UE;</w:t>
            </w:r>
          </w:p>
        </w:tc>
        <w:tc>
          <w:tcPr>
            <w:tcW w:w="4876" w:type="dxa"/>
            <w:tcBorders>
              <w:top w:val="nil"/>
              <w:left w:val="nil"/>
              <w:bottom w:val="nil"/>
              <w:right w:val="nil"/>
            </w:tcBorders>
          </w:tcPr>
          <w:p>
            <w:pPr>
              <w:pStyle w:val="Normal6a"/>
            </w:pPr>
            <w:r>
              <w:t>4.</w:t>
            </w:r>
            <w:r>
              <w:tab/>
            </w:r>
            <w:r>
              <w:rPr>
                <w:b/>
                <w:i/>
              </w:rPr>
              <w:t>invită</w:t>
            </w:r>
            <w:r>
              <w:t xml:space="preserve"> statele membre să promoveze democrația, dialogul social și negocierile colective și să protejeze drepturile lucrătorilor, în special în contextul dublei tranziții verzi și digitale, precum și să asigure remunerarea egală pentru muncă egală în rândul bărbaților și femeilor, să îmbunătățească transparența salarială</w:t>
            </w:r>
            <w:r>
              <w:rPr>
                <w:b/>
                <w:i/>
              </w:rPr>
              <w:t>, să sprijine integrarea persoanelor cu dizabilități pe piața muncii și accesul acestora la locuințe adaptate, precum</w:t>
            </w:r>
            <w:r>
              <w:t xml:space="preserve"> și să combată inegalitatea de gen pentru a elimina diferența de remunerare între femei și bărbați în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îndeamnă statele membre să promoveze democrația la locul de muncă, dialogul social și </w:t>
            </w:r>
            <w:r>
              <w:rPr>
                <w:b/>
                <w:i/>
              </w:rPr>
              <w:t>negocierile colective și</w:t>
            </w:r>
            <w:r>
              <w:t xml:space="preserve"> să protejeze drepturile lucrătorilor</w:t>
            </w:r>
            <w:r>
              <w:rPr>
                <w:b/>
                <w:i/>
              </w:rPr>
              <w:t>, în special în contextul dublei tranziții verzi și digitale</w:t>
            </w:r>
            <w:r>
              <w:t>, precum și să asigure remunerarea egală pentru muncă egală în rândul bărbaților și femeilor, să îmbunătățească transparența salarială și să combată inegalitatea de gen pentru a elimina diferența de remunerare între femei și bărbați în UE;</w:t>
            </w:r>
          </w:p>
        </w:tc>
        <w:tc>
          <w:tcPr>
            <w:tcW w:w="4876" w:type="dxa"/>
            <w:tcBorders>
              <w:top w:val="nil"/>
              <w:left w:val="nil"/>
              <w:bottom w:val="nil"/>
              <w:right w:val="nil"/>
            </w:tcBorders>
          </w:tcPr>
          <w:p>
            <w:pPr>
              <w:pStyle w:val="Normal6a"/>
            </w:pPr>
            <w:r>
              <w:t>4.</w:t>
            </w:r>
            <w:r>
              <w:tab/>
            </w:r>
            <w:r>
              <w:t>îndeamnă statele membre să promoveze democrația la locul de muncă, dialogul social și să protejeze drepturile lucrătorilor, precum și să asigure remunerarea egală pentru muncă egală în rândul bărbaților și femeilor, să îmbunătățească transparența salarială și să combată inegalitatea de gen pentru a elimina diferența de remunerare între femei și bărbați în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îndeamnă statele membre să promoveze democrația la locul de muncă, dialogul social și negocierile colective și să protejeze drepturile lucrătorilor, în special în contextul dublei tranziții verzi și digitale, precum și să asigure remunerarea egală pentru muncă egală în rândul bărbaților și femeilor, să îmbunătățească transparența salarială și să combată inegalitatea de gen pentru a elimina diferența de remunerare între femei și bărbați în UE;</w:t>
            </w:r>
          </w:p>
        </w:tc>
        <w:tc>
          <w:tcPr>
            <w:tcW w:w="4876" w:type="dxa"/>
            <w:tcBorders>
              <w:top w:val="nil"/>
              <w:left w:val="nil"/>
              <w:bottom w:val="nil"/>
              <w:right w:val="nil"/>
            </w:tcBorders>
          </w:tcPr>
          <w:p>
            <w:pPr>
              <w:pStyle w:val="Normal6a"/>
            </w:pPr>
            <w:r>
              <w:t>4.</w:t>
            </w:r>
            <w:r>
              <w:tab/>
            </w:r>
            <w:r>
              <w:t>îndeamnă statele membre să promoveze democrația la locul de muncă, dialogul social și negocierile colective și să protejeze drepturile lucrătorilor, în special în contextul dublei tranziții verzi și digitale, precum și să asigure remunerarea egală pentru muncă egală în rândul bărbaților și femeilor, să îmbunătățească transparența salarială și să combată inegalitatea de gen pentru a elimina diferența de remunerare</w:t>
            </w:r>
            <w:r>
              <w:rPr>
                <w:b/>
                <w:i/>
              </w:rPr>
              <w:t>, de pensii și în ceea ce privește ocuparea forței de muncă</w:t>
            </w:r>
            <w:r>
              <w:t xml:space="preserve"> între femei și bărbați în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solicită majorarea salariilor pentru a se asigura că acestea garantează un nivel de trai decent și pentru a încuraja convergența ascendentă a salariilor, în special prin promovarea negocierilor colective și punerea pe deplin în aplicare a Directivei (UE) 2022/2041 privind salariile minime adecvate în Uniunea Europeană;</w:t>
            </w:r>
            <w:r>
              <w:t xml:space="preserve"> </w:t>
            </w:r>
            <w:r>
              <w:rPr>
                <w:b/>
                <w:i/>
              </w:rPr>
              <w:t>reafirmă, de asemenea, că este important să se asigure plata unor salarii adecvate și decente în lanțurile de aprovizionare mondiale și solicită ca întreprinderile multinaționale să fie trase la răspundere în acest sens, inclusiv prin intermediul unei legislații obligatorii privind diligența necesară care să susțină practici salariale echitabile în afara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solicită intensificarea eforturilor de combatere a discriminării </w:t>
            </w:r>
            <w:r>
              <w:rPr>
                <w:b/>
                <w:i/>
              </w:rPr>
              <w:t>și a</w:t>
            </w:r>
            <w:r>
              <w:t xml:space="preserve"> hărțuirii la locul de muncă;</w:t>
            </w:r>
          </w:p>
        </w:tc>
        <w:tc>
          <w:tcPr>
            <w:tcW w:w="4876" w:type="dxa"/>
            <w:tcBorders>
              <w:top w:val="nil"/>
              <w:left w:val="nil"/>
              <w:bottom w:val="nil"/>
              <w:right w:val="nil"/>
            </w:tcBorders>
          </w:tcPr>
          <w:p>
            <w:pPr>
              <w:pStyle w:val="Normal6a"/>
            </w:pPr>
            <w:r>
              <w:t>5.</w:t>
            </w:r>
            <w:r>
              <w:tab/>
            </w:r>
            <w:r>
              <w:t xml:space="preserve">solicită intensificarea eforturilor de combatere a </w:t>
            </w:r>
            <w:r>
              <w:rPr>
                <w:b/>
                <w:i/>
              </w:rPr>
              <w:t>violenței,</w:t>
            </w:r>
            <w:r>
              <w:t xml:space="preserve"> discriminării </w:t>
            </w:r>
            <w:r>
              <w:rPr>
                <w:b/>
                <w:i/>
              </w:rPr>
              <w:t>sau</w:t>
            </w:r>
            <w:r>
              <w:t xml:space="preserve"> hărțuirii la locul de muncă</w:t>
            </w:r>
            <w:r>
              <w:rPr>
                <w:b/>
                <w:i/>
              </w:rPr>
              <w:t>, inclusiv în mediile digitale</w:t>
            </w:r>
            <w:r>
              <w:t xml:space="preserve">; </w:t>
            </w:r>
            <w:r>
              <w:rPr>
                <w:b/>
                <w:i/>
              </w:rPr>
              <w:t>subliniază importanța măsurilor preventive și de protecție la locul de muncă pentru a proteja bunăstarea și sănătatea fizică și mintală a lucrătorilor;</w:t>
            </w:r>
            <w:r>
              <w:t xml:space="preserve"> </w:t>
            </w:r>
            <w:r>
              <w:rPr>
                <w:b/>
                <w:i/>
              </w:rPr>
              <w:t>ia act de creșterea stresului psihologic legat de muncă, îndeosebi a epuizării, anxietății și stresului posttraumatic, care este legat de noile forme de organizare a muncii, de conectivitatea constantă și de supravegherea digitală;</w:t>
            </w:r>
            <w:r>
              <w:t xml:space="preserve"> </w:t>
            </w:r>
            <w:r>
              <w:rPr>
                <w:b/>
                <w:i/>
              </w:rPr>
              <w:t>invită Comisia să protejeze sănătatea mintală a lucrătorilor și reafirmă că este necesar să se adopte de urgență o inițiativă legislativă pentru a preveni riscurile psihosociale la locul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5a.</w:t>
            </w:r>
            <w:r>
              <w:tab/>
            </w:r>
            <w:r>
              <w:rPr>
                <w:b/>
                <w:i/>
              </w:rPr>
              <w:t>reamintește rolul pe care îl joacă fondurile europene pertinente, printre care FSE +, Fondul social pentru climă și Mecanismul de redresare și reziliență, în combaterea sărăciei și a excluziunii sociale și îndeamnă statele membre, cu sprijinul Comisiei, să utilizeze pe deplin potențialul lor în această privință;</w:t>
            </w:r>
            <w:r>
              <w:t xml:space="preserve"> </w:t>
            </w:r>
            <w:r>
              <w:rPr>
                <w:b/>
                <w:i/>
              </w:rPr>
              <w:t>subliniază că în următorul CFM trebuie să se prevadă instrumente puternice și independente pentru a combate sărăcia și excluziunea socială;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 5a.</w:t>
            </w:r>
            <w:r>
              <w:tab/>
            </w:r>
            <w:r>
              <w:rPr>
                <w:b/>
                <w:i/>
              </w:rPr>
              <w:t>invită Comisia și statele membre să integreze dimensiunea de gen în toate domeniile de politică și în toate actele legislative;</w:t>
            </w:r>
            <w:r>
              <w:t xml:space="preserve"> </w:t>
            </w:r>
            <w:r>
              <w:rPr>
                <w:b/>
                <w:i/>
              </w:rPr>
              <w:t>reamintește că fără egalitate de tratament nu se va ajunge niciodată cu adevărat la incluziune socială și echitate;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5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reamintește, de asemenea, rolul pe care îl joacă Uniunea Europeană în dezvoltarea socială a țărilor terțe, inclusiv prin fonduri precum Europa globală;</w:t>
            </w:r>
            <w:r>
              <w:t xml:space="preserve"> </w:t>
            </w:r>
            <w:r>
              <w:rPr>
                <w:b/>
                <w:i/>
              </w:rPr>
              <w:t>regretă profund retragerea finanțării pentru dezvoltare, inclusiv pentru dezvoltarea socială, de către mai multe țări, ceea ce are un impact devastator asupra vieții și a mijloacelor de subzistență ale oamenilor;</w:t>
            </w:r>
            <w:r>
              <w:t xml:space="preserve"> </w:t>
            </w:r>
            <w:r>
              <w:rPr>
                <w:b/>
                <w:i/>
              </w:rPr>
              <w:t>îndeamnă Uniunea Europeană să își continue angajamentul ferm de a sprijini dezvoltarea socială în străinătate în actualul și următorul CFM cu scopul de a asigura stabilitatea și o finanțare solidă și să colaboreze cu toți actorii pertinenți pentru a asigura un angajament continuu față de obiectivele de dezvoltare socială la nivel mondial;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solicită o viziune holistică asupra protecției și incluziunii sociale și cere să se propună o strategie ambițioasă, însoțită de un sprijin suficient în următorul cadru financiar multianual (CFM), pe baza viitorului raport din proprie inițiativă al Parlamentului referitor la Strategia UE de combatere a sărăciei, precum și un plan ambițios privind locuințele la prețuri accesibile, pentru a aborda criza locuințelor și a combate lipsa de adăpost;</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solicită o viziune holistică asupra protecției și incluziunii sociale și cere să se propună o strategie ambițioasă, însoțită de un sprijin suficient în următorul cadru financiar multianual (CFM), pe baza viitorului raport din proprie inițiativă al Parlamentului referitor la Strategia UE de combatere a sărăciei, precum și un plan ambițios privind locuințele la prețuri accesibile, pentru a aborda criza locuințelor și a combate lipsa de adăpost;</w:t>
            </w:r>
          </w:p>
        </w:tc>
        <w:tc>
          <w:tcPr>
            <w:tcW w:w="4876" w:type="dxa"/>
            <w:tcBorders>
              <w:top w:val="nil"/>
              <w:left w:val="nil"/>
              <w:bottom w:val="nil"/>
              <w:right w:val="nil"/>
            </w:tcBorders>
          </w:tcPr>
          <w:p>
            <w:pPr>
              <w:pStyle w:val="Normal6a"/>
            </w:pPr>
            <w:r>
              <w:t>6.</w:t>
            </w:r>
            <w:r>
              <w:tab/>
            </w:r>
            <w:r>
              <w:t xml:space="preserve">solicită o viziune holistică asupra </w:t>
            </w:r>
            <w:r>
              <w:rPr>
                <w:b/>
                <w:i/>
              </w:rPr>
              <w:t>eradicării sărăciei, precum și a</w:t>
            </w:r>
            <w:r>
              <w:t xml:space="preserve"> protecției și incluziunii sociale și cere să se propună o strategie ambițioasă, însoțită de un sprijin suficient în următorul cadru financiar multianual (CFM), pe baza viitorului raport din proprie inițiativă al Parlamentului referitor la Strategia UE de combatere a sărăciei, precum și un plan ambițios privind locuințele la prețuri accesibile, pentru a aborda criza locuințelor și a combate lipsa de adăpost; </w:t>
            </w:r>
            <w:r>
              <w:rPr>
                <w:b/>
                <w:i/>
              </w:rPr>
              <w:t>subliniază că aceste noi inițiative trebuie să completeze alte strategii conexe ale UE, cum ar fi foaia de parcurs privind drepturile femeilor, Strategia privind drepturile persoanelor cu dizabilități și Garanția pentru copii, cu scopul de a asigura o abordare intersecțională a naturii multidimensionale a sărăciei;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solicită o viziune holistică asupra protecției și incluziunii sociale și cere să se propună o strategie ambițioasă, însoțită de un sprijin suficient în următorul cadru financiar multianual (CFM), </w:t>
            </w:r>
            <w:r>
              <w:rPr>
                <w:b/>
                <w:i/>
              </w:rPr>
              <w:t>pe baza viitorului raport din proprie inițiativă al Parlamentului referitor la Strategia UE de combatere a sărăciei, precum și un plan ambițios privind</w:t>
            </w:r>
            <w:r>
              <w:t xml:space="preserve"> locuințele la prețuri accesibile</w:t>
            </w:r>
            <w:r>
              <w:rPr>
                <w:b/>
                <w:i/>
              </w:rPr>
              <w:t>, pentru a aborda criza locuințelor și a combate lipsa de adăpost</w:t>
            </w:r>
            <w:r>
              <w:t>;</w:t>
            </w:r>
          </w:p>
        </w:tc>
        <w:tc>
          <w:tcPr>
            <w:tcW w:w="4876" w:type="dxa"/>
            <w:tcBorders>
              <w:top w:val="nil"/>
              <w:left w:val="nil"/>
              <w:bottom w:val="nil"/>
              <w:right w:val="nil"/>
            </w:tcBorders>
          </w:tcPr>
          <w:p>
            <w:pPr>
              <w:pStyle w:val="Normal6a"/>
            </w:pPr>
            <w:r>
              <w:t>6.</w:t>
            </w:r>
            <w:r>
              <w:tab/>
            </w:r>
            <w:r>
              <w:t xml:space="preserve">solicită o viziune holistică asupra protecției și incluziunii sociale și cere să se propună o strategie ambițioasă, însoțită de un sprijin suficient în următorul cadru financiar multianual (CFM), </w:t>
            </w:r>
            <w:r>
              <w:rPr>
                <w:b/>
                <w:i/>
              </w:rPr>
              <w:t>care să garanteze că investițiile sociale se află la același nivel cu investițiile în apărare sau competitivitate;</w:t>
            </w:r>
            <w:r>
              <w:t xml:space="preserve"> </w:t>
            </w:r>
            <w:r>
              <w:rPr>
                <w:b/>
                <w:i/>
              </w:rPr>
              <w:t>reamintește că, încă din 2020, Comisia estima că deficitul de investiții sociale</w:t>
            </w:r>
            <w:r>
              <w:rPr>
                <w:b/>
                <w:i/>
                <w:vertAlign w:val="superscript"/>
              </w:rPr>
              <w:t>5a</w:t>
            </w:r>
            <w:r>
              <w:t xml:space="preserve"> </w:t>
            </w:r>
            <w:r>
              <w:rPr>
                <w:b/>
                <w:i/>
              </w:rPr>
              <w:t>atingea deja cifra de 192 de miliarde EUR pe an sub nivelul necesar pentru a răspunde nevoilor cetățenilor: 120 de miliarde EUR în ceea ce privește sănătatea, 57 de miliarde EUR în ceea ce privește</w:t>
            </w:r>
            <w:r>
              <w:t xml:space="preserve"> locuințele la prețuri accesibile </w:t>
            </w:r>
            <w:r>
              <w:rPr>
                <w:b/>
                <w:i/>
              </w:rPr>
              <w:t>și 15 miliarde EUR în ceea ce privește educația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5a</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reamintește că nivelul prestațiilor de venit minim se situează, în mod preponderent, cu mult sub pragurile naționale de sărăcie;</w:t>
            </w:r>
            <w:r>
              <w:t xml:space="preserve"> </w:t>
            </w:r>
            <w:r>
              <w:rPr>
                <w:b/>
                <w:i/>
              </w:rPr>
              <w:t>îndeamnă statele membre să pună în aplicare pe deplin Recomandarea Consiliului privind un venit minim adecvat;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subliniază că o directivă-cadru a UE privind venitul minim adecvat și incluziunea activă, în conformitate cu principiul subsidiarității, ar contribui la obiectivele de reducere a sărăciei și a excluziunii sociale și de promovare a integrării persoanelor absente de pe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îndeamnă toate statele</w:t>
            </w:r>
            <w:r>
              <w:t xml:space="preserve"> membre să depună eforturi suplimentare pentru a combate sărăcia în rândul copiilor prin punerea în aplicare a planului lor național de acțiune </w:t>
            </w:r>
            <w:r>
              <w:rPr>
                <w:b/>
                <w:i/>
              </w:rPr>
              <w:t>privind Garanția europeană pentru copii și solicită ca aceasta să dispună de un buget specific cu resurse suficiente în următorul CFM</w:t>
            </w:r>
            <w:r>
              <w:t>;</w:t>
            </w:r>
          </w:p>
        </w:tc>
        <w:tc>
          <w:tcPr>
            <w:tcW w:w="4876" w:type="dxa"/>
            <w:tcBorders>
              <w:top w:val="nil"/>
              <w:left w:val="nil"/>
              <w:bottom w:val="nil"/>
              <w:right w:val="nil"/>
            </w:tcBorders>
          </w:tcPr>
          <w:p>
            <w:pPr>
              <w:pStyle w:val="Normal6a"/>
            </w:pPr>
            <w:r>
              <w:t>7.</w:t>
            </w:r>
            <w:r>
              <w:tab/>
            </w:r>
            <w:r>
              <w:rPr>
                <w:b/>
                <w:i/>
              </w:rPr>
              <w:t>recomandă statelor</w:t>
            </w:r>
            <w:r>
              <w:t xml:space="preserve"> membre să depună eforturi suplimentare pentru a combate sărăcia în rândul copiilor prin punerea în aplicare a planului lor național de acțiune;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îndeamnă toate statele membre să depună eforturi suplimentare pentru a combate sărăcia în rândul copiilor prin punerea în aplicare a planului lor național de acțiune privind Garanția europeană pentru copii și solicită </w:t>
            </w:r>
            <w:r>
              <w:rPr>
                <w:b/>
                <w:i/>
              </w:rPr>
              <w:t>ca</w:t>
            </w:r>
            <w:r>
              <w:t xml:space="preserve"> aceasta </w:t>
            </w:r>
            <w:r>
              <w:rPr>
                <w:b/>
                <w:i/>
              </w:rPr>
              <w:t>să dispună</w:t>
            </w:r>
            <w:r>
              <w:t xml:space="preserve"> de un buget specific </w:t>
            </w:r>
            <w:r>
              <w:rPr>
                <w:b/>
                <w:i/>
              </w:rPr>
              <w:t>cu resurse suficiente</w:t>
            </w:r>
            <w:r>
              <w:t xml:space="preserve"> în următorul CFM;</w:t>
            </w:r>
          </w:p>
        </w:tc>
        <w:tc>
          <w:tcPr>
            <w:tcW w:w="4876" w:type="dxa"/>
            <w:tcBorders>
              <w:top w:val="nil"/>
              <w:left w:val="nil"/>
              <w:bottom w:val="nil"/>
              <w:right w:val="nil"/>
            </w:tcBorders>
          </w:tcPr>
          <w:p>
            <w:pPr>
              <w:pStyle w:val="Normal6a"/>
            </w:pPr>
            <w:r>
              <w:t>7.</w:t>
            </w:r>
            <w:r>
              <w:tab/>
            </w:r>
            <w:r>
              <w:t xml:space="preserve">îndeamnă toate statele membre să depună eforturi suplimentare pentru a combate sărăcia în rândul copiilor prin punerea în aplicare a planului lor național de acțiune privind Garanția europeană pentru copii și solicită </w:t>
            </w:r>
            <w:r>
              <w:rPr>
                <w:b/>
                <w:i/>
              </w:rPr>
              <w:t>Comisiei să se asigure că</w:t>
            </w:r>
            <w:r>
              <w:t xml:space="preserve"> aceasta </w:t>
            </w:r>
            <w:r>
              <w:rPr>
                <w:b/>
                <w:i/>
              </w:rPr>
              <w:t>dispune</w:t>
            </w:r>
            <w:r>
              <w:t xml:space="preserve"> de un buget specific </w:t>
            </w:r>
            <w:r>
              <w:rPr>
                <w:b/>
                <w:i/>
              </w:rPr>
              <w:t>de cel puțin 20 de miliarde EUR</w:t>
            </w:r>
            <w:r>
              <w:t xml:space="preserve"> în următorul CFM;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îndeamnă toate statele membre să depună eforturi suplimentare pentru a combate sărăcia în rândul copiilor prin punerea în aplicare a planului lor național de acțiune privind Garanția europeană pentru copii și solicită ca aceasta să dispună de un buget specific </w:t>
            </w:r>
            <w:r>
              <w:rPr>
                <w:b/>
                <w:i/>
              </w:rPr>
              <w:t>cu resurse suficiente</w:t>
            </w:r>
            <w:r>
              <w:t xml:space="preserve"> în următorul CFM;</w:t>
            </w:r>
          </w:p>
        </w:tc>
        <w:tc>
          <w:tcPr>
            <w:tcW w:w="4876" w:type="dxa"/>
            <w:tcBorders>
              <w:top w:val="nil"/>
              <w:left w:val="nil"/>
              <w:bottom w:val="nil"/>
              <w:right w:val="nil"/>
            </w:tcBorders>
          </w:tcPr>
          <w:p>
            <w:pPr>
              <w:pStyle w:val="Normal6a"/>
            </w:pPr>
            <w:r>
              <w:t>7.</w:t>
            </w:r>
            <w:r>
              <w:tab/>
            </w:r>
            <w:r>
              <w:t xml:space="preserve">îndeamnă toate statele membre să depună eforturi suplimentare pentru a combate sărăcia în rândul copiilor prin punerea în aplicare a planului lor național de acțiune privind Garanția europeană pentru copii și solicită ca aceasta să dispună de un buget specific </w:t>
            </w:r>
            <w:r>
              <w:rPr>
                <w:b/>
                <w:i/>
              </w:rPr>
              <w:t>de cel puțin 20 de miliarde EUR</w:t>
            </w:r>
            <w:r>
              <w:t xml:space="preserve"> în următorul CFM;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îndeamnă toate statele membre să depună eforturi suplimentare pentru a combate sărăcia în rândul copiilor prin punerea în aplicare a planului lor național de acțiune privind Garanția europeană pentru copii și solicită ca aceasta să dispună de un buget specific </w:t>
            </w:r>
            <w:r>
              <w:rPr>
                <w:b/>
                <w:i/>
              </w:rPr>
              <w:t>cu resurse suficiente</w:t>
            </w:r>
            <w:r>
              <w:t xml:space="preserve"> în următorul CFM;</w:t>
            </w:r>
          </w:p>
        </w:tc>
        <w:tc>
          <w:tcPr>
            <w:tcW w:w="4876" w:type="dxa"/>
            <w:tcBorders>
              <w:top w:val="nil"/>
              <w:left w:val="nil"/>
              <w:bottom w:val="nil"/>
              <w:right w:val="nil"/>
            </w:tcBorders>
          </w:tcPr>
          <w:p>
            <w:pPr>
              <w:pStyle w:val="Normal6a"/>
            </w:pPr>
            <w:r>
              <w:t>7.</w:t>
            </w:r>
            <w:r>
              <w:tab/>
            </w:r>
            <w:r>
              <w:t xml:space="preserve">îndeamnă toate statele membre să depună eforturi suplimentare pentru a combate sărăcia în rândul copiilor prin punerea în aplicare a planului lor național de acțiune privind Garanția europeană pentru copii și solicită ca aceasta să dispună de un buget specific </w:t>
            </w:r>
            <w:r>
              <w:rPr>
                <w:b/>
                <w:i/>
              </w:rPr>
              <w:t>de 20 de miliarde EUR</w:t>
            </w:r>
            <w:r>
              <w:t xml:space="preserve"> în următorul CFM;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îndeamnă toate statele membre să depună eforturi suplimentare pentru a combate sărăcia în rândul copiilor prin punerea în aplicare a planului lor național de acțiune privind Garanția europeană pentru copii și solicită ca aceasta să dispună de </w:t>
            </w:r>
            <w:r>
              <w:rPr>
                <w:b/>
                <w:i/>
              </w:rPr>
              <w:t>un buget specific cu</w:t>
            </w:r>
            <w:r>
              <w:t xml:space="preserve"> resurse suficiente în următorul CFM;</w:t>
            </w:r>
          </w:p>
        </w:tc>
        <w:tc>
          <w:tcPr>
            <w:tcW w:w="4876" w:type="dxa"/>
            <w:tcBorders>
              <w:top w:val="nil"/>
              <w:left w:val="nil"/>
              <w:bottom w:val="nil"/>
              <w:right w:val="nil"/>
            </w:tcBorders>
          </w:tcPr>
          <w:p>
            <w:pPr>
              <w:pStyle w:val="Normal6a"/>
            </w:pPr>
            <w:r>
              <w:t>7.</w:t>
            </w:r>
            <w:r>
              <w:tab/>
            </w:r>
            <w:r>
              <w:t>îndeamnă toate statele membre să depună eforturi suplimentare pentru a combate sărăcia în rândul copiilor prin punerea în aplicare a planului lor național de acțiune privind Garanția europeană pentru copii și solicită ca aceasta să dispună de resurse suficiente în următorul CFM;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invită Comisia și statele membre să pună în aplicare pe deplin Strategia europeană privind serviciile de îngrijire, asigurând servicii de îngrijire de calitate, abordabile ca preț și accesibile în întreaga UE;</w:t>
            </w:r>
            <w:r>
              <w:t xml:space="preserve"> </w:t>
            </w:r>
            <w:r>
              <w:rPr>
                <w:b/>
                <w:i/>
              </w:rPr>
              <w:t>subliniază necesitatea de a recunoaște îngrijirea ca investiție socială și economică, în acord cu principiul 18 al Pilonului european al drepturilor sociale;</w:t>
            </w:r>
            <w:r>
              <w:t xml:space="preserve"> </w:t>
            </w:r>
            <w:r>
              <w:rPr>
                <w:b/>
                <w:i/>
              </w:rPr>
              <w:t>solicită elaborarea unor măsuri obligatorii la nivelul UE și la nivel mondial pentru a recunoaște îngrijirea ca bun comun, a îmbunătăți condițiile de muncă în sectorul îngrijirii, a promova egalitatea de gen și a asigura servicii de îngrijire accesibile, abordabile ca preț și de calitate pentru toți;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subliniază necesitatea de a aborda în continuare impactul </w:t>
            </w:r>
            <w:r>
              <w:rPr>
                <w:b/>
                <w:i/>
              </w:rPr>
              <w:t>dublei tranziții – verde și digitală –</w:t>
            </w:r>
            <w:r>
              <w:t xml:space="preserve"> asupra pieței muncii prin consolidarea principiului „omul la comanda mașinii” </w:t>
            </w:r>
            <w:r>
              <w:rPr>
                <w:b/>
                <w:i/>
              </w:rPr>
              <w:t>în domeniul inteligenței artificiale , cu ajutorul unei noi inițiative juridice privind IA la locul de muncă și gestionarea algoritmică</w:t>
            </w:r>
            <w:r>
              <w:t>; subliniază necesitatea de a crea locuri de muncă sustenabile de calitate</w:t>
            </w:r>
            <w:r>
              <w:rPr>
                <w:b/>
                <w:i/>
              </w:rPr>
              <w:t>, consolidând în același timp cadrul juridic pentru gestionarea și anticiparea tranziției și promovând rolul și participarea partenerilor sociali și integrarea pe piața muncii</w:t>
            </w:r>
            <w:r>
              <w:t>;</w:t>
            </w:r>
          </w:p>
        </w:tc>
        <w:tc>
          <w:tcPr>
            <w:tcW w:w="4876" w:type="dxa"/>
            <w:tcBorders>
              <w:top w:val="nil"/>
              <w:left w:val="nil"/>
              <w:bottom w:val="nil"/>
              <w:right w:val="nil"/>
            </w:tcBorders>
          </w:tcPr>
          <w:p>
            <w:pPr>
              <w:pStyle w:val="Normal6a"/>
            </w:pPr>
            <w:r>
              <w:t>8.</w:t>
            </w:r>
            <w:r>
              <w:tab/>
            </w:r>
            <w:r>
              <w:t xml:space="preserve">subliniază necesitatea de a aborda în continuare impactul </w:t>
            </w:r>
            <w:r>
              <w:rPr>
                <w:b/>
                <w:i/>
              </w:rPr>
              <w:t>transformării ecologice și a celei digitale</w:t>
            </w:r>
            <w:r>
              <w:t xml:space="preserve"> asupra pieței muncii prin consolidarea principiului „omul la comanda mașinii”; subliniază necesitatea de a crea locuri de muncă sustenabile de calitate;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subliniază necesitatea de a </w:t>
            </w:r>
            <w:r>
              <w:rPr>
                <w:b/>
                <w:i/>
              </w:rPr>
              <w:t>aborda în continuare impactul dublei tranziții – verde și digitală – asupra pieței muncii prin consolidarea principiului</w:t>
            </w:r>
            <w:r>
              <w:t xml:space="preserve"> „omul la comanda mașinii” </w:t>
            </w:r>
            <w:r>
              <w:rPr>
                <w:b/>
                <w:i/>
              </w:rPr>
              <w:t>în domeniul inteligenței artificiale , cu ajutorul</w:t>
            </w:r>
            <w:r>
              <w:t xml:space="preserve"> unei noi inițiative juridice privind IA </w:t>
            </w:r>
            <w:r>
              <w:rPr>
                <w:b/>
                <w:i/>
              </w:rPr>
              <w:t>la locul de muncă</w:t>
            </w:r>
            <w:r>
              <w:t xml:space="preserve"> și gestionarea algoritmică; subliniază necesitatea de a crea locuri de muncă sustenabile de calitate</w:t>
            </w:r>
            <w:r>
              <w:rPr>
                <w:b/>
                <w:i/>
              </w:rPr>
              <w:t>, consolidând în același timp</w:t>
            </w:r>
            <w:r>
              <w:t xml:space="preserve"> cadrul juridic pentru gestionarea și anticiparea </w:t>
            </w:r>
            <w:r>
              <w:rPr>
                <w:b/>
                <w:i/>
              </w:rPr>
              <w:t>tranziției și promovând rolul și participarea</w:t>
            </w:r>
            <w:r>
              <w:t xml:space="preserve"> partenerilor sociali </w:t>
            </w:r>
            <w:r>
              <w:rPr>
                <w:b/>
                <w:i/>
              </w:rPr>
              <w:t>și integrarea pe</w:t>
            </w:r>
            <w:r>
              <w:t xml:space="preserve"> piața muncii;</w:t>
            </w:r>
          </w:p>
        </w:tc>
        <w:tc>
          <w:tcPr>
            <w:tcW w:w="4876" w:type="dxa"/>
            <w:tcBorders>
              <w:top w:val="nil"/>
              <w:left w:val="nil"/>
              <w:bottom w:val="nil"/>
              <w:right w:val="nil"/>
            </w:tcBorders>
          </w:tcPr>
          <w:p>
            <w:pPr>
              <w:pStyle w:val="Normal6a"/>
            </w:pPr>
            <w:r>
              <w:t>8.</w:t>
            </w:r>
            <w:r>
              <w:tab/>
            </w:r>
            <w:r>
              <w:rPr>
                <w:b/>
                <w:i/>
              </w:rPr>
              <w:t>salută adoptarea recentă a Directivei privind munca pe platforme ca un pas de referință către protejarea lucrătorilor în economia digitală și asigurarea unor condiții echitabile și a responsabilității algoritmice;</w:t>
            </w:r>
            <w:r>
              <w:t xml:space="preserve"> subliniază necesitatea de a </w:t>
            </w:r>
            <w:r>
              <w:rPr>
                <w:b/>
                <w:i/>
              </w:rPr>
              <w:t>extinde aplicarea acelorași măsuri de protecție la lucrătorii din toate sectoarele afectate de IA, garantând faptul că principiul</w:t>
            </w:r>
            <w:r>
              <w:t xml:space="preserve"> „omul la comanda mașinii” </w:t>
            </w:r>
            <w:r>
              <w:rPr>
                <w:b/>
                <w:i/>
              </w:rPr>
              <w:t>devine un standard obligatoriu și își reiterează solicitarea referitoare la elaborarea</w:t>
            </w:r>
            <w:r>
              <w:t xml:space="preserve"> unei noi inițiative juridice privind IA și gestionarea algoritmică </w:t>
            </w:r>
            <w:r>
              <w:rPr>
                <w:b/>
                <w:i/>
              </w:rPr>
              <w:t>la locul de muncă</w:t>
            </w:r>
            <w:r>
              <w:t xml:space="preserve">; subliniază necesitatea de a crea locuri de muncă sustenabile de calitate </w:t>
            </w:r>
            <w:r>
              <w:rPr>
                <w:b/>
                <w:i/>
              </w:rPr>
              <w:t>și de a consolida</w:t>
            </w:r>
            <w:r>
              <w:t xml:space="preserve"> cadrul juridic </w:t>
            </w:r>
            <w:r>
              <w:rPr>
                <w:b/>
                <w:i/>
              </w:rPr>
              <w:t>și financiar</w:t>
            </w:r>
            <w:r>
              <w:t xml:space="preserve"> pentru gestionarea și anticiparea </w:t>
            </w:r>
            <w:r>
              <w:rPr>
                <w:b/>
                <w:i/>
              </w:rPr>
              <w:t>tranzițiilor, inclusiv prin creșterea investițiilor realizate prin FSE+;</w:t>
            </w:r>
            <w:r>
              <w:t xml:space="preserve"> </w:t>
            </w:r>
            <w:r>
              <w:rPr>
                <w:b/>
                <w:i/>
              </w:rPr>
              <w:t>subliniază importanța negocierii colective și a implicării</w:t>
            </w:r>
            <w:r>
              <w:t xml:space="preserve"> partenerilor sociali </w:t>
            </w:r>
            <w:r>
              <w:rPr>
                <w:b/>
                <w:i/>
              </w:rPr>
              <w:t>în elaborarea și promovarea unor politici incluzive privind</w:t>
            </w:r>
            <w:r>
              <w:t xml:space="preserve">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subliniază necesitatea de a aborda în continuare impactul dublei tranziții – verde și digitală – asupra pieței muncii prin consolidarea principiului „omul la comanda mașinii” în domeniul inteligenței artificiale , cu ajutorul unei noi inițiative juridice privind IA la locul de muncă și gestionarea algoritmică; subliniază necesitatea de a crea locuri de muncă sustenabile de calitate, consolidând în același timp cadrul juridic pentru gestionarea și anticiparea tranziției și promovând rolul și participarea partenerilor sociali și integrarea pe piața muncii;</w:t>
            </w:r>
          </w:p>
        </w:tc>
        <w:tc>
          <w:tcPr>
            <w:tcW w:w="4876" w:type="dxa"/>
            <w:tcBorders>
              <w:top w:val="nil"/>
              <w:left w:val="nil"/>
              <w:bottom w:val="nil"/>
              <w:right w:val="nil"/>
            </w:tcBorders>
          </w:tcPr>
          <w:p>
            <w:pPr>
              <w:pStyle w:val="Normal6a"/>
            </w:pPr>
            <w:r>
              <w:t>8.</w:t>
            </w:r>
            <w:r>
              <w:tab/>
            </w:r>
            <w:r>
              <w:t xml:space="preserve">subliniază necesitatea de a aborda în continuare impactul dublei tranziții – verde și digitală – </w:t>
            </w:r>
            <w:r>
              <w:rPr>
                <w:b/>
                <w:i/>
              </w:rPr>
              <w:t>punând accentul</w:t>
            </w:r>
            <w:r>
              <w:t xml:space="preserve"> asupra </w:t>
            </w:r>
            <w:r>
              <w:rPr>
                <w:b/>
                <w:i/>
              </w:rPr>
              <w:t>acesteia în cadrul</w:t>
            </w:r>
            <w:r>
              <w:t xml:space="preserve"> pieței muncii prin consolidarea principiului „omul la comanda mașinii” în domeniul inteligenței artificiale, cu ajutorul unei noi inițiative juridice privind IA la locul de muncă și gestionarea algoritmică; subliniază necesitatea de a crea locuri de muncă sustenabile de calitate, consolidând în același timp cadrul juridic pentru gestionarea și anticiparea tranziției și promovând rolul și participarea partenerilor sociali și integrarea pe piața muncii; </w:t>
            </w:r>
            <w:r>
              <w:rPr>
                <w:b/>
                <w:i/>
              </w:rPr>
              <w:t>avertizează cu privire la impactul IA asupra deșeurilor din mediul înconjurător, în special asupra utilizării masive a resurselor de apă, și invită Comisia să efectueze o evaluare a impactului și să reglementeze sistemele de IA care nu sunt în conformitate cu obiectivele climatice și referitoare la tranziția verde;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subliniază necesitatea de a aborda în continuare impactul dublei tranziții – verde și digitală – asupra pieței muncii prin consolidarea principiului „omul la comanda mașinii” în domeniul inteligenței artificiale , cu ajutorul unei noi inițiative juridice privind IA la locul de muncă și gestionarea algoritmică; subliniază necesitatea de a crea locuri de muncă sustenabile de calitate, consolidând în același timp cadrul juridic pentru gestionarea și anticiparea tranziției și promovând rolul și participarea partenerilor sociali și integrarea pe piața muncii;</w:t>
            </w:r>
          </w:p>
        </w:tc>
        <w:tc>
          <w:tcPr>
            <w:tcW w:w="4876" w:type="dxa"/>
            <w:tcBorders>
              <w:top w:val="nil"/>
              <w:left w:val="nil"/>
              <w:bottom w:val="nil"/>
              <w:right w:val="nil"/>
            </w:tcBorders>
          </w:tcPr>
          <w:p>
            <w:pPr>
              <w:pStyle w:val="Normal6a"/>
            </w:pPr>
            <w:r>
              <w:t>8.</w:t>
            </w:r>
            <w:r>
              <w:tab/>
            </w:r>
            <w:r>
              <w:t xml:space="preserve">subliniază necesitatea de a aborda în continuare impactul dublei tranziții – verde și digitală – asupra pieței muncii prin consolidarea principiului „omul la comanda mașinii” în domeniul inteligenței artificiale , cu ajutorul unei noi inițiative juridice privind IA la locul de muncă și gestionarea algoritmică </w:t>
            </w:r>
            <w:r>
              <w:rPr>
                <w:b/>
                <w:i/>
              </w:rPr>
              <w:t>și al dreptului la deconectare pentru a asigura echilibrul dintre viața profesională și cea privată</w:t>
            </w:r>
            <w:r>
              <w:t xml:space="preserve">; subliniază necesitatea de a crea locuri de muncă sustenabile de calitate </w:t>
            </w:r>
            <w:r>
              <w:rPr>
                <w:b/>
                <w:i/>
              </w:rPr>
              <w:t>pentru a înlocui locurile de muncă pierdute sau transformate pe parcursul tranziției duble</w:t>
            </w:r>
            <w:r>
              <w:t>, consolidând în același timp cadrul juridic pentru gestionarea și anticiparea tranziției și promovând rolul și participarea partenerilor sociali și integrarea pe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subliniază necesitatea de a aborda în continuare impactul dublei tranziții – verde și digitală – asupra pieței muncii prin consolidarea principiului „omul la comanda mașinii” în domeniul inteligenței artificiale , cu ajutorul unei noi inițiative juridice privind IA la locul de muncă </w:t>
            </w:r>
            <w:r>
              <w:rPr>
                <w:b/>
                <w:i/>
              </w:rPr>
              <w:t>și gestionarea algoritmică</w:t>
            </w:r>
            <w:r>
              <w:t>; subliniază necesitatea de a crea locuri de muncă sustenabile de calitate, consolidând în același timp cadrul juridic pentru gestionarea și anticiparea tranziției și promovând rolul și participarea partenerilor sociali și integrarea pe piața muncii;</w:t>
            </w:r>
          </w:p>
        </w:tc>
        <w:tc>
          <w:tcPr>
            <w:tcW w:w="4876" w:type="dxa"/>
            <w:tcBorders>
              <w:top w:val="nil"/>
              <w:left w:val="nil"/>
              <w:bottom w:val="nil"/>
              <w:right w:val="nil"/>
            </w:tcBorders>
          </w:tcPr>
          <w:p>
            <w:pPr>
              <w:pStyle w:val="Normal6a"/>
            </w:pPr>
            <w:r>
              <w:t>8.</w:t>
            </w:r>
            <w:r>
              <w:tab/>
            </w:r>
            <w:r>
              <w:t>subliniază necesitatea de a aborda în continuare impactul dublei tranziții – verde și digitală – asupra pieței muncii prin consolidarea principiului „omul la comanda mașinii” în domeniul inteligenței artificiale , cu ajutorul unei noi inițiative juridice privind IA la locul de muncă</w:t>
            </w:r>
            <w:r>
              <w:rPr>
                <w:b/>
                <w:i/>
              </w:rPr>
              <w:t>, precum și prin asigurarea disponibilității energiei mai ieftine care să permită alimentarea fermelor de servere asociate cu controlul algoritmic</w:t>
            </w:r>
            <w:r>
              <w:t>; subliniază necesitatea de a crea locuri de muncă sustenabile de calitate, consolidând în același timp cadrul juridic pentru gestionarea și anticiparea tranziției și promovând rolul și participarea partenerilor sociali și integrarea pe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subliniază necesitatea de a asigura în continuare </w:t>
            </w:r>
            <w:r>
              <w:rPr>
                <w:b/>
                <w:i/>
              </w:rPr>
              <w:t>elaborarea unor</w:t>
            </w:r>
            <w:r>
              <w:t xml:space="preserve"> politici de formare de calitate</w:t>
            </w:r>
            <w:r>
              <w:rPr>
                <w:b/>
                <w:i/>
              </w:rPr>
              <w:t>, care</w:t>
            </w:r>
            <w:r>
              <w:t xml:space="preserve"> să promoveze învățarea pe tot parcursul vieții</w:t>
            </w:r>
            <w:r>
              <w:rPr>
                <w:b/>
                <w:i/>
              </w:rPr>
              <w:t>, precum și accesul la aceste politici</w:t>
            </w:r>
            <w:r>
              <w:t>; întrucât programele de perfecționare, recalificare și formare profesională trebuie să fie disponibile pentru toți lucrătorii, inclusiv pentru cei cu dizabilități, și ar trebui, de asemenea, să fie adaptate la nevoile și capacitățile lucrătorilor;</w:t>
            </w:r>
          </w:p>
        </w:tc>
        <w:tc>
          <w:tcPr>
            <w:tcW w:w="4876" w:type="dxa"/>
            <w:tcBorders>
              <w:top w:val="nil"/>
              <w:left w:val="nil"/>
              <w:bottom w:val="nil"/>
              <w:right w:val="nil"/>
            </w:tcBorders>
          </w:tcPr>
          <w:p>
            <w:pPr>
              <w:pStyle w:val="Normal6a"/>
            </w:pPr>
            <w:r>
              <w:t>9.</w:t>
            </w:r>
            <w:r>
              <w:tab/>
            </w:r>
            <w:r>
              <w:t xml:space="preserve">subliniază necesitatea de a asigura în continuare </w:t>
            </w:r>
            <w:r>
              <w:rPr>
                <w:b/>
                <w:i/>
              </w:rPr>
              <w:t>faptul că se elaborează și se asigură accesul universal la</w:t>
            </w:r>
            <w:r>
              <w:t xml:space="preserve"> politici de formare de calitate </w:t>
            </w:r>
            <w:r>
              <w:rPr>
                <w:b/>
                <w:i/>
              </w:rPr>
              <w:t>și la o educație publică de calitate și gratuită, care să poată garanta cel puțin un salariu minim decent și</w:t>
            </w:r>
            <w:r>
              <w:t xml:space="preserve"> să promoveze învățarea pe tot parcursul vieții; întrucât programele de perfecționare, recalificare și formare profesională</w:t>
            </w:r>
            <w:r>
              <w:rPr>
                <w:b/>
                <w:i/>
              </w:rPr>
              <w:t>, combinate cu o alocație pentru formare,</w:t>
            </w:r>
            <w:r>
              <w:t xml:space="preserve"> trebuie să fie disponibile pentru toți lucrătorii, inclusiv pentru cei cu dizabilități, și ar trebui, de asemenea, să fie adaptate la nevoile și capacitățile lucrătorilor; </w:t>
            </w:r>
            <w:r>
              <w:rPr>
                <w:b/>
                <w:i/>
              </w:rPr>
              <w:t>subliniază, de asemenea, că datoriile studenților ar trebui înlocuite cu o indemnizație de studii și cu anularea taxelor universitare, pentru a evita o capcană a sărăciei pentru tinerii cu venituri mici;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subliniază necesitatea de a asigura în continuare elaborarea unor politici de formare de calitate, care să promoveze învățarea pe tot parcursul vieții, precum și accesul la aceste politici; întrucât programele de perfecționare, recalificare și formare profesională trebuie să fie disponibile pentru toți lucrătorii, inclusiv pentru cei cu dizabilități, și ar trebui, de asemenea, să fie adaptate la nevoile și capacitățile lucrătorilor;</w:t>
            </w:r>
          </w:p>
        </w:tc>
        <w:tc>
          <w:tcPr>
            <w:tcW w:w="4876" w:type="dxa"/>
            <w:tcBorders>
              <w:top w:val="nil"/>
              <w:left w:val="nil"/>
              <w:bottom w:val="nil"/>
              <w:right w:val="nil"/>
            </w:tcBorders>
          </w:tcPr>
          <w:p>
            <w:pPr>
              <w:pStyle w:val="Normal6a"/>
            </w:pPr>
            <w:r>
              <w:t>9.</w:t>
            </w:r>
            <w:r>
              <w:tab/>
            </w:r>
            <w:r>
              <w:t xml:space="preserve">subliniază necesitatea de a asigura în continuare elaborarea unor politici de formare de calitate, care să promoveze învățarea pe tot parcursul vieții, precum și accesul la aceste politici; întrucât programele </w:t>
            </w:r>
            <w:r>
              <w:rPr>
                <w:b/>
                <w:i/>
              </w:rPr>
              <w:t>strategice</w:t>
            </w:r>
            <w:r>
              <w:t xml:space="preserve"> de perfecționare, recalificare și formare profesională trebuie să fie disponibile pentru toți lucrătorii, inclusiv pentru cei cu dizabilități, și ar trebui, de asemenea, să fie adaptate la nevoile și capacitățile lucrătorilor; </w:t>
            </w:r>
            <w:r>
              <w:rPr>
                <w:b/>
                <w:i/>
              </w:rPr>
              <w:t>solicită introducerea unui drept individual la formare și perfecționare pentru lucrători la nivel european;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subliniază necesitatea de a asigura în continuare elaborarea unor politici de formare de calitate, care să promoveze învățarea pe tot parcursul vieții, precum și accesul la aceste politici; întrucât programele de perfecționare, recalificare și formare profesională trebuie să fie disponibile pentru </w:t>
            </w:r>
            <w:r>
              <w:rPr>
                <w:b/>
                <w:i/>
              </w:rPr>
              <w:t>toți</w:t>
            </w:r>
            <w:r>
              <w:t xml:space="preserve"> lucrătorii, inclusiv pentru cei cu dizabilități, și ar trebui, de asemenea, să fie adaptate la nevoile și capacitățile lucrătorilor;</w:t>
            </w:r>
          </w:p>
        </w:tc>
        <w:tc>
          <w:tcPr>
            <w:tcW w:w="4876" w:type="dxa"/>
            <w:tcBorders>
              <w:top w:val="nil"/>
              <w:left w:val="nil"/>
              <w:bottom w:val="nil"/>
              <w:right w:val="nil"/>
            </w:tcBorders>
          </w:tcPr>
          <w:p>
            <w:pPr>
              <w:pStyle w:val="Normal6a"/>
            </w:pPr>
            <w:r>
              <w:t>9.</w:t>
            </w:r>
            <w:r>
              <w:tab/>
            </w:r>
            <w:r>
              <w:t xml:space="preserve">subliniază necesitatea de a asigura în continuare elaborarea unor politici de formare de calitate, care să promoveze învățarea pe tot parcursul vieții, precum și accesul la aceste politici; întrucât programele de perfecționare, recalificare și formare profesională trebuie să fie disponibile </w:t>
            </w:r>
            <w:r>
              <w:rPr>
                <w:b/>
                <w:i/>
              </w:rPr>
              <w:t>numai</w:t>
            </w:r>
            <w:r>
              <w:t xml:space="preserve"> pentru lucrătorii </w:t>
            </w:r>
            <w:r>
              <w:rPr>
                <w:b/>
                <w:i/>
              </w:rPr>
              <w:t>europeni</w:t>
            </w:r>
            <w:r>
              <w:t>, inclusiv pentru cei cu dizabilități, și ar trebui, de asemenea, să fie adaptate la nevoile și capacitățile lucrătorilor;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subliniază că, având în vedere criza climatică și a biodiversității și provocările economice și demografice, nicio regiune și nicio generație din UE – indiferent dacă este vorba despre cele din prezent sau despre cele viitoare – nu ar trebui lăsată în urmă; solicită prezentarea de inițiative pentru a sprijini atât tinerii, cât și persoanele în vârstă, precum și măsuri pentru regiunile în curs de depopulare,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w:t>
            </w:r>
          </w:p>
        </w:tc>
        <w:tc>
          <w:tcPr>
            <w:tcW w:w="4876" w:type="dxa"/>
            <w:tcBorders>
              <w:top w:val="nil"/>
              <w:left w:val="nil"/>
              <w:bottom w:val="nil"/>
              <w:right w:val="nil"/>
            </w:tcBorders>
          </w:tcPr>
          <w:p>
            <w:pPr>
              <w:pStyle w:val="Normal6a"/>
            </w:pPr>
            <w:r>
              <w:t>10.</w:t>
            </w:r>
            <w:r>
              <w:tab/>
            </w:r>
            <w:r>
              <w:t xml:space="preserve">subliniază că, având în vedere criza climatică și a biodiversității și provocările economice și demografice, nicio regiune și nicio generație din UE – indiferent dacă este vorba despre cele din prezent sau despre cele viitoare – nu ar trebui lăsată în urmă </w:t>
            </w:r>
            <w:r>
              <w:rPr>
                <w:b/>
                <w:i/>
              </w:rPr>
              <w:t>și că ar trebui să existe un acces universal la o tranziție justă pentru toți</w:t>
            </w:r>
            <w:r>
              <w:t xml:space="preserve">; solicită prezentarea de inițiative pentru a sprijini atât tinerii, cât și persoanele în vârstă, precum și măsuri pentru regiunile în curs de depopulare,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 </w:t>
            </w:r>
            <w:r>
              <w:rPr>
                <w:b/>
                <w:i/>
              </w:rPr>
              <w:t>invită statele membre să garanteze accesul universal bazat pe drepturi la servicii publice de înaltă calitate și să investească în acestea;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subliniază că</w:t>
            </w:r>
            <w:r>
              <w:rPr>
                <w:b/>
                <w:i/>
              </w:rPr>
              <w:t>, având în vedere</w:t>
            </w:r>
            <w:r>
              <w:t xml:space="preserve"> criza climatică și a biodiversității și provocările economice și demografice</w:t>
            </w:r>
            <w:r>
              <w:rPr>
                <w:b/>
                <w:i/>
              </w:rPr>
              <w:t>, nicio regiune și nicio generație</w:t>
            </w:r>
            <w:r>
              <w:t xml:space="preserve"> din UE – indiferent dacă este vorba despre cele din prezent sau despre cele viitoare </w:t>
            </w:r>
            <w:r>
              <w:rPr>
                <w:b/>
                <w:i/>
              </w:rPr>
              <w:t>– nu ar trebui lăsată în urmă</w:t>
            </w:r>
            <w:r>
              <w:t xml:space="preserve">; solicită prezentarea de inițiative pentru a sprijini atât tinerii, cât și persoanele în vârstă, </w:t>
            </w:r>
            <w:r>
              <w:rPr>
                <w:b/>
                <w:i/>
              </w:rPr>
              <w:t>precum și măsuri pentru regiunile în curs de depopulare</w:t>
            </w:r>
            <w:r>
              <w:t>,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w:t>
            </w:r>
          </w:p>
        </w:tc>
        <w:tc>
          <w:tcPr>
            <w:tcW w:w="4876" w:type="dxa"/>
            <w:tcBorders>
              <w:top w:val="nil"/>
              <w:left w:val="nil"/>
              <w:bottom w:val="nil"/>
              <w:right w:val="nil"/>
            </w:tcBorders>
          </w:tcPr>
          <w:p>
            <w:pPr>
              <w:pStyle w:val="Normal6a"/>
            </w:pPr>
            <w:r>
              <w:t>10.</w:t>
            </w:r>
            <w:r>
              <w:tab/>
            </w:r>
            <w:r>
              <w:t xml:space="preserve">subliniază că criza climatică și a biodiversității și provocările economice și demografice </w:t>
            </w:r>
            <w:r>
              <w:rPr>
                <w:b/>
                <w:i/>
              </w:rPr>
              <w:t>nu ar trebui să aibă drept efect lăsarea în urmă a vreunei regiuni sau generații</w:t>
            </w:r>
            <w:r>
              <w:t xml:space="preserve"> din UE – indiferent dacă este vorba despre cele din prezent sau despre cele viitoare; solicită prezentarea de inițiative pentru a sprijini atât tinerii, cât și persoanele în vârstă, </w:t>
            </w:r>
            <w:r>
              <w:rPr>
                <w:b/>
                <w:i/>
              </w:rPr>
              <w:t>în conformitate cu contribuțiile lor, să aibă mai mulți copii, în contextul consolidării cooperării între generații și al măsurilor axate pe familii care urmăresc inversarea depopulării regiunilor</w:t>
            </w:r>
            <w:r>
              <w:t>,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subliniază că, având în vedere criza climatică și a biodiversității și provocările economice și demografice, nicio regiune și nicio generație din UE – indiferent dacă este vorba despre cele din prezent sau despre cele viitoare – nu ar trebui lăsată în urmă; solicită </w:t>
            </w:r>
            <w:r>
              <w:rPr>
                <w:b/>
                <w:i/>
              </w:rPr>
              <w:t>prezentarea de</w:t>
            </w:r>
            <w:r>
              <w:t xml:space="preserve"> inițiative pentru a sprijini atât tinerii, cât și persoanele în vârstă, precum și măsuri pentru regiunile în curs de depopulare, spre exemplu </w:t>
            </w:r>
            <w:r>
              <w:rPr>
                <w:b/>
                <w:i/>
              </w:rPr>
              <w:t>îmbunătățirea accesului</w:t>
            </w:r>
            <w:r>
              <w:t xml:space="preserve"> la infrastructură, inclusiv la transport, conectivitate digitală și locuințe la prețuri accesibile, servicii publice, asistență medicală, îngrijire și educație, precum și investiții în oportunități mai bune de angajare pentru a preveni depopularea;</w:t>
            </w:r>
          </w:p>
        </w:tc>
        <w:tc>
          <w:tcPr>
            <w:tcW w:w="4876" w:type="dxa"/>
            <w:tcBorders>
              <w:top w:val="nil"/>
              <w:left w:val="nil"/>
              <w:bottom w:val="nil"/>
              <w:right w:val="nil"/>
            </w:tcBorders>
          </w:tcPr>
          <w:p>
            <w:pPr>
              <w:pStyle w:val="Normal6a"/>
            </w:pPr>
            <w:r>
              <w:t>10.</w:t>
            </w:r>
            <w:r>
              <w:tab/>
            </w:r>
            <w:r>
              <w:t xml:space="preserve">subliniază că, având în vedere criza climatică și a biodiversității și provocările economice și demografice, nicio regiune și nicio generație din UE – indiferent dacă este vorba despre cele din prezent sau despre cele viitoare – nu ar trebui lăsată în urmă; </w:t>
            </w:r>
            <w:r>
              <w:rPr>
                <w:b/>
                <w:i/>
              </w:rPr>
              <w:t>regretă, în acest context, noua abordare a Comisiei de a utiliza politica de coeziune pentru a crește cheltuielile pentru apărare;</w:t>
            </w:r>
            <w:r>
              <w:t xml:space="preserve"> solicită</w:t>
            </w:r>
            <w:r>
              <w:rPr>
                <w:b/>
                <w:i/>
              </w:rPr>
              <w:t>, în schimb, să fie prezentate</w:t>
            </w:r>
            <w:r>
              <w:t xml:space="preserve"> inițiative pentru a sprijini atât tinerii, cât și persoanele în vârstă, precum și măsuri pentru regiunile în curs de depopulare, spre exemplu </w:t>
            </w:r>
            <w:r>
              <w:rPr>
                <w:b/>
                <w:i/>
              </w:rPr>
              <w:t>un acces îmbunătățit și lipsit de bariere</w:t>
            </w:r>
            <w:r>
              <w:t xml:space="preserve"> la infrastructură, inclusiv la transport, conectivitate digitală și locuințe la prețuri accesibile, servicii publice, asistență medicală, îngrijire și educație, precum și investiții în oportunități mai bune de angajare pentru a preveni depopularea;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subliniază că, având în vedere criza climatică și a biodiversității și provocările economice și demografice, nicio regiune și nicio generație din UE – indiferent dacă este vorba despre cele din prezent sau despre cele viitoare – nu ar trebui lăsată în urmă; solicită prezentarea de inițiative pentru a sprijini atât tinerii, cât și persoanele în vârstă, precum și măsuri pentru regiunile în curs de depopulare,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w:t>
            </w:r>
          </w:p>
        </w:tc>
        <w:tc>
          <w:tcPr>
            <w:tcW w:w="4876" w:type="dxa"/>
            <w:tcBorders>
              <w:top w:val="nil"/>
              <w:left w:val="nil"/>
              <w:bottom w:val="nil"/>
              <w:right w:val="nil"/>
            </w:tcBorders>
          </w:tcPr>
          <w:p>
            <w:pPr>
              <w:pStyle w:val="Normal6a"/>
            </w:pPr>
            <w:r>
              <w:t>10.</w:t>
            </w:r>
            <w:r>
              <w:tab/>
            </w:r>
            <w:r>
              <w:t>subliniază că, având în vedere criza climatică și a biodiversității și provocările economice și demografice, nicio regiune și nicio generație din UE – indiferent dacă este vorba despre cele din prezent sau despre cele viitoare – nu ar trebui lăsată în urmă; solicită prezentarea de inițiative pentru a sprijini atât tinerii, cât și persoanele în vârstă, precum și măsuri pentru regiunile în curs de depopulare,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w:t>
            </w:r>
            <w:r>
              <w:rPr>
                <w:b/>
                <w:i/>
              </w:rPr>
              <w:t>, fără a recurge la încurajarea imigrației din afara Europei</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subliniază că, având în vedere criza climatică și a biodiversității și provocările economice și demografice, nicio regiune și nicio generație din UE – indiferent dacă este vorba despre cele din prezent sau despre cele viitoare – nu ar trebui lăsată în urmă; solicită prezentarea de inițiative pentru a sprijini atât tinerii, cât și persoanele în vârstă, precum și măsuri pentru regiunile în curs de depopulare, spre exemplu îmbunătățirea accesului la infrastructură, inclusiv la </w:t>
            </w:r>
            <w:r>
              <w:rPr>
                <w:b/>
                <w:i/>
              </w:rPr>
              <w:t>transport</w:t>
            </w:r>
            <w:r>
              <w:t xml:space="preserve">, conectivitate digitală și locuințe la prețuri accesibile, servicii publice, asistență medicală, îngrijire </w:t>
            </w:r>
            <w:r>
              <w:rPr>
                <w:b/>
                <w:i/>
              </w:rPr>
              <w:t>și</w:t>
            </w:r>
            <w:r>
              <w:t xml:space="preserve"> educație, precum și investiții în oportunități mai bune de angajare pentru a preveni depopularea;</w:t>
            </w:r>
          </w:p>
        </w:tc>
        <w:tc>
          <w:tcPr>
            <w:tcW w:w="4876" w:type="dxa"/>
            <w:tcBorders>
              <w:top w:val="nil"/>
              <w:left w:val="nil"/>
              <w:bottom w:val="nil"/>
              <w:right w:val="nil"/>
            </w:tcBorders>
          </w:tcPr>
          <w:p>
            <w:pPr>
              <w:pStyle w:val="Normal6a"/>
            </w:pPr>
            <w:r>
              <w:t>10.</w:t>
            </w:r>
            <w:r>
              <w:tab/>
            </w:r>
            <w:r>
              <w:t xml:space="preserve">subliniază că, având în vedere criza climatică și a biodiversității și provocările economice și demografice, nicio regiune și nicio generație din UE – indiferent dacă este vorba despre cele din prezent sau despre cele viitoare – nu ar trebui lăsată în urmă; solicită prezentarea de inițiative pentru a sprijini atât tinerii, cât și persoanele în vârstă, precum și măsuri pentru regiunile în curs de depopulare, spre exemplu îmbunătățirea accesului la infrastructură, inclusiv la </w:t>
            </w:r>
            <w:r>
              <w:rPr>
                <w:b/>
                <w:i/>
              </w:rPr>
              <w:t>transportul public</w:t>
            </w:r>
            <w:r>
              <w:t xml:space="preserve">, conectivitate digitală și locuințe la prețuri accesibile, servicii publice, asistență medicală, </w:t>
            </w:r>
            <w:r>
              <w:rPr>
                <w:b/>
                <w:i/>
              </w:rPr>
              <w:t>servicii de</w:t>
            </w:r>
            <w:r>
              <w:t xml:space="preserve"> îngrijire </w:t>
            </w:r>
            <w:r>
              <w:rPr>
                <w:b/>
                <w:i/>
              </w:rPr>
              <w:t>pe termen lung și de îngrijire timpurie a copiilor și la</w:t>
            </w:r>
            <w:r>
              <w:t xml:space="preserve"> educație, precum și investiții în oportunități mai bune de angajare pentru a preveni depopularea;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subliniază că, având în vedere criza climatică și a biodiversității și provocările economice și demografice, nicio regiune și nicio generație din UE – indiferent dacă este vorba despre cele din prezent sau despre cele viitoare – nu ar trebui lăsată în urmă; solicită prezentarea de inițiative pentru a sprijini atât tinerii, cât și persoanele în vârstă, precum și măsuri pentru regiunile în curs de depopulare,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w:t>
            </w:r>
          </w:p>
        </w:tc>
        <w:tc>
          <w:tcPr>
            <w:tcW w:w="4876" w:type="dxa"/>
            <w:tcBorders>
              <w:top w:val="nil"/>
              <w:left w:val="nil"/>
              <w:bottom w:val="nil"/>
              <w:right w:val="nil"/>
            </w:tcBorders>
          </w:tcPr>
          <w:p>
            <w:pPr>
              <w:pStyle w:val="Normal6a"/>
            </w:pPr>
            <w:r>
              <w:t>10.</w:t>
            </w:r>
            <w:r>
              <w:tab/>
            </w:r>
            <w:r>
              <w:t xml:space="preserve">subliniază că, având în vedere criza climatică și a biodiversității și provocările economice și demografice, nicio regiune și nicio generație din UE – indiferent dacă este vorba despre cele din prezent sau despre cele viitoare – nu ar trebui lăsată în urmă; solicită prezentarea de inițiative pentru a sprijini atât tinerii, cât și persoanele în vârstă </w:t>
            </w:r>
            <w:r>
              <w:rPr>
                <w:b/>
                <w:i/>
              </w:rPr>
              <w:t>și cele cu dizabilități</w:t>
            </w:r>
            <w:r>
              <w:t>, precum și măsuri pentru regiunile în curs de depopulare,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subliniază că, având în vedere </w:t>
            </w:r>
            <w:r>
              <w:rPr>
                <w:b/>
                <w:i/>
              </w:rPr>
              <w:t>criza climatică și a biodiversității și</w:t>
            </w:r>
            <w:r>
              <w:t xml:space="preserve"> provocările economice și demografice, nicio regiune și nicio generație din UE – indiferent dacă este vorba despre cele din prezent sau despre cele viitoare – nu ar trebui lăsată în urmă; solicită prezentarea de inițiative pentru a sprijini atât tinerii, cât și persoanele în vârstă, precum și măsuri pentru regiunile în curs de depopulare,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w:t>
            </w:r>
          </w:p>
        </w:tc>
        <w:tc>
          <w:tcPr>
            <w:tcW w:w="4876" w:type="dxa"/>
            <w:tcBorders>
              <w:top w:val="nil"/>
              <w:left w:val="nil"/>
              <w:bottom w:val="nil"/>
              <w:right w:val="nil"/>
            </w:tcBorders>
          </w:tcPr>
          <w:p>
            <w:pPr>
              <w:pStyle w:val="Normal6a"/>
            </w:pPr>
            <w:r>
              <w:t>10.</w:t>
            </w:r>
            <w:r>
              <w:tab/>
            </w:r>
            <w:r>
              <w:t>subliniază că, având în vedere provocările economice și demografice, nicio regiune și nicio generație din UE – indiferent dacă este vorba despre cele din prezent sau despre cele viitoare – nu ar trebui lăsată în urmă; solicită prezentarea de inițiative pentru a sprijini atât tinerii, cât și persoanele în vârstă, precum și măsuri pentru regiunile în curs de depopulare, spre exemplu îmbunătățirea accesului la infrastructură, inclusiv la transport, conectivitate digitală și locuințe la prețuri accesibile, servicii publice, asistență medicală, îngrijire și educație, precum și investiții în oportunități mai bune de angajare pentru a preveni depopularea;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cere ca tranzițiile juste ale forței de muncă și ale întreprinderilor din UE să fie sprijinite în procesul de tranziție către o economie verde;</w:t>
            </w:r>
            <w:r>
              <w:t xml:space="preserve"> </w:t>
            </w:r>
            <w:r>
              <w:rPr>
                <w:b/>
                <w:i/>
              </w:rPr>
              <w:t>constată că, dacă este conceput cu atenție printr-un dialog social solid, procesul de adaptare la schimbările climatice și de atenuare a acestora poate crea ecosisteme mai solide, noi locuri de muncă decente și întreprinderi sustenabile, precum și societăți mai favorabile incluziunii, fără a lăsa pe nimeni în urmă;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cere ca tranzițiile juste ale forței de muncă și ale întreprinderilor din UE să fie sprijinite în procesul de tranziție către o economie verde;</w:t>
            </w:r>
            <w:r>
              <w:t xml:space="preserve"> </w:t>
            </w:r>
            <w:r>
              <w:rPr>
                <w:b/>
                <w:i/>
              </w:rPr>
              <w:t>constată că, dacă este conceput cu atenție printr-un dialog social solid, procesul de adaptare la schimbările climatice și de atenuare a acestora poate crea ecosisteme mai solide, noi locuri de muncă decente și întreprinderi sustenabile, precum și societăți mai favorabile incluziunii, fără a lăsa pe nimeni în urmă;</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rPr>
                <w:b/>
                <w:i/>
              </w:rPr>
              <w:t>cere ca tranzițiile juste ale forței de muncă și ale întreprinderilor din UE să fie sprijinite în procesul de tranziție către o economie</w:t>
            </w:r>
            <w:r>
              <w:t xml:space="preserve"> verde; constată că, </w:t>
            </w:r>
            <w:r>
              <w:rPr>
                <w:b/>
                <w:i/>
              </w:rPr>
              <w:t>dacă este conceput cu atenție</w:t>
            </w:r>
            <w:r>
              <w:t xml:space="preserve"> printr-un dialog social solid, </w:t>
            </w:r>
            <w:r>
              <w:rPr>
                <w:b/>
                <w:i/>
              </w:rPr>
              <w:t>procesul</w:t>
            </w:r>
            <w:r>
              <w:t xml:space="preserve"> de adaptare la schimbările climatice și de atenuare a acestora </w:t>
            </w:r>
            <w:r>
              <w:rPr>
                <w:b/>
                <w:i/>
              </w:rPr>
              <w:t>poate crea</w:t>
            </w:r>
            <w:r>
              <w:t xml:space="preserve"> ecosisteme </w:t>
            </w:r>
            <w:r>
              <w:rPr>
                <w:b/>
                <w:i/>
              </w:rPr>
              <w:t>mai solide</w:t>
            </w:r>
            <w:r>
              <w:t xml:space="preserve">, </w:t>
            </w:r>
            <w:r>
              <w:rPr>
                <w:b/>
                <w:i/>
              </w:rPr>
              <w:t>noi</w:t>
            </w:r>
            <w:r>
              <w:t xml:space="preserve"> locuri de muncă </w:t>
            </w:r>
            <w:r>
              <w:rPr>
                <w:b/>
                <w:i/>
              </w:rPr>
              <w:t>decente și întreprinderi</w:t>
            </w:r>
            <w:r>
              <w:t xml:space="preserve"> sustenabile</w:t>
            </w:r>
            <w:r>
              <w:rPr>
                <w:b/>
                <w:i/>
              </w:rPr>
              <w:t>, precum</w:t>
            </w:r>
            <w:r>
              <w:t xml:space="preserve"> și societăți mai favorabile incluziunii, fără a lăsa pe nimeni în urmă;</w:t>
            </w:r>
          </w:p>
        </w:tc>
        <w:tc>
          <w:tcPr>
            <w:tcW w:w="4876" w:type="dxa"/>
            <w:tcBorders>
              <w:top w:val="nil"/>
              <w:left w:val="nil"/>
              <w:bottom w:val="nil"/>
              <w:right w:val="nil"/>
            </w:tcBorders>
          </w:tcPr>
          <w:p>
            <w:pPr>
              <w:pStyle w:val="Normal6a"/>
            </w:pPr>
            <w:r>
              <w:t>11.</w:t>
            </w:r>
            <w:r>
              <w:tab/>
            </w:r>
            <w:r>
              <w:rPr>
                <w:b/>
                <w:i/>
              </w:rPr>
              <w:t>solicită ca UE și statele membre să se asigure că tranziția</w:t>
            </w:r>
            <w:r>
              <w:t xml:space="preserve"> verde </w:t>
            </w:r>
            <w:r>
              <w:rPr>
                <w:b/>
                <w:i/>
              </w:rPr>
              <w:t>este justă din punct de vedere social, cu sprijin specific pentru lucrătorii, gospodăriile, regiunile și întreprinderile afectate de schimbările structurale și de noile cereri de pe piața muncii</w:t>
            </w:r>
            <w:r>
              <w:t xml:space="preserve">; constată că, </w:t>
            </w:r>
            <w:r>
              <w:rPr>
                <w:b/>
                <w:i/>
              </w:rPr>
              <w:t>atunci când sunt modelate</w:t>
            </w:r>
            <w:r>
              <w:t xml:space="preserve"> printr-un dialog social solid, </w:t>
            </w:r>
            <w:r>
              <w:rPr>
                <w:b/>
                <w:i/>
              </w:rPr>
              <w:t>strategiile</w:t>
            </w:r>
            <w:r>
              <w:t xml:space="preserve"> de adaptare la schimbările climatice și de atenuare a acestora </w:t>
            </w:r>
            <w:r>
              <w:rPr>
                <w:b/>
                <w:i/>
              </w:rPr>
              <w:t>pot genera</w:t>
            </w:r>
            <w:r>
              <w:t xml:space="preserve"> ecosisteme </w:t>
            </w:r>
            <w:r>
              <w:rPr>
                <w:b/>
                <w:i/>
              </w:rPr>
              <w:t>economice reziliente</w:t>
            </w:r>
            <w:r>
              <w:t xml:space="preserve">, locuri de muncă </w:t>
            </w:r>
            <w:r>
              <w:rPr>
                <w:b/>
                <w:i/>
              </w:rPr>
              <w:t>de calitate, modele de afaceri</w:t>
            </w:r>
            <w:r>
              <w:t xml:space="preserve"> sustenabile și societăți mai favorabile incluziunii, fără a lăsa pe nimeni în urmă; </w:t>
            </w:r>
            <w:r>
              <w:rPr>
                <w:b/>
                <w:i/>
              </w:rPr>
              <w:t>solicită instituirea urgentă a unor sisteme verzi de protecție socială și a unor investiții verzi pentru a asigura justiția în materie de mediu și pentru a proteja oamenii de efectele schimbărilor climatice;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cere ca tranzițiile juste ale forței de muncă și ale întreprinderilor din UE să fie sprijinite în procesul de tranziție către o economie verde; constată că, dacă este conceput cu atenție printr-un dialog social solid, procesul de adaptare la schimbările climatice și de atenuare a acestora poate crea ecosisteme mai solide, noi locuri de muncă decente și întreprinderi sustenabile, precum și societăți mai favorabile incluziunii, fără a lăsa pe nimeni în urmă;</w:t>
            </w:r>
          </w:p>
        </w:tc>
        <w:tc>
          <w:tcPr>
            <w:tcW w:w="4876" w:type="dxa"/>
            <w:tcBorders>
              <w:top w:val="nil"/>
              <w:left w:val="nil"/>
              <w:bottom w:val="nil"/>
              <w:right w:val="nil"/>
            </w:tcBorders>
          </w:tcPr>
          <w:p>
            <w:pPr>
              <w:pStyle w:val="Normal6a"/>
            </w:pPr>
            <w:r>
              <w:t>11.</w:t>
            </w:r>
            <w:r>
              <w:tab/>
            </w:r>
            <w:r>
              <w:t xml:space="preserve">cere ca tranzițiile juste ale forței de muncă și ale întreprinderilor din UE să fie sprijinite în procesul de tranziție către o economie verde; constată că, dacă este conceput cu atenție printr-un dialog social solid, procesul de adaptare la schimbările climatice și de atenuare a acestora poate crea ecosisteme mai solide, noi locuri de muncă decente și întreprinderi sustenabile, precum și societăți mai favorabile incluziunii, fără a lăsa pe nimeni în urmă; </w:t>
            </w:r>
            <w:r>
              <w:rPr>
                <w:b/>
                <w:i/>
              </w:rPr>
              <w:t>invită Comisia să propună o directivă privind tranziția justă în lumea muncii cu scopul de a se asigura că aceste principii sunt protejate la nivelul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cere ca tranzițiile juste ale forței de muncă și ale întreprinderilor din UE să fie sprijinite în procesul de tranziție către o economie verde; constată că, dacă este conceput cu atenție printr-un dialog social solid, procesul de adaptare la schimbările climatice și de atenuare a acestora poate crea ecosisteme mai solide, noi locuri de muncă decente și întreprinderi sustenabile, precum și societăți mai favorabile incluziunii, fără a lăsa pe nimeni în urmă;</w:t>
            </w:r>
          </w:p>
        </w:tc>
        <w:tc>
          <w:tcPr>
            <w:tcW w:w="4876" w:type="dxa"/>
            <w:tcBorders>
              <w:top w:val="nil"/>
              <w:left w:val="nil"/>
              <w:bottom w:val="nil"/>
              <w:right w:val="nil"/>
            </w:tcBorders>
          </w:tcPr>
          <w:p>
            <w:pPr>
              <w:pStyle w:val="Normal6a"/>
            </w:pPr>
            <w:r>
              <w:t>11.</w:t>
            </w:r>
            <w:r>
              <w:tab/>
            </w:r>
            <w:r>
              <w:t xml:space="preserve">cere ca tranzițiile juste ale forței de muncă și ale întreprinderilor din UE să fie sprijinite în procesul de tranziție </w:t>
            </w:r>
            <w:r>
              <w:rPr>
                <w:b/>
                <w:i/>
              </w:rPr>
              <w:t>rezonabilă</w:t>
            </w:r>
            <w:r>
              <w:t xml:space="preserve"> către o economie verde; constată că, dacă este conceput cu atenție printr-un dialog social solid, procesul de adaptare la schimbările climatice și de atenuare a acestora poate crea ecosisteme mai solide, noi locuri de muncă decente și întreprinderi sustenabile, precum și societăți mai favorabile incluziunii, fără a lăsa pe nimeni în urmă;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subliniază rolul pe care îl joacă economia socială în contribuția la tranziția verde;</w:t>
            </w:r>
            <w:r>
              <w:t xml:space="preserve"> </w:t>
            </w:r>
            <w:r>
              <w:rPr>
                <w:b/>
                <w:i/>
              </w:rPr>
              <w:t>constată că multe organizații ale economiei sociale dezvoltă practici sustenabile și ecologice și ajută oamenii să se adapteze la o economie mai verde și să contribuie la aceasta;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solicită sprijin suplimentar pentru ca resortisanții țărilor terțe să se integreze pe piața muncii din UE și să își utilizeze talentele la întregul lor potențial, asigurându-se în același timp condiții de muncă adecvate, consolidate printr-o politică de integrare eficace, în deplină complementaritate cu valorificarea talentelor din UE;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solicită sprijin suplimentar pentru ca resortisanții țărilor terțe să se integreze pe piața muncii din UE și să își utilizeze talentele la întregul lor potențial, asigurându-se în același timp condiții de muncă adecvate, consolidate printr-o politică de integrare eficace, în deplină complementaritate cu valorificarea talentelor din UE;</w:t>
            </w:r>
          </w:p>
        </w:tc>
        <w:tc>
          <w:tcPr>
            <w:tcW w:w="4876" w:type="dxa"/>
            <w:tcBorders>
              <w:top w:val="nil"/>
              <w:left w:val="nil"/>
              <w:bottom w:val="nil"/>
              <w:right w:val="nil"/>
            </w:tcBorders>
          </w:tcPr>
          <w:p>
            <w:pPr>
              <w:pStyle w:val="Normal6a"/>
            </w:pPr>
            <w:r>
              <w:t>12.</w:t>
            </w:r>
            <w:r>
              <w:tab/>
            </w:r>
            <w:r>
              <w:t xml:space="preserve">solicită sprijin suplimentar pentru ca resortisanții țărilor terțe să se integreze pe piața muncii din UE și să își utilizeze talentele la întregul lor potențial, asigurându-se în același timp condiții de muncă adecvate </w:t>
            </w:r>
            <w:r>
              <w:rPr>
                <w:b/>
                <w:i/>
              </w:rPr>
              <w:t>și un tratament egal</w:t>
            </w:r>
            <w:r>
              <w:t xml:space="preserve">, consolidate printr-o politică de integrare eficace, în deplină complementaritate cu valorificarea talentelor din UE; </w:t>
            </w:r>
            <w:r>
              <w:rPr>
                <w:b/>
                <w:i/>
              </w:rPr>
              <w:t>solicită regularizarea migranților fără acte de identitate în UE pentru a asigura o cale de integrare socială și profesională;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sprijin </w:t>
            </w:r>
            <w:r>
              <w:rPr>
                <w:b/>
                <w:i/>
              </w:rPr>
              <w:t>suplimentar</w:t>
            </w:r>
            <w:r>
              <w:t xml:space="preserve"> pentru ca resortisanții țărilor terțe să se integreze pe piața muncii din UE și să își utilizeze talentele la întregul lor potențial, asigurându-se în același timp condiții de muncă adecvate, consolidate printr-o politică de integrare eficace, în deplină complementaritate cu valorificarea talentelor din UE;</w:t>
            </w:r>
          </w:p>
        </w:tc>
        <w:tc>
          <w:tcPr>
            <w:tcW w:w="4876" w:type="dxa"/>
            <w:tcBorders>
              <w:top w:val="nil"/>
              <w:left w:val="nil"/>
              <w:bottom w:val="nil"/>
              <w:right w:val="nil"/>
            </w:tcBorders>
          </w:tcPr>
          <w:p>
            <w:pPr>
              <w:pStyle w:val="Normal6a"/>
            </w:pPr>
            <w:r>
              <w:t>12.</w:t>
            </w:r>
            <w:r>
              <w:tab/>
            </w:r>
            <w:r>
              <w:t xml:space="preserve">solicită sprijin pentru ca resortisanții țărilor terțe </w:t>
            </w:r>
            <w:r>
              <w:rPr>
                <w:b/>
                <w:i/>
              </w:rPr>
              <w:t>cu ședere legală în Uniunea Europeană</w:t>
            </w:r>
            <w:r>
              <w:t xml:space="preserve"> să se integreze pe piața muncii din UE și să își utilizeze talentele la întregul lor potențial, asigurându-se în același timp condiții de muncă adecvate, consolidate printr-o politică de integrare eficace, în deplină complementaritate cu valorificarea talentelor din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solicită sprijin suplimentar pentru ca resortisanții țărilor terțe să se integreze pe piața muncii din UE și să își utilizeze talentele la întregul lor potențial, asigurându-se în același timp condiții de muncă </w:t>
            </w:r>
            <w:r>
              <w:rPr>
                <w:b/>
                <w:i/>
              </w:rPr>
              <w:t>adecvate</w:t>
            </w:r>
            <w:r>
              <w:t>, consolidate printr-o politică de integrare eficace, în deplină complementaritate cu valorificarea talentelor din UE;</w:t>
            </w:r>
          </w:p>
        </w:tc>
        <w:tc>
          <w:tcPr>
            <w:tcW w:w="4876" w:type="dxa"/>
            <w:tcBorders>
              <w:top w:val="nil"/>
              <w:left w:val="nil"/>
              <w:bottom w:val="nil"/>
              <w:right w:val="nil"/>
            </w:tcBorders>
          </w:tcPr>
          <w:p>
            <w:pPr>
              <w:pStyle w:val="Normal6a"/>
            </w:pPr>
            <w:r>
              <w:t>12.</w:t>
            </w:r>
            <w:r>
              <w:tab/>
            </w:r>
            <w:r>
              <w:t xml:space="preserve">solicită sprijin suplimentar pentru ca resortisanții țărilor terțe să se integreze pe piața muncii din UE și să își utilizeze talentele la întregul lor potențial, asigurându-se în același timp </w:t>
            </w:r>
            <w:r>
              <w:rPr>
                <w:b/>
                <w:i/>
              </w:rPr>
              <w:t>locuri și</w:t>
            </w:r>
            <w:r>
              <w:t xml:space="preserve"> condiții de muncă </w:t>
            </w:r>
            <w:r>
              <w:rPr>
                <w:b/>
                <w:i/>
              </w:rPr>
              <w:t>de înaltă calitate</w:t>
            </w:r>
            <w:r>
              <w:t>, consolidate printr-o politică de integrare eficace, în deplină complementaritate cu valorificarea talentelor din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solicită monitorizarea atentă a măsurilor active pe piața muncii, precum și un sprijin adecvat pentru venit și prestații adecvate de asigurări sociale, cu scopul de a garanta participarea egală a persoanelor celor mai îndepărtate de piața muncii, în special a persoanelor cu dizabilități și a romilor;</w:t>
            </w:r>
          </w:p>
        </w:tc>
        <w:tc>
          <w:tcPr>
            <w:tcW w:w="4876" w:type="dxa"/>
            <w:tcBorders>
              <w:top w:val="nil"/>
              <w:left w:val="nil"/>
              <w:bottom w:val="nil"/>
              <w:right w:val="nil"/>
            </w:tcBorders>
          </w:tcPr>
          <w:p>
            <w:pPr>
              <w:pStyle w:val="Normal6a"/>
            </w:pPr>
            <w:r>
              <w:t>13.</w:t>
            </w:r>
            <w:r>
              <w:tab/>
            </w:r>
            <w:r>
              <w:t xml:space="preserve">solicită monitorizarea atentă a măsurilor active pe piața muncii, precum și un sprijin adecvat pentru venit și prestații adecvate de asigurări sociale, cu scopul de a garanta participarea egală a persoanelor celor mai îndepărtate de piața muncii, în special a </w:t>
            </w:r>
            <w:r>
              <w:rPr>
                <w:b/>
                <w:i/>
              </w:rPr>
              <w:t>femeilor, a</w:t>
            </w:r>
            <w:r>
              <w:t xml:space="preserve"> persoanelor cu dizabilități</w:t>
            </w:r>
            <w:r>
              <w:rPr>
                <w:b/>
                <w:i/>
              </w:rPr>
              <w:t>, a lucrătorilor migranți, a persoanelor din cadrul comunității LGBTIQ+, a tinerilor care se află în proces de integrare pe piața muncii</w:t>
            </w:r>
            <w:r>
              <w:t xml:space="preserve"> și a romilor</w:t>
            </w:r>
            <w:r>
              <w:rPr>
                <w:b/>
                <w:i/>
              </w:rPr>
              <w:t>, </w:t>
            </w:r>
            <w:r>
              <w:t xml:space="preserve"> </w:t>
            </w:r>
            <w:r>
              <w:rPr>
                <w:b/>
                <w:i/>
              </w:rPr>
              <w:t>printre alte categorii de persoane care ar putea avea nevoie de un sprijin suplimentar</w:t>
            </w:r>
            <w:r>
              <w:t xml:space="preserve">; </w:t>
            </w:r>
            <w:r>
              <w:rPr>
                <w:b/>
                <w:i/>
              </w:rPr>
              <w:t>reamintește, în acest context, solicitarea Parlamentului de a elabora o directivă privind venitul minim</w:t>
            </w:r>
            <w:r>
              <w:rPr>
                <w:b/>
                <w:i/>
                <w:vertAlign w:val="superscript"/>
              </w:rPr>
              <w:t>1a</w:t>
            </w:r>
            <w:r>
              <w:t xml:space="preserve"> </w:t>
            </w:r>
            <w:r>
              <w:rPr>
                <w:b/>
                <w:i/>
              </w:rPr>
              <w:t>pentru a îmbunătăți și mai mult accesibilitatea, adecvarea și eficacitatea sistemelor de venit minim, cu scopul de a promova convergența socială ascendentă;</w:t>
            </w:r>
            <w:r>
              <w:t xml:space="preserve"> </w:t>
            </w:r>
            <w:r>
              <w:rPr>
                <w:b/>
                <w:i/>
              </w:rPr>
              <w:t>reamintește că sistemele de venit minim ar trebui să protejeze persoanele care nu dispun de resurse suficiente împotriva sărăciei și a excluziunii sociale;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https://www.europarl.europa.eu/doceo/document/TA-9-2023-0076_EN.html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solicită monitorizarea atentă a măsurilor active pe piața muncii, precum și un sprijin adecvat pentru venit și prestații adecvate de asigurări sociale, cu scopul de a garanta participarea egală a persoanelor celor mai îndepărtate de piața muncii</w:t>
            </w:r>
            <w:r>
              <w:rPr>
                <w:b/>
                <w:i/>
              </w:rPr>
              <w:t>, în special a persoanelor cu dizabilități și a romilor</w:t>
            </w:r>
            <w:r>
              <w:t>;</w:t>
            </w:r>
          </w:p>
        </w:tc>
        <w:tc>
          <w:tcPr>
            <w:tcW w:w="4876" w:type="dxa"/>
            <w:tcBorders>
              <w:top w:val="nil"/>
              <w:left w:val="nil"/>
              <w:bottom w:val="nil"/>
              <w:right w:val="nil"/>
            </w:tcBorders>
          </w:tcPr>
          <w:p>
            <w:pPr>
              <w:pStyle w:val="Normal6a"/>
            </w:pPr>
            <w:r>
              <w:t>13.</w:t>
            </w:r>
            <w:r>
              <w:tab/>
            </w:r>
            <w:r>
              <w:t>solicită monitorizarea atentă a măsurilor active pe piața muncii</w:t>
            </w:r>
            <w:r>
              <w:rPr>
                <w:b/>
                <w:i/>
              </w:rPr>
              <w:t>, inclusiv a accesului egal la locuri de muncă de calitate</w:t>
            </w:r>
            <w:r>
              <w:t xml:space="preserve">, precum și un sprijin adecvat pentru venit și prestații adecvate de asigurări sociale, cu scopul de a garanta participarea egală a </w:t>
            </w:r>
            <w:r>
              <w:rPr>
                <w:b/>
                <w:i/>
              </w:rPr>
              <w:t>grupurilor vulnerabile și a</w:t>
            </w:r>
            <w:r>
              <w:t xml:space="preserve"> persoanelor celor mai îndepărtate de piața muncii</w:t>
            </w:r>
            <w:r>
              <w:rPr>
                <w:b/>
                <w:i/>
              </w:rPr>
              <w:t>;</w:t>
            </w:r>
            <w:r>
              <w:t xml:space="preserve"> </w:t>
            </w:r>
            <w:r>
              <w:rPr>
                <w:b/>
                <w:i/>
              </w:rPr>
              <w:t>subliniază, în acest sens, importanța instituirii unui cadru obligatoriu al UE pentru sisteme adecvate de venit minim, astfel cum se solicită în rezoluția Parlamentului European, pentru a garanta securitatea veniturilor, a reduce sărăcia și a sprijini incluziunea pe piața muncii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solicită monitorizarea atentă a măsurilor active pe piața muncii, precum și un sprijin adecvat pentru </w:t>
            </w:r>
            <w:r>
              <w:rPr>
                <w:b/>
                <w:i/>
              </w:rPr>
              <w:t>venit</w:t>
            </w:r>
            <w:r>
              <w:t xml:space="preserve"> și prestații </w:t>
            </w:r>
            <w:r>
              <w:rPr>
                <w:b/>
                <w:i/>
              </w:rPr>
              <w:t>adecvate</w:t>
            </w:r>
            <w:r>
              <w:t xml:space="preserve"> de asigurări sociale, cu scopul de a garanta participarea egală a persoanelor celor mai îndepărtate de piața muncii, în special a persoanelor cu dizabilități </w:t>
            </w:r>
            <w:r>
              <w:rPr>
                <w:b/>
                <w:i/>
              </w:rPr>
              <w:t>și</w:t>
            </w:r>
            <w:r>
              <w:t xml:space="preserve"> a romilor;</w:t>
            </w:r>
          </w:p>
        </w:tc>
        <w:tc>
          <w:tcPr>
            <w:tcW w:w="4876" w:type="dxa"/>
            <w:tcBorders>
              <w:top w:val="nil"/>
              <w:left w:val="nil"/>
              <w:bottom w:val="nil"/>
              <w:right w:val="nil"/>
            </w:tcBorders>
          </w:tcPr>
          <w:p>
            <w:pPr>
              <w:pStyle w:val="Normal6a"/>
            </w:pPr>
            <w:r>
              <w:t>13.</w:t>
            </w:r>
            <w:r>
              <w:tab/>
            </w:r>
            <w:r>
              <w:t xml:space="preserve">solicită monitorizarea atentă a măsurilor active pe piața muncii, precum și un sprijin adecvat pentru </w:t>
            </w:r>
            <w:r>
              <w:rPr>
                <w:b/>
                <w:i/>
              </w:rPr>
              <w:t>venitul minim</w:t>
            </w:r>
            <w:r>
              <w:t xml:space="preserve"> și prestații </w:t>
            </w:r>
            <w:r>
              <w:rPr>
                <w:b/>
                <w:i/>
              </w:rPr>
              <w:t>universale</w:t>
            </w:r>
            <w:r>
              <w:t xml:space="preserve"> de asigurări sociale, cu scopul de a garanta participarea egală a persoanelor celor mai îndepărtate de piața muncii, în special a persoanelor cu dizabilități</w:t>
            </w:r>
            <w:r>
              <w:rPr>
                <w:b/>
                <w:i/>
              </w:rPr>
              <w:t>,</w:t>
            </w:r>
            <w:r>
              <w:t xml:space="preserve"> a romilor </w:t>
            </w:r>
            <w:r>
              <w:rPr>
                <w:b/>
                <w:i/>
              </w:rPr>
              <w:t>și a șomerilor de lungă durată</w:t>
            </w:r>
            <w:r>
              <w:t xml:space="preserve">; </w:t>
            </w:r>
            <w:r>
              <w:rPr>
                <w:b/>
                <w:i/>
              </w:rPr>
              <w:t>subliniază necesitatea unei protecții sociale adecvate și a unui sprijin corespunzător și pentru persoanele care desfășoară o activitate independentă;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solicită monitorizarea atentă a măsurilor active pe piața muncii, precum și</w:t>
            </w:r>
            <w:r>
              <w:t xml:space="preserve"> un sprijin adecvat pentru venit și prestații adecvate de asigurări sociale, cu scopul de a garanta participarea egală </w:t>
            </w:r>
            <w:r>
              <w:rPr>
                <w:b/>
                <w:i/>
              </w:rPr>
              <w:t>a persoanelor celor mai îndepărtate de</w:t>
            </w:r>
            <w:r>
              <w:t xml:space="preserve"> piața muncii</w:t>
            </w:r>
            <w:r>
              <w:rPr>
                <w:b/>
                <w:i/>
              </w:rPr>
              <w:t>, în special</w:t>
            </w:r>
            <w:r>
              <w:t xml:space="preserve"> a persoanelor cu dizabilități </w:t>
            </w:r>
            <w:r>
              <w:rPr>
                <w:b/>
                <w:i/>
              </w:rPr>
              <w:t>și a romilor</w:t>
            </w:r>
            <w:r>
              <w:t>;</w:t>
            </w:r>
          </w:p>
        </w:tc>
        <w:tc>
          <w:tcPr>
            <w:tcW w:w="4876" w:type="dxa"/>
            <w:tcBorders>
              <w:top w:val="nil"/>
              <w:left w:val="nil"/>
              <w:bottom w:val="nil"/>
              <w:right w:val="nil"/>
            </w:tcBorders>
          </w:tcPr>
          <w:p>
            <w:pPr>
              <w:pStyle w:val="Normal6a"/>
            </w:pPr>
            <w:r>
              <w:t>13.</w:t>
            </w:r>
            <w:r>
              <w:tab/>
            </w:r>
            <w:r>
              <w:rPr>
                <w:b/>
                <w:i/>
              </w:rPr>
              <w:t>recomandă statelor membre care nu dispun încă de un program specific să instituie</w:t>
            </w:r>
            <w:r>
              <w:t xml:space="preserve"> un sprijin adecvat pentru venit și prestații adecvate de asigurări sociale, cu scopul de a garanta participarea egală </w:t>
            </w:r>
            <w:r>
              <w:rPr>
                <w:b/>
                <w:i/>
              </w:rPr>
              <w:t>pe</w:t>
            </w:r>
            <w:r>
              <w:t xml:space="preserve"> piața muncii a persoanelor cu dizabilități;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solicită monitorizarea atentă a măsurilor active pe piața muncii, precum și un sprijin adecvat pentru venit și prestații adecvate de asigurări sociale, cu scopul de a garanta participarea egală a persoanelor celor mai îndepărtate de piața muncii, </w:t>
            </w:r>
            <w:r>
              <w:rPr>
                <w:b/>
                <w:i/>
              </w:rPr>
              <w:t>în special</w:t>
            </w:r>
            <w:r>
              <w:t xml:space="preserve"> a persoanelor cu dizabilități și a </w:t>
            </w:r>
            <w:r>
              <w:rPr>
                <w:b/>
                <w:i/>
              </w:rPr>
              <w:t>romilor</w:t>
            </w:r>
            <w:r>
              <w:t>;</w:t>
            </w:r>
          </w:p>
        </w:tc>
        <w:tc>
          <w:tcPr>
            <w:tcW w:w="4876" w:type="dxa"/>
            <w:tcBorders>
              <w:top w:val="nil"/>
              <w:left w:val="nil"/>
              <w:bottom w:val="nil"/>
              <w:right w:val="nil"/>
            </w:tcBorders>
          </w:tcPr>
          <w:p>
            <w:pPr>
              <w:pStyle w:val="Normal6a"/>
            </w:pPr>
            <w:r>
              <w:t>13.</w:t>
            </w:r>
            <w:r>
              <w:tab/>
            </w:r>
            <w:r>
              <w:t xml:space="preserve">solicită monitorizarea atentă a măsurilor active pe piața muncii, precum și un sprijin adecvat pentru venit și prestații adecvate de asigurări sociale, cu scopul de a garanta participarea egală a persoanelor celor mai îndepărtate de piața muncii, </w:t>
            </w:r>
            <w:r>
              <w:rPr>
                <w:b/>
                <w:i/>
              </w:rPr>
              <w:t>inclusiv</w:t>
            </w:r>
            <w:r>
              <w:t xml:space="preserve"> a persoanelor cu dizabilități și a </w:t>
            </w:r>
            <w:r>
              <w:rPr>
                <w:b/>
                <w:i/>
              </w:rPr>
              <w:t>minorităților</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consideră că economia socială este un factor esențial de stimulare a punerii în aplicare a Pilonului european al drepturilor sociale și a obiectivelor sale, oferind adeseori locuri de muncă grupurilor vulnerabile și excluse; invită Comisia și statele membre să își consolideze sprijinul pentru toate întreprinderile din economia socială, </w:t>
            </w:r>
            <w:r>
              <w:rPr>
                <w:b/>
                <w:i/>
              </w:rPr>
              <w:t>în special pentru întreprinderile non-profit,</w:t>
            </w:r>
            <w:r>
              <w:t xml:space="preserve"> cu scopul de a promova munca de calitate, decentă și favorabilă incluziunii;</w:t>
            </w:r>
          </w:p>
        </w:tc>
        <w:tc>
          <w:tcPr>
            <w:tcW w:w="4876" w:type="dxa"/>
            <w:tcBorders>
              <w:top w:val="nil"/>
              <w:left w:val="nil"/>
              <w:bottom w:val="nil"/>
              <w:right w:val="nil"/>
            </w:tcBorders>
          </w:tcPr>
          <w:p>
            <w:pPr>
              <w:pStyle w:val="Normal6a"/>
            </w:pPr>
            <w:r>
              <w:t>14.</w:t>
            </w:r>
            <w:r>
              <w:tab/>
            </w:r>
            <w:r>
              <w:t>consideră că economia socială este un factor esențial de stimulare a punerii în aplicare a Pilonului european al drepturilor sociale și a obiectivelor sale, oferind adeseori locuri de muncă grupurilor vulnerabile și excluse; invită Comisia și statele membre să își consolideze sprijinul pentru toate întreprinderile din economia socială, cu scopul de a promova munca de calitate, decentă și favorabilă incluziunii;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consideră că economia socială </w:t>
            </w:r>
            <w:r>
              <w:rPr>
                <w:b/>
                <w:i/>
              </w:rPr>
              <w:t>este un factor esențial de stimulare a punerii în aplicare a Pilonului european al</w:t>
            </w:r>
            <w:r>
              <w:t xml:space="preserve"> drepturilor sociale </w:t>
            </w:r>
            <w:r>
              <w:rPr>
                <w:b/>
                <w:i/>
              </w:rPr>
              <w:t>și a obiectivelor sale, oferind adeseori</w:t>
            </w:r>
            <w:r>
              <w:t xml:space="preserve"> locuri de muncă </w:t>
            </w:r>
            <w:r>
              <w:rPr>
                <w:b/>
                <w:i/>
              </w:rPr>
              <w:t>grupurilor vulnerabile și excluse;</w:t>
            </w:r>
            <w:r>
              <w:t xml:space="preserve"> </w:t>
            </w:r>
            <w:r>
              <w:rPr>
                <w:b/>
                <w:i/>
              </w:rPr>
              <w:t>invită Comisia și</w:t>
            </w:r>
            <w:r>
              <w:t xml:space="preserve"> statele membre să </w:t>
            </w:r>
            <w:r>
              <w:rPr>
                <w:b/>
                <w:i/>
              </w:rPr>
              <w:t>își consolideze sprijinul pentru toate</w:t>
            </w:r>
            <w:r>
              <w:t xml:space="preserve"> întreprinderile din economia socială</w:t>
            </w:r>
            <w:r>
              <w:rPr>
                <w:b/>
                <w:i/>
              </w:rPr>
              <w:t>, în special pentru întreprinderile non-profit</w:t>
            </w:r>
            <w:r>
              <w:t xml:space="preserve">, cu scopul de a </w:t>
            </w:r>
            <w:r>
              <w:rPr>
                <w:b/>
                <w:i/>
              </w:rPr>
              <w:t>promova munca</w:t>
            </w:r>
            <w:r>
              <w:t xml:space="preserve"> de calitate</w:t>
            </w:r>
            <w:r>
              <w:rPr>
                <w:b/>
                <w:i/>
              </w:rPr>
              <w:t>, decentă și favorabilă incluziunii</w:t>
            </w:r>
            <w:r>
              <w:t>;</w:t>
            </w:r>
          </w:p>
        </w:tc>
        <w:tc>
          <w:tcPr>
            <w:tcW w:w="4876" w:type="dxa"/>
            <w:tcBorders>
              <w:top w:val="nil"/>
              <w:left w:val="nil"/>
              <w:bottom w:val="nil"/>
              <w:right w:val="nil"/>
            </w:tcBorders>
          </w:tcPr>
          <w:p>
            <w:pPr>
              <w:pStyle w:val="Normal6a"/>
            </w:pPr>
            <w:r>
              <w:t>14.</w:t>
            </w:r>
            <w:r>
              <w:tab/>
            </w:r>
            <w:r>
              <w:t xml:space="preserve">consideră că economia socială </w:t>
            </w:r>
            <w:r>
              <w:rPr>
                <w:b/>
                <w:i/>
              </w:rPr>
              <w:t>și solidară contribuie la respectarea</w:t>
            </w:r>
            <w:r>
              <w:t xml:space="preserve"> drepturilor sociale </w:t>
            </w:r>
            <w:r>
              <w:rPr>
                <w:b/>
                <w:i/>
              </w:rPr>
              <w:t>ale lucrătorilor prin intermediul unui anumit număr de structuri de îngrijire, în special cele care oferă</w:t>
            </w:r>
            <w:r>
              <w:t xml:space="preserve"> locuri de muncă </w:t>
            </w:r>
            <w:r>
              <w:rPr>
                <w:b/>
                <w:i/>
              </w:rPr>
              <w:t>persoanelor cu dizabilități;</w:t>
            </w:r>
            <w:r>
              <w:t xml:space="preserve"> </w:t>
            </w:r>
            <w:r>
              <w:rPr>
                <w:b/>
                <w:i/>
              </w:rPr>
              <w:t>recomandă ca</w:t>
            </w:r>
            <w:r>
              <w:t xml:space="preserve"> statele membre să </w:t>
            </w:r>
            <w:r>
              <w:rPr>
                <w:b/>
                <w:i/>
              </w:rPr>
              <w:t>sprijine</w:t>
            </w:r>
            <w:r>
              <w:t xml:space="preserve"> întreprinderile din economia socială </w:t>
            </w:r>
            <w:r>
              <w:rPr>
                <w:b/>
                <w:i/>
              </w:rPr>
              <w:t>și solidară care contribuie la asigurarea incluziunii persoanelor cu dizabilități</w:t>
            </w:r>
            <w:r>
              <w:t xml:space="preserve">, cu scopul de a </w:t>
            </w:r>
            <w:r>
              <w:rPr>
                <w:b/>
                <w:i/>
              </w:rPr>
              <w:t>garanta accesul la locuri de muncă decente și</w:t>
            </w:r>
            <w:r>
              <w:t xml:space="preserve"> de calitate;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14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 xml:space="preserve">constată că pentru a exploata întregul potențial al sectorului economiei sociale de a aborda provocările socioeconomice, autoritățile publice trebuie să identifice clar prioritățile sociale, </w:t>
            </w:r>
            <w:r>
              <w:t xml:space="preserve"> </w:t>
            </w:r>
            <w:r>
              <w:rPr>
                <w:b/>
                <w:i/>
              </w:rPr>
              <w:t>precum și furnizorii de servicii sociale din prima linie;</w:t>
            </w:r>
            <w:r>
              <w:t xml:space="preserve"> </w:t>
            </w:r>
            <w:r>
              <w:rPr>
                <w:b/>
                <w:i/>
              </w:rPr>
              <w:t>subliniază că proiectele din domeniul economiei sociale presupun, în general, un parteneriat strâns cu entitățile publice și, ca atare, invită Comisia și statele membre să elaboreze, în cadrul de guvernanță macroeconomică prevăzut la nivelul UE, o (nouă) strategie de investiții sociale care să nu interfereze cu instrumentele de finanțare existente, în care prioritățile sociale să fie clar identificate, în conformitate cu Pilonul european al drepturilor sociale, și care să poată oferi un cadru de cooperare între autoritățile publice și organizațiile economiei sociale;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că realizarea obiectivelor pentru 2030 necesită, de asemenea, aplicarea principiilor bunei guvernanțe bazate pe statul de drept, instituții responsabile, o reglementare eficace și evitarea insecurității juridice;</w:t>
            </w:r>
          </w:p>
        </w:tc>
        <w:tc>
          <w:tcPr>
            <w:tcW w:w="4876" w:type="dxa"/>
            <w:tcBorders>
              <w:top w:val="nil"/>
              <w:left w:val="nil"/>
              <w:bottom w:val="nil"/>
              <w:right w:val="nil"/>
            </w:tcBorders>
          </w:tcPr>
          <w:p>
            <w:pPr>
              <w:pStyle w:val="Normal6a"/>
            </w:pPr>
            <w:r>
              <w:t>15.</w:t>
            </w:r>
            <w:r>
              <w:tab/>
            </w:r>
            <w:r>
              <w:t xml:space="preserve">subliniază că realizarea obiectivelor pentru 2030 necesită, de asemenea, aplicarea principiilor bunei guvernanțe bazate pe statul de drept, instituții responsabile, o reglementare eficace și evitarea insecurității juridice; </w:t>
            </w:r>
            <w:r>
              <w:rPr>
                <w:b/>
                <w:i/>
              </w:rPr>
              <w:t>este preocupat de faptul că agenda de dereglementare a Comisiei ar putea duce la un regres în ceea ce privește standardele sociale și de mediu existente, împiedicând astfel progresul Uniunii către obiectivele pentru 2030;</w:t>
            </w:r>
            <w:r>
              <w:t xml:space="preserve"> </w:t>
            </w:r>
            <w:r>
              <w:rPr>
                <w:b/>
                <w:i/>
              </w:rPr>
              <w:t>invită Comisia și statele membre să își onoreze angajamentul față de obiectivele comune ale Uniunii, în special față de respectarea articolului 3 din Tratatul privind Uniunea Europeană;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subliniază că realizarea obiectivelor pentru 2030 necesită, de asemenea, aplicarea principiilor bunei guvernanțe bazate pe statul de drept, instituții responsabile, o </w:t>
            </w:r>
            <w:r>
              <w:rPr>
                <w:b/>
                <w:i/>
              </w:rPr>
              <w:t>reglementare</w:t>
            </w:r>
            <w:r>
              <w:t xml:space="preserve"> eficace și evitarea insecurității juridice;</w:t>
            </w:r>
          </w:p>
        </w:tc>
        <w:tc>
          <w:tcPr>
            <w:tcW w:w="4876" w:type="dxa"/>
            <w:tcBorders>
              <w:top w:val="nil"/>
              <w:left w:val="nil"/>
              <w:bottom w:val="nil"/>
              <w:right w:val="nil"/>
            </w:tcBorders>
          </w:tcPr>
          <w:p>
            <w:pPr>
              <w:pStyle w:val="Normal6a"/>
            </w:pPr>
            <w:r>
              <w:t>15.</w:t>
            </w:r>
            <w:r>
              <w:tab/>
            </w:r>
            <w:r>
              <w:t xml:space="preserve">subliniază că realizarea obiectivelor pentru 2030 necesită, de asemenea, aplicarea principiilor bunei guvernanțe bazate pe statul de drept, instituții responsabile, o </w:t>
            </w:r>
            <w:r>
              <w:rPr>
                <w:b/>
                <w:i/>
              </w:rPr>
              <w:t>punere în aplicare, monitorizare și asigurare</w:t>
            </w:r>
            <w:r>
              <w:t xml:space="preserve"> eficace </w:t>
            </w:r>
            <w:r>
              <w:rPr>
                <w:b/>
                <w:i/>
              </w:rPr>
              <w:t>a respectării normelor</w:t>
            </w:r>
            <w:r>
              <w:t xml:space="preserve"> și evitarea insecurității juridice; </w:t>
            </w:r>
            <w:r>
              <w:rPr>
                <w:b/>
                <w:i/>
              </w:rPr>
              <w:t>în acest sens, solicită ca declarația politică rezultată în urma celui de al doilea Summit mondial să includă angajamente semnificative privind promovarea ODD-urilor și abordarea lacunelor persistente în dezvoltarea socială, precum și mecanisme solide de monitorizare și revizuire;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subliniază că realizarea obiectivelor pentru 2030 necesită, de asemenea, aplicarea principiilor bunei guvernanțe bazate pe statul de drept, instituții responsabile</w:t>
            </w:r>
            <w:r>
              <w:rPr>
                <w:b/>
                <w:i/>
              </w:rPr>
              <w:t>,</w:t>
            </w:r>
            <w:r>
              <w:t xml:space="preserve"> o reglementare eficace </w:t>
            </w:r>
            <w:r>
              <w:rPr>
                <w:b/>
                <w:i/>
              </w:rPr>
              <w:t>și evitarea insecurității juridice</w:t>
            </w:r>
            <w:r>
              <w:t>;</w:t>
            </w:r>
          </w:p>
        </w:tc>
        <w:tc>
          <w:tcPr>
            <w:tcW w:w="4876" w:type="dxa"/>
            <w:tcBorders>
              <w:top w:val="nil"/>
              <w:left w:val="nil"/>
              <w:bottom w:val="nil"/>
              <w:right w:val="nil"/>
            </w:tcBorders>
          </w:tcPr>
          <w:p>
            <w:pPr>
              <w:pStyle w:val="Normal6a"/>
            </w:pPr>
            <w:r>
              <w:t>15.</w:t>
            </w:r>
            <w:r>
              <w:tab/>
            </w:r>
            <w:r>
              <w:t xml:space="preserve">subliniază că realizarea obiectivelor pentru 2030 necesită, de asemenea, aplicarea principiilor bunei guvernanțe bazate pe statul de drept, instituții responsabile </w:t>
            </w:r>
            <w:r>
              <w:rPr>
                <w:b/>
                <w:i/>
              </w:rPr>
              <w:t>și</w:t>
            </w:r>
            <w:r>
              <w:t xml:space="preserve"> o reglementare eficace</w:t>
            </w:r>
            <w:r>
              <w:rPr>
                <w:b/>
                <w:i/>
              </w:rPr>
              <w:t>, evitând în același timp insecuritatea juridică, inclusiv pentru țările candidate la aderarea la Uniunea Europeană</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subliniază, de asemenea, că aceste principii se bazează pe suveranitatea statelor membre, includ combaterea ingerințelor străine și sunt condiționate de libertatea de acțiune de care dispun statele pentru a garanta drepturile popoarelor lor;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subliniază că cel mai adecvat mod de asigurare a unei poziții de lider în domeniul drepturilor internaționale ale omului este prin puterea exemplului, ceea ce include disponibilitatea de a ratifica instrumentele internaționale privind drepturile omului și de a le pune în aplicare pe deplin și în mod eficace;</w:t>
            </w:r>
            <w:r>
              <w:t xml:space="preserve"> </w:t>
            </w:r>
            <w:r>
              <w:rPr>
                <w:b/>
                <w:i/>
              </w:rPr>
              <w:t>constată că angajamentul global față de drepturile omului trebuie, de asemenea, consolidat prin utilizarea oportunităților diplomatice și economice, cu scopul de a asigura un angajament mai puternic față de instrumentele din domeniul drepturilor omului, precum și de a permite altor actori – cum ar fi organizațiile neguvernamentale și sindicatele – să acționeze liber în vederea promovării standardelor din domeniul drepturilor omului în întreaga lume;</w:t>
            </w:r>
            <w:r>
              <w:t xml:space="preserve"> </w:t>
            </w:r>
            <w:r>
              <w:rPr>
                <w:b/>
                <w:i/>
              </w:rPr>
              <w:t>reamintește că drepturile omului și drepturile sociale pot fi promovate în mod credibil numai de către țările care își respectă obligațiile;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subliniază că cel mai adecvat mod de asigurare a unei poziții de lider în domeniul drepturilor internaționale ale omului este prin puterea exemplului, ceea ce include disponibilitatea de a ratifica instrumentele internaționale privind drepturile omului și de a le pune în aplicare pe deplin și în mod eficace; constată că angajamentul global față de drepturile omului trebuie, de asemenea, consolidat prin utilizarea oportunităților diplomatice și economice, cu scopul de a asigura un angajament mai puternic față de instrumentele din domeniul drepturilor omului, precum și de a permite altor actori – cum ar fi organizațiile neguvernamentale și sindicatele – să acționeze liber în vederea promovării standardelor din domeniul drepturilor omului în întreaga lume; reamintește că drepturile omului și drepturile sociale pot fi promovate în mod credibil numai de către țările care își respectă obligațiile;</w:t>
            </w:r>
          </w:p>
        </w:tc>
        <w:tc>
          <w:tcPr>
            <w:tcW w:w="4876" w:type="dxa"/>
            <w:tcBorders>
              <w:top w:val="nil"/>
              <w:left w:val="nil"/>
              <w:bottom w:val="nil"/>
              <w:right w:val="nil"/>
            </w:tcBorders>
          </w:tcPr>
          <w:p>
            <w:pPr>
              <w:pStyle w:val="Normal6a"/>
            </w:pPr>
            <w:r>
              <w:t>16.</w:t>
            </w:r>
            <w:r>
              <w:tab/>
            </w:r>
            <w:r>
              <w:t>subliniază că cel mai adecvat mod de asigurare a unei poziții de lider în domeniul drepturilor internaționale ale omului este prin puterea exemplului</w:t>
            </w:r>
            <w:r>
              <w:rPr>
                <w:b/>
                <w:i/>
              </w:rPr>
              <w:t>, o obligație care le revine în special instituțiilor UE</w:t>
            </w:r>
            <w:r>
              <w:t xml:space="preserve">, ceea ce include disponibilitatea de a ratifica instrumentele internaționale privind drepturile omului și de a le pune în aplicare pe deplin și în mod eficace; constată că angajamentul global față de drepturile omului trebuie, de asemenea, consolidat prin utilizarea oportunităților diplomatice și economice, cu scopul de a asigura un angajament mai puternic față de instrumentele din domeniul drepturilor omului, precum și de a permite altor actori – cum ar fi organizațiile neguvernamentale și sindicatele </w:t>
            </w:r>
            <w:r>
              <w:rPr>
                <w:b/>
                <w:i/>
              </w:rPr>
              <w:t>sprijinite de bugetul UE</w:t>
            </w:r>
            <w:r>
              <w:t xml:space="preserve"> – să acționeze liber </w:t>
            </w:r>
            <w:r>
              <w:rPr>
                <w:b/>
                <w:i/>
              </w:rPr>
              <w:t>și în conformitate cu tratatele</w:t>
            </w:r>
            <w:r>
              <w:t xml:space="preserve"> în vederea promovării standardelor din domeniul drepturilor omului în întreaga lume</w:t>
            </w:r>
            <w:r>
              <w:rPr>
                <w:b/>
                <w:i/>
              </w:rPr>
              <w:t>, fără a pune în pericol în mod grav interesele economice ale Uniunii în contextul concurenței mondiale</w:t>
            </w:r>
            <w:r>
              <w:t>; reamintește că drepturile omului și drepturile sociale pot fi promovate în mod credibil numai de către țările care își respectă obligațiile;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subliniază că cel mai adecvat mod de asigurare a unei poziții de lider în domeniul drepturilor internaționale ale omului este prin puterea exemplului, ceea ce include disponibilitatea de a ratifica instrumentele internaționale privind drepturile omului și de a le pune în aplicare pe deplin și în mod eficace; constată că angajamentul global față de drepturile omului trebuie, de asemenea, consolidat prin utilizarea oportunităților diplomatice și economice, cu scopul de a asigura un angajament mai puternic față de instrumentele din domeniul drepturilor omului</w:t>
            </w:r>
            <w:r>
              <w:rPr>
                <w:b/>
                <w:i/>
              </w:rPr>
              <w:t>, precum și de a permite altor actori – cum ar fi organizațiile neguvernamentale și sindicatele – să acționeze liber în vederea promovării standardelor din domeniul drepturilor omului în întreaga lume</w:t>
            </w:r>
            <w:r>
              <w:t>; reamintește că drepturile omului și drepturile sociale pot fi promovate în mod credibil numai de către țările care își respectă obligațiile;</w:t>
            </w:r>
          </w:p>
        </w:tc>
        <w:tc>
          <w:tcPr>
            <w:tcW w:w="4876" w:type="dxa"/>
            <w:tcBorders>
              <w:top w:val="nil"/>
              <w:left w:val="nil"/>
              <w:bottom w:val="nil"/>
              <w:right w:val="nil"/>
            </w:tcBorders>
          </w:tcPr>
          <w:p>
            <w:pPr>
              <w:pStyle w:val="Normal6a"/>
            </w:pPr>
            <w:r>
              <w:t>16.</w:t>
            </w:r>
            <w:r>
              <w:tab/>
            </w:r>
            <w:r>
              <w:t>subliniază că cel mai adecvat mod de asigurare a unei poziții de lider în domeniul drepturilor internaționale ale omului este prin puterea exemplului, ceea ce include disponibilitatea de a ratifica instrumentele internaționale privind drepturile omului și de a le pune în aplicare pe deplin și în mod eficace; constată că angajamentul global față de drepturile omului trebuie, de asemenea, consolidat prin utilizarea oportunităților diplomatice și economice, cu scopul de a asigura un angajament mai puternic față de instrumentele din domeniul drepturilor omului; reamintește că drepturile omului și drepturile sociale pot fi promovate în mod credibil numai de către țările care își respectă obligațiile;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subliniază că cel mai adecvat mod de asigurare a unei poziții de lider în domeniul drepturilor internaționale ale omului este prin puterea exemplului, ceea ce include disponibilitatea de a ratifica instrumentele internaționale privind drepturile omului și de a le pune în aplicare pe deplin și în mod eficace; constată că angajamentul global față de drepturile omului trebuie, de asemenea, consolidat prin utilizarea oportunităților diplomatice și economice, cu scopul de a asigura un angajament mai puternic față de instrumentele din domeniul drepturilor omului, precum și de a permite altor actori – cum ar fi organizațiile neguvernamentale și sindicatele – să acționeze liber în vederea promovării standardelor din domeniul drepturilor omului în întreaga lume; reamintește că drepturile omului și drepturile sociale pot fi promovate în mod credibil numai de către țările care își respectă obligațiile;</w:t>
            </w:r>
          </w:p>
        </w:tc>
        <w:tc>
          <w:tcPr>
            <w:tcW w:w="4876" w:type="dxa"/>
            <w:tcBorders>
              <w:top w:val="nil"/>
              <w:left w:val="nil"/>
              <w:bottom w:val="nil"/>
              <w:right w:val="nil"/>
            </w:tcBorders>
          </w:tcPr>
          <w:p>
            <w:pPr>
              <w:pStyle w:val="Normal6a"/>
            </w:pPr>
            <w:r>
              <w:t>16.</w:t>
            </w:r>
            <w:r>
              <w:tab/>
            </w:r>
            <w:r>
              <w:rPr>
                <w:b/>
                <w:i/>
              </w:rPr>
              <w:t>reamintește că pacea și cooperarea la nivel mondial reprezintă condițiile fundamentale pentru realizarea unei dezvoltări durabile, atât în Europa, cât și la nivel mondial;</w:t>
            </w:r>
            <w:r>
              <w:t xml:space="preserve"> subliniază că cel mai adecvat mod de asigurare a unei poziții de lider în domeniul drepturilor internaționale ale omului este prin puterea exemplului, ceea ce include disponibilitatea de a ratifica instrumentele internaționale privind drepturile omului și de a le pune în aplicare pe deplin și în mod eficace; constată că angajamentul global față de drepturile omului trebuie, de asemenea, consolidat prin utilizarea oportunităților diplomatice și economice, cu scopul de a asigura un angajament mai puternic față de instrumentele din domeniul drepturilor omului, precum și de a permite altor actori – cum ar fi organizațiile neguvernamentale și sindicatele – să acționeze liber în vederea promovării standardelor din domeniul drepturilor omului în întreaga lume; reamintește că drepturile omului și drepturile sociale pot fi promovate în mod credibil numai de către țările care își respectă obligațiile;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subliniază că </w:t>
            </w:r>
            <w:r>
              <w:rPr>
                <w:b/>
                <w:i/>
              </w:rPr>
              <w:t>cel mai adecvat mod de asigurare a unei poziții</w:t>
            </w:r>
            <w:r>
              <w:t xml:space="preserve"> de lider în domeniul drepturilor internaționale ale omului </w:t>
            </w:r>
            <w:r>
              <w:rPr>
                <w:b/>
                <w:i/>
              </w:rPr>
              <w:t>este prin puterea exemplului, ceea ce include disponibilitatea de a ratifica instrumentele</w:t>
            </w:r>
            <w:r>
              <w:t xml:space="preserve"> internaționale privind drepturile omului </w:t>
            </w:r>
            <w:r>
              <w:rPr>
                <w:b/>
                <w:i/>
              </w:rPr>
              <w:t>și de a le pune în aplicare pe deplin și în mod eficace</w:t>
            </w:r>
            <w:r>
              <w:t xml:space="preserve">; constată că angajamentul global față de </w:t>
            </w:r>
            <w:r>
              <w:rPr>
                <w:b/>
                <w:i/>
              </w:rPr>
              <w:t>drepturile</w:t>
            </w:r>
            <w:r>
              <w:t xml:space="preserve"> omului trebuie, de asemenea, consolidat prin utilizarea oportunităților diplomatice și economice, cu scopul </w:t>
            </w:r>
            <w:r>
              <w:rPr>
                <w:b/>
                <w:i/>
              </w:rPr>
              <w:t>de a asigura un angajament mai puternic față de instrumentele din domeniul drepturilor omului, precum și</w:t>
            </w:r>
            <w:r>
              <w:t xml:space="preserve"> de a permite altor actori – cum ar fi organizațiile neguvernamentale și sindicatele – să acționeze liber în vederea promovării standardelor din domeniul drepturilor omului în întreaga lume; reamintește că drepturile omului și drepturile sociale pot fi promovate în mod credibil numai de către țările care își respectă obligațiile;</w:t>
            </w:r>
          </w:p>
        </w:tc>
        <w:tc>
          <w:tcPr>
            <w:tcW w:w="4876" w:type="dxa"/>
            <w:tcBorders>
              <w:top w:val="nil"/>
              <w:left w:val="nil"/>
              <w:bottom w:val="nil"/>
              <w:right w:val="nil"/>
            </w:tcBorders>
          </w:tcPr>
          <w:p>
            <w:pPr>
              <w:pStyle w:val="Normal6a"/>
            </w:pPr>
            <w:r>
              <w:t>16.</w:t>
            </w:r>
            <w:r>
              <w:tab/>
            </w:r>
            <w:r>
              <w:t xml:space="preserve">subliniază că </w:t>
            </w:r>
            <w:r>
              <w:rPr>
                <w:b/>
                <w:i/>
              </w:rPr>
              <w:t>UE trebuie să joace un rol</w:t>
            </w:r>
            <w:r>
              <w:t xml:space="preserve"> de lider în domeniul drepturilor internaționale ale omului </w:t>
            </w:r>
            <w:r>
              <w:rPr>
                <w:b/>
                <w:i/>
              </w:rPr>
              <w:t>prin punerea în aplicare deplină și eficientă a instrumentelor</w:t>
            </w:r>
            <w:r>
              <w:t xml:space="preserve"> internaționale privind drepturile omului; constată că angajamentul global față de </w:t>
            </w:r>
            <w:r>
              <w:rPr>
                <w:b/>
                <w:i/>
              </w:rPr>
              <w:t>instrumentele din domeniul drepturilor</w:t>
            </w:r>
            <w:r>
              <w:t xml:space="preserve"> omului trebuie, de asemenea, consolidat prin utilizarea oportunităților diplomatice și economice, </w:t>
            </w:r>
            <w:r>
              <w:rPr>
                <w:b/>
                <w:i/>
              </w:rPr>
              <w:t>precum și</w:t>
            </w:r>
            <w:r>
              <w:t xml:space="preserve"> cu scopul de a permite altor actori – cum ar fi organizațiile neguvernamentale și sindicatele – să acționeze liber în vederea promovării standardelor </w:t>
            </w:r>
            <w:r>
              <w:rPr>
                <w:b/>
                <w:i/>
              </w:rPr>
              <w:t>sociale și</w:t>
            </w:r>
            <w:r>
              <w:t xml:space="preserve"> din domeniul drepturilor omului în întreaga lume; reamintește că drepturile omului și drepturile sociale pot fi promovate în mod credibil numai de către țările care își respectă obligațiile;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subliniază că inițiativele care vizează stimularea creșterii economice nu pot fi în detrimentul justiției sociale, al drepturilor lucrătorilor sau al protecției mediului;</w:t>
            </w:r>
            <w:r>
              <w:t xml:space="preserve"> </w:t>
            </w:r>
            <w:r>
              <w:rPr>
                <w:b/>
                <w:i/>
              </w:rPr>
              <w:t>invită UE să se angajeze în mod constructiv în vederea adoptării Tratatului ONU privind afacerile și drepturile omului, pentru a reglementa activitățile întreprinderilor transnaționale și ale altor întreprinderi și pentru a permite victimelor să solicite despăgubiri;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subliniază necesitatea de a recurge periodic la un proces de revizuire aprofundată pentru a evalua progresele înregistrate, a identifica lacunele și a reînnoi angajamentele;</w:t>
            </w:r>
            <w:r>
              <w:t xml:space="preserve"> </w:t>
            </w:r>
            <w:r>
              <w:rPr>
                <w:b/>
                <w:i/>
              </w:rPr>
              <w:t>invită Organizația Internațională a Muncii (OIM) să acționeze ca principal organism de monitorizare a angajamentelor în materie de dezvoltare socială și să își consolideze rolul în procesul de revizuire;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în numele Comisiei pentru ocuparea forței de muncă și afaceri sociale</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invită ONU să asigure respectarea deplină a drepturilor sociale și în domeniul muncii în țările-gazdă ale summiturilor sociale; </w:t>
            </w:r>
            <w:r>
              <w:rPr>
                <w:b/>
                <w:i/>
              </w:rPr>
              <w:t>solicită, prin urmare, să se depună toate eforturile posibile, acționând în mod decisiv cu scopul de a atinge obiectivele principale ale Uniunii și ODD-urile în întreaga UE până în 2030 și de a garanta faptul că ODD-urile sunt atinse în întreaga lume;</w:t>
            </w:r>
          </w:p>
        </w:tc>
        <w:tc>
          <w:tcPr>
            <w:tcW w:w="4876" w:type="dxa"/>
            <w:tcBorders>
              <w:top w:val="nil"/>
              <w:left w:val="nil"/>
              <w:bottom w:val="nil"/>
              <w:right w:val="nil"/>
            </w:tcBorders>
          </w:tcPr>
          <w:p>
            <w:pPr>
              <w:pStyle w:val="Normal6a"/>
            </w:pPr>
            <w:r>
              <w:t>17.</w:t>
            </w:r>
            <w:r>
              <w:tab/>
            </w:r>
            <w:r>
              <w:t>invită ONU să asigure respectarea deplină a drepturilor sociale și în domeniul muncii în țările-gazdă ale summiturilor sociale;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invită </w:t>
            </w:r>
            <w:r>
              <w:rPr>
                <w:b/>
                <w:i/>
              </w:rPr>
              <w:t>ONU să asigure respectarea deplină a drepturilor</w:t>
            </w:r>
            <w:r>
              <w:t xml:space="preserve"> sociale și în domeniul muncii </w:t>
            </w:r>
            <w:r>
              <w:rPr>
                <w:b/>
                <w:i/>
              </w:rPr>
              <w:t>în țările-gazdă ale summiturilor</w:t>
            </w:r>
            <w:r>
              <w:t xml:space="preserve"> sociale; solicită, prin urmare, </w:t>
            </w:r>
            <w:r>
              <w:rPr>
                <w:b/>
                <w:i/>
              </w:rPr>
              <w:t>să se depună toate eforturile posibile, acționând în mod decisiv cu scopul de a atinge obiectivele principale ale Uniunii și ODD-urile în întreaga</w:t>
            </w:r>
            <w:r>
              <w:t xml:space="preserve"> UE până în 2030 și </w:t>
            </w:r>
            <w:r>
              <w:rPr>
                <w:b/>
                <w:i/>
              </w:rPr>
              <w:t>de a garanta faptul că ODD-urile sunt atinse</w:t>
            </w:r>
            <w:r>
              <w:t xml:space="preserve"> în întreaga lume;</w:t>
            </w:r>
          </w:p>
        </w:tc>
        <w:tc>
          <w:tcPr>
            <w:tcW w:w="4876" w:type="dxa"/>
            <w:tcBorders>
              <w:top w:val="nil"/>
              <w:left w:val="nil"/>
              <w:bottom w:val="nil"/>
              <w:right w:val="nil"/>
            </w:tcBorders>
          </w:tcPr>
          <w:p>
            <w:pPr>
              <w:pStyle w:val="Normal6a"/>
            </w:pPr>
            <w:r>
              <w:t>17.</w:t>
            </w:r>
            <w:r>
              <w:tab/>
            </w:r>
            <w:r>
              <w:t xml:space="preserve">invită </w:t>
            </w:r>
            <w:r>
              <w:rPr>
                <w:b/>
                <w:i/>
              </w:rPr>
              <w:t>Organizația Națiunilor Unite și toate țările participante să respecte pe deplin drepturile</w:t>
            </w:r>
            <w:r>
              <w:t xml:space="preserve"> sociale și în domeniul muncii</w:t>
            </w:r>
            <w:r>
              <w:rPr>
                <w:b/>
                <w:i/>
              </w:rPr>
              <w:t>, inclusiv prin ratificarea convențiilor fundamentale ale OIM, respectând egalitatea dintre bărbați și femei și angajându-se să respecte valorile Declarației</w:t>
            </w:r>
            <w:r>
              <w:t xml:space="preserve"> sociale; solicită, prin urmare, </w:t>
            </w:r>
            <w:r>
              <w:rPr>
                <w:b/>
                <w:i/>
              </w:rPr>
              <w:t>o mai bună aliniere la nivel mondial la principiile Pilonului european al drepturilor sociale și ale Declarației de la La Hulpe;</w:t>
            </w:r>
            <w:r>
              <w:t xml:space="preserve"> </w:t>
            </w:r>
            <w:r>
              <w:rPr>
                <w:b/>
                <w:i/>
              </w:rPr>
              <w:t>subliniază necesitatea unui angajament reînnoit pentru realizarea obiectivelor sociale și a obiectivelor de dezvoltare durabilă ale</w:t>
            </w:r>
            <w:r>
              <w:t xml:space="preserve"> UE până în 2030</w:t>
            </w:r>
            <w:r>
              <w:rPr>
                <w:b/>
                <w:i/>
              </w:rPr>
              <w:t>, atât în Europa, cât</w:t>
            </w:r>
            <w:r>
              <w:t xml:space="preserve"> și în întreaga lume;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invită ONU să asigure respectarea deplină a drepturilor sociale și în domeniul muncii în țările-gazdă ale summiturilor sociale; solicită, prin urmare, să se depună toate eforturile posibile, acționând în mod decisiv cu scopul de a atinge obiectivele principale ale Uniunii și ODD-urile în întreaga UE până în 2030 și de a garanta faptul că ODD-urile sunt atinse în întreaga lume;</w:t>
            </w:r>
          </w:p>
        </w:tc>
        <w:tc>
          <w:tcPr>
            <w:tcW w:w="4876" w:type="dxa"/>
            <w:tcBorders>
              <w:top w:val="nil"/>
              <w:left w:val="nil"/>
              <w:bottom w:val="nil"/>
              <w:right w:val="nil"/>
            </w:tcBorders>
          </w:tcPr>
          <w:p>
            <w:pPr>
              <w:pStyle w:val="Normal6a"/>
            </w:pPr>
            <w:r>
              <w:t>17.</w:t>
            </w:r>
            <w:r>
              <w:tab/>
            </w:r>
            <w:r>
              <w:t xml:space="preserve">invită ONU să asigure respectarea deplină a drepturilor sociale și în domeniul muncii </w:t>
            </w:r>
            <w:r>
              <w:rPr>
                <w:b/>
                <w:i/>
              </w:rPr>
              <w:t>în toate statele membre și, în special,</w:t>
            </w:r>
            <w:r>
              <w:t xml:space="preserve"> în țările-gazdă ale summiturilor sociale; solicită, prin urmare, să se depună toate eforturile posibile, acționând în mod decisiv cu scopul de a atinge obiectivele principale ale Uniunii și ODD-urile în întreaga UE până în 2030 și de a garanta faptul că ODD-urile sunt atinse în întreaga lume;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17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invită UE să sprijine tranziția globală de la munca informală la cea formală, în conformitate cu Recomandarea nr. 204 a OIM, prin promovarea unor standarde de muncă echitabile, a muncii decente și a accesului la protecție socială;</w:t>
            </w:r>
            <w:r>
              <w:t xml:space="preserve"> </w:t>
            </w:r>
            <w:r>
              <w:rPr>
                <w:b/>
                <w:i/>
              </w:rPr>
              <w:t>încurajează integrarea acestui obiectiv în politicile UE în materie de dezvoltare, comerț și acțiune externă;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Amendamentul</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propunere de rezoluție</w:t>
      </w:r>
      <w:r>
        <w:rPr>
          <w:rStyle w:val="HideTWBExt"/>
        </w:rPr>
        <w:t>&lt;/DocAmend&gt;</w:t>
      </w:r>
    </w:p>
    <w:p>
      <w:pPr>
        <w:pStyle w:val="NormalBold"/>
      </w:pPr>
      <w:r>
        <w:rPr>
          <w:rStyle w:val="HideTWBExt"/>
        </w:rPr>
        <w:t>&lt;Article&gt;</w:t>
      </w:r>
      <w:r>
        <w:t>Punctul 17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propunere de rezoluție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invită ONU să stabilească un cadru solid de monitorizare a Summitului social mondial, care să includă declarații ministeriale bienale și structuri de monitorizare consolidate;</w:t>
            </w:r>
            <w:r>
              <w:t xml:space="preserve"> </w:t>
            </w:r>
            <w:r>
              <w:rPr>
                <w:b/>
                <w:i/>
              </w:rPr>
              <w:t>sprijină revitalizarea Comisiei ONU pentru dezvoltare socială și o mai mare implicare a ministerelor muncii și a partenerilor sociali;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70</w:t>
    </w:r>
    <w:r>
      <w:fldChar w:fldCharType="end"/>
    </w:r>
    <w:r>
      <w:tab/>
    </w:r>
    <w:r>
      <w:rPr>
        <w:rStyle w:val="HideTWBExt"/>
      </w:rPr>
      <w:t>&lt;PathFdR&gt;</w:t>
    </w:r>
    <w:r>
      <w:t>AM\1322547RO.docx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AM\1322547RO.docx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70</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AM\1322547RO.docx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70</Pages>
  <Words>17861</Words>
  <Characters>105449</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199860</vt:lpwstr>
  </property>
  <property fmtid="{D5CDD505-2E9C-101B-9397-08002B2CF9AE}" pid="7" name="dmxml.render.traceId">
    <vt:lpwstr>685417ef4760ea78898df1bf47463ca5</vt:lpwstr>
  </property>
  <property fmtid="{D5CDD505-2E9C-101B-9397-08002B2CF9AE}" pid="8" name="FooterPath">
    <vt:lpwstr>AM\1322547RO.docx</vt:lpwstr>
  </property>
  <property fmtid="{D5CDD505-2E9C-101B-9397-08002B2CF9AE}" pid="9" name="PE Number">
    <vt:lpwstr>774.385</vt:lpwstr>
  </property>
  <property fmtid="{D5CDD505-2E9C-101B-9397-08002B2CF9AE}" pid="10" name="UID">
    <vt:lpwstr>eu.europa.europarl-DIN1-2025-0000118099_01.00-ro-02.00_text-xml</vt:lpwstr>
  </property>
</Properties>
</file>