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{EMPL}</w:t>
      </w:r>
      <w:r>
        <w:t>Utskottet för sysselsättning och sociala frågor</w:t>
      </w:r>
      <w:r>
        <w:rPr>
          <w:rStyle w:val="HideTWBExt"/>
        </w:rPr>
        <w:t>&lt;/Commission&gt;</w:t>
      </w:r>
    </w:p>
    <w:p>
      <w:pPr>
        <w:pStyle w:val="LineBottom"/>
      </w:pPr>
      <w:r>
        <w:t xml:space="preserve"> </w:t>
      </w:r>
    </w:p>
    <w:p>
      <w:pPr>
        <w:pStyle w:val="CoverReference"/>
      </w:pPr>
      <w:r>
        <w:rPr>
          <w:rStyle w:val="HideTWBExt"/>
        </w:rPr>
        <w:t>&lt;RefProc&gt;</w:t>
      </w:r>
      <w:r>
        <w:t>2025/2654</w:t>
      </w:r>
      <w:r>
        <w:rPr>
          <w:rStyle w:val="HideTWBExt"/>
        </w:rPr>
        <w:t>&lt;/RefProc&gt;</w:t>
      </w:r>
      <w:r>
        <w:rPr>
          <w:rStyle w:val="HideTWBExt"/>
        </w:rPr>
        <w:t>&lt;RefTypeProc&gt;</w:t>
      </w:r>
      <w:r>
        <w:t>(RSP)</w:t>
      </w:r>
      <w:r>
        <w:rPr>
          <w:rStyle w:val="HideTWBExt"/>
        </w:rPr>
        <w:t>&lt;/RefTypeProc&gt;</w:t>
      </w:r>
    </w:p>
    <w:p>
      <w:pPr>
        <w:pStyle w:val="CoverDate"/>
      </w:pPr>
      <w:r>
        <w:rPr>
          <w:rStyle w:val="HideTWBExt"/>
        </w:rPr>
        <w:t>&lt;Date&gt;</w:t>
      </w:r>
      <w:r>
        <w:rPr>
          <w:rStyle w:val="HideTWBInt"/>
        </w:rPr>
        <w:t>{04/06/2025}</w:t>
      </w:r>
      <w:r>
        <w:t>4.6.2025</w:t>
      </w:r>
      <w:r>
        <w:rPr>
          <w:rStyle w:val="HideTWBExt"/>
        </w:rPr>
        <w:t>&lt;/Date&gt;</w:t>
      </w:r>
    </w:p>
    <w:p>
      <w:pPr>
        <w:pStyle w:val="CoverDocType"/>
      </w:pPr>
      <w:r>
        <w:rPr>
          <w:rStyle w:val="HideTWBExt"/>
        </w:rPr>
        <w:t>&lt;TypeAM&gt;</w:t>
      </w:r>
      <w:r>
        <w:t>ÄNDRINGSFÖRSLAG</w:t>
      </w:r>
      <w:r>
        <w:rPr>
          <w:rStyle w:val="HideTWBExt"/>
        </w:rPr>
        <w:t>&lt;/TypeAM&gt;</w:t>
      </w:r>
    </w:p>
    <w:p>
      <w:pPr>
        <w:pStyle w:val="CoverDocType24a"/>
      </w:pPr>
      <w:r>
        <w:rPr>
          <w:rStyle w:val="HideTWBExt"/>
        </w:rPr>
        <w:t>&lt;RangeAM&gt;</w:t>
      </w:r>
      <w:r>
        <w:t>1</w:t>
      </w:r>
      <w:r>
        <w:t xml:space="preserve"> - </w:t>
      </w:r>
      <w:r>
        <w:t>123</w:t>
      </w:r>
      <w:r>
        <w:rPr>
          <w:rStyle w:val="HideTWBExt"/>
        </w:rPr>
        <w:t>&lt;/RangeAM&gt;</w:t>
      </w:r>
    </w:p>
    <w:p>
      <w:pPr>
        <w:pStyle w:val="CoverBold"/>
      </w:pPr>
      <w:r>
        <w:rPr>
          <w:rStyle w:val="HideTWBExt"/>
        </w:rPr>
        <w:t>&lt;TitreType&gt;</w:t>
      </w:r>
      <w:r>
        <w:t>Utkast till förslag till resolution</w:t>
      </w:r>
      <w:r>
        <w:rPr>
          <w:rStyle w:val="HideTWBExt"/>
        </w:rPr>
        <w:t>&lt;/TitreType&gt;</w:t>
      </w:r>
    </w:p>
    <w:p>
      <w:pPr>
        <w:pStyle w:val="CoverBold"/>
      </w:pPr>
      <w:r>
        <w:rPr>
          <w:rStyle w:val="HideTWBExt"/>
        </w:rPr>
        <w:t>&lt;Rapporteur&gt;</w:t>
      </w:r>
      <w:r>
        <w:t>Li Andersson</w:t>
      </w:r>
      <w:r>
        <w:rPr>
          <w:rStyle w:val="HideTWBExt"/>
        </w:rPr>
        <w:t>&lt;/Rapporteur&gt;</w:t>
      </w:r>
    </w:p>
    <w:p>
      <w:pPr>
        <w:pStyle w:val="CoverNormal24a"/>
      </w:pPr>
      <w:r>
        <w:rPr>
          <w:rStyle w:val="HideTWBExt"/>
        </w:rPr>
        <w:t>&lt;DocRefPE&gt;</w:t>
      </w:r>
      <w:r>
        <w:t>(PE772.196v01-00)</w:t>
      </w:r>
      <w:r>
        <w:rPr>
          <w:rStyle w:val="HideTWBExt"/>
        </w:rPr>
        <w:t>&lt;/DocRefPE&gt;</w:t>
      </w:r>
    </w:p>
    <w:p>
      <w:pPr>
        <w:pStyle w:val="CoverNormal"/>
      </w:pPr>
      <w:r>
        <w:rPr>
          <w:rStyle w:val="HideTWBExt"/>
        </w:rPr>
        <w:t>&lt;Titre&gt;</w:t>
      </w:r>
      <w:r>
        <w:t>Det andra globala toppmötet om social utveckling</w:t>
      </w:r>
      <w:r>
        <w:rPr>
          <w:rStyle w:val="HideTWBExt"/>
        </w:rPr>
        <w:t>&lt;/Titre&gt;</w:t>
      </w:r>
    </w:p>
    <w:p>
      <w:r>
        <w:br w:type="page"/>
      </w:r>
      <w:r>
        <w:t>AM_Com_NonLegRD</w:t>
      </w:r>
    </w:p>
    <w:p>
      <w:pPr>
        <w:pStyle w:val="AmNumberTabs"/>
      </w:pPr>
      <w:r>
        <w:br w:type="page"/>
      </w:r>
      <w:r>
        <w:rPr>
          <w:rStyle w:val="HideTWBExt"/>
        </w:rPr>
        <w:t>&lt;RepeatBlock-Amend&gt;</w:t>
      </w:r>
      <w:r>
        <w:rPr>
          <w:rStyle w:val="HideTWBExt"/>
        </w:rPr>
        <w:t>&lt;Amend&gt;</w:t>
      </w:r>
      <w:r>
        <w:t>Ändringsförslag</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Beaktandeled 4a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den internationella konventionen om ekonomiska, sociala och kulturella rättigheter,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Beaktandeled 5a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handlingsplanen för den europeiska pelaren för sociala rättigheter och dess överordnade mål för 2030,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Beaktandeled 6a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den europeiska barngarantin,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Beaktandeled 6b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EU:s jämställdhetsstrategi och färdplan för kvinnors rättigheter,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Beaktandeled 6c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EU:s strategi för rättigheter för personer med funktionsnedsättning,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Beaktandeled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med beaktande av FN:s mål för hållbar utveckling,</w:t>
            </w:r>
          </w:p>
        </w:tc>
        <w:tc>
          <w:tcPr>
            <w:tcW w:w="4876" w:type="dxa"/>
            <w:tcBorders>
              <w:top w:val="nil"/>
              <w:left w:val="nil"/>
              <w:bottom w:val="nil"/>
              <w:right w:val="nil"/>
            </w:tcBorders>
          </w:tcPr>
          <w:p>
            <w:pPr>
              <w:pStyle w:val="Normal6a"/>
            </w:pPr>
            <w:r>
              <w:rPr>
                <w:b/>
                <w:i/>
              </w:rPr>
              <w:t>–</w:t>
            </w:r>
            <w:r>
              <w:tab/>
            </w:r>
            <w:r>
              <w:t xml:space="preserve">med beaktande av FN:s mål för hållbar utveckling, </w:t>
            </w:r>
            <w:r>
              <w:rPr>
                <w:b/>
                <w:i/>
              </w:rPr>
              <w:t>särskilt målen 1, 2, 8 och 10,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Beaktandeled 8a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ILO:s grundläggande konventioner,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Hållbar utveckling är en nyckelprincip i fördraget om Europeiska unionen och ett prioriterat mål för EU:s interna och externa politik.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-Aa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De 17 målen för hållbar utveckling står i centrum för Agenda 2030 för hållbar utveckling, som alla FN:s medlemsstater antog 2015.</w:t>
            </w:r>
            <w:r>
              <w:t xml:space="preserve"> </w:t>
            </w:r>
            <w:r>
              <w:rPr>
                <w:b/>
                <w:i/>
              </w:rPr>
              <w:t>Där konstateras det att utplånandet av fattigdom och annan avsaknad av livsmöjligheter måste gå hand i hand med strategier för att förbättra hälsan och utbildningen, minska ojämlikheten och främja ekonomisk tillväxt, samtidigt som man motverkar klimatförändringarna och arbetar för att bevara miljön.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-Ab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EU:s engagemang i Agenda 2030 har omsatts i en rad nydanande politiska strategier, bland annat den europeiska pelaren för sociala rättigheter, den europeiska gröna given, klimatlagen, en ny industristrategi för EU, de årliga strategierna för hållbar tillväxt, den uppdaterade europeiska kompetensagendan och det europeiska utbildningsområdet.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I hela EU kvarstår betydande ojämlikheter mellan människor och regioner, samtidigt som inflationen i oproportionerligt hög grad påverkar </w:t>
            </w:r>
            <w:r>
              <w:rPr>
                <w:b/>
                <w:i/>
              </w:rPr>
              <w:t>de</w:t>
            </w:r>
            <w:r>
              <w:t xml:space="preserve"> hushåll </w:t>
            </w:r>
            <w:r>
              <w:rPr>
                <w:b/>
                <w:i/>
              </w:rPr>
              <w:t>som relativt sett lägger mer pengar på nödvändiga varor, såsom energi och livsmedel, och</w:t>
            </w:r>
            <w:r>
              <w:t xml:space="preserve"> bostadskrisen förblir en utmaning i hela EU. Dessa problem har en negativ inverkan på den sociala </w:t>
            </w:r>
            <w:r>
              <w:rPr>
                <w:b/>
                <w:i/>
              </w:rPr>
              <w:t>sammanhållningen och EU-medborgarnas välbefinnande på lång sikt</w:t>
            </w:r>
            <w:r>
              <w:t>.</w:t>
            </w:r>
          </w:p>
        </w:tc>
        <w:tc>
          <w:tcPr>
            <w:tcW w:w="4876" w:type="dxa"/>
            <w:tcBorders>
              <w:top w:val="nil"/>
              <w:left w:val="nil"/>
              <w:bottom w:val="nil"/>
              <w:right w:val="nil"/>
            </w:tcBorders>
          </w:tcPr>
          <w:p>
            <w:pPr>
              <w:pStyle w:val="Normal6a"/>
            </w:pPr>
            <w:r>
              <w:t>A.</w:t>
            </w:r>
            <w:r>
              <w:tab/>
            </w:r>
            <w:r>
              <w:t xml:space="preserve">I hela EU kvarstår betydande ojämlikheter mellan människor och regioner, samtidigt som inflationen </w:t>
            </w:r>
            <w:r>
              <w:rPr>
                <w:b/>
                <w:i/>
              </w:rPr>
              <w:t>och de stigande levnadskostnaderna</w:t>
            </w:r>
            <w:r>
              <w:t xml:space="preserve"> i oproportionerligt hög grad påverkar </w:t>
            </w:r>
            <w:r>
              <w:rPr>
                <w:b/>
                <w:i/>
              </w:rPr>
              <w:t>låginkomsthushåll och utsatta</w:t>
            </w:r>
            <w:r>
              <w:t xml:space="preserve"> hushåll</w:t>
            </w:r>
            <w:r>
              <w:rPr>
                <w:b/>
                <w:i/>
              </w:rPr>
              <w:t>.</w:t>
            </w:r>
            <w:r>
              <w:t xml:space="preserve"> Bostadskrisen förblir en utmaning i hela EU. Dessa problem har en negativ inverkan på den </w:t>
            </w:r>
            <w:r>
              <w:rPr>
                <w:b/>
                <w:i/>
              </w:rPr>
              <w:t>ekonomiska stabiliteten och det </w:t>
            </w:r>
            <w:r>
              <w:t xml:space="preserve">sociala </w:t>
            </w:r>
            <w:r>
              <w:rPr>
                <w:b/>
                <w:i/>
              </w:rPr>
              <w:t>välmåendet för människor som bor i EU.</w:t>
            </w:r>
            <w:r>
              <w:t xml:space="preserve"> </w:t>
            </w:r>
            <w:r>
              <w:rPr>
                <w:b/>
                <w:i/>
              </w:rPr>
              <w:t>Det förekommer ingen insamling av uppgifter om förmögenhetsklyftor på EU-nivå, men enligt vissa studier inom finanssektorn äger de 10 % av befolkningen som är rikast i Europa hela 67 % av välståndet, medan den fattigare hälften av den vuxna befolkningen innehar enbart 1,2 % av välståndet</w:t>
            </w:r>
            <w:r>
              <w:t>.</w:t>
            </w:r>
            <w:r>
              <w:rPr>
                <w:b/>
                <w:i/>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Global Wealth Report 2023</w:t>
            </w:r>
            <w:r>
              <w:t xml:space="preserve"> </w:t>
            </w:r>
            <w:r>
              <w:rPr>
                <w:b/>
                <w:i/>
              </w:rPr>
              <w:t>| Credit Suisse AG.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I hela EU kvarstår betydande ojämlikheter mellan människor och regioner, samtidigt som inflationen i oproportionerligt hög grad påverkar de hushåll som relativt sett lägger mer pengar på nödvändiga varor, såsom energi och livsmedel, och bostadskrisen förblir en utmaning i hela EU. Dessa problem har en negativ inverkan på den sociala sammanhållningen och EU-medborgarnas välbefinnande på lång sikt.</w:t>
            </w:r>
          </w:p>
        </w:tc>
        <w:tc>
          <w:tcPr>
            <w:tcW w:w="4876" w:type="dxa"/>
            <w:tcBorders>
              <w:top w:val="nil"/>
              <w:left w:val="nil"/>
              <w:bottom w:val="nil"/>
              <w:right w:val="nil"/>
            </w:tcBorders>
          </w:tcPr>
          <w:p>
            <w:pPr>
              <w:pStyle w:val="Normal6a"/>
            </w:pPr>
            <w:r>
              <w:t>A.</w:t>
            </w:r>
            <w:r>
              <w:tab/>
            </w:r>
            <w:r>
              <w:rPr>
                <w:b/>
                <w:i/>
              </w:rPr>
              <w:t>Under 2023 uppgick Gini-koefficienten för EU-27 till 29,6 %, vilket är en svag nedgång sedan 2014, samtidigt som 13 medlemsstater låg över detta genomsnitt.</w:t>
            </w:r>
            <w:r>
              <w:rPr>
                <w:b/>
                <w:i/>
                <w:vertAlign w:val="superscript"/>
              </w:rPr>
              <w:t>1a</w:t>
            </w:r>
            <w:r>
              <w:t xml:space="preserve"> I hela EU kvarstår betydande ojämlikheter mellan människor och regioner</w:t>
            </w:r>
            <w:r>
              <w:rPr>
                <w:b/>
                <w:i/>
              </w:rPr>
              <w:t>, särskilt inkomstskillnader och klyftor mellan könen</w:t>
            </w:r>
            <w:r>
              <w:t xml:space="preserve">, samtidigt som inflationen i oproportionerligt hög grad påverkar de hushåll som relativt sett lägger mer pengar på nödvändiga varor, såsom energi och livsmedel, och bostadskrisen förblir en </w:t>
            </w:r>
            <w:r>
              <w:rPr>
                <w:b/>
                <w:i/>
              </w:rPr>
              <w:t>stor</w:t>
            </w:r>
            <w:r>
              <w:t xml:space="preserve"> utmaning i hela EU. Dessa problem har en negativ inverkan på den sociala sammanhållningen</w:t>
            </w:r>
            <w:r>
              <w:rPr>
                <w:b/>
                <w:i/>
              </w:rPr>
              <w:t>, den uppåtgående sociala konvergensen</w:t>
            </w:r>
            <w:r>
              <w:t xml:space="preserve"> och EU-medborgarnas välbefinnande på lång sikt.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https://ec.europa.eu/eurostat/statistics-explained/index.php?title=Living_conditions_in_Europe_-_income_distribution_and_income_inequality.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I hela EU kvarstår betydande ojämlikheter mellan människor och regioner, samtidigt som inflationen i oproportionerligt hög grad påverkar de hushåll som relativt sett lägger mer pengar på nödvändiga varor, såsom energi och livsmedel, och bostadskrisen förblir en utmaning i hela EU. Dessa problem har en negativ inverkan på den sociala sammanhållningen och EU-medborgarnas välbefinnande på lång sikt.</w:t>
            </w:r>
          </w:p>
        </w:tc>
        <w:tc>
          <w:tcPr>
            <w:tcW w:w="4876" w:type="dxa"/>
            <w:tcBorders>
              <w:top w:val="nil"/>
              <w:left w:val="nil"/>
              <w:bottom w:val="nil"/>
              <w:right w:val="nil"/>
            </w:tcBorders>
          </w:tcPr>
          <w:p>
            <w:pPr>
              <w:pStyle w:val="Normal6a"/>
            </w:pPr>
            <w:r>
              <w:t>A.</w:t>
            </w:r>
            <w:r>
              <w:tab/>
            </w:r>
            <w:r>
              <w:t xml:space="preserve">I hela EU kvarstår betydande ojämlikheter mellan människor och regioner, samtidigt som inflationen i oproportionerligt hög grad påverkar de hushåll som relativt sett lägger mer pengar på nödvändiga varor, såsom energi och livsmedel, och bostadskrisen förblir en utmaning i hela EU. Dessa problem har en negativ inverkan på den sociala sammanhållningen och EU-medborgarnas välbefinnande på lång sikt. </w:t>
            </w:r>
            <w:r>
              <w:rPr>
                <w:b/>
                <w:i/>
              </w:rPr>
              <w:t>Eurofounds forskning bekräftar bilden att för dyra bostäder leder till utestängning från bostadsmarknaden, otrygga boendeförhållanden, bekymmersamma boendekostnader och undermåliga bostäder.</w:t>
            </w:r>
            <w:r>
              <w:rPr>
                <w:b/>
                <w:i/>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https://www.eurofound.europa.eu/en/publications/2023/unaffordable-and-inadequate-housing-europe.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Unionen har </w:t>
            </w:r>
            <w:r>
              <w:rPr>
                <w:b/>
                <w:i/>
              </w:rPr>
              <w:t>antagit målet</w:t>
            </w:r>
            <w:r>
              <w:t xml:space="preserve"> att fram till 2030 minska antalet människor som riskerar att drabbas av fattigdom och social utestängning med minst 15 miljoner </w:t>
            </w:r>
            <w:r>
              <w:rPr>
                <w:b/>
                <w:i/>
              </w:rPr>
              <w:t>jämfört med 2019, däribland</w:t>
            </w:r>
            <w:r>
              <w:t xml:space="preserve"> minst 5 miljoner barn. I nästan hälften av medlemsstaterna </w:t>
            </w:r>
            <w:r>
              <w:rPr>
                <w:b/>
                <w:i/>
              </w:rPr>
              <w:t>går trenden i motsatt riktning</w:t>
            </w:r>
            <w:r>
              <w:t xml:space="preserve">. Ett av fem barn inom EU löper fortfarande risk att drabbas av fattigdom och social utestängning. Om den nuvarande trenden fortsätter kommer </w:t>
            </w:r>
            <w:r>
              <w:rPr>
                <w:b/>
                <w:i/>
              </w:rPr>
              <w:t>det</w:t>
            </w:r>
            <w:r>
              <w:t xml:space="preserve"> inte att </w:t>
            </w:r>
            <w:r>
              <w:rPr>
                <w:b/>
                <w:i/>
              </w:rPr>
              <w:t>vara möjligt att uppnå målet att fram till 2030 minska antalet människor som löper risk att drabbas av fattigdom och social utestängning, och</w:t>
            </w:r>
            <w:r>
              <w:t xml:space="preserve"> dessutom drabbar energifattigdom mer än en av tio européer.</w:t>
            </w:r>
          </w:p>
        </w:tc>
        <w:tc>
          <w:tcPr>
            <w:tcW w:w="4876" w:type="dxa"/>
            <w:tcBorders>
              <w:top w:val="nil"/>
              <w:left w:val="nil"/>
              <w:bottom w:val="nil"/>
              <w:right w:val="nil"/>
            </w:tcBorders>
          </w:tcPr>
          <w:p>
            <w:pPr>
              <w:pStyle w:val="Normal6a"/>
            </w:pPr>
            <w:r>
              <w:t>B.</w:t>
            </w:r>
            <w:r>
              <w:tab/>
            </w:r>
            <w:r>
              <w:t xml:space="preserve">Unionen har </w:t>
            </w:r>
            <w:r>
              <w:rPr>
                <w:b/>
                <w:i/>
              </w:rPr>
              <w:t>inom ramen för handlingsplan för den europeiska pelaren för sociala rättigheter utfäst sig</w:t>
            </w:r>
            <w:r>
              <w:t xml:space="preserve"> att fram till 2030 minska antalet människor som riskerar att drabbas av fattigdom och social utestängning med minst 15 miljoner</w:t>
            </w:r>
            <w:r>
              <w:rPr>
                <w:b/>
                <w:i/>
              </w:rPr>
              <w:t>, varav</w:t>
            </w:r>
            <w:r>
              <w:t xml:space="preserve"> minst 5 miljoner barn. I nästan hälften av medlemsstaterna </w:t>
            </w:r>
            <w:r>
              <w:rPr>
                <w:b/>
                <w:i/>
              </w:rPr>
              <w:t>pekar uppgifterna dock på att fattigdomsminskningen i stället har vänt</w:t>
            </w:r>
            <w:r>
              <w:t xml:space="preserve">. Ett av fem barn inom EU löper fortfarande risk att drabbas av fattigdom och social utestängning. Om den nuvarande trenden fortsätter kommer </w:t>
            </w:r>
            <w:r>
              <w:rPr>
                <w:b/>
                <w:i/>
              </w:rPr>
              <w:t>unionen</w:t>
            </w:r>
            <w:r>
              <w:t xml:space="preserve"> inte att </w:t>
            </w:r>
            <w:r>
              <w:rPr>
                <w:b/>
                <w:i/>
              </w:rPr>
              <w:t>nå sitt 2030-mål.</w:t>
            </w:r>
            <w:r>
              <w:t xml:space="preserve"> Dessutom drabbar energifattigdom mer än en av tio européer</w:t>
            </w:r>
            <w:r>
              <w:rPr>
                <w:b/>
                <w:i/>
              </w:rPr>
              <w:t>, vilket förvärrar ojämlikheten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Unionen har antagit målet att fram till 2030 minska antalet människor som riskerar att drabbas av fattigdom och social utestängning med minst 15 miljoner jämfört med 2019, däribland minst 5 miljoner barn. I nästan hälften av medlemsstaterna går trenden i motsatt riktning. Ett av fem barn inom EU löper fortfarande risk att drabbas av fattigdom och social utestängning. Om den nuvarande trenden fortsätter kommer det inte att vara möjligt att uppnå målet att fram till 2030 minska antalet människor som löper risk att drabbas av fattigdom och social utestängning, och dessutom drabbar energifattigdom mer än en av tio européer.</w:t>
            </w:r>
          </w:p>
        </w:tc>
        <w:tc>
          <w:tcPr>
            <w:tcW w:w="4876" w:type="dxa"/>
            <w:tcBorders>
              <w:top w:val="nil"/>
              <w:left w:val="nil"/>
              <w:bottom w:val="nil"/>
              <w:right w:val="nil"/>
            </w:tcBorders>
          </w:tcPr>
          <w:p>
            <w:pPr>
              <w:pStyle w:val="Normal6a"/>
            </w:pPr>
            <w:r>
              <w:t>B.</w:t>
            </w:r>
            <w:r>
              <w:tab/>
            </w:r>
            <w:r>
              <w:t xml:space="preserve">Unionen har antagit målet att fram till 2030 minska antalet människor som riskerar att drabbas av fattigdom och social utestängning med minst 15 miljoner jämfört med 2019, däribland minst 5 miljoner barn. I nästan hälften av medlemsstaterna går trenden </w:t>
            </w:r>
            <w:r>
              <w:rPr>
                <w:b/>
                <w:i/>
              </w:rPr>
              <w:t>tyvärr</w:t>
            </w:r>
            <w:r>
              <w:t xml:space="preserve"> i motsatt riktning. Ett av fem barn inom EU löper fortfarande risk att drabbas av fattigdom och social utestängning. Om den nuvarande trenden fortsätter kommer det inte att vara möjligt att uppnå målet att fram till 2030 minska antalet människor som löper risk att drabbas av fattigdom och social utestängning, och dessutom drabbar energifattigdom mer än en av tio européer.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Ba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På global nivå ser situationen ännu värre ut, då nästan 700 miljoner människor lever i extrem fattigdom och nivån för ytterligare 2,8 miljarder människor ligger mellan gränsen för extrem fattigdom och normen på 6,85 US-dollar per dag.</w:t>
            </w:r>
            <w:r>
              <w:rPr>
                <w:b/>
                <w:i/>
                <w:vertAlign w:val="superscript"/>
              </w:rPr>
              <w:t>1b</w:t>
            </w:r>
            <w:r>
              <w:t xml:space="preserve"> </w:t>
            </w:r>
            <w:r>
              <w:rPr>
                <w:b/>
                <w:i/>
              </w:rPr>
              <w:t>Under de senaste 30 åren har upp till 35 % av de människor som tagit sig ur fattigdom blivit fattiga igen.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https://www.worldbank.org/en/publication/poverty-prosperity-and-planet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Framsteg har gjorts för att uppnå EU:s sysselsättningsmål, närmare bestämt att minst 78 procent av befolkningen i åldern 20–64 år ska vara i sysselsättning senast 2030. Enligt kommissionens ekonomiska höstprognos 2025 har sysselsättningsgraden i EU nått 75,3 procent. I två tredjedelar av medlemsstaterna var sysselsättningstillväxten under 2023 på rätt väg för att nå det nationella målet för 2030. Betydande utmaningar kvarstår dock, </w:t>
            </w:r>
            <w:r>
              <w:rPr>
                <w:b/>
                <w:i/>
              </w:rPr>
              <w:t>såsom</w:t>
            </w:r>
            <w:r>
              <w:t xml:space="preserve"> hög arbetslöshet i vissa medlemsstater, </w:t>
            </w:r>
            <w:r>
              <w:rPr>
                <w:b/>
                <w:i/>
              </w:rPr>
              <w:t>särskilt bland ungdomar och personer med funktionsnedsättning</w:t>
            </w:r>
            <w:r>
              <w:t>.</w:t>
            </w:r>
          </w:p>
        </w:tc>
        <w:tc>
          <w:tcPr>
            <w:tcW w:w="4876" w:type="dxa"/>
            <w:tcBorders>
              <w:top w:val="nil"/>
              <w:left w:val="nil"/>
              <w:bottom w:val="nil"/>
              <w:right w:val="nil"/>
            </w:tcBorders>
          </w:tcPr>
          <w:p>
            <w:pPr>
              <w:pStyle w:val="Normal6a"/>
            </w:pPr>
            <w:r>
              <w:t>C.</w:t>
            </w:r>
            <w:r>
              <w:tab/>
            </w:r>
            <w:r>
              <w:t xml:space="preserve">Framsteg har gjorts för att uppnå EU:s sysselsättningsmål, närmare bestämt att minst 78 procent av befolkningen i åldern 20–64 år ska vara i sysselsättning senast 2030. Enligt kommissionens ekonomiska höstprognos 2025 har sysselsättningsgraden i EU nått 75,3 procent. I två tredjedelar av medlemsstaterna var sysselsättningstillväxten under 2023 på rätt väg för att nå det nationella målet för 2030. Betydande utmaningar kvarstår dock, </w:t>
            </w:r>
            <w:r>
              <w:rPr>
                <w:b/>
                <w:i/>
              </w:rPr>
              <w:t>bland annat</w:t>
            </w:r>
            <w:r>
              <w:t xml:space="preserve"> hög arbetslöshet i vissa medlemsstater, </w:t>
            </w:r>
            <w:r>
              <w:rPr>
                <w:b/>
                <w:i/>
              </w:rPr>
              <w:t>varaktigt segmenterad arbetsmarknad, hög grad av otrygg och atypisk sysselsättning och fortsatta skillnader i tillgången till sysselsättning av god kvalitet</w:t>
            </w:r>
            <w:r>
              <w:t xml:space="preserve">. </w:t>
            </w:r>
            <w:r>
              <w:rPr>
                <w:b/>
                <w:i/>
              </w:rPr>
              <w:t>Under 2024 riskerade 66,6 % av de arbetslösa och 10,9 % av de förvärvsarbetande att drabbas av fattigdom.</w:t>
            </w:r>
            <w:r>
              <w:rPr>
                <w:b/>
                <w:i/>
                <w:vertAlign w:val="superscript"/>
              </w:rPr>
              <w:t>2a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https://ec.europa.eu/eurostat/statistics-explained/index.php?title=Living_conditions_in_Europe_-_poverty_and_social_exclusion.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Framsteg har gjorts för att uppnå EU:s sysselsättningsmål, närmare bestämt att minst 78 procent av befolkningen i åldern 20–64 år ska vara i sysselsättning senast 2030. Enligt kommissionens ekonomiska höstprognos 2025 har sysselsättningsgraden i EU nått 75,3 procent. I två tredjedelar av medlemsstaterna var sysselsättningstillväxten under 2023 på rätt väg för att nå det nationella målet för 2030. Betydande utmaningar kvarstår dock, såsom </w:t>
            </w:r>
            <w:r>
              <w:rPr>
                <w:b/>
                <w:i/>
              </w:rPr>
              <w:t>hög arbetslöshet</w:t>
            </w:r>
            <w:r>
              <w:t xml:space="preserve"> i vissa medlemsstater, särskilt bland ungdomar och personer med funktionsnedsättning.</w:t>
            </w:r>
          </w:p>
        </w:tc>
        <w:tc>
          <w:tcPr>
            <w:tcW w:w="4876" w:type="dxa"/>
            <w:tcBorders>
              <w:top w:val="nil"/>
              <w:left w:val="nil"/>
              <w:bottom w:val="nil"/>
              <w:right w:val="nil"/>
            </w:tcBorders>
          </w:tcPr>
          <w:p>
            <w:pPr>
              <w:pStyle w:val="Normal6a"/>
            </w:pPr>
            <w:r>
              <w:t>C.</w:t>
            </w:r>
            <w:r>
              <w:tab/>
            </w:r>
            <w:r>
              <w:t xml:space="preserve">Framsteg har gjorts för att uppnå EU:s sysselsättningsmål, närmare bestämt att minst 78 procent av befolkningen i åldern 20–64 år ska vara i sysselsättning senast 2030. Enligt kommissionens ekonomiska höstprognos 2025 har sysselsättningsgraden i EU nått 75,3 procent. I två tredjedelar av medlemsstaterna var sysselsättningstillväxten under 2023 på rätt väg för att nå det nationella målet för 2030. Betydande utmaningar kvarstår dock, såsom </w:t>
            </w:r>
            <w:r>
              <w:rPr>
                <w:b/>
                <w:i/>
              </w:rPr>
              <w:t>höga arbetslöshetsnivåer</w:t>
            </w:r>
            <w:r>
              <w:t xml:space="preserve"> i vissa medlemsstater, särskilt bland ungdomar och personer med funktionsnedsättning</w:t>
            </w:r>
            <w:r>
              <w:rPr>
                <w:b/>
                <w:i/>
              </w:rPr>
              <w:t>, liksom betydande ojämlikhet mellan olika sektorer och regioner samt skillnader i det sociala skyddet, vilket skulle kunna inverka negativt på den sociala sammanhållningen och EU-invånarnas välmående på lång sikt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Framsteg har gjorts för att uppnå EU:s sysselsättningsmål, närmare bestämt att minst 78 procent av befolkningen i åldern 20–64 år ska vara i sysselsättning senast 2030. Enligt kommissionens ekonomiska höstprognos 2025 har sysselsättningsgraden i EU nått 75,3 procent. I två tredjedelar av medlemsstaterna var sysselsättningstillväxten under 2023 på rätt väg för att nå det nationella målet för 2030. Betydande utmaningar kvarstår dock, såsom hög arbetslöshet i vissa medlemsstater, särskilt bland ungdomar och personer med funktionsnedsättning.</w:t>
            </w:r>
          </w:p>
        </w:tc>
        <w:tc>
          <w:tcPr>
            <w:tcW w:w="4876" w:type="dxa"/>
            <w:tcBorders>
              <w:top w:val="nil"/>
              <w:left w:val="nil"/>
              <w:bottom w:val="nil"/>
              <w:right w:val="nil"/>
            </w:tcBorders>
          </w:tcPr>
          <w:p>
            <w:pPr>
              <w:pStyle w:val="Normal6a"/>
            </w:pPr>
            <w:r>
              <w:t>C.</w:t>
            </w:r>
            <w:r>
              <w:tab/>
            </w:r>
            <w:r>
              <w:t xml:space="preserve">Framsteg har gjorts för att uppnå EU:s sysselsättningsmål, närmare bestämt att minst 78 procent av befolkningen i åldern 20–64 år ska vara i sysselsättning senast 2030. Enligt kommissionens ekonomiska höstprognos 2025 har sysselsättningsgraden i EU nått 75,3 procent. I två tredjedelar av medlemsstaterna var sysselsättningstillväxten under 2023 på rätt väg för att nå det nationella målet för 2030. Betydande utmaningar kvarstår dock, såsom </w:t>
            </w:r>
            <w:r>
              <w:rPr>
                <w:b/>
                <w:i/>
              </w:rPr>
              <w:t>könslönegapet och</w:t>
            </w:r>
            <w:r>
              <w:t xml:space="preserve"> hög arbetslöshet i vissa medlemsstater, särskilt bland ungdomar och personer med funktionsnedsättning.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Andelen lågpresterande elever ökar när det gäller grundläggande färdigheter (läsförståelse, matematik och naturvetenskap), och målet på EU-nivå för 2030 om en andel på under 15 procent är inte inom räckhåll under överskådlig framtid.</w:t>
            </w:r>
            <w:r>
              <w:t xml:space="preserve"> </w:t>
            </w:r>
            <w:r>
              <w:rPr>
                <w:b/>
                <w:i/>
              </w:rPr>
              <w:t>Svaga prestationer är vanligt förekommande bland mindre gynnade elever, vilket visar på ökande ojämlikheter i fråga om utbildning.</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Det blir allt vanligare i EU med en bristfällig nivå på grundläggande kunskaper såsom läsning, matematik och naturvetenskap, särskilt bland missgynnade studerande.</w:t>
            </w:r>
            <w:r>
              <w:t xml:space="preserve"> </w:t>
            </w:r>
            <w:r>
              <w:rPr>
                <w:b/>
                <w:i/>
              </w:rPr>
              <w:t>Denna utbildningsmässiga ojämlikhet undergräver lika tillgång till vidareutbildning, yrkesutbildning och sysselsättning av god kvalitet och bidrar till fortsatt social utestängning och utestängning från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Mélanie Disdier, Marie Dauchy, Nikola Bartůšek</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När det gäller skolan är den sjunkande nivån på grundläggande kunskaper dock allmänt utbredd i många medlemsstater och berör inte enbart missgynnade personer.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w:t>
            </w:r>
            <w:r>
              <w:tab/>
            </w:r>
            <w:r>
              <w:rPr>
                <w:b/>
                <w:i/>
              </w:rPr>
              <w:t>Demografiska utmaningar, bland annat en åldrande befolkning, låga födelsetal och avfolkning av landsbygden, särskilt genom att ungdomar flyttar till städerna, påverkar i grunden den ekonomiska livskraften och attraktionskraften för EU:s regioner, arbetsmarknaderna och följaktligen välfärdssystemens hållbarhet.</w:t>
            </w:r>
            <w:r>
              <w:t xml:space="preserve"> </w:t>
            </w:r>
            <w:r>
              <w:rPr>
                <w:b/>
                <w:i/>
              </w:rPr>
              <w:t>De förvärrar de regionala skillnaderna i EU ytterligare och utgör därför en strukturell utmaning för EU:s ekonomi.</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Demografiska utmaningar, bland annat en åldrande befolkning, låga födelsetal och avfolkning av landsbygden, </w:t>
            </w:r>
            <w:r>
              <w:rPr>
                <w:b/>
                <w:i/>
              </w:rPr>
              <w:t>särskilt</w:t>
            </w:r>
            <w:r>
              <w:t xml:space="preserve"> genom att ungdomar flyttar till städerna, </w:t>
            </w:r>
            <w:r>
              <w:rPr>
                <w:b/>
                <w:i/>
              </w:rPr>
              <w:t>påverkar i grunden</w:t>
            </w:r>
            <w:r>
              <w:t xml:space="preserve"> den ekonomiska livskraften och attraktionskraften för EU:s regioner, arbetsmarknaderna och följaktligen välfärdssystemens hållbarhet. De förvärrar de regionala skillnaderna i EU ytterligare och utgör därför en strukturell utmaning för EU:s ekonomi.</w:t>
            </w:r>
          </w:p>
        </w:tc>
        <w:tc>
          <w:tcPr>
            <w:tcW w:w="4876" w:type="dxa"/>
            <w:tcBorders>
              <w:top w:val="nil"/>
              <w:left w:val="nil"/>
              <w:bottom w:val="nil"/>
              <w:right w:val="nil"/>
            </w:tcBorders>
          </w:tcPr>
          <w:p>
            <w:pPr>
              <w:pStyle w:val="Normal6a"/>
            </w:pPr>
            <w:r>
              <w:t>F.</w:t>
            </w:r>
            <w:r>
              <w:tab/>
            </w:r>
            <w:r>
              <w:rPr>
                <w:b/>
                <w:i/>
              </w:rPr>
              <w:t>På grund av</w:t>
            </w:r>
            <w:r>
              <w:t xml:space="preserve"> demografiska utmaningar, bland annat en åldrande befolkning, låga födelsetal och avfolkning av landsbygden, genom att </w:t>
            </w:r>
            <w:r>
              <w:rPr>
                <w:b/>
                <w:i/>
              </w:rPr>
              <w:t>framför allt</w:t>
            </w:r>
            <w:r>
              <w:t xml:space="preserve"> ungdomar flyttar till städerna, </w:t>
            </w:r>
            <w:r>
              <w:rPr>
                <w:b/>
                <w:i/>
              </w:rPr>
              <w:t>har EU:s produktivitetstillväxt ständigt hamnat på efterkälken i förhållande till Förenta staterna, vilket inverkar starkt på</w:t>
            </w:r>
            <w:r>
              <w:t xml:space="preserve"> den ekonomiska livskraften och attraktionskraften för EU:s regioner, arbetsmarknaderna och följaktligen välfärdssystemens hållbarhet. De förvärrar de regionala skillnaderna i EU ytterligare och utgör därför en strukturell utmaning för EU:s ekonomi.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Demografiska utmaningar, bland annat en åldrande befolkning, låga födelsetal och avfolkning av landsbygden, </w:t>
            </w:r>
            <w:r>
              <w:rPr>
                <w:b/>
                <w:i/>
              </w:rPr>
              <w:t>särskilt</w:t>
            </w:r>
            <w:r>
              <w:t xml:space="preserve"> genom att ungdomar flyttar till städerna, påverkar i grunden den ekonomiska livskraften och attraktionskraften för EU:s regioner, arbetsmarknaderna och följaktligen välfärdssystemens hållbarhet. De förvärrar de regionala skillnaderna i EU ytterligare och utgör därför en strukturell utmaning för EU:s ekonomi.</w:t>
            </w:r>
          </w:p>
        </w:tc>
        <w:tc>
          <w:tcPr>
            <w:tcW w:w="4876" w:type="dxa"/>
            <w:tcBorders>
              <w:top w:val="nil"/>
              <w:left w:val="nil"/>
              <w:bottom w:val="nil"/>
              <w:right w:val="nil"/>
            </w:tcBorders>
          </w:tcPr>
          <w:p>
            <w:pPr>
              <w:pStyle w:val="Normal6a"/>
            </w:pPr>
            <w:r>
              <w:t>F.</w:t>
            </w:r>
            <w:r>
              <w:tab/>
            </w:r>
            <w:r>
              <w:t xml:space="preserve">Demografiska utmaningar, bland annat en åldrande befolkning, låga födelsetal och avfolkning av landsbygden, genom att </w:t>
            </w:r>
            <w:r>
              <w:rPr>
                <w:b/>
                <w:i/>
              </w:rPr>
              <w:t>framför allt</w:t>
            </w:r>
            <w:r>
              <w:t xml:space="preserve"> ungdomar flyttar till städerna, påverkar i grunden den ekonomiska livskraften och attraktionskraften för EU:s regioner, arbetsmarknaderna</w:t>
            </w:r>
            <w:r>
              <w:rPr>
                <w:b/>
                <w:i/>
              </w:rPr>
              <w:t>, den offentliga infrastrukturen</w:t>
            </w:r>
            <w:r>
              <w:t xml:space="preserve"> och följaktligen välfärdssystemens hållbarhet. De förvärrar de regionala skillnaderna i EU ytterligare och utgör därför en strukturell utmaning för EU:s ekonomi.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Fa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De demografiska utmaningarna, särskilt den åldrande befolkningen, de låga födelsetalen och avfolkningen av landsbygden, skulle, om de inte kontrolleras, kunna förvärra den ekonomiska ojämlikheten och motverka de sociala framstegen.</w:t>
            </w:r>
            <w:r>
              <w:t xml:space="preserve"> </w:t>
            </w:r>
            <w:r>
              <w:rPr>
                <w:b/>
                <w:i/>
              </w:rPr>
              <w:t>Brist på universell tillgång till barnomsorg (i åldrarna 0–3 år) och till högre utbildning, avsaknad av eller alltför låga barnbidrag och otillräcklig betald föräldraledighet är de bakomliggande orsakerna till de låga födelsetalen.</w:t>
            </w:r>
            <w:r>
              <w:t xml:space="preserve"> </w:t>
            </w:r>
            <w:r>
              <w:rPr>
                <w:b/>
                <w:i/>
              </w:rPr>
              <w:t>Integrationen av migranter på arbetsmarknaden kan förbättra bristen på arbetskraft.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Bristen på arbetskraft och kompetens </w:t>
            </w:r>
            <w:r>
              <w:rPr>
                <w:b/>
                <w:i/>
              </w:rPr>
              <w:t>– till följd</w:t>
            </w:r>
            <w:r>
              <w:t xml:space="preserve"> av demografiska förändringar, efterfrågan på ny kompetens och dåliga arbetsvillkor </w:t>
            </w:r>
            <w:r>
              <w:rPr>
                <w:b/>
                <w:i/>
              </w:rPr>
              <w:t>inom vissa sektorer – ökar</w:t>
            </w:r>
            <w:r>
              <w:t xml:space="preserve"> i hela EU.</w:t>
            </w:r>
          </w:p>
        </w:tc>
        <w:tc>
          <w:tcPr>
            <w:tcW w:w="4876" w:type="dxa"/>
            <w:tcBorders>
              <w:top w:val="nil"/>
              <w:left w:val="nil"/>
              <w:bottom w:val="nil"/>
              <w:right w:val="nil"/>
            </w:tcBorders>
          </w:tcPr>
          <w:p>
            <w:pPr>
              <w:pStyle w:val="Normal6a"/>
            </w:pPr>
            <w:r>
              <w:t>G.</w:t>
            </w:r>
            <w:r>
              <w:tab/>
            </w:r>
            <w:r>
              <w:t xml:space="preserve">Bristen på arbetskraft och kompetens </w:t>
            </w:r>
            <w:r>
              <w:rPr>
                <w:b/>
                <w:i/>
              </w:rPr>
              <w:t>orsakas</w:t>
            </w:r>
            <w:r>
              <w:t xml:space="preserve"> av demografiska förändringar </w:t>
            </w:r>
            <w:r>
              <w:rPr>
                <w:b/>
                <w:i/>
              </w:rPr>
              <w:t>och omställningar</w:t>
            </w:r>
            <w:r>
              <w:t xml:space="preserve">, efterfrågan på ny kompetens och </w:t>
            </w:r>
            <w:r>
              <w:rPr>
                <w:b/>
                <w:i/>
              </w:rPr>
              <w:t>sysselsättning av god kvalitet, med högre löner och anställningstrygghet, och krav på integration av tredjelandsmedborgare på arbetsmarknaden.</w:t>
            </w:r>
            <w:r>
              <w:t xml:space="preserve"> </w:t>
            </w:r>
            <w:r>
              <w:rPr>
                <w:b/>
                <w:i/>
              </w:rPr>
              <w:t>Det blir allt vanligare med</w:t>
            </w:r>
            <w:r>
              <w:t xml:space="preserve"> dåliga arbetsvillkor i hela EU</w:t>
            </w:r>
            <w:r>
              <w:rPr>
                <w:b/>
                <w:i/>
              </w:rPr>
              <w:t>, vilket på ett direkt sätt begränsar EU:s förmåga att locka till sig och behålla talanger, både från tredjeländer och inom unionen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Marie Dauchy, Mélanie Disdier, Rachel Blom</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rPr>
                <w:b/>
                <w:i/>
              </w:rPr>
              <w:t>Bristen på arbetskraft och kompetens – till följd av demografiska förändringar</w:t>
            </w:r>
            <w:r>
              <w:t xml:space="preserve">, efterfrågan på ny kompetens </w:t>
            </w:r>
            <w:r>
              <w:rPr>
                <w:b/>
                <w:i/>
              </w:rPr>
              <w:t>och dåliga arbetsvillkor</w:t>
            </w:r>
            <w:r>
              <w:t xml:space="preserve"> inom vissa sektorer </w:t>
            </w:r>
            <w:r>
              <w:rPr>
                <w:b/>
                <w:i/>
              </w:rPr>
              <w:t>–</w:t>
            </w:r>
            <w:r>
              <w:t xml:space="preserve"> ökar i hela EU.</w:t>
            </w:r>
          </w:p>
        </w:tc>
        <w:tc>
          <w:tcPr>
            <w:tcW w:w="4876" w:type="dxa"/>
            <w:tcBorders>
              <w:top w:val="nil"/>
              <w:left w:val="nil"/>
              <w:bottom w:val="nil"/>
              <w:right w:val="nil"/>
            </w:tcBorders>
          </w:tcPr>
          <w:p>
            <w:pPr>
              <w:pStyle w:val="Normal6a"/>
            </w:pPr>
            <w:r>
              <w:t>G.</w:t>
            </w:r>
            <w:r>
              <w:tab/>
            </w:r>
            <w:r>
              <w:rPr>
                <w:b/>
                <w:i/>
              </w:rPr>
              <w:t>På grund av den exempellöst minskade nataliteten i alla medlemsstater</w:t>
            </w:r>
            <w:r>
              <w:t xml:space="preserve">, </w:t>
            </w:r>
            <w:r>
              <w:rPr>
                <w:b/>
                <w:i/>
              </w:rPr>
              <w:t>den ökande utvandringen av unga kvalificerade europeiska arbetstagare och</w:t>
            </w:r>
            <w:r>
              <w:t xml:space="preserve"> efterfrågan på ny kompetens inom vissa sektorer ökar </w:t>
            </w:r>
            <w:r>
              <w:rPr>
                <w:b/>
                <w:i/>
              </w:rPr>
              <w:t>bristen på kvalificerad arbetskraft</w:t>
            </w:r>
            <w:r>
              <w:t xml:space="preserve"> i hela EU.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Bristen på arbetskraft och kompetens – till följd av demografiska förändringar, efterfrågan på ny kompetens och dåliga arbetsvillkor inom vissa sektorer – ökar i hela EU.</w:t>
            </w:r>
          </w:p>
        </w:tc>
        <w:tc>
          <w:tcPr>
            <w:tcW w:w="4876" w:type="dxa"/>
            <w:tcBorders>
              <w:top w:val="nil"/>
              <w:left w:val="nil"/>
              <w:bottom w:val="nil"/>
              <w:right w:val="nil"/>
            </w:tcBorders>
          </w:tcPr>
          <w:p>
            <w:pPr>
              <w:pStyle w:val="Normal6a"/>
            </w:pPr>
            <w:r>
              <w:t>G.</w:t>
            </w:r>
            <w:r>
              <w:tab/>
            </w:r>
            <w:r>
              <w:t xml:space="preserve">Bristen på arbetskraft och kompetens – till följd av demografiska förändringar, efterfrågan på ny kompetens </w:t>
            </w:r>
            <w:r>
              <w:rPr>
                <w:b/>
                <w:i/>
              </w:rPr>
              <w:t>till den gröna och den digitala omställningen</w:t>
            </w:r>
            <w:r>
              <w:t xml:space="preserve"> och dåliga arbetsvillkor </w:t>
            </w:r>
            <w:r>
              <w:rPr>
                <w:b/>
                <w:i/>
              </w:rPr>
              <w:t>och kompetensglapp</w:t>
            </w:r>
            <w:r>
              <w:t xml:space="preserve"> inom vissa sektorer – ökar i hela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Bristen på arbetskraft och kompetens – till följd av demografiska förändringar, efterfrågan på ny kompetens och dåliga arbetsvillkor inom vissa sektorer – ökar i hela EU.</w:t>
            </w:r>
          </w:p>
        </w:tc>
        <w:tc>
          <w:tcPr>
            <w:tcW w:w="4876" w:type="dxa"/>
            <w:tcBorders>
              <w:top w:val="nil"/>
              <w:left w:val="nil"/>
              <w:bottom w:val="nil"/>
              <w:right w:val="nil"/>
            </w:tcBorders>
          </w:tcPr>
          <w:p>
            <w:pPr>
              <w:pStyle w:val="Normal6a"/>
            </w:pPr>
            <w:r>
              <w:t>G.</w:t>
            </w:r>
            <w:r>
              <w:tab/>
            </w:r>
            <w:r>
              <w:t xml:space="preserve">Bristen på arbetskraft och kompetens – till följd av demografiska förändringar, efterfrågan på ny kompetens och dåliga arbetsvillkor </w:t>
            </w:r>
            <w:r>
              <w:rPr>
                <w:b/>
                <w:i/>
              </w:rPr>
              <w:t>och brist på investeringar i robotteknik</w:t>
            </w:r>
            <w:r>
              <w:t xml:space="preserve"> inom vissa sektorer – ökar i hela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Ga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Eurofounds rapport från 2024 visar att självmordsfrekvensen ökar något sedan 2021, efter årtionden av nedgång.</w:t>
            </w:r>
            <w:r>
              <w:t xml:space="preserve"> </w:t>
            </w:r>
            <w:r>
              <w:rPr>
                <w:b/>
                <w:i/>
              </w:rPr>
              <w:t>Det behöver göras mer för att rätta till med de arbets- och levnadsvillkorsrelaterade orsakerna till psykisk ohälsa.</w:t>
            </w:r>
            <w:r>
              <w:rPr>
                <w:b/>
                <w:i/>
                <w:vertAlign w:val="superscript"/>
              </w:rPr>
              <w:t>4a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Eurofound (2025 kommande), Mental health in the European Union and Norway:</w:t>
            </w:r>
            <w:r>
              <w:t xml:space="preserve"> </w:t>
            </w:r>
            <w:r>
              <w:rPr>
                <w:b/>
                <w:i/>
              </w:rPr>
              <w:t>risk groups, trends, services and policies.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Gb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Gb.</w:t>
            </w:r>
            <w:r>
              <w:tab/>
            </w:r>
            <w:r>
              <w:rPr>
                <w:b/>
                <w:i/>
              </w:rPr>
              <w:t>Den sociala ekonomin och sociala företag består av olika typer av privata enheter som saknar kopplingar till myndigheter, till exempel kooperativ, ömsesidiga bolag, föreningar (inklusive välgörenhetsorganisationer), stiftelser (inbegripet sociala företag för arbetsmarknadsintegration) och andra rättsliga former beroende på EU-medlemsstat.</w:t>
            </w:r>
            <w:r>
              <w:t xml:space="preserve"> </w:t>
            </w:r>
            <w:r>
              <w:rPr>
                <w:b/>
                <w:i/>
              </w:rPr>
              <w:t>Parlamentet konstaterar att denna mångfald av företag och organisationer, som verkar inom alla verksamhetsområden, har en stark identitet baserad på gemensamma värderingar och särdrag, till exempel att individen och den sociala målsättningen har företräde framför kapitalet, jämställdhet, lokalt och regionalt ansvar, medvetenhet om klimat- och miljömässiga utmaningar, inkludering och demokratisk styrning och återinvesteringar – med begränsad utdelning av vinster och tillgångar till medlemmar eller aktieägare som följd – av större delen av vinsten i uppnåendet av företagets eller organisationens mål för hållbar utveckling eller i det gemensamma och allmänna intresset.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Gb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Gb.</w:t>
            </w:r>
            <w:r>
              <w:tab/>
            </w:r>
            <w:r>
              <w:rPr>
                <w:b/>
                <w:i/>
              </w:rPr>
              <w:t>Mot bakgrund av den varaktigt långsamma minskningen av könslönegapet visar Eurofounds forskning att många medlemsstater hittills inte har vidtagit några åtgärder för insyn i lönesättningen, och de flesta nationella instrument</w:t>
            </w:r>
            <w:r>
              <w:rPr>
                <w:b/>
                <w:i/>
                <w:vertAlign w:val="superscript"/>
              </w:rPr>
              <w:t>3b</w:t>
            </w:r>
            <w:r>
              <w:t xml:space="preserve"> </w:t>
            </w:r>
            <w:r>
              <w:rPr>
                <w:b/>
                <w:i/>
              </w:rPr>
              <w:t>som finns i nuläget beaktar ännu inte arbete av lika värde</w:t>
            </w:r>
            <w:r>
              <w:rPr>
                <w:b/>
                <w:i/>
                <w:vertAlign w:val="superscript"/>
              </w:rPr>
              <w:t>3a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Eurofounds kommande forskningsuppgifter från 2025, Further experiences with pay transparency.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3b</w:t>
            </w:r>
            <w:r>
              <w:t xml:space="preserve"> </w:t>
            </w:r>
            <w:r>
              <w:rPr>
                <w:b/>
                <w:i/>
              </w:rPr>
              <w:t>Eurofound (2021), Gender pay transparency:</w:t>
            </w:r>
            <w:r>
              <w:t xml:space="preserve"> </w:t>
            </w:r>
            <w:r>
              <w:rPr>
                <w:b/>
                <w:i/>
              </w:rPr>
              <w:t>Advancing the cause through a truly European proposal, artikel av den 18 juni 2021.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H.</w:t>
            </w:r>
            <w:r>
              <w:tab/>
            </w:r>
            <w:r>
              <w:rPr>
                <w:b/>
                <w:i/>
              </w:rPr>
              <w:t>Rättvis arbetskraftsrörlighet innebär möjligheter för företag och arbetstagare och bör främjas både inom EU och bland arbetstagare från tredjeländer, samtidigt som man säkerställer respekt för och efterlevnad av arbetstagarrättigheter och sociala rättigheter, genom lagliga migrationsvägar.</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Rättvis arbetskraftsrörlighet innebär möjligheter för företag och arbetstagare och bör främjas både inom EU och bland arbetstagare från tredjeländer, samtidigt som man säkerställer respekt för och efterlevnad av arbetstagarrättigheter och sociala rättigheter, genom lagliga migrationsvägar.</w:t>
            </w:r>
          </w:p>
        </w:tc>
        <w:tc>
          <w:tcPr>
            <w:tcW w:w="4876" w:type="dxa"/>
            <w:tcBorders>
              <w:top w:val="nil"/>
              <w:left w:val="nil"/>
              <w:bottom w:val="nil"/>
              <w:right w:val="nil"/>
            </w:tcBorders>
          </w:tcPr>
          <w:p>
            <w:pPr>
              <w:pStyle w:val="Normal6a"/>
            </w:pPr>
            <w:r>
              <w:t>H.</w:t>
            </w:r>
            <w:r>
              <w:tab/>
            </w:r>
            <w:r>
              <w:t xml:space="preserve">Rättvis arbetskraftsrörlighet innebär möjligheter för företag och arbetstagare och bör främjas både inom EU och bland arbetstagare från tredjeländer, samtidigt som man säkerställer respekt för och efterlevnad av arbetstagarrättigheter och sociala rättigheter, genom lagliga migrationsvägar </w:t>
            </w:r>
            <w:r>
              <w:rPr>
                <w:b/>
                <w:i/>
              </w:rPr>
              <w:t>samt likabehandling och icke-diskriminering, bland annat när det gäller möjligheten att överföra förvärvade arbetsrelaterade förmåner på den inre marknaden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rPr>
                <w:b/>
                <w:i/>
              </w:rPr>
              <w:t>Rättvis</w:t>
            </w:r>
            <w:r>
              <w:t xml:space="preserve"> arbetskraftsrörlighet innebär möjligheter för företag och arbetstagare och bör främjas både inom EU och bland arbetstagare från tredjeländer, samtidigt som man säkerställer respekt för och efterlevnad av arbetstagarrättigheter och sociala rättigheter, genom lagliga migrationsvägar.</w:t>
            </w:r>
          </w:p>
        </w:tc>
        <w:tc>
          <w:tcPr>
            <w:tcW w:w="4876" w:type="dxa"/>
            <w:tcBorders>
              <w:top w:val="nil"/>
              <w:left w:val="nil"/>
              <w:bottom w:val="nil"/>
              <w:right w:val="nil"/>
            </w:tcBorders>
          </w:tcPr>
          <w:p>
            <w:pPr>
              <w:pStyle w:val="Normal6a"/>
            </w:pPr>
            <w:r>
              <w:t>H.</w:t>
            </w:r>
            <w:r>
              <w:tab/>
            </w:r>
            <w:r>
              <w:t xml:space="preserve">Arbetskraftsrörlighet </w:t>
            </w:r>
            <w:r>
              <w:rPr>
                <w:b/>
                <w:i/>
              </w:rPr>
              <w:t>stadgas i fördragen och</w:t>
            </w:r>
            <w:r>
              <w:t xml:space="preserve"> innebär möjligheter för företag och arbetstagare och bör främjas både inom EU och bland arbetstagare från tredjeländer, samtidigt som man säkerställer </w:t>
            </w:r>
            <w:r>
              <w:rPr>
                <w:b/>
                <w:i/>
              </w:rPr>
              <w:t>full</w:t>
            </w:r>
            <w:r>
              <w:t xml:space="preserve"> respekt för och efterlevnad av arbetstagarrättigheter och sociala rättigheter, </w:t>
            </w:r>
            <w:r>
              <w:rPr>
                <w:b/>
                <w:i/>
              </w:rPr>
              <w:t>inbegripet för tredjelandsmedborgare</w:t>
            </w:r>
            <w:r>
              <w:t xml:space="preserve"> genom lagliga migrationsvägar </w:t>
            </w:r>
            <w:r>
              <w:rPr>
                <w:b/>
                <w:i/>
              </w:rPr>
              <w:t>och genom att bekämpa odeklarerat arbete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Ha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Enligt Eurofounds forskning är företagsdemokrati nära kopplad till arbetets och sysselsättningens kvalitet och industrins konkurrenskraft. De uppdaterade indexen för företagsdemokrati och arbetsmarknadsrelationer visar på en splittrad bild där små grupper av medlemsstater presterar mycket högt eller mycket lågt, och ett mönster med en svag uppåtgående divergens i fråga om företagsdemokrati påvisades mellan 2008 och 2021</w:t>
            </w:r>
            <w:r>
              <w:rPr>
                <w:b/>
                <w:i/>
                <w:vertAlign w:val="superscript"/>
              </w:rPr>
              <w:t>4a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https://www.eurofound.europa.eu/en/publications/2023/measuring-key-dimensions-industrial-relations-and-industrial-democracy#:~:text=Executive%20summary,quality%20of%20work%20and%20employment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Inom ramen för Internationella arbetsorganisationens uppdrag att främja social rättvisa är dess grundläggande principer och rättigheter i arbetslivet centrala när det gäller att säkerställa en rättvis och anständig arbetsmiljö för alla, inbegripet föreningsfrihet och rätten till kollektiva förhandlingar, avskaffande av alla former av tvångsarbete eller obligatoriskt arbete, faktiskt avskaffande av barnarbete, avskaffande av diskriminering i fråga om anställning och yrkesutövning samt rätten till en säker och hälsosam arbetsmiljö. </w:t>
            </w:r>
            <w:r>
              <w:rPr>
                <w:b/>
                <w:i/>
              </w:rPr>
              <w:t>Alla</w:t>
            </w:r>
            <w:r>
              <w:t xml:space="preserve"> EU-medlemsstater </w:t>
            </w:r>
            <w:r>
              <w:rPr>
                <w:b/>
                <w:i/>
              </w:rPr>
              <w:t>fullgör inte</w:t>
            </w:r>
            <w:r>
              <w:t xml:space="preserve"> dessa skyldigheter.</w:t>
            </w:r>
          </w:p>
        </w:tc>
        <w:tc>
          <w:tcPr>
            <w:tcW w:w="4876" w:type="dxa"/>
            <w:tcBorders>
              <w:top w:val="nil"/>
              <w:left w:val="nil"/>
              <w:bottom w:val="nil"/>
              <w:right w:val="nil"/>
            </w:tcBorders>
          </w:tcPr>
          <w:p>
            <w:pPr>
              <w:pStyle w:val="Normal6a"/>
            </w:pPr>
            <w:r>
              <w:t>I</w:t>
            </w:r>
            <w:r>
              <w:rPr>
                <w:b/>
                <w:i/>
              </w:rPr>
              <w:t>.</w:t>
            </w:r>
            <w:r>
              <w:tab/>
            </w:r>
            <w:r>
              <w:rPr>
                <w:b/>
                <w:i/>
              </w:rPr>
              <w:t>Internationella arbetsorganisationens trepartsstruktur och breda medlemskap utmärker den som en ledare inom globala arbetsnormer</w:t>
            </w:r>
            <w:r>
              <w:t xml:space="preserve">. Inom ramen för Internationella arbetsorganisationens uppdrag att främja social rättvisa är dess grundläggande principer och rättigheter i arbetslivet centrala när det gäller att säkerställa en rättvis och anständig arbetsmiljö för alla, inbegripet föreningsfrihet och rätten till kollektiva förhandlingar, avskaffande av alla former av tvångsarbete eller obligatoriskt arbete, faktiskt avskaffande av barnarbete, avskaffande av diskriminering i fråga om anställning och yrkesutövning samt rätten till en säker och hälsosam arbetsmiljö. </w:t>
            </w:r>
            <w:r>
              <w:rPr>
                <w:b/>
                <w:i/>
              </w:rPr>
              <w:t>I vissa</w:t>
            </w:r>
            <w:r>
              <w:t xml:space="preserve"> EU-medlemsstater </w:t>
            </w:r>
            <w:r>
              <w:rPr>
                <w:b/>
                <w:i/>
              </w:rPr>
              <w:t>finns det utmaningar när det gäller att genomföra och genomdriva</w:t>
            </w:r>
            <w:r>
              <w:t xml:space="preserve"> dessa skyldigheter.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Ia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Arbetsmarknadens parter och civilsamhällets organisationer spelar en central roll för att säkerställa anständiga arbetsvillkor och främja social rättvisa och jämlikhet.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Skäl Ia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Inom ramen för EU skyddas dessa rättigheter av EU-fördragen, stadgan om de grundläggande rättigheterna och EU:s arbetsrättsliga regelverk.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Europaparlamentet anser att kommissionen och rådet bör öka sina insatser för att genomföra den europeiska pelaren för sociala rättigheter, i enlighet med </w:t>
            </w:r>
            <w:r>
              <w:rPr>
                <w:b/>
                <w:i/>
              </w:rPr>
              <w:t>handlingsplanen från mars 2021 och</w:t>
            </w:r>
            <w:r>
              <w:t xml:space="preserve"> La Hulpe-förklaringen, för att uppnå de överordnade målen för 2030.</w:t>
            </w:r>
          </w:p>
        </w:tc>
        <w:tc>
          <w:tcPr>
            <w:tcW w:w="4876" w:type="dxa"/>
            <w:tcBorders>
              <w:top w:val="nil"/>
              <w:left w:val="nil"/>
              <w:bottom w:val="nil"/>
              <w:right w:val="nil"/>
            </w:tcBorders>
          </w:tcPr>
          <w:p>
            <w:pPr>
              <w:pStyle w:val="Normal6a"/>
            </w:pPr>
            <w:r>
              <w:t>1.</w:t>
            </w:r>
            <w:r>
              <w:tab/>
            </w:r>
            <w:r>
              <w:t xml:space="preserve">Europaparlamentet anser att kommissionen och rådet bör öka sina insatser för att genomföra den europeiska pelaren för sociala rättigheter, i enlighet med La Hulpe-förklaringen </w:t>
            </w:r>
            <w:r>
              <w:rPr>
                <w:b/>
                <w:i/>
              </w:rPr>
              <w:t>och genom en ambitiös uppdatering av handlingsplanen</w:t>
            </w:r>
            <w:r>
              <w:t xml:space="preserve">, </w:t>
            </w:r>
            <w:r>
              <w:rPr>
                <w:b/>
                <w:i/>
              </w:rPr>
              <w:t>med konkreta åtgärder och förslag för att främja social konvergens, särskilt</w:t>
            </w:r>
            <w:r>
              <w:t xml:space="preserve"> för att uppnå de överordnade målen för 2030. </w:t>
            </w:r>
            <w:r>
              <w:rPr>
                <w:b/>
                <w:i/>
              </w:rPr>
              <w:t>Parlamentet uppmanar kommissionen att som en del av den uppdaterade handlingsplanen bedöma de nuvarande målen, i syfte att säkerställa deras fortsatta relevans i den rådande sociala och arbetsrättsliga kontexten, och att uppdatera eller komplettera dem om nödvändigt.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Europaparlamentet anser att kommissionen och </w:t>
            </w:r>
            <w:r>
              <w:rPr>
                <w:b/>
                <w:i/>
              </w:rPr>
              <w:t>rådet</w:t>
            </w:r>
            <w:r>
              <w:t xml:space="preserve"> bör öka sina insatser för att genomföra den europeiska pelaren för sociala rättigheter, i enlighet med handlingsplanen från mars 2021 och La Hulpe-förklaringen, för att uppnå de överordnade målen för 2030.</w:t>
            </w:r>
          </w:p>
        </w:tc>
        <w:tc>
          <w:tcPr>
            <w:tcW w:w="4876" w:type="dxa"/>
            <w:tcBorders>
              <w:top w:val="nil"/>
              <w:left w:val="nil"/>
              <w:bottom w:val="nil"/>
              <w:right w:val="nil"/>
            </w:tcBorders>
          </w:tcPr>
          <w:p>
            <w:pPr>
              <w:pStyle w:val="Normal6a"/>
            </w:pPr>
            <w:r>
              <w:t>1.</w:t>
            </w:r>
            <w:r>
              <w:tab/>
            </w:r>
            <w:r>
              <w:t xml:space="preserve">Europaparlamentet anser att kommissionen och </w:t>
            </w:r>
            <w:r>
              <w:rPr>
                <w:b/>
                <w:i/>
              </w:rPr>
              <w:t>medlemsstaterna</w:t>
            </w:r>
            <w:r>
              <w:t xml:space="preserve"> bör öka sina insatser för att genomföra den europeiska pelaren för sociala rättigheter, i enlighet med </w:t>
            </w:r>
            <w:r>
              <w:rPr>
                <w:b/>
                <w:i/>
              </w:rPr>
              <w:t>förordning (EU) 2024/1263,</w:t>
            </w:r>
            <w:r>
              <w:t xml:space="preserve"> handlingsplanen från mars 2021 och La Hulpe-förklaringen, för att uppnå de överordnade målen för 2030. </w:t>
            </w:r>
            <w:r>
              <w:rPr>
                <w:b/>
                <w:i/>
              </w:rPr>
              <w:t>Parlamentet uppmanar kommissionen att lägga fram en ny handlingsplan med nya överordnade mål samt lagstiftningsinitiativ för ett fullständigt genomförande av den europeiska pelaren för sociala rättigheter.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Europaparlamentet beklagar att kommissionen har rört sig bort från sitt åtagande om sociala framsteg och uppnående av målen för hållbar utveckling och i riktning mot en agenda för konkurrenskraft, förenkling och avreglering med dumpning av de sociala och gröna åtagandena. Parlamentet påminner om att social och ekonomisk resiliens, däribland den europeiska pelaren för sociala rättigheter, tillhör unionens gemensamma 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Europaparlamentet påminner om att FN:s Agenda 2030 för hållbar utveckling och de tillhörande målen tar fasta på att utrotning av fattigdom i alla dess former och dimensioner, däribland extrem fattigdom, är den största globala utmaningen och en nödvändig förutsättning för hållbar utveckling samt att ingen får halka efter och att de som ligger sist bör vara de som nås först.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Europaparlamentet uttrycker oro över att målen för hållbar utveckling inte nämndes uttryckligen i de politiska riktlinjerna från den nuvarande kommissionsordföranden, och välkomnar att det i uppdraget anges att varje medlem av kollegiet ska säkerställa uppnåendet av EU:s olika mål liksom av FN:s mål för hållbar utveckling inom sina politikområden.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Europaparlamentet beklagar att det rent allmänt går trögt med att göra framsteg med målen för hållbar utveckling i EU. Framstegstakten under perioden 2020–2023 var mer än två gånger lägre (+0,8 procentenheter) än under perioden 2016–2019 (+1,9 procentenheter).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1d.</w:t>
            </w:r>
            <w:r>
              <w:tab/>
            </w:r>
            <w:r>
              <w:rPr>
                <w:b/>
                <w:i/>
              </w:rPr>
              <w:t>Europaparlamentet betonar att målen för hållbar utveckling till stor del är en agenda för investeringar, inte minst i humankapital (utbildning, hälsa, socialt skydd m.m.) och fysisk infrastruktur (förnybar energi och nät, tillgång till teknik m.m.).</w:t>
            </w:r>
            <w:r>
              <w:t xml:space="preserve"> </w:t>
            </w:r>
            <w:r>
              <w:rPr>
                <w:b/>
                <w:i/>
              </w:rPr>
              <w:t>Parlamentet är bekymrat över att EU-medlen kommer att avsättas för försvar och konkurrenskraft på bekostad av den sociala utvecklingsagendan.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1e.</w:t>
            </w:r>
            <w:r>
              <w:tab/>
            </w:r>
            <w:r>
              <w:rPr>
                <w:b/>
                <w:i/>
              </w:rPr>
              <w:t>Europaparlamentet uppmanar kommissionen och medlemsstaterna att samarbeta med parlamentet för att utveckla en ny europeisk social giv för framtiden, med tydliga åtaganden och investeringar på följande områden:</w:t>
            </w:r>
            <w:r>
              <w:t xml:space="preserve"> </w:t>
            </w:r>
            <w:r>
              <w:rPr>
                <w:b/>
                <w:i/>
              </w:rPr>
              <w:t>att minska risken för fattigdom och social utestängning bland européerna och att uppnå nettonollutsläpp i EU senast 2050.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 Rachel Blom</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Europaparlamentet bekräftar att de tre centrala ämnena vid det globala toppmötet om social utveckling i Köpenhamn 1995, vilka anses vara de tre pelarna för social utveckling, närmare bestämt utrotning av fattigdom, full och produktiv sysselsättning med anständiga arbetsvillkor för alla samt social delaktighet, fortfarande är relevanta och </w:t>
            </w:r>
            <w:r>
              <w:rPr>
                <w:b/>
                <w:i/>
              </w:rPr>
              <w:t>viktiga och hänger samman med varandra</w:t>
            </w:r>
            <w:r>
              <w:t>.</w:t>
            </w:r>
          </w:p>
        </w:tc>
        <w:tc>
          <w:tcPr>
            <w:tcW w:w="4876" w:type="dxa"/>
            <w:tcBorders>
              <w:top w:val="nil"/>
              <w:left w:val="nil"/>
              <w:bottom w:val="nil"/>
              <w:right w:val="nil"/>
            </w:tcBorders>
          </w:tcPr>
          <w:p>
            <w:pPr>
              <w:pStyle w:val="Normal6a"/>
            </w:pPr>
            <w:r>
              <w:t>2.</w:t>
            </w:r>
            <w:r>
              <w:tab/>
            </w:r>
            <w:r>
              <w:t xml:space="preserve">Europaparlamentet bekräftar att de tre centrala ämnena vid det globala toppmötet om social utveckling i Köpenhamn 1995, vilka anses vara de tre pelarna för social utveckling, närmare bestämt utrotning av fattigdom, full och produktiv sysselsättning med anständiga arbetsvillkor för alla samt social delaktighet, fortfarande är relevanta och </w:t>
            </w:r>
            <w:r>
              <w:rPr>
                <w:b/>
                <w:i/>
              </w:rPr>
              <w:t>inte bör användas mot medlemsstaterna i direkt eller indirekt syfte att främja invandring från tredjeländer</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Europaparlamentet bekräftar att de tre centrala ämnena vid det globala toppmötet om social utveckling i Köpenhamn 1995, vilka anses vara de tre pelarna för social utveckling, närmare bestämt utrotning av fattigdom, full och produktiv sysselsättning med anständiga arbetsvillkor för alla samt social delaktighet, fortfarande är relevanta och viktiga och hänger samman med varandra.</w:t>
            </w:r>
          </w:p>
        </w:tc>
        <w:tc>
          <w:tcPr>
            <w:tcW w:w="4876" w:type="dxa"/>
            <w:tcBorders>
              <w:top w:val="nil"/>
              <w:left w:val="nil"/>
              <w:bottom w:val="nil"/>
              <w:right w:val="nil"/>
            </w:tcBorders>
          </w:tcPr>
          <w:p>
            <w:pPr>
              <w:pStyle w:val="Normal6a"/>
            </w:pPr>
            <w:r>
              <w:t>2.</w:t>
            </w:r>
            <w:r>
              <w:tab/>
            </w:r>
            <w:r>
              <w:t xml:space="preserve">Europaparlamentet bekräftar att de tre centrala ämnena vid det globala toppmötet om social utveckling i Köpenhamn 1995, vilka anses vara de tre pelarna för social utveckling, närmare bestämt utrotning av fattigdom, full och produktiv sysselsättning med anständiga arbetsvillkor för alla samt social delaktighet, fortfarande är relevanta och viktiga och hänger samman med varandra </w:t>
            </w:r>
            <w:r>
              <w:rPr>
                <w:b/>
                <w:i/>
              </w:rPr>
              <w:t>och att de är ömsesidigt förstärkande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Europaparlamentet uppmanar med kraft FN:s medlemsstater att stödja och främja arbetsmarknadsparternas och civilsamhällesorganisationernas roll på det egna territoriet och att se till att de görs meningsfullt delaktiga i förberedandet och uppföljningen av toppmötet.</w:t>
            </w:r>
            <w:r>
              <w:t xml:space="preserve"> </w:t>
            </w:r>
            <w:r>
              <w:rPr>
                <w:b/>
                <w:i/>
              </w:rPr>
              <w:t>Parlamentet framhåller att ett starkt flerpartsdeltagande i beslutsfattandet och effektiva kollektivförhandlingar avsevärt kan bidra till framsteg med målen för social utveckling.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Europaparlamentet betonar vikten av att använda den sociala resultattavlan och ramen för social konvergens för att identifiera risker och följa framstegen i arbetet med att minska ojämlikheter, stärka de sociala trygghetssystemen och främja anständiga arbetsvillkor </w:t>
            </w:r>
            <w:r>
              <w:rPr>
                <w:b/>
                <w:i/>
              </w:rPr>
              <w:t>och stödåtgärder för arbetstagare som måste hantera omställningar</w:t>
            </w:r>
            <w:r>
              <w:t>. Parlamentet betonar att det i detta avseende är nödvändigt att skapa ett hållbart, socialt rättvist och inkluderande Europa där de sociala rättigheterna skyddas och värnas fullt ut. Parlamentet påminner om att EU-medborgarna ser ett socialt Europa som en av sina prioriteringar.</w:t>
            </w:r>
          </w:p>
        </w:tc>
        <w:tc>
          <w:tcPr>
            <w:tcW w:w="4876" w:type="dxa"/>
            <w:tcBorders>
              <w:top w:val="nil"/>
              <w:left w:val="nil"/>
              <w:bottom w:val="nil"/>
              <w:right w:val="nil"/>
            </w:tcBorders>
          </w:tcPr>
          <w:p>
            <w:pPr>
              <w:pStyle w:val="Normal6a"/>
            </w:pPr>
            <w:r>
              <w:t>3.</w:t>
            </w:r>
            <w:r>
              <w:tab/>
            </w:r>
            <w:r>
              <w:t xml:space="preserve">Europaparlamentet </w:t>
            </w:r>
            <w:r>
              <w:rPr>
                <w:b/>
                <w:i/>
              </w:rPr>
              <w:t>framhåller behovet av att kommissionen i brådskande ordning lägger fram ett paket om arbetstillfällen av hög kvalitet med nödvändiga lagstiftningsinitiativ och investeringar för att säkra kvalitetsjobb.</w:t>
            </w:r>
            <w:r>
              <w:t xml:space="preserve"> </w:t>
            </w:r>
            <w:r>
              <w:rPr>
                <w:b/>
                <w:i/>
              </w:rPr>
              <w:t>Parlamentet</w:t>
            </w:r>
            <w:r>
              <w:t xml:space="preserve"> betonar vikten av att använda den sociala resultattavlan och ramen för social konvergens för att identifiera risker och följa framstegen i arbetet med att </w:t>
            </w:r>
            <w:r>
              <w:rPr>
                <w:b/>
                <w:i/>
              </w:rPr>
              <w:t>säkerställa social konvergens och lönekonvergens,</w:t>
            </w:r>
            <w:r>
              <w:t xml:space="preserve"> minska ojämlikheter, stärka de sociala trygghetssystemen och främja anständiga arbetsvillkor </w:t>
            </w:r>
            <w:r>
              <w:rPr>
                <w:b/>
                <w:i/>
              </w:rPr>
              <w:t>i syfte att säkerställa rättvisa i omställningarna</w:t>
            </w:r>
            <w:r>
              <w:t>. Parlamentet betonar att det i detta avseende är nödvändigt att skapa ett hållbart, socialt rättvist och inkluderande Europa där de sociala rättigheterna skyddas och värnas fullt ut. Parlamentet påminner om att EU-medborgarna ser ett socialt Europa som en av sina prioriteringar.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Marie Dauchy, Mélanie Disdier, Rachel Blom</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Europaparlamentet betonar vikten av att använda den sociala resultattavlan och ramen för social konvergens för att identifiera risker och följa framstegen i arbetet med att minska ojämlikheter, stärka de sociala trygghetssystemen och främja anständiga arbetsvillkor och stödåtgärder för arbetstagare som måste hantera omställningar. Parlamentet betonar att det i detta avseende är nödvändigt att skapa ett hållbart, socialt rättvist och inkluderande Europa där de sociala rättigheterna skyddas och värnas fullt ut. Parlamentet påminner om att EU-medborgarna ser ett socialt Europa som en av sina prioriteringar.</w:t>
            </w:r>
          </w:p>
        </w:tc>
        <w:tc>
          <w:tcPr>
            <w:tcW w:w="4876" w:type="dxa"/>
            <w:tcBorders>
              <w:top w:val="nil"/>
              <w:left w:val="nil"/>
              <w:bottom w:val="nil"/>
              <w:right w:val="nil"/>
            </w:tcBorders>
          </w:tcPr>
          <w:p>
            <w:pPr>
              <w:pStyle w:val="Normal6a"/>
            </w:pPr>
            <w:r>
              <w:t>3.</w:t>
            </w:r>
            <w:r>
              <w:tab/>
            </w:r>
            <w:r>
              <w:t xml:space="preserve">Europaparlamentet betonar vikten av att använda den sociala resultattavlan och ramen för social konvergens för att identifiera risker och följa framstegen i arbetet med att minska ojämlikheter, stärka de sociala trygghetssystemen och främja anständiga arbetsvillkor och stödåtgärder för arbetstagare som måste hantera omställningar </w:t>
            </w:r>
            <w:r>
              <w:rPr>
                <w:b/>
                <w:i/>
              </w:rPr>
              <w:t>i arbetslivet</w:t>
            </w:r>
            <w:r>
              <w:t xml:space="preserve">. Parlamentet betonar att det i detta avseende är nödvändigt att skapa ett hållbart, socialt rättvist och inkluderande Europa </w:t>
            </w:r>
            <w:r>
              <w:rPr>
                <w:b/>
                <w:i/>
              </w:rPr>
              <w:t>för européerna,</w:t>
            </w:r>
            <w:r>
              <w:t xml:space="preserve"> där de sociala rättigheterna skyddas och värnas fullt ut. Parlamentet påminner om att EU-medborgarna ser ett socialt Europa som en av sina prioriteringar </w:t>
            </w:r>
            <w:r>
              <w:rPr>
                <w:b/>
                <w:i/>
              </w:rPr>
              <w:t>för sig själva</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Europaparlamentet </w:t>
            </w:r>
            <w:r>
              <w:rPr>
                <w:b/>
                <w:i/>
              </w:rPr>
              <w:t>uppmanar med kraft</w:t>
            </w:r>
            <w:r>
              <w:t xml:space="preserve"> medlemsstaterna att </w:t>
            </w:r>
            <w:r>
              <w:rPr>
                <w:b/>
                <w:i/>
              </w:rPr>
              <w:t>främja demokrati i arbetslivet, social dialog och kollektiva förhandlingar och skydd av</w:t>
            </w:r>
            <w:r>
              <w:t xml:space="preserve"> arbetstagarnas rättigheter, särskilt i samband med den </w:t>
            </w:r>
            <w:r>
              <w:rPr>
                <w:b/>
                <w:i/>
              </w:rPr>
              <w:t>gröna</w:t>
            </w:r>
            <w:r>
              <w:t xml:space="preserve"> och den </w:t>
            </w:r>
            <w:r>
              <w:rPr>
                <w:b/>
                <w:i/>
              </w:rPr>
              <w:t>digitala</w:t>
            </w:r>
            <w:r>
              <w:t xml:space="preserve"> omställningen, </w:t>
            </w:r>
            <w:r>
              <w:rPr>
                <w:b/>
                <w:i/>
              </w:rPr>
              <w:t>samt att säkerställa</w:t>
            </w:r>
            <w:r>
              <w:t xml:space="preserve"> lika lön för lika arbete för </w:t>
            </w:r>
            <w:r>
              <w:rPr>
                <w:b/>
                <w:i/>
              </w:rPr>
              <w:t>män och</w:t>
            </w:r>
            <w:r>
              <w:t xml:space="preserve"> kvinnor</w:t>
            </w:r>
            <w:r>
              <w:rPr>
                <w:b/>
                <w:i/>
              </w:rPr>
              <w:t>, öka insynen i lönesättningen och ta itu med bristande jämställdhet för att minska löneklyftan mellan könen i EU</w:t>
            </w:r>
            <w:r>
              <w:t>.</w:t>
            </w:r>
          </w:p>
        </w:tc>
        <w:tc>
          <w:tcPr>
            <w:tcW w:w="4876" w:type="dxa"/>
            <w:tcBorders>
              <w:top w:val="nil"/>
              <w:left w:val="nil"/>
              <w:bottom w:val="nil"/>
              <w:right w:val="nil"/>
            </w:tcBorders>
          </w:tcPr>
          <w:p>
            <w:pPr>
              <w:pStyle w:val="Normal6a"/>
            </w:pPr>
            <w:r>
              <w:t>4.</w:t>
            </w:r>
            <w:r>
              <w:tab/>
            </w:r>
            <w:r>
              <w:t xml:space="preserve">Europaparlamentet </w:t>
            </w:r>
            <w:r>
              <w:rPr>
                <w:b/>
                <w:i/>
              </w:rPr>
              <w:t>rekommenderar</w:t>
            </w:r>
            <w:r>
              <w:t xml:space="preserve"> medlemsstaterna att </w:t>
            </w:r>
            <w:r>
              <w:rPr>
                <w:b/>
                <w:i/>
              </w:rPr>
              <w:t>skydda</w:t>
            </w:r>
            <w:r>
              <w:t xml:space="preserve"> arbetstagarnas rättigheter, särskilt i samband med den </w:t>
            </w:r>
            <w:r>
              <w:rPr>
                <w:b/>
                <w:i/>
              </w:rPr>
              <w:t>digitala</w:t>
            </w:r>
            <w:r>
              <w:t xml:space="preserve"> och den </w:t>
            </w:r>
            <w:r>
              <w:rPr>
                <w:b/>
                <w:i/>
              </w:rPr>
              <w:t>gröna</w:t>
            </w:r>
            <w:r>
              <w:t xml:space="preserve"> omställningen, </w:t>
            </w:r>
            <w:r>
              <w:rPr>
                <w:b/>
                <w:i/>
              </w:rPr>
              <w:t>och att främja</w:t>
            </w:r>
            <w:r>
              <w:t xml:space="preserve"> lika lön för lika arbete för kvinnor </w:t>
            </w:r>
            <w:r>
              <w:rPr>
                <w:b/>
                <w:i/>
              </w:rPr>
              <w:t>och män</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Europaparlamentet uppmanar med kraft medlemsstaterna att främja demokrati i arbetslivet, social dialog och kollektiva förhandlingar och skydd av arbetstagarnas rättigheter, särskilt i samband med den gröna och den digitala omställningen, samt att säkerställa lika lön för lika arbete för män och kvinnor, öka insynen i lönesättningen och ta itu med bristande jämställdhet för att minska löneklyftan mellan könen i EU.</w:t>
            </w:r>
          </w:p>
        </w:tc>
        <w:tc>
          <w:tcPr>
            <w:tcW w:w="4876" w:type="dxa"/>
            <w:tcBorders>
              <w:top w:val="nil"/>
              <w:left w:val="nil"/>
              <w:bottom w:val="nil"/>
              <w:right w:val="nil"/>
            </w:tcBorders>
          </w:tcPr>
          <w:p>
            <w:pPr>
              <w:pStyle w:val="Normal6a"/>
            </w:pPr>
            <w:r>
              <w:t>4.</w:t>
            </w:r>
            <w:r>
              <w:tab/>
            </w:r>
            <w:r>
              <w:t xml:space="preserve">Europaparlamentet uppmanar med kraft </w:t>
            </w:r>
            <w:r>
              <w:rPr>
                <w:b/>
                <w:i/>
              </w:rPr>
              <w:t>kommissionen och</w:t>
            </w:r>
            <w:r>
              <w:t xml:space="preserve"> medlemsstaterna att främja demokrati i arbetslivet, social dialog och kollektiva förhandlingar och skydd av arbetstagarnas rättigheter, särskilt i samband med den gröna och den digitala omställningen, samt att säkerställa lika lön för lika arbete för män och kvinnor, öka insynen i lönesättningen och ta itu med bristande jämställdhet för att minska löneklyftan mellan könen i EU. </w:t>
            </w:r>
            <w:r>
              <w:rPr>
                <w:b/>
                <w:i/>
              </w:rPr>
              <w:t>Parlamentet framhåller behovet av att i nästa fleråriga budgetram anslå tillräckliga resurser för att stödja social dialog och kollektivförhandlingar och stärka arbetsmarknadsparternas kapacitetsuppbyggnad.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Europaparlamentet uppmanar </w:t>
            </w:r>
            <w:r>
              <w:rPr>
                <w:b/>
                <w:i/>
              </w:rPr>
              <w:t>med kraft</w:t>
            </w:r>
            <w:r>
              <w:t xml:space="preserve"> medlemsstaterna att främja demokrati </w:t>
            </w:r>
            <w:r>
              <w:rPr>
                <w:b/>
                <w:i/>
              </w:rPr>
              <w:t>i arbetslivet</w:t>
            </w:r>
            <w:r>
              <w:t xml:space="preserve">, social dialog och kollektiva förhandlingar och skydd av arbetstagarnas rättigheter, särskilt i samband med den gröna och den digitala omställningen, samt att säkerställa lika lön för lika arbete för män och kvinnor, öka insynen i lönesättningen </w:t>
            </w:r>
            <w:r>
              <w:rPr>
                <w:b/>
                <w:i/>
              </w:rPr>
              <w:t>och ta itu med</w:t>
            </w:r>
            <w:r>
              <w:t xml:space="preserve"> bristande jämställdhet för att minska löneklyftan mellan könen i EU.</w:t>
            </w:r>
          </w:p>
        </w:tc>
        <w:tc>
          <w:tcPr>
            <w:tcW w:w="4876" w:type="dxa"/>
            <w:tcBorders>
              <w:top w:val="nil"/>
              <w:left w:val="nil"/>
              <w:bottom w:val="nil"/>
              <w:right w:val="nil"/>
            </w:tcBorders>
          </w:tcPr>
          <w:p>
            <w:pPr>
              <w:pStyle w:val="Normal6a"/>
            </w:pPr>
            <w:r>
              <w:t>4.</w:t>
            </w:r>
            <w:r>
              <w:tab/>
            </w:r>
            <w:r>
              <w:t>Europaparlamentet uppmanar medlemsstaterna att främja demokrati, social dialog och kollektiva förhandlingar och skydd av arbetstagarnas rättigheter, särskilt i samband med den gröna och den digitala omställningen, samt att säkerställa lika lön för lika arbete för män och kvinnor, öka insynen i lönesättningen</w:t>
            </w:r>
            <w:r>
              <w:rPr>
                <w:b/>
                <w:i/>
              </w:rPr>
              <w:t>, stödja integrationen av personer med funktionsnedsättning i arbetslivet och dessa personers tillgång till anpassat boende och bekämpa</w:t>
            </w:r>
            <w:r>
              <w:t xml:space="preserve"> bristande jämställdhet för att minska löneklyftan mellan könen i EU.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Francesco Torselli, Chiara Gemma,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Europaparlamentet uppmanar med kraft medlemsstaterna att främja demokrati i arbetslivet, social dialog och </w:t>
            </w:r>
            <w:r>
              <w:rPr>
                <w:b/>
                <w:i/>
              </w:rPr>
              <w:t>kollektiva förhandlingar och</w:t>
            </w:r>
            <w:r>
              <w:t xml:space="preserve"> skydd av arbetstagarnas rättigheter</w:t>
            </w:r>
            <w:r>
              <w:rPr>
                <w:b/>
                <w:i/>
              </w:rPr>
              <w:t>, särskilt i samband med den gröna och den digitala omställningen,</w:t>
            </w:r>
            <w:r>
              <w:t xml:space="preserve"> samt att säkerställa lika lön för lika arbete för män och kvinnor, öka insynen i lönesättningen och ta itu med bristande jämställdhet för att minska löneklyftan mellan könen i EU.</w:t>
            </w:r>
          </w:p>
        </w:tc>
        <w:tc>
          <w:tcPr>
            <w:tcW w:w="4876" w:type="dxa"/>
            <w:tcBorders>
              <w:top w:val="nil"/>
              <w:left w:val="nil"/>
              <w:bottom w:val="nil"/>
              <w:right w:val="nil"/>
            </w:tcBorders>
          </w:tcPr>
          <w:p>
            <w:pPr>
              <w:pStyle w:val="Normal6a"/>
            </w:pPr>
            <w:r>
              <w:t>4.</w:t>
            </w:r>
            <w:r>
              <w:tab/>
            </w:r>
            <w:r>
              <w:t>Europaparlamentet uppmanar med kraft medlemsstaterna att främja demokrati i arbetslivet, social dialog och skydd av arbetstagarnas rättigheter samt att säkerställa lika lön för lika arbete för män och kvinnor, öka insynen i lönesättningen och ta itu med bristande jämställdhet för att minska löneklyftan mellan könen 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Europaparlamentet uppmanar med kraft medlemsstaterna att främja demokrati i arbetslivet, social dialog och kollektiva förhandlingar och skydd av arbetstagarnas rättigheter, särskilt i samband med den gröna och den digitala omställningen, samt att säkerställa lika lön för lika arbete för män och kvinnor, öka insynen i lönesättningen och ta itu med bristande jämställdhet för att minska </w:t>
            </w:r>
            <w:r>
              <w:rPr>
                <w:b/>
                <w:i/>
              </w:rPr>
              <w:t>löneklyftan</w:t>
            </w:r>
            <w:r>
              <w:t xml:space="preserve"> mellan könen i EU.</w:t>
            </w:r>
          </w:p>
        </w:tc>
        <w:tc>
          <w:tcPr>
            <w:tcW w:w="4876" w:type="dxa"/>
            <w:tcBorders>
              <w:top w:val="nil"/>
              <w:left w:val="nil"/>
              <w:bottom w:val="nil"/>
              <w:right w:val="nil"/>
            </w:tcBorders>
          </w:tcPr>
          <w:p>
            <w:pPr>
              <w:pStyle w:val="Normal6a"/>
            </w:pPr>
            <w:r>
              <w:t>4.</w:t>
            </w:r>
            <w:r>
              <w:tab/>
            </w:r>
            <w:r>
              <w:t xml:space="preserve">Europaparlamentet uppmanar med kraft medlemsstaterna att främja demokrati i arbetslivet, social dialog och kollektiva förhandlingar och skydd av arbetstagarnas rättigheter, särskilt i samband med den gröna och den digitala omställningen, samt att säkerställa lika lön för lika arbete för män och kvinnor, öka insynen i lönesättningen och ta itu med bristande jämställdhet för att minska </w:t>
            </w:r>
            <w:r>
              <w:rPr>
                <w:b/>
                <w:i/>
              </w:rPr>
              <w:t>löne-, pensions- och sysselsättningsskillnaderna</w:t>
            </w:r>
            <w:r>
              <w:t xml:space="preserve"> mellan könen 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Europaparlamentet manar till löneökningar för att se till att löner garanterar en skälig levnadsstandard och främja uppåtgående lönekonvergens, bland annat genom att främja kollektivförhandlingar och till fullo genomföra direktiv (EU) 2022/2041 om tillräckliga minimilöner i Europeiska unionen.</w:t>
            </w:r>
            <w:r>
              <w:t xml:space="preserve"> </w:t>
            </w:r>
            <w:r>
              <w:rPr>
                <w:b/>
                <w:i/>
              </w:rPr>
              <w:t>Parlamentet upprepar vidare vikten av att se till att skäliga, tillräckliga löner betalas i de globala leveranskedjorna och anser att ansvar måste utkrävas av multinationella företag i detta avseende, bland annat genom bindande lagstiftning om tillbörlig aktsamhet som upprätthåller rättvis lönepraxis utanför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Europaparlamentet efterlyser ökade insatser för att bekämpa diskriminering </w:t>
            </w:r>
            <w:r>
              <w:rPr>
                <w:b/>
                <w:i/>
              </w:rPr>
              <w:t>och</w:t>
            </w:r>
            <w:r>
              <w:t xml:space="preserve"> trakasserier i arbetslivet.</w:t>
            </w:r>
          </w:p>
        </w:tc>
        <w:tc>
          <w:tcPr>
            <w:tcW w:w="4876" w:type="dxa"/>
            <w:tcBorders>
              <w:top w:val="nil"/>
              <w:left w:val="nil"/>
              <w:bottom w:val="nil"/>
              <w:right w:val="nil"/>
            </w:tcBorders>
          </w:tcPr>
          <w:p>
            <w:pPr>
              <w:pStyle w:val="Normal6a"/>
            </w:pPr>
            <w:r>
              <w:t>5.</w:t>
            </w:r>
            <w:r>
              <w:tab/>
            </w:r>
            <w:r>
              <w:t xml:space="preserve">Europaparlamentet efterlyser ökade insatser för att bekämpa </w:t>
            </w:r>
            <w:r>
              <w:rPr>
                <w:b/>
                <w:i/>
              </w:rPr>
              <w:t>våld,</w:t>
            </w:r>
            <w:r>
              <w:t xml:space="preserve"> diskriminering </w:t>
            </w:r>
            <w:r>
              <w:rPr>
                <w:b/>
                <w:i/>
              </w:rPr>
              <w:t>eller</w:t>
            </w:r>
            <w:r>
              <w:t xml:space="preserve"> trakasserier i arbetslivet</w:t>
            </w:r>
            <w:r>
              <w:rPr>
                <w:b/>
                <w:i/>
              </w:rPr>
              <w:t>, även i digitala miljöer</w:t>
            </w:r>
            <w:r>
              <w:t xml:space="preserve">. </w:t>
            </w:r>
            <w:r>
              <w:rPr>
                <w:b/>
                <w:i/>
              </w:rPr>
              <w:t>Parlamentet framhåller betydelsen av förebyggande åtgärder och skyddsåtgärder på arbetsplatsen för att skydda arbetstagarnas välbefinnande och fysiska och psykiska hälsa.</w:t>
            </w:r>
            <w:r>
              <w:t xml:space="preserve"> </w:t>
            </w:r>
            <w:r>
              <w:rPr>
                <w:b/>
                <w:i/>
              </w:rPr>
              <w:t>Parlamentet noterar ökningen av arbetsrelaterat psykiskt lidande, bland annat utbrändhet, ångest och posttraumatisk stress, med koppling till nya former av arbetsorganisation, ständig uppkoppling och digital övervakning.</w:t>
            </w:r>
            <w:r>
              <w:t xml:space="preserve"> </w:t>
            </w:r>
            <w:r>
              <w:rPr>
                <w:b/>
                <w:i/>
              </w:rPr>
              <w:t>Parlamentet uppmanar kommissionen att skydda arbetstagarnas psykiska hälsa och framhåller på nytt det akuta behovet av ett lagstiftningsinitiativ för att förebygga psykosociala risker på arbetsplatsen.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Europaparlamentet påminner om vilken roll berörda EU-fonder såsom ESF+, den sociala klimatfonden och faciliteten för återhämtning och resiliens har för att bekämpa fattigdom och social utestängning, och uppmanar med kraft medlemsstaterna att till fullo utnyttja sin potential i detta avseende med stöd av kommissionen.</w:t>
            </w:r>
            <w:r>
              <w:t xml:space="preserve"> </w:t>
            </w:r>
            <w:r>
              <w:rPr>
                <w:b/>
                <w:i/>
              </w:rPr>
              <w:t>Parlamentet framhåller behovet av starka fristående instrument för att bekämpa fattigdom och social utestängning i nästa fleråriga budgetram.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Europaparlamentet uppmanar kommissionen och medlemsstaterna att tillämpa jämställdhetsintegrering på alla politikområden och rättsakter.</w:t>
            </w:r>
            <w:r>
              <w:t xml:space="preserve"> </w:t>
            </w:r>
            <w:r>
              <w:rPr>
                <w:b/>
                <w:i/>
              </w:rPr>
              <w:t>Parlamentet påminner om att social inkludering och rättvisa aldrig helt kommer att uppnås utan likabehandling.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Europaparlamentet påminner vidare om vilken roll Europeiska unionen spelar för den sociala utvecklingen i tredjeländer, bland annat genom fonder som Europa i världen.</w:t>
            </w:r>
            <w:r>
              <w:t xml:space="preserve"> </w:t>
            </w:r>
            <w:r>
              <w:rPr>
                <w:b/>
                <w:i/>
              </w:rPr>
              <w:t>Parlamentet beklagar starkt att ett antal länder dragit in finansieringen av utveckling, däribland social utveckling, vilket får förödande konsekvenser för människors liv och försörjningsmöjligheter.</w:t>
            </w:r>
            <w:r>
              <w:t xml:space="preserve"> </w:t>
            </w:r>
            <w:r>
              <w:rPr>
                <w:b/>
                <w:i/>
              </w:rPr>
              <w:t>Parlamentet uppmanar med kraft Europeiska unionen att fortsätta sitt starka engagemang till stöd för social utveckling utanför Europa i den nuvarande och den kommande fleråriga budgetramen för att säkerställa stabilitet och stabil finansiering samt att samverka med alla berörda aktörer för att säkerställa ett fortsatt engagemang för de sociala utvecklingsmålen globalt.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Europaparlamentet efterlyser en helhetssyn på socialt skydd och social inkludering och förslag på en ambitiös strategi som åtföljs av tillräckligt stöd i nästa fleråriga budgetram, på grundval av parlamentets kommande initiativbetänkande om EU:s strategi för fattigdomsbekämpning och en ambitiös plan för bostäder till överkomlig kostnad för att hantera bostadskrisen och bekämpa hemlöshet.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Europaparlamentet efterlyser en helhetssyn på socialt skydd och social inkludering och förslag på en ambitiös strategi som åtföljs av tillräckligt stöd i nästa fleråriga budgetram, på grundval av parlamentets kommande initiativbetänkande om EU:s strategi för fattigdomsbekämpning och en ambitiös plan för bostäder till överkomlig kostnad för att hantera bostadskrisen och bekämpa hemlöshet.</w:t>
            </w:r>
          </w:p>
        </w:tc>
        <w:tc>
          <w:tcPr>
            <w:tcW w:w="4876" w:type="dxa"/>
            <w:tcBorders>
              <w:top w:val="nil"/>
              <w:left w:val="nil"/>
              <w:bottom w:val="nil"/>
              <w:right w:val="nil"/>
            </w:tcBorders>
          </w:tcPr>
          <w:p>
            <w:pPr>
              <w:pStyle w:val="Normal6a"/>
            </w:pPr>
            <w:r>
              <w:t>6.</w:t>
            </w:r>
            <w:r>
              <w:tab/>
            </w:r>
            <w:r>
              <w:t xml:space="preserve">Europaparlamentet efterlyser en helhetssyn på </w:t>
            </w:r>
            <w:r>
              <w:rPr>
                <w:b/>
                <w:i/>
              </w:rPr>
              <w:t>fattigdomsutrotning,</w:t>
            </w:r>
            <w:r>
              <w:t xml:space="preserve"> socialt skydd och social inkludering och förslag på en ambitiös strategi som åtföljs av tillräckligt stöd i nästa fleråriga budgetram, på grundval av parlamentets kommande initiativbetänkande om EU:s strategi för fattigdomsbekämpning och en ambitiös plan för bostäder till överkomlig kostnad för att hantera bostadskrisen och bekämpa hemlöshet. </w:t>
            </w:r>
            <w:r>
              <w:rPr>
                <w:b/>
                <w:i/>
              </w:rPr>
              <w:t>Parlamentet betonar att dessa nya initiativ måste komplettera andra relaterade EU-strategier, såsom färdplanen för kvinnors rättigheter, strategin för rättigheter för personer med funktionsnedsättning och barngarantin, för att säkerställa ett intersektionellt angreppssätt på fattigdomens flerdimensionella karaktär.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Europaparlamentet efterlyser </w:t>
            </w:r>
            <w:r>
              <w:rPr>
                <w:b/>
                <w:i/>
              </w:rPr>
              <w:t>en helhetssyn på</w:t>
            </w:r>
            <w:r>
              <w:t xml:space="preserve"> socialt skydd och social inkludering och förslag på en ambitiös strategi som åtföljs av tillräckligt stöd i nästa fleråriga budgetram</w:t>
            </w:r>
            <w:r>
              <w:rPr>
                <w:b/>
                <w:i/>
              </w:rPr>
              <w:t>, på grundval av parlamentets kommande initiativbetänkande om EU:s strategi för fattigdomsbekämpning och en ambitiös plan för</w:t>
            </w:r>
            <w:r>
              <w:t xml:space="preserve"> bostäder till överkomlig kostnad </w:t>
            </w:r>
            <w:r>
              <w:rPr>
                <w:b/>
                <w:i/>
              </w:rPr>
              <w:t>för att hantera bostadskrisen och bekämpa hemlöshet</w:t>
            </w:r>
            <w:r>
              <w:t>.</w:t>
            </w:r>
          </w:p>
        </w:tc>
        <w:tc>
          <w:tcPr>
            <w:tcW w:w="4876" w:type="dxa"/>
            <w:tcBorders>
              <w:top w:val="nil"/>
              <w:left w:val="nil"/>
              <w:bottom w:val="nil"/>
              <w:right w:val="nil"/>
            </w:tcBorders>
          </w:tcPr>
          <w:p>
            <w:pPr>
              <w:pStyle w:val="Normal6a"/>
            </w:pPr>
            <w:r>
              <w:t>6.</w:t>
            </w:r>
            <w:r>
              <w:tab/>
            </w:r>
            <w:r>
              <w:t xml:space="preserve">Europaparlamentet efterlyser socialt skydd och social inkludering och förslag på en ambitiös strategi som åtföljs av tillräckligt stöd i nästa fleråriga budgetram </w:t>
            </w:r>
            <w:r>
              <w:rPr>
                <w:b/>
                <w:i/>
              </w:rPr>
              <w:t>så att man säkerställer att de sociala investeringarna ligger på samma nivå som investeringarna i försvar eller konkurrenskraft.</w:t>
            </w:r>
            <w:r>
              <w:t xml:space="preserve"> </w:t>
            </w:r>
            <w:r>
              <w:rPr>
                <w:b/>
                <w:i/>
              </w:rPr>
              <w:t>Parlamentet påminner om att de sociala investeringarna enligt kommissionens uppskattning av investeringsgapet</w:t>
            </w:r>
            <w:r>
              <w:rPr>
                <w:b/>
                <w:i/>
                <w:vertAlign w:val="superscript"/>
              </w:rPr>
              <w:t>5a</w:t>
            </w:r>
            <w:r>
              <w:t xml:space="preserve"> </w:t>
            </w:r>
            <w:r>
              <w:rPr>
                <w:b/>
                <w:i/>
              </w:rPr>
              <w:t>redan år 2020 var 192 miljarder euro lägre per år än vad som krävs för att tillgodose medborgarnas behov: 120 miljarder euro till hälsa, 57 miljarder euro till</w:t>
            </w:r>
            <w:r>
              <w:t xml:space="preserve"> bostäder till överkomlig kostnad </w:t>
            </w:r>
            <w:r>
              <w:rPr>
                <w:b/>
                <w:i/>
              </w:rPr>
              <w:t>och 15 miljarder till utbildning</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5a</w:t>
            </w:r>
            <w:r>
              <w:t xml:space="preserve"> </w:t>
            </w:r>
            <w:r>
              <w:rPr>
                <w:b/>
                <w:i/>
              </w:rPr>
              <w:t>https://eur-lex.europa.eu/legal-content/EN/TXT/PDF/?uri=CELEX:52020SC0098.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Europaparlamentet påminner om att minimiinkomstförmånen ligger på en nivå som mestadels är långt under de nationella fattigdomsgränserna.</w:t>
            </w:r>
            <w:r>
              <w:t xml:space="preserve"> </w:t>
            </w:r>
            <w:r>
              <w:rPr>
                <w:b/>
                <w:i/>
              </w:rPr>
              <w:t>Parlamentet uppmanar med kraft medlemsstaterna att till fullo genomföra rådets rekommendation om tillräcklig minimiinkomst.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6b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Europaparlamentet betonar att ett EU-ramdirektiv om tillräcklig minimiinkomst och aktiv inkludering, i överensstämmelse med subsidiaritetsprincipen, skulle bidra till målen att minska fattigdomen och den sociala utestängningen och att främja integrationen av människor som inte deltar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w:t>
            </w:r>
            <w:r>
              <w:rPr>
                <w:b/>
                <w:i/>
              </w:rPr>
              <w:t>uppmanar med kraft alla medlemsstater</w:t>
            </w:r>
            <w:r>
              <w:t xml:space="preserve"> att göra ytterligare ansträngningar att ta itu med barnfattigdom genom att genomföra sin nationella handlingsplan </w:t>
            </w:r>
            <w:r>
              <w:rPr>
                <w:b/>
                <w:i/>
              </w:rPr>
              <w:t>för den europeiska barngarantin och vill att den ges en särskild budget med tillräckliga resurser i nästa fleråriga budgetram</w:t>
            </w:r>
            <w:r>
              <w:t>.</w:t>
            </w:r>
          </w:p>
        </w:tc>
        <w:tc>
          <w:tcPr>
            <w:tcW w:w="4876" w:type="dxa"/>
            <w:tcBorders>
              <w:top w:val="nil"/>
              <w:left w:val="nil"/>
              <w:bottom w:val="nil"/>
              <w:right w:val="nil"/>
            </w:tcBorders>
          </w:tcPr>
          <w:p>
            <w:pPr>
              <w:pStyle w:val="Normal6a"/>
            </w:pPr>
            <w:r>
              <w:t>7.</w:t>
            </w:r>
            <w:r>
              <w:tab/>
            </w:r>
            <w:r>
              <w:t xml:space="preserve">Europaparlamentet </w:t>
            </w:r>
            <w:r>
              <w:rPr>
                <w:b/>
                <w:i/>
              </w:rPr>
              <w:t>rekommenderar medlemsstaterna</w:t>
            </w:r>
            <w:r>
              <w:t xml:space="preserve"> att göra ytterligare ansträngningar att ta itu med barnfattigdom genom att genomföra sin nationella handlingsplan.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uppmanar med kraft alla medlemsstater att göra ytterligare ansträngningar att ta itu med </w:t>
            </w:r>
            <w:r>
              <w:rPr>
                <w:b/>
                <w:i/>
              </w:rPr>
              <w:t>barnfattigdom</w:t>
            </w:r>
            <w:r>
              <w:t xml:space="preserve"> genom att genomföra sin nationella handlingsplan för den europeiska barngarantin </w:t>
            </w:r>
            <w:r>
              <w:rPr>
                <w:b/>
                <w:i/>
              </w:rPr>
              <w:t>och vill</w:t>
            </w:r>
            <w:r>
              <w:t xml:space="preserve"> att den </w:t>
            </w:r>
            <w:r>
              <w:rPr>
                <w:b/>
                <w:i/>
              </w:rPr>
              <w:t>ges</w:t>
            </w:r>
            <w:r>
              <w:t xml:space="preserve"> en särskild budget </w:t>
            </w:r>
            <w:r>
              <w:rPr>
                <w:b/>
                <w:i/>
              </w:rPr>
              <w:t>med tillräckliga resurser</w:t>
            </w:r>
            <w:r>
              <w:t xml:space="preserve"> i nästa fleråriga budgetram.</w:t>
            </w:r>
          </w:p>
        </w:tc>
        <w:tc>
          <w:tcPr>
            <w:tcW w:w="4876" w:type="dxa"/>
            <w:tcBorders>
              <w:top w:val="nil"/>
              <w:left w:val="nil"/>
              <w:bottom w:val="nil"/>
              <w:right w:val="nil"/>
            </w:tcBorders>
          </w:tcPr>
          <w:p>
            <w:pPr>
              <w:pStyle w:val="Normal6a"/>
            </w:pPr>
            <w:r>
              <w:t>7.</w:t>
            </w:r>
            <w:r>
              <w:tab/>
            </w:r>
            <w:r>
              <w:t xml:space="preserve">Europaparlamentet uppmanar med kraft alla medlemsstater att göra ytterligare ansträngningar </w:t>
            </w:r>
            <w:r>
              <w:rPr>
                <w:b/>
                <w:i/>
              </w:rPr>
              <w:t>för</w:t>
            </w:r>
            <w:r>
              <w:t xml:space="preserve"> att ta itu med </w:t>
            </w:r>
            <w:r>
              <w:rPr>
                <w:b/>
                <w:i/>
              </w:rPr>
              <w:t>barnfattigdomen</w:t>
            </w:r>
            <w:r>
              <w:t xml:space="preserve"> genom att genomföra sin nationella handlingsplan för den europeiska barngarantin</w:t>
            </w:r>
            <w:r>
              <w:rPr>
                <w:b/>
                <w:i/>
              </w:rPr>
              <w:t>, och uppmanar kommissionen att se till</w:t>
            </w:r>
            <w:r>
              <w:t xml:space="preserve"> att den </w:t>
            </w:r>
            <w:r>
              <w:rPr>
                <w:b/>
                <w:i/>
              </w:rPr>
              <w:t>får</w:t>
            </w:r>
            <w:r>
              <w:t xml:space="preserve"> en särskild budget </w:t>
            </w:r>
            <w:r>
              <w:rPr>
                <w:b/>
                <w:i/>
              </w:rPr>
              <w:t>på minst 20 miljarder euro</w:t>
            </w:r>
            <w:r>
              <w:t xml:space="preserve"> i nästa fleråriga budgetram.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uppmanar med kraft alla medlemsstater att göra ytterligare ansträngningar att ta itu med barnfattigdom genom att genomföra sin nationella handlingsplan för den europeiska barngarantin och vill att den ges en särskild budget med </w:t>
            </w:r>
            <w:r>
              <w:rPr>
                <w:b/>
                <w:i/>
              </w:rPr>
              <w:t>tillräckliga resurser</w:t>
            </w:r>
            <w:r>
              <w:t xml:space="preserve"> i nästa fleråriga budgetram.</w:t>
            </w:r>
          </w:p>
        </w:tc>
        <w:tc>
          <w:tcPr>
            <w:tcW w:w="4876" w:type="dxa"/>
            <w:tcBorders>
              <w:top w:val="nil"/>
              <w:left w:val="nil"/>
              <w:bottom w:val="nil"/>
              <w:right w:val="nil"/>
            </w:tcBorders>
          </w:tcPr>
          <w:p>
            <w:pPr>
              <w:pStyle w:val="Normal6a"/>
            </w:pPr>
            <w:r>
              <w:t>7.</w:t>
            </w:r>
            <w:r>
              <w:tab/>
            </w:r>
            <w:r>
              <w:t xml:space="preserve">Europaparlamentet uppmanar med kraft alla medlemsstater att göra ytterligare ansträngningar att ta itu med barnfattigdom genom att genomföra sin nationella handlingsplan för den europeiska barngarantin och vill att den ges en särskild budget med </w:t>
            </w:r>
            <w:r>
              <w:rPr>
                <w:b/>
                <w:i/>
              </w:rPr>
              <w:t>minst 20 miljarder euro</w:t>
            </w:r>
            <w:r>
              <w:t xml:space="preserve"> i nästa fleråriga budgetram.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uppmanar med kraft alla medlemsstater att göra ytterligare ansträngningar att ta itu med barnfattigdom genom att genomföra sin nationella handlingsplan för den europeiska barngarantin och vill att den ges en särskild budget </w:t>
            </w:r>
            <w:r>
              <w:rPr>
                <w:b/>
                <w:i/>
              </w:rPr>
              <w:t>med tillräckliga resurser</w:t>
            </w:r>
            <w:r>
              <w:t xml:space="preserve"> i nästa fleråriga budgetram.</w:t>
            </w:r>
          </w:p>
        </w:tc>
        <w:tc>
          <w:tcPr>
            <w:tcW w:w="4876" w:type="dxa"/>
            <w:tcBorders>
              <w:top w:val="nil"/>
              <w:left w:val="nil"/>
              <w:bottom w:val="nil"/>
              <w:right w:val="nil"/>
            </w:tcBorders>
          </w:tcPr>
          <w:p>
            <w:pPr>
              <w:pStyle w:val="Normal6a"/>
            </w:pPr>
            <w:r>
              <w:t>7.</w:t>
            </w:r>
            <w:r>
              <w:tab/>
            </w:r>
            <w:r>
              <w:t xml:space="preserve">Europaparlamentet uppmanar med kraft alla medlemsstater att göra ytterligare ansträngningar att ta itu med barnfattigdom genom att genomföra sin nationella handlingsplan för den europeiska barngarantin och vill att den ges en särskild budget </w:t>
            </w:r>
            <w:r>
              <w:rPr>
                <w:b/>
                <w:i/>
              </w:rPr>
              <w:t>på 20 miljarder euro</w:t>
            </w:r>
            <w:r>
              <w:t xml:space="preserve"> i nästa fleråriga budgetram.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Chiara Gemma, Francesco Torselli,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uppmanar med kraft alla medlemsstater att göra ytterligare ansträngningar att ta itu med barnfattigdom genom att genomföra sin nationella handlingsplan för den europeiska barngarantin och vill att den ges </w:t>
            </w:r>
            <w:r>
              <w:rPr>
                <w:b/>
                <w:i/>
              </w:rPr>
              <w:t>en särskild budget med</w:t>
            </w:r>
            <w:r>
              <w:t xml:space="preserve"> tillräckliga resurser i nästa fleråriga budgetram.</w:t>
            </w:r>
          </w:p>
        </w:tc>
        <w:tc>
          <w:tcPr>
            <w:tcW w:w="4876" w:type="dxa"/>
            <w:tcBorders>
              <w:top w:val="nil"/>
              <w:left w:val="nil"/>
              <w:bottom w:val="nil"/>
              <w:right w:val="nil"/>
            </w:tcBorders>
          </w:tcPr>
          <w:p>
            <w:pPr>
              <w:pStyle w:val="Normal6a"/>
            </w:pPr>
            <w:r>
              <w:t>7.</w:t>
            </w:r>
            <w:r>
              <w:tab/>
            </w:r>
            <w:r>
              <w:t>Europaparlamentet uppmanar med kraft alla medlemsstater att göra ytterligare ansträngningar att ta itu med barnfattigdom genom att genomföra sin nationella handlingsplan för den europeiska barngarantin och vill att den ges tillräckliga resurser i nästa fleråriga budgetram.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Europaparlamentet uppmanar kommissionen och medlemsstaterna att fullt ut genomföra den europeiska strategin för vård och omsorg för att säkerställa högkvalitativa, ekonomiskt överkomliga och tillgängliga vård- och omsorgstjänster i hela EU.</w:t>
            </w:r>
            <w:r>
              <w:t xml:space="preserve"> </w:t>
            </w:r>
            <w:r>
              <w:rPr>
                <w:b/>
                <w:i/>
              </w:rPr>
              <w:t>Parlamentet framhåller behovet av att erkänna vård och omsorg som en social och ekonomisk investering och lägga sig i linje med princip 18 i den europeiska pelaren för sociala rättigheter.</w:t>
            </w:r>
            <w:r>
              <w:t xml:space="preserve"> </w:t>
            </w:r>
            <w:r>
              <w:rPr>
                <w:b/>
                <w:i/>
              </w:rPr>
              <w:t>Parlamentet manar med kraft till utarbetande av bindande åtgärder på EU-nivå och global nivå för att erkänna vård och omsorg som en allmän nyttighet, förbättra arbetsvillkoren inom vård- och omsorgssektorn, främja jämställdhet och säkerställa tillgängliga, ekonomiskt överkomliga och högkvalitativa vård- och omsorgstjänster för alla.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Europaparlamentet betonar behovet av att </w:t>
            </w:r>
            <w:r>
              <w:rPr>
                <w:b/>
                <w:i/>
              </w:rPr>
              <w:t>göra mer för att ta itu med den gröna och</w:t>
            </w:r>
            <w:r>
              <w:t xml:space="preserve"> den digitala omställningens inverkan på arbetslivet genom att stärka principen om ”mänsklig kontroll” </w:t>
            </w:r>
            <w:r>
              <w:rPr>
                <w:b/>
                <w:i/>
              </w:rPr>
              <w:t>av artificiell intelligens genom ett nytt lagstiftningsinitiativ om AI på arbetsplatsen och algoritmisk verksamhetsledning</w:t>
            </w:r>
            <w:r>
              <w:t xml:space="preserve">. Parlamentet framhåller behovet av att skapa hållbara arbetstillfällen av god kvalitet </w:t>
            </w:r>
            <w:r>
              <w:rPr>
                <w:b/>
                <w:i/>
              </w:rPr>
              <w:t>och samtidigt stärka den rättsliga ramen för att hantera och förutse omställningen, medan man främjar arbetsmarknadsparternas roll och delaktighet och främjar integration på arbetsmarknaden</w:t>
            </w:r>
            <w:r>
              <w:t>.</w:t>
            </w:r>
          </w:p>
        </w:tc>
        <w:tc>
          <w:tcPr>
            <w:tcW w:w="4876" w:type="dxa"/>
            <w:tcBorders>
              <w:top w:val="nil"/>
              <w:left w:val="nil"/>
              <w:bottom w:val="nil"/>
              <w:right w:val="nil"/>
            </w:tcBorders>
          </w:tcPr>
          <w:p>
            <w:pPr>
              <w:pStyle w:val="Normal6a"/>
            </w:pPr>
            <w:r>
              <w:t>8.</w:t>
            </w:r>
            <w:r>
              <w:tab/>
            </w:r>
            <w:r>
              <w:t xml:space="preserve">Europaparlamentet betonar behovet av att </w:t>
            </w:r>
            <w:r>
              <w:rPr>
                <w:b/>
                <w:i/>
              </w:rPr>
              <w:t>fortsätta att bekämpa</w:t>
            </w:r>
            <w:r>
              <w:t xml:space="preserve"> den digitala </w:t>
            </w:r>
            <w:r>
              <w:rPr>
                <w:b/>
                <w:i/>
              </w:rPr>
              <w:t>och den gröna</w:t>
            </w:r>
            <w:r>
              <w:t xml:space="preserve"> omställningens inverkan på arbetslivet genom att stärka principen om "mänsklig kontroll". Parlamentet framhåller behovet av att skapa hållbara arbetstillfällen av god kvalitet.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Europaparlamentet </w:t>
            </w:r>
            <w:r>
              <w:rPr>
                <w:b/>
                <w:i/>
              </w:rPr>
              <w:t>betonar</w:t>
            </w:r>
            <w:r>
              <w:t xml:space="preserve"> behovet av att </w:t>
            </w:r>
            <w:r>
              <w:rPr>
                <w:b/>
                <w:i/>
              </w:rPr>
              <w:t>göra mer för att ta itu med den gröna och den digitala omställningens inverkan på arbetslivet genom att stärka</w:t>
            </w:r>
            <w:r>
              <w:t xml:space="preserve"> principen om ”mänsklig kontroll” </w:t>
            </w:r>
            <w:r>
              <w:rPr>
                <w:b/>
                <w:i/>
              </w:rPr>
              <w:t>av artificiell intelligens genom</w:t>
            </w:r>
            <w:r>
              <w:t xml:space="preserve"> ett nytt lagstiftningsinitiativ om AI </w:t>
            </w:r>
            <w:r>
              <w:rPr>
                <w:b/>
                <w:i/>
              </w:rPr>
              <w:t>på arbetsplatsen</w:t>
            </w:r>
            <w:r>
              <w:t xml:space="preserve"> och algoritmisk verksamhetsledning. Parlamentet framhåller behovet av att skapa hållbara arbetstillfällen av god kvalitet och </w:t>
            </w:r>
            <w:r>
              <w:rPr>
                <w:b/>
                <w:i/>
              </w:rPr>
              <w:t>samtidigt</w:t>
            </w:r>
            <w:r>
              <w:t xml:space="preserve"> stärka den rättsliga ramen för att hantera och förutse </w:t>
            </w:r>
            <w:r>
              <w:rPr>
                <w:b/>
                <w:i/>
              </w:rPr>
              <w:t>omställningen, medan man främjar arbetsmarknadsparternas roll och delaktighet och främjar integration på arbetsmarknaden</w:t>
            </w:r>
            <w:r>
              <w:t>.</w:t>
            </w:r>
          </w:p>
        </w:tc>
        <w:tc>
          <w:tcPr>
            <w:tcW w:w="4876" w:type="dxa"/>
            <w:tcBorders>
              <w:top w:val="nil"/>
              <w:left w:val="nil"/>
              <w:bottom w:val="nil"/>
              <w:right w:val="nil"/>
            </w:tcBorders>
          </w:tcPr>
          <w:p>
            <w:pPr>
              <w:pStyle w:val="Normal6a"/>
            </w:pPr>
            <w:r>
              <w:t>8.</w:t>
            </w:r>
            <w:r>
              <w:tab/>
            </w:r>
            <w:r>
              <w:t xml:space="preserve">Europaparlamentet </w:t>
            </w:r>
            <w:r>
              <w:rPr>
                <w:b/>
                <w:i/>
              </w:rPr>
              <w:t>välkomnar det nyantagna direktivet om plattformsarbete och ser det som ett banbrytande steg för att skydda arbetstagare i den digitala ekonomin och säkerställa rättvisa villkor och algoritmisk ansvarsskyldighet.</w:t>
            </w:r>
            <w:r>
              <w:t xml:space="preserve"> </w:t>
            </w:r>
            <w:r>
              <w:rPr>
                <w:b/>
                <w:i/>
              </w:rPr>
              <w:t>Parlamentet framhåller</w:t>
            </w:r>
            <w:r>
              <w:t xml:space="preserve"> behovet av att </w:t>
            </w:r>
            <w:r>
              <w:rPr>
                <w:b/>
                <w:i/>
              </w:rPr>
              <w:t>utvidga samma skydd till att omfatta arbetstagare i alla sektorer som påverkas av AI och se till att</w:t>
            </w:r>
            <w:r>
              <w:t xml:space="preserve"> principen om "mänsklig kontroll" </w:t>
            </w:r>
            <w:r>
              <w:rPr>
                <w:b/>
                <w:i/>
              </w:rPr>
              <w:t>blir en bindande standard, och upprepar uppmaningen om</w:t>
            </w:r>
            <w:r>
              <w:t xml:space="preserve"> ett nytt lagstiftningsinitiativ om AI och algoritmisk verksamhetsledning </w:t>
            </w:r>
            <w:r>
              <w:rPr>
                <w:b/>
                <w:i/>
              </w:rPr>
              <w:t>på arbetsplatsen</w:t>
            </w:r>
            <w:r>
              <w:t xml:space="preserve">. Parlamentet framhåller behovet av att skapa hållbara arbetstillfällen av god kvalitet och stärka den rättsliga </w:t>
            </w:r>
            <w:r>
              <w:rPr>
                <w:b/>
                <w:i/>
              </w:rPr>
              <w:t>och finansiella</w:t>
            </w:r>
            <w:r>
              <w:t xml:space="preserve"> ramen för att hantera och förutse </w:t>
            </w:r>
            <w:r>
              <w:rPr>
                <w:b/>
                <w:i/>
              </w:rPr>
              <w:t>omställningarna, bland annat genom ökade ESF+-investeringar.</w:t>
            </w:r>
            <w:r>
              <w:t xml:space="preserve"> </w:t>
            </w:r>
            <w:r>
              <w:rPr>
                <w:b/>
                <w:i/>
              </w:rPr>
              <w:t>Parlamentet understryker betydelsen av kollektivförhandlingar och involvering av arbetsmarknadens parter för att utforma och främja en inkluderande arbetsmarknadspolitik</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Europaparlamentet betonar behovet av att göra mer för att ta itu med den gröna och den digitala omställningens inverkan </w:t>
            </w:r>
            <w:r>
              <w:rPr>
                <w:b/>
                <w:i/>
              </w:rPr>
              <w:t>på</w:t>
            </w:r>
            <w:r>
              <w:t xml:space="preserve"> arbetslivet genom att stärka principen om ”mänsklig kontroll” av artificiell intelligens genom ett nytt lagstiftningsinitiativ om AI på arbetsplatsen och algoritmisk verksamhetsledning. Parlamentet framhåller behovet av att skapa hållbara arbetstillfällen av god kvalitet och samtidigt stärka den rättsliga ramen för att hantera och förutse omställningen, medan man främjar arbetsmarknadsparternas roll och delaktighet och främjar integration på arbetsmarknaden.</w:t>
            </w:r>
          </w:p>
        </w:tc>
        <w:tc>
          <w:tcPr>
            <w:tcW w:w="4876" w:type="dxa"/>
            <w:tcBorders>
              <w:top w:val="nil"/>
              <w:left w:val="nil"/>
              <w:bottom w:val="nil"/>
              <w:right w:val="nil"/>
            </w:tcBorders>
          </w:tcPr>
          <w:p>
            <w:pPr>
              <w:pStyle w:val="Normal6a"/>
            </w:pPr>
            <w:r>
              <w:t>8.</w:t>
            </w:r>
            <w:r>
              <w:tab/>
            </w:r>
            <w:r>
              <w:t>Europaparlamentet betonar behovet av att göra mer för att ta itu med den gröna och den digitala omställningens inverkan</w:t>
            </w:r>
            <w:r>
              <w:rPr>
                <w:b/>
                <w:i/>
              </w:rPr>
              <w:t>, särskilt i</w:t>
            </w:r>
            <w:r>
              <w:t xml:space="preserve"> arbetslivet</w:t>
            </w:r>
            <w:r>
              <w:rPr>
                <w:b/>
                <w:i/>
              </w:rPr>
              <w:t>,</w:t>
            </w:r>
            <w:r>
              <w:t xml:space="preserve"> genom att stärka principen om ”mänsklig kontroll” av artificiell intelligens genom ett nytt lagstiftningsinitiativ om AI på arbetsplatsen och algoritmisk verksamhetsledning. Parlamentet framhåller behovet av att skapa hållbara arbetstillfällen av god kvalitet och samtidigt stärka den rättsliga ramen för att hantera och förutse omställningen, medan man främjar arbetsmarknadsparternas roll och delaktighet och främjar integration på arbetsmarknaden. </w:t>
            </w:r>
            <w:r>
              <w:rPr>
                <w:b/>
                <w:i/>
              </w:rPr>
              <w:t>Parlamentet varnar för effekten av AI på miljöavfall, särskilt den massiva användningen av vattenresurser, och uppmanar kommissionen att göra en konsekvensbedömning och reglera AI-system som inte ligger i linje med den gröna omställningen och klimatmålen.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Europaparlamentet betonar behovet av att göra mer för att ta itu med den gröna och den digitala omställningens inverkan på arbetslivet genom att stärka principen om ”mänsklig kontroll” av artificiell intelligens genom ett nytt lagstiftningsinitiativ om AI på arbetsplatsen och algoritmisk verksamhetsledning. Parlamentet framhåller behovet av att skapa hållbara arbetstillfällen av god kvalitet och samtidigt stärka den rättsliga ramen för att hantera och förutse omställningen, medan man främjar arbetsmarknadsparternas roll och delaktighet och främjar integration på arbetsmarknaden.</w:t>
            </w:r>
          </w:p>
        </w:tc>
        <w:tc>
          <w:tcPr>
            <w:tcW w:w="4876" w:type="dxa"/>
            <w:tcBorders>
              <w:top w:val="nil"/>
              <w:left w:val="nil"/>
              <w:bottom w:val="nil"/>
              <w:right w:val="nil"/>
            </w:tcBorders>
          </w:tcPr>
          <w:p>
            <w:pPr>
              <w:pStyle w:val="Normal6a"/>
            </w:pPr>
            <w:r>
              <w:t>8.</w:t>
            </w:r>
            <w:r>
              <w:tab/>
            </w:r>
            <w:r>
              <w:t xml:space="preserve">Europaparlamentet betonar behovet av att göra mer för att ta itu med den gröna och den digitala omställningens inverkan på arbetslivet genom att stärka principen om ”mänsklig kontroll” av artificiell intelligens genom ett nytt lagstiftningsinitiativ om AI på arbetsplatsen och algoritmisk verksamhetsledning </w:t>
            </w:r>
            <w:r>
              <w:rPr>
                <w:b/>
                <w:i/>
              </w:rPr>
              <w:t>och rätten att inte vara uppkopplad för att säkerställa balansen mellan arbete och privatliv</w:t>
            </w:r>
            <w:r>
              <w:t xml:space="preserve">. Parlamentet framhåller behovet av att skapa hållbara arbetstillfällen av god kvalitet </w:t>
            </w:r>
            <w:r>
              <w:rPr>
                <w:b/>
                <w:i/>
              </w:rPr>
              <w:t>för att ersätta arbetstillfällen som förloras eller omvandlas i den gröna och den digitala omställningen</w:t>
            </w:r>
            <w:r>
              <w:t xml:space="preserve"> och samtidigt stärka den rättsliga ramen för att hantera och förutse omställningen, medan man främjar arbetsmarknadsparternas roll och delaktighet och främjar integration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Europaparlamentet betonar behovet av att göra mer för att ta itu med den gröna och den digitala omställningens inverkan på arbetslivet genom att stärka principen om ”mänsklig kontroll” av artificiell intelligens genom ett nytt lagstiftningsinitiativ om AI på arbetsplatsen </w:t>
            </w:r>
            <w:r>
              <w:rPr>
                <w:b/>
                <w:i/>
              </w:rPr>
              <w:t>och algoritmisk verksamhetsledning</w:t>
            </w:r>
            <w:r>
              <w:t>. Parlamentet framhåller behovet av att skapa hållbara arbetstillfällen av god kvalitet och samtidigt stärka den rättsliga ramen för att hantera och förutse omställningen, medan man främjar arbetsmarknadsparternas roll och delaktighet och främjar integration på arbetsmarknaden.</w:t>
            </w:r>
          </w:p>
        </w:tc>
        <w:tc>
          <w:tcPr>
            <w:tcW w:w="4876" w:type="dxa"/>
            <w:tcBorders>
              <w:top w:val="nil"/>
              <w:left w:val="nil"/>
              <w:bottom w:val="nil"/>
              <w:right w:val="nil"/>
            </w:tcBorders>
          </w:tcPr>
          <w:p>
            <w:pPr>
              <w:pStyle w:val="Normal6a"/>
            </w:pPr>
            <w:r>
              <w:t>8.</w:t>
            </w:r>
            <w:r>
              <w:tab/>
            </w:r>
            <w:r>
              <w:t xml:space="preserve">Europaparlamentet betonar behovet av att göra mer för att ta itu med den gröna och den digitala omställningens inverkan på arbetslivet genom att stärka principen om ”mänsklig kontroll” av artificiell intelligens genom ett nytt lagstiftningsinitiativ om AI på arbetsplatsen </w:t>
            </w:r>
            <w:r>
              <w:rPr>
                <w:b/>
                <w:i/>
              </w:rPr>
              <w:t>samt tillgång till billigare energi för att driva serverfarmer när det gäller algoritmstyrning</w:t>
            </w:r>
            <w:r>
              <w:t>. Parlamentet framhåller behovet av att skapa hållbara arbetstillfällen av god kvalitet och samtidigt stärka den rättsliga ramen för att hantera och förutse omställningen, medan man främjar arbetsmarknadsparternas roll och delaktighet och främjar integration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Europaparlamentet understryker att det krävs ytterligare insatser för att säkerställa tillhandahållandet av och </w:t>
            </w:r>
            <w:r>
              <w:rPr>
                <w:b/>
                <w:i/>
              </w:rPr>
              <w:t>tillgången till</w:t>
            </w:r>
            <w:r>
              <w:t xml:space="preserve"> strategier för utbildning av god kvalitet som främjar livslångt lärande. Parlamentet konstaterar att program för kompetensutveckling, omskolning och utbildning måste finnas tillgängliga för alla arbetstagare</w:t>
            </w:r>
            <w:r>
              <w:rPr>
                <w:b/>
                <w:i/>
              </w:rPr>
              <w:t>, även de</w:t>
            </w:r>
            <w:r>
              <w:t xml:space="preserve"> med funktionsnedsättning, och också bör vara anpassade till arbetstagarnas behov och kapacitet.</w:t>
            </w:r>
          </w:p>
        </w:tc>
        <w:tc>
          <w:tcPr>
            <w:tcW w:w="4876" w:type="dxa"/>
            <w:tcBorders>
              <w:top w:val="nil"/>
              <w:left w:val="nil"/>
              <w:bottom w:val="nil"/>
              <w:right w:val="nil"/>
            </w:tcBorders>
          </w:tcPr>
          <w:p>
            <w:pPr>
              <w:pStyle w:val="Normal6a"/>
            </w:pPr>
            <w:r>
              <w:t>9.</w:t>
            </w:r>
            <w:r>
              <w:tab/>
            </w:r>
            <w:r>
              <w:t xml:space="preserve">Europaparlamentet understryker att det krävs ytterligare insatser för att säkerställa tillhandahållandet av och </w:t>
            </w:r>
            <w:r>
              <w:rPr>
                <w:b/>
                <w:i/>
              </w:rPr>
              <w:t>allmän tillgång till offentlig, kostnadsfri utbildning av god kvalitet och</w:t>
            </w:r>
            <w:r>
              <w:t xml:space="preserve"> strategier för utbildning av god kvalitet som </w:t>
            </w:r>
            <w:r>
              <w:rPr>
                <w:b/>
                <w:i/>
              </w:rPr>
              <w:t>säkerställer åtminstone en anständig minimilön och</w:t>
            </w:r>
            <w:r>
              <w:t xml:space="preserve"> främjar livslångt lärande. Parlamentet konstaterar att program för kompetensutveckling, omskolning och utbildning måste finnas tillgängliga för alla arbetstagare </w:t>
            </w:r>
            <w:r>
              <w:rPr>
                <w:b/>
                <w:i/>
              </w:rPr>
              <w:t>i kombination med ett utbildningsbidrag, även för dem</w:t>
            </w:r>
            <w:r>
              <w:t xml:space="preserve"> med funktionsnedsättning, och också bör vara anpassade till arbetstagarnas behov och kapacitet. </w:t>
            </w:r>
            <w:r>
              <w:rPr>
                <w:b/>
                <w:i/>
              </w:rPr>
              <w:t>Parlamentet framhåller också att studieskulder bör ersättas av studiebidrag och avgiftsfria universitetsstudier för att undvika en fattigdomsfälla för unga människor med låg inkomst.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Europaparlamentet understryker att det krävs ytterligare insatser för att säkerställa tillhandahållandet av och tillgången till strategier för utbildning av god kvalitet som främjar livslångt lärande. Parlamentet konstaterar att program för kompetensutveckling, omskolning och utbildning måste finnas tillgängliga för alla arbetstagare, även de med funktionsnedsättning, och också bör vara anpassade till arbetstagarnas behov och kapacitet.</w:t>
            </w:r>
          </w:p>
        </w:tc>
        <w:tc>
          <w:tcPr>
            <w:tcW w:w="4876" w:type="dxa"/>
            <w:tcBorders>
              <w:top w:val="nil"/>
              <w:left w:val="nil"/>
              <w:bottom w:val="nil"/>
              <w:right w:val="nil"/>
            </w:tcBorders>
          </w:tcPr>
          <w:p>
            <w:pPr>
              <w:pStyle w:val="Normal6a"/>
            </w:pPr>
            <w:r>
              <w:t>9.</w:t>
            </w:r>
            <w:r>
              <w:tab/>
            </w:r>
            <w:r>
              <w:t xml:space="preserve">Europaparlamentet understryker att det krävs ytterligare insatser för att säkerställa tillhandahållandet av och tillgången till strategier för utbildning av god kvalitet som främjar livslångt lärande. Parlamentet konstaterar att </w:t>
            </w:r>
            <w:r>
              <w:rPr>
                <w:b/>
                <w:i/>
              </w:rPr>
              <w:t>strategiska</w:t>
            </w:r>
            <w:r>
              <w:t xml:space="preserve"> program för kompetensutveckling, omskolning och utbildning måste finnas tillgängliga för alla arbetstagare, även de med funktionsnedsättning, och också bör vara anpassade till arbetstagarnas behov och kapacitet. </w:t>
            </w:r>
            <w:r>
              <w:rPr>
                <w:b/>
                <w:i/>
              </w:rPr>
              <w:t>Parlamentet vill att det införs en individuell rätt till utbildning och kompetenshöjning för arbetstagare på europeisk nivå.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Europaparlamentet understryker att det krävs ytterligare insatser för att säkerställa tillhandahållandet av och tillgången till strategier för utbildning av god kvalitet som främjar livslångt lärande. Parlamentet konstaterar att program för kompetensutveckling, omskolning och utbildning måste </w:t>
            </w:r>
            <w:r>
              <w:rPr>
                <w:b/>
                <w:i/>
              </w:rPr>
              <w:t>finnas tillgängliga för alla</w:t>
            </w:r>
            <w:r>
              <w:t xml:space="preserve"> arbetstagare, även de med funktionsnedsättning, och också bör vara anpassade till arbetstagarnas behov och kapacitet.</w:t>
            </w:r>
          </w:p>
        </w:tc>
        <w:tc>
          <w:tcPr>
            <w:tcW w:w="4876" w:type="dxa"/>
            <w:tcBorders>
              <w:top w:val="nil"/>
              <w:left w:val="nil"/>
              <w:bottom w:val="nil"/>
              <w:right w:val="nil"/>
            </w:tcBorders>
          </w:tcPr>
          <w:p>
            <w:pPr>
              <w:pStyle w:val="Normal6a"/>
            </w:pPr>
            <w:r>
              <w:t>9.</w:t>
            </w:r>
            <w:r>
              <w:tab/>
            </w:r>
            <w:r>
              <w:t xml:space="preserve">Europaparlamentet understryker att det krävs ytterligare insatser för att säkerställa tillhandahållandet av och tillgången till strategier för utbildning av god kvalitet som främjar livslångt lärande. Parlamentet konstaterar att program för kompetensutveckling, omskolning och utbildning måste </w:t>
            </w:r>
            <w:r>
              <w:rPr>
                <w:b/>
                <w:i/>
              </w:rPr>
              <w:t>rikta sig enbart till europeiska</w:t>
            </w:r>
            <w:r>
              <w:t xml:space="preserve"> arbetstagare, även de med funktionsnedsättning, och också bör vara anpassade till arbetstagarnas behov och kapacitet.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betonar, mot bakgrund av klimatkrisen och krisen för den biologiska mångfalden och de ekonomiska och demografiska utmaningarna, att ingen generation eller region i EU – vare sig nu eller i framtiden – bör lämnas utanför. Parlamentet efterlyser initiativ för att stödja både unga och äldre samt åtgärder för regioner med avfolkningsproblem, såsom förbättrad tillgång till infrastruktur, inbegripet transporter, digital konnektivitet och bostäder till överkomlig kostnad, offentliga tjänster, hälso- och sjukvård, omsorg och utbildning samt investeringar i bättre arbetstillfällen för att förhindra avfolkning.</w:t>
            </w:r>
          </w:p>
        </w:tc>
        <w:tc>
          <w:tcPr>
            <w:tcW w:w="4876" w:type="dxa"/>
            <w:tcBorders>
              <w:top w:val="nil"/>
              <w:left w:val="nil"/>
              <w:bottom w:val="nil"/>
              <w:right w:val="nil"/>
            </w:tcBorders>
          </w:tcPr>
          <w:p>
            <w:pPr>
              <w:pStyle w:val="Normal6a"/>
            </w:pPr>
            <w:r>
              <w:t>10.</w:t>
            </w:r>
            <w:r>
              <w:tab/>
            </w:r>
            <w:r>
              <w:t xml:space="preserve">Europaparlamentet betonar, mot bakgrund av klimatkrisen och krisen för den biologiska mångfalden och de ekonomiska och demografiska utmaningarna, att ingen generation eller region i EU – vare sig nu eller i framtiden – bör lämnas utanför </w:t>
            </w:r>
            <w:r>
              <w:rPr>
                <w:b/>
                <w:i/>
              </w:rPr>
              <w:t>och att det bör finnas allmän tillgång till en rättvis omställning för alla</w:t>
            </w:r>
            <w:r>
              <w:t xml:space="preserve">. Parlamentet efterlyser initiativ för att stödja både unga och äldre samt åtgärder för regioner med avfolkningsproblem, såsom förbättrad tillgång till infrastruktur, inbegripet transporter, digital konnektivitet och bostäder till överkomlig kostnad, offentliga tjänster, hälso- och sjukvård, omsorg och utbildning samt investeringar i bättre arbetstillfällen för att förhindra avfolkning. </w:t>
            </w:r>
            <w:r>
              <w:rPr>
                <w:b/>
                <w:i/>
              </w:rPr>
              <w:t>Parlamentet uppmanar medlemsstaterna att garantera allmän, rättighetsbaserad tillgång till offentliga tjänster av hög kvalitet och att investera i dessa.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betonar</w:t>
            </w:r>
            <w:r>
              <w:rPr>
                <w:b/>
                <w:i/>
              </w:rPr>
              <w:t>, mot bakgrund av</w:t>
            </w:r>
            <w:r>
              <w:t xml:space="preserve"> klimatkrisen och krisen för den biologiska mångfalden och de ekonomiska och demografiska utmaningarna</w:t>
            </w:r>
            <w:r>
              <w:rPr>
                <w:b/>
                <w:i/>
              </w:rPr>
              <w:t>, att ingen generation eller region i EU – vare sig nu eller i framtiden – bör lämnas utanför</w:t>
            </w:r>
            <w:r>
              <w:t xml:space="preserve">. Parlamentet efterlyser initiativ för att stödja </w:t>
            </w:r>
            <w:r>
              <w:rPr>
                <w:b/>
                <w:i/>
              </w:rPr>
              <w:t>både</w:t>
            </w:r>
            <w:r>
              <w:t xml:space="preserve"> unga och äldre </w:t>
            </w:r>
            <w:r>
              <w:rPr>
                <w:b/>
                <w:i/>
              </w:rPr>
              <w:t>samt</w:t>
            </w:r>
            <w:r>
              <w:t xml:space="preserve"> åtgärder för regioner </w:t>
            </w:r>
            <w:r>
              <w:rPr>
                <w:b/>
                <w:i/>
              </w:rPr>
              <w:t>med avfolkningsproblem</w:t>
            </w:r>
            <w:r>
              <w:t>, såsom förbättrad tillgång till infrastruktur, inbegripet transporter, digital konnektivitet och bostäder till överkomlig kostnad, offentliga tjänster, hälso- och sjukvård, omsorg och utbildning samt investeringar i bättre arbetstillfällen för att förhindra avfolkning.</w:t>
            </w:r>
          </w:p>
        </w:tc>
        <w:tc>
          <w:tcPr>
            <w:tcW w:w="4876" w:type="dxa"/>
            <w:tcBorders>
              <w:top w:val="nil"/>
              <w:left w:val="nil"/>
              <w:bottom w:val="nil"/>
              <w:right w:val="nil"/>
            </w:tcBorders>
          </w:tcPr>
          <w:p>
            <w:pPr>
              <w:pStyle w:val="Normal6a"/>
            </w:pPr>
            <w:r>
              <w:t>10.</w:t>
            </w:r>
            <w:r>
              <w:tab/>
            </w:r>
            <w:r>
              <w:t xml:space="preserve">Europaparlamentet betonar </w:t>
            </w:r>
            <w:r>
              <w:rPr>
                <w:b/>
                <w:i/>
              </w:rPr>
              <w:t>att ingen generation eller region i EU, vare sig nu eller i framtiden, bör lämnas utanför i samband med</w:t>
            </w:r>
            <w:r>
              <w:t xml:space="preserve"> klimatkrisen och krisen för den biologiska mångfalden och de ekonomiska och demografiska utmaningarna. Parlamentet efterlyser initiativ för att stödja unga och äldre </w:t>
            </w:r>
            <w:r>
              <w:rPr>
                <w:b/>
                <w:i/>
              </w:rPr>
              <w:t>i enlighet med deras insatser för att öka antalet barn, i ett sammanhang av att stärka samarbetet mellan generationerna och familjeinriktade</w:t>
            </w:r>
            <w:r>
              <w:t xml:space="preserve"> åtgärder för </w:t>
            </w:r>
            <w:r>
              <w:rPr>
                <w:b/>
                <w:i/>
              </w:rPr>
              <w:t>att hejda avfolkningen av</w:t>
            </w:r>
            <w:r>
              <w:t xml:space="preserve"> regioner, såsom förbättrad tillgång till infrastruktur, inbegripet transporter, digital konnektivitet och bostäder till överkomlig kostnad, offentliga tjänster, hälso- och sjukvård, omsorg och utbildning samt investeringar i bättre arbetstillfällen för att förhindra avfolkning.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betonar, mot bakgrund av klimatkrisen och krisen för den biologiska mångfalden och de ekonomiska och demografiska utmaningarna, att ingen generation eller region i EU – vare sig nu eller i framtiden – bör lämnas utanför. Parlamentet efterlyser initiativ för att stödja både unga och äldre samt åtgärder för regioner med avfolkningsproblem, såsom förbättrad tillgång till infrastruktur, inbegripet transporter, digital konnektivitet och bostäder till överkomlig kostnad, offentliga tjänster, hälso- och sjukvård, omsorg och utbildning samt investeringar i bättre arbetstillfällen för att förhindra avfolkning.</w:t>
            </w:r>
          </w:p>
        </w:tc>
        <w:tc>
          <w:tcPr>
            <w:tcW w:w="4876" w:type="dxa"/>
            <w:tcBorders>
              <w:top w:val="nil"/>
              <w:left w:val="nil"/>
              <w:bottom w:val="nil"/>
              <w:right w:val="nil"/>
            </w:tcBorders>
          </w:tcPr>
          <w:p>
            <w:pPr>
              <w:pStyle w:val="Normal6a"/>
            </w:pPr>
            <w:r>
              <w:t>10.</w:t>
            </w:r>
            <w:r>
              <w:tab/>
            </w:r>
            <w:r>
              <w:t xml:space="preserve">Europaparlamentet betonar, mot bakgrund av klimatkrisen och krisen för den biologiska mångfalden och de ekonomiska och demografiska utmaningarna, att ingen generation eller region i EU – vare sig nu eller i framtiden – bör lämnas utanför. Parlamentet </w:t>
            </w:r>
            <w:r>
              <w:rPr>
                <w:b/>
                <w:i/>
              </w:rPr>
              <w:t>beklagar i detta sammanhang kommissionens nya tillvägagångssätt att använda sammanhållningspolitiken för att öka försvarsutgifterna.</w:t>
            </w:r>
            <w:r>
              <w:t xml:space="preserve"> </w:t>
            </w:r>
            <w:r>
              <w:rPr>
                <w:b/>
                <w:i/>
              </w:rPr>
              <w:t>Parlamentet</w:t>
            </w:r>
            <w:r>
              <w:t xml:space="preserve"> efterlyser </w:t>
            </w:r>
            <w:r>
              <w:rPr>
                <w:b/>
                <w:i/>
              </w:rPr>
              <w:t>i stället</w:t>
            </w:r>
            <w:r>
              <w:t xml:space="preserve"> initiativ för att stödja både unga och äldre samt åtgärder för regioner med avfolkningsproblem, såsom förbättrad </w:t>
            </w:r>
            <w:r>
              <w:rPr>
                <w:b/>
                <w:i/>
              </w:rPr>
              <w:t>och obehindrad</w:t>
            </w:r>
            <w:r>
              <w:t xml:space="preserve"> tillgång till infrastruktur, inbegripet transporter, digital konnektivitet och bostäder till överkomlig kostnad, offentliga tjänster, hälso- och sjukvård, omsorg och utbildning samt investeringar i bättre arbetstillfällen för att förhindra avfolkning.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 Rachel Blom</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betonar, mot bakgrund av klimatkrisen och krisen för den biologiska mångfalden och de ekonomiska och demografiska utmaningarna, att ingen generation eller region i EU – vare sig nu eller i framtiden – bör lämnas utanför. Parlamentet efterlyser initiativ för att stödja både unga och äldre samt åtgärder för regioner med avfolkningsproblem, såsom förbättrad tillgång till infrastruktur, inbegripet transporter, digital konnektivitet och bostäder till överkomlig kostnad, offentliga tjänster, hälso- och sjukvård, omsorg och utbildning samt investeringar i bättre arbetstillfällen för att förhindra avfolkning.</w:t>
            </w:r>
          </w:p>
        </w:tc>
        <w:tc>
          <w:tcPr>
            <w:tcW w:w="4876" w:type="dxa"/>
            <w:tcBorders>
              <w:top w:val="nil"/>
              <w:left w:val="nil"/>
              <w:bottom w:val="nil"/>
              <w:right w:val="nil"/>
            </w:tcBorders>
          </w:tcPr>
          <w:p>
            <w:pPr>
              <w:pStyle w:val="Normal6a"/>
            </w:pPr>
            <w:r>
              <w:t>10.</w:t>
            </w:r>
            <w:r>
              <w:tab/>
            </w:r>
            <w:r>
              <w:t>Europaparlamentet betonar, mot bakgrund av klimatkrisen och krisen för den biologiska mångfalden och de ekonomiska och demografiska utmaningarna, att ingen generation eller region i EU – vare sig nu eller i framtiden – bör lämnas utanför. Parlamentet efterlyser initiativ för att stödja både unga och äldre samt åtgärder för regioner med avfolkningsproblem, såsom förbättrad tillgång till infrastruktur, inbegripet transporter, digital konnektivitet och bostäder till överkomlig kostnad, offentliga tjänster, hälso- och sjukvård, omsorg och utbildning samt investeringar i bättre arbetstillfällen för att förhindra avfolkning</w:t>
            </w:r>
            <w:r>
              <w:rPr>
                <w:b/>
                <w:i/>
              </w:rPr>
              <w:t>, utan invandring av tredjelandsmedborgare</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Europaparlamentet betonar, mot bakgrund av klimatkrisen och krisen för den biologiska mångfalden och de ekonomiska och demografiska utmaningarna, att ingen generation eller region i EU – vare sig nu eller i framtiden – bör lämnas utanför. Parlamentet efterlyser initiativ för att stödja både unga och äldre samt åtgärder för regioner med avfolkningsproblem, såsom förbättrad tillgång till infrastruktur, inbegripet </w:t>
            </w:r>
            <w:r>
              <w:rPr>
                <w:b/>
                <w:i/>
              </w:rPr>
              <w:t>transporter</w:t>
            </w:r>
            <w:r>
              <w:t xml:space="preserve">, digital konnektivitet och bostäder till överkomlig kostnad, offentliga tjänster, hälso- och sjukvård, </w:t>
            </w:r>
            <w:r>
              <w:rPr>
                <w:b/>
                <w:i/>
              </w:rPr>
              <w:t>omsorg</w:t>
            </w:r>
            <w:r>
              <w:t xml:space="preserve"> och utbildning samt investeringar i bättre arbetstillfällen för att förhindra avfolkning.</w:t>
            </w:r>
          </w:p>
        </w:tc>
        <w:tc>
          <w:tcPr>
            <w:tcW w:w="4876" w:type="dxa"/>
            <w:tcBorders>
              <w:top w:val="nil"/>
              <w:left w:val="nil"/>
              <w:bottom w:val="nil"/>
              <w:right w:val="nil"/>
            </w:tcBorders>
          </w:tcPr>
          <w:p>
            <w:pPr>
              <w:pStyle w:val="Normal6a"/>
            </w:pPr>
            <w:r>
              <w:t>10.</w:t>
            </w:r>
            <w:r>
              <w:tab/>
            </w:r>
            <w:r>
              <w:t xml:space="preserve">Europaparlamentet betonar, mot bakgrund av klimatkrisen och krisen för den biologiska mångfalden och de ekonomiska och demografiska utmaningarna, att ingen generation eller region i EU – vare sig nu eller i framtiden – bör lämnas utanför. Parlamentet efterlyser initiativ för att stödja både unga och äldre samt åtgärder för regioner med avfolkningsproblem, såsom förbättrad tillgång till infrastruktur, inbegripet </w:t>
            </w:r>
            <w:r>
              <w:rPr>
                <w:b/>
                <w:i/>
              </w:rPr>
              <w:t>kollektivtrafik</w:t>
            </w:r>
            <w:r>
              <w:t xml:space="preserve">, digital konnektivitet och bostäder till överkomlig kostnad, offentliga tjänster, hälso- och sjukvård, </w:t>
            </w:r>
            <w:r>
              <w:rPr>
                <w:b/>
                <w:i/>
              </w:rPr>
              <w:t>långtids- och barnomsorg</w:t>
            </w:r>
            <w:r>
              <w:t xml:space="preserve"> och utbildning samt investeringar i bättre arbetstillfällen för att förhindra avfolkning.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betonar, mot bakgrund av klimatkrisen och krisen för den biologiska mångfalden och de ekonomiska och demografiska utmaningarna, att ingen generation eller region i EU – vare sig nu eller i framtiden – bör lämnas utanför. Parlamentet efterlyser initiativ för att stödja både unga och äldre samt åtgärder för regioner med avfolkningsproblem, såsom förbättrad tillgång till infrastruktur, inbegripet transporter, digital konnektivitet och bostäder till överkomlig kostnad, offentliga tjänster, hälso- och sjukvård, omsorg och utbildning samt investeringar i bättre arbetstillfällen för att förhindra avfolkning.</w:t>
            </w:r>
          </w:p>
        </w:tc>
        <w:tc>
          <w:tcPr>
            <w:tcW w:w="4876" w:type="dxa"/>
            <w:tcBorders>
              <w:top w:val="nil"/>
              <w:left w:val="nil"/>
              <w:bottom w:val="nil"/>
              <w:right w:val="nil"/>
            </w:tcBorders>
          </w:tcPr>
          <w:p>
            <w:pPr>
              <w:pStyle w:val="Normal6a"/>
            </w:pPr>
            <w:r>
              <w:t>10.</w:t>
            </w:r>
            <w:r>
              <w:tab/>
            </w:r>
            <w:r>
              <w:t xml:space="preserve">Europaparlamentet betonar, mot bakgrund av klimatkrisen och krisen för den biologiska mångfalden och de ekonomiska och demografiska utmaningarna, att ingen generation eller region i EU – vare sig nu eller i framtiden – bör lämnas utanför. Parlamentet efterlyser initiativ för att stödja både unga och äldre samt </w:t>
            </w:r>
            <w:r>
              <w:rPr>
                <w:b/>
                <w:i/>
              </w:rPr>
              <w:t>personer med funktionsnedsättning, liksom</w:t>
            </w:r>
            <w:r>
              <w:t xml:space="preserve"> åtgärder för regioner med avfolkningsproblem, såsom förbättrad tillgång till infrastruktur, inbegripet transporter, digital konnektivitet och bostäder till överkomlig kostnad, offentliga tjänster, hälso- och sjukvård, omsorg och utbildning samt investeringar i bättre arbetstillfällen för att förhindra avfolkning.</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Chiara Gemma, Francesco Torselli,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Europaparlamentet betonar, mot bakgrund av </w:t>
            </w:r>
            <w:r>
              <w:rPr>
                <w:b/>
                <w:i/>
              </w:rPr>
              <w:t>klimatkrisen och krisen för den biologiska mångfalden och</w:t>
            </w:r>
            <w:r>
              <w:t xml:space="preserve"> de ekonomiska och demografiska utmaningarna, att ingen generation eller region i EU – vare sig nu eller i framtiden – bör lämnas utanför. Parlamentet efterlyser initiativ för att stödja både unga och äldre samt åtgärder för regioner med avfolkningsproblem, såsom förbättrad tillgång till infrastruktur, inbegripet transporter, digital konnektivitet och bostäder till överkomlig kostnad, offentliga tjänster, hälso- och sjukvård, omsorg och utbildning samt investeringar i bättre arbetstillfällen för att förhindra avfolkning.</w:t>
            </w:r>
          </w:p>
        </w:tc>
        <w:tc>
          <w:tcPr>
            <w:tcW w:w="4876" w:type="dxa"/>
            <w:tcBorders>
              <w:top w:val="nil"/>
              <w:left w:val="nil"/>
              <w:bottom w:val="nil"/>
              <w:right w:val="nil"/>
            </w:tcBorders>
          </w:tcPr>
          <w:p>
            <w:pPr>
              <w:pStyle w:val="Normal6a"/>
            </w:pPr>
            <w:r>
              <w:t>10.</w:t>
            </w:r>
            <w:r>
              <w:tab/>
            </w:r>
            <w:r>
              <w:t>Europaparlamentet betonar, mot bakgrund av de ekonomiska och demografiska utmaningarna, att ingen generation eller region i EU – vare sig nu eller i framtiden – bör lämnas utanför. Parlamentet efterlyser initiativ för att stödja både unga och äldre samt åtgärder för regioner med avfolkningsproblem, såsom förbättrad tillgång till infrastruktur, inbegripet transporter, digital konnektivitet och bostäder till överkomlig kostnad, offentliga tjänster, hälso- och sjukvård, omsorg och utbildning samt investeringar i bättre arbetstillfällen för att förhindra avfolkning.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Marie Dauchy, Nikola Bartůšek</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Europaparlamentet uppmanar med kraft till att man stöder rättvisa omställningar av arbetskraften och företagen i EU vid omställningen till en grön ekonomi.</w:t>
            </w:r>
            <w:r>
              <w:t xml:space="preserve"> </w:t>
            </w:r>
            <w:r>
              <w:rPr>
                <w:b/>
                <w:i/>
              </w:rPr>
              <w:t>Parlamentet konstaterar att processen för anpassning till och begränsning av klimatförändringarna, om den utformas noggrant genom en robust social dialog, kan skapa mer robusta ekosystem, nya anständiga arbetstillfällen och hållbara företag samt mer inkluderande samhällen, samtidigt som ingen lämnas utanför.</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Chiara Gemma, Francesco Torselli,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Europaparlamentet uppmanar med kraft till att man stöder rättvisa omställningar av arbetskraften och företagen i EU vid omställningen till en grön ekonomi.</w:t>
            </w:r>
            <w:r>
              <w:t xml:space="preserve"> </w:t>
            </w:r>
            <w:r>
              <w:rPr>
                <w:b/>
                <w:i/>
              </w:rPr>
              <w:t>Parlamentet konstaterar att processen för anpassning till och begränsning av klimatförändringarna, om den utformas noggrant genom en robust social dialog, kan skapa mer robusta ekosystem, nya anständiga arbetstillfällen och hållbara företag samt mer inkluderande samhällen, samtidigt som ingen lämnas utanför.</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Europaparlamentet uppmanar med kraft </w:t>
            </w:r>
            <w:r>
              <w:rPr>
                <w:b/>
                <w:i/>
              </w:rPr>
              <w:t>till att man stöder rättvisa omställningar av arbetskraften och företagen i EU vid</w:t>
            </w:r>
            <w:r>
              <w:t xml:space="preserve"> omställningen </w:t>
            </w:r>
            <w:r>
              <w:rPr>
                <w:b/>
                <w:i/>
              </w:rPr>
              <w:t>till en grön ekonomi</w:t>
            </w:r>
            <w:r>
              <w:t xml:space="preserve">. Parlamentet konstaterar att </w:t>
            </w:r>
            <w:r>
              <w:rPr>
                <w:b/>
                <w:i/>
              </w:rPr>
              <w:t>processen</w:t>
            </w:r>
            <w:r>
              <w:t xml:space="preserve"> för anpassning till och begränsning av klimatförändringarna, </w:t>
            </w:r>
            <w:r>
              <w:rPr>
                <w:b/>
                <w:i/>
              </w:rPr>
              <w:t>om den</w:t>
            </w:r>
            <w:r>
              <w:t xml:space="preserve"> utformas </w:t>
            </w:r>
            <w:r>
              <w:rPr>
                <w:b/>
                <w:i/>
              </w:rPr>
              <w:t>noggrant</w:t>
            </w:r>
            <w:r>
              <w:t xml:space="preserve"> genom en robust social dialog, kan skapa </w:t>
            </w:r>
            <w:r>
              <w:rPr>
                <w:b/>
                <w:i/>
              </w:rPr>
              <w:t>mer robusta</w:t>
            </w:r>
            <w:r>
              <w:t xml:space="preserve"> ekosystem, </w:t>
            </w:r>
            <w:r>
              <w:rPr>
                <w:b/>
                <w:i/>
              </w:rPr>
              <w:t>nya anständiga</w:t>
            </w:r>
            <w:r>
              <w:t xml:space="preserve"> arbetstillfällen </w:t>
            </w:r>
            <w:r>
              <w:rPr>
                <w:b/>
                <w:i/>
              </w:rPr>
              <w:t>och</w:t>
            </w:r>
            <w:r>
              <w:t xml:space="preserve"> hållbara </w:t>
            </w:r>
            <w:r>
              <w:rPr>
                <w:b/>
                <w:i/>
              </w:rPr>
              <w:t>företag</w:t>
            </w:r>
            <w:r>
              <w:t xml:space="preserve"> samt mer inkluderande samhällen</w:t>
            </w:r>
            <w:r>
              <w:rPr>
                <w:b/>
                <w:i/>
              </w:rPr>
              <w:t>, samtidigt som</w:t>
            </w:r>
            <w:r>
              <w:t xml:space="preserve"> ingen lämnas utanför.</w:t>
            </w:r>
          </w:p>
        </w:tc>
        <w:tc>
          <w:tcPr>
            <w:tcW w:w="4876" w:type="dxa"/>
            <w:tcBorders>
              <w:top w:val="nil"/>
              <w:left w:val="nil"/>
              <w:bottom w:val="nil"/>
              <w:right w:val="nil"/>
            </w:tcBorders>
          </w:tcPr>
          <w:p>
            <w:pPr>
              <w:pStyle w:val="Normal6a"/>
            </w:pPr>
            <w:r>
              <w:t>11.</w:t>
            </w:r>
            <w:r>
              <w:tab/>
            </w:r>
            <w:r>
              <w:t xml:space="preserve">Europaparlamentet uppmanar med kraft </w:t>
            </w:r>
            <w:r>
              <w:rPr>
                <w:b/>
                <w:i/>
              </w:rPr>
              <w:t>EU och medlemsstaterna att säkerställa att den gröna</w:t>
            </w:r>
            <w:r>
              <w:t xml:space="preserve"> omställningen </w:t>
            </w:r>
            <w:r>
              <w:rPr>
                <w:b/>
                <w:i/>
              </w:rPr>
              <w:t>är socialt rättvis, med särskilt stöd till arbetstagare, hushåll, regioner och företag som påverkas av strukturförändringar och nya krav på arbetsmarknaden</w:t>
            </w:r>
            <w:r>
              <w:t xml:space="preserve">. Parlamentet konstaterar att </w:t>
            </w:r>
            <w:r>
              <w:rPr>
                <w:b/>
                <w:i/>
              </w:rPr>
              <w:t>strategier</w:t>
            </w:r>
            <w:r>
              <w:t xml:space="preserve"> för anpassning till och begränsning av klimatförändringarna, </w:t>
            </w:r>
            <w:r>
              <w:rPr>
                <w:b/>
                <w:i/>
              </w:rPr>
              <w:t>när de</w:t>
            </w:r>
            <w:r>
              <w:t xml:space="preserve"> utformas genom en robust social dialog, kan skapa </w:t>
            </w:r>
            <w:r>
              <w:rPr>
                <w:b/>
                <w:i/>
              </w:rPr>
              <w:t>resilienta ekonomiska</w:t>
            </w:r>
            <w:r>
              <w:t xml:space="preserve"> ekosystem, arbetstillfällen </w:t>
            </w:r>
            <w:r>
              <w:rPr>
                <w:b/>
                <w:i/>
              </w:rPr>
              <w:t>av god kvalitet,</w:t>
            </w:r>
            <w:r>
              <w:t xml:space="preserve"> hållbara </w:t>
            </w:r>
            <w:r>
              <w:rPr>
                <w:b/>
                <w:i/>
              </w:rPr>
              <w:t>affärsmodeller</w:t>
            </w:r>
            <w:r>
              <w:t xml:space="preserve"> samt mer inkluderande samhällen </w:t>
            </w:r>
            <w:r>
              <w:rPr>
                <w:b/>
                <w:i/>
              </w:rPr>
              <w:t>där</w:t>
            </w:r>
            <w:r>
              <w:t xml:space="preserve"> ingen lämnas utanför. </w:t>
            </w:r>
            <w:r>
              <w:rPr>
                <w:b/>
                <w:i/>
              </w:rPr>
              <w:t>Parlamentet uppmanar till att skyndsamt inrätta gröna sociala trygghetssystem och investeringar för att säkerställa miljörättvisa och skydda människor från effekterna av klimatförändringarna.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Europaparlamentet uppmanar med kraft till att man stöder rättvisa omställningar av arbetskraften och företagen i EU vid omställningen till en grön ekonomi. Parlamentet konstaterar att processen för anpassning till och begränsning av klimatförändringarna, om den utformas noggrant genom en robust social dialog, kan skapa mer robusta ekosystem, nya anständiga arbetstillfällen och hållbara företag samt mer inkluderande samhällen, samtidigt som ingen lämnas utanför.</w:t>
            </w:r>
          </w:p>
        </w:tc>
        <w:tc>
          <w:tcPr>
            <w:tcW w:w="4876" w:type="dxa"/>
            <w:tcBorders>
              <w:top w:val="nil"/>
              <w:left w:val="nil"/>
              <w:bottom w:val="nil"/>
              <w:right w:val="nil"/>
            </w:tcBorders>
          </w:tcPr>
          <w:p>
            <w:pPr>
              <w:pStyle w:val="Normal6a"/>
            </w:pPr>
            <w:r>
              <w:t>11.</w:t>
            </w:r>
            <w:r>
              <w:tab/>
            </w:r>
            <w:r>
              <w:t xml:space="preserve">Europaparlamentet uppmanar med kraft till att man stöder rättvisa omställningar av arbetskraften och företagen i EU vid omställningen till en grön ekonomi. Parlamentet konstaterar att processen för anpassning till och begränsning av klimatförändringarna, om den utformas noggrant genom en robust social dialog, kan skapa mer robusta ekosystem, nya anständiga arbetstillfällen och hållbara företag samt mer inkluderande samhällen, samtidigt som ingen lämnas utanför. </w:t>
            </w:r>
            <w:r>
              <w:rPr>
                <w:b/>
                <w:i/>
              </w:rPr>
              <w:t>Parlamentet uppmanar kommissionen att lägga fram ett förslag till direktiv om en rättvis omställning i arbetslivet för att säkerställa att dessa principer skyddas på unionsnivå.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Europaparlamentet uppmanar med kraft till att man stöder rättvisa omställningar av arbetskraften och företagen i EU vid </w:t>
            </w:r>
            <w:r>
              <w:rPr>
                <w:b/>
                <w:i/>
              </w:rPr>
              <w:t>omställningen</w:t>
            </w:r>
            <w:r>
              <w:t xml:space="preserve"> till en grön ekonomi. Parlamentet konstaterar att processen för anpassning till och begränsning av klimatförändringarna, om den utformas noggrant genom en robust social dialog, kan skapa mer robusta ekosystem, nya anständiga arbetstillfällen och hållbara företag samt mer inkluderande samhällen, samtidigt som ingen lämnas utanför.</w:t>
            </w:r>
          </w:p>
        </w:tc>
        <w:tc>
          <w:tcPr>
            <w:tcW w:w="4876" w:type="dxa"/>
            <w:tcBorders>
              <w:top w:val="nil"/>
              <w:left w:val="nil"/>
              <w:bottom w:val="nil"/>
              <w:right w:val="nil"/>
            </w:tcBorders>
          </w:tcPr>
          <w:p>
            <w:pPr>
              <w:pStyle w:val="Normal6a"/>
            </w:pPr>
            <w:r>
              <w:t>11.</w:t>
            </w:r>
            <w:r>
              <w:tab/>
            </w:r>
            <w:r>
              <w:t xml:space="preserve">Europaparlamentet uppmanar med kraft till att man stöder rättvisa omställningar av arbetskraften och företagen i EU vid </w:t>
            </w:r>
            <w:r>
              <w:rPr>
                <w:b/>
                <w:i/>
              </w:rPr>
              <w:t>en rimlig omställning</w:t>
            </w:r>
            <w:r>
              <w:t xml:space="preserve"> till en grön ekonomi. Parlamentet konstaterar att processen för anpassning till och begränsning av klimatförändringarna, om den utformas noggrant genom en robust social dialog, kan skapa mer robusta ekosystem, nya anständiga arbetstillfällen och hållbara företag samt mer inkluderande samhällen, samtidigt som ingen lämnas utanför.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Europaparlamentet framhåller den sociala ekonomins roll när det gäller att bidra till den gröna omställningen.</w:t>
            </w:r>
            <w:r>
              <w:t xml:space="preserve"> </w:t>
            </w:r>
            <w:r>
              <w:rPr>
                <w:b/>
                <w:i/>
              </w:rPr>
              <w:t>Parlamentet konstaterar att många organisationer inom den sociala ekonomin utvecklar hållbara och gröna metoder och hjälper människor att anpassa sig till och bidra till en grönare ekonomi.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Europaparlamentet efterlyser ytterligare stöd så att tredjelandsmedborgare kan integreras på EU:s arbetsmarknad och till fullo utnyttja sin kompetens, med goda arbetsvillkor som förstärks av en effektiv integrationspolitik, och i full komplementaritet med att talanger inom EU utnyttjas.</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Europaparlamentet efterlyser ytterligare stöd så att tredjelandsmedborgare kan integreras på EU:s arbetsmarknad och till fullo utnyttja sin kompetens, med goda arbetsvillkor som förstärks av en effektiv integrationspolitik, och i full komplementaritet med att talanger inom EU utnyttjas.</w:t>
            </w:r>
          </w:p>
        </w:tc>
        <w:tc>
          <w:tcPr>
            <w:tcW w:w="4876" w:type="dxa"/>
            <w:tcBorders>
              <w:top w:val="nil"/>
              <w:left w:val="nil"/>
              <w:bottom w:val="nil"/>
              <w:right w:val="nil"/>
            </w:tcBorders>
          </w:tcPr>
          <w:p>
            <w:pPr>
              <w:pStyle w:val="Normal6a"/>
            </w:pPr>
            <w:r>
              <w:t>12.</w:t>
            </w:r>
            <w:r>
              <w:tab/>
            </w:r>
            <w:r>
              <w:t xml:space="preserve">Europaparlamentet efterlyser ytterligare stöd så att tredjelandsmedborgare kan integreras på EU:s arbetsmarknad och till fullo utnyttja sin kompetens, med goda arbetsvillkor </w:t>
            </w:r>
            <w:r>
              <w:rPr>
                <w:b/>
                <w:i/>
              </w:rPr>
              <w:t>och säkerställande av likabehandling,</w:t>
            </w:r>
            <w:r>
              <w:t xml:space="preserve"> som förstärks av en effektiv integrationspolitik, och i full komplementaritet med att talanger inom EU utnyttjas. </w:t>
            </w:r>
            <w:r>
              <w:rPr>
                <w:b/>
                <w:i/>
              </w:rPr>
              <w:t>Parlamentet uppmanar till en regularisering av papperslösa migranter i EU för att säkerställa en väg till integration i samhället och arbetslivet.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Europaparlamentet efterlyser </w:t>
            </w:r>
            <w:r>
              <w:rPr>
                <w:b/>
                <w:i/>
              </w:rPr>
              <w:t>ytterligare</w:t>
            </w:r>
            <w:r>
              <w:t xml:space="preserve"> stöd så att tredjelandsmedborgare kan integreras på EU:s arbetsmarknad och till fullo utnyttja sin kompetens, med goda arbetsvillkor som förstärks av en effektiv integrationspolitik, och i full komplementaritet med att talanger inom EU utnyttjas.</w:t>
            </w:r>
          </w:p>
        </w:tc>
        <w:tc>
          <w:tcPr>
            <w:tcW w:w="4876" w:type="dxa"/>
            <w:tcBorders>
              <w:top w:val="nil"/>
              <w:left w:val="nil"/>
              <w:bottom w:val="nil"/>
              <w:right w:val="nil"/>
            </w:tcBorders>
          </w:tcPr>
          <w:p>
            <w:pPr>
              <w:pStyle w:val="Normal6a"/>
            </w:pPr>
            <w:r>
              <w:t>12.</w:t>
            </w:r>
            <w:r>
              <w:tab/>
            </w:r>
            <w:r>
              <w:t xml:space="preserve">Europaparlamentet efterlyser stöd så att tredjelandsmedborgare </w:t>
            </w:r>
            <w:r>
              <w:rPr>
                <w:b/>
                <w:i/>
              </w:rPr>
              <w:t>som vistas lagligen i EU</w:t>
            </w:r>
            <w:r>
              <w:t xml:space="preserve"> kan integreras på EU:s arbetsmarknad och till fullo utnyttja sin kompetens, med goda arbetsvillkor som förstärks av en effektiv integrationspolitik, och i full komplementaritet med att talanger inom EU utnyttjas.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Europaparlamentet efterlyser ytterligare stöd så att tredjelandsmedborgare kan integreras på EU:s arbetsmarknad och till fullo utnyttja sin kompetens, med </w:t>
            </w:r>
            <w:r>
              <w:rPr>
                <w:b/>
                <w:i/>
              </w:rPr>
              <w:t>goda</w:t>
            </w:r>
            <w:r>
              <w:t xml:space="preserve"> arbetsvillkor som förstärks av en effektiv integrationspolitik, och i full komplementaritet med att talanger inom EU utnyttjas.</w:t>
            </w:r>
          </w:p>
        </w:tc>
        <w:tc>
          <w:tcPr>
            <w:tcW w:w="4876" w:type="dxa"/>
            <w:tcBorders>
              <w:top w:val="nil"/>
              <w:left w:val="nil"/>
              <w:bottom w:val="nil"/>
              <w:right w:val="nil"/>
            </w:tcBorders>
          </w:tcPr>
          <w:p>
            <w:pPr>
              <w:pStyle w:val="Normal6a"/>
            </w:pPr>
            <w:r>
              <w:t>12.</w:t>
            </w:r>
            <w:r>
              <w:tab/>
            </w:r>
            <w:r>
              <w:t xml:space="preserve">Europaparlamentet efterlyser ytterligare stöd så att tredjelandsmedborgare kan integreras på EU:s arbetsmarknad och till fullo utnyttja sin kompetens, med </w:t>
            </w:r>
            <w:r>
              <w:rPr>
                <w:b/>
                <w:i/>
              </w:rPr>
              <w:t>arbetstillfällen och</w:t>
            </w:r>
            <w:r>
              <w:t xml:space="preserve"> arbetsvillkor </w:t>
            </w:r>
            <w:r>
              <w:rPr>
                <w:b/>
                <w:i/>
              </w:rPr>
              <w:t>av hög kvalitet</w:t>
            </w:r>
            <w:r>
              <w:t xml:space="preserve"> som förstärks av en effektiv integrationspolitik, och i full komplementaritet med att talanger inom EU utnyttjas.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Europaparlamentet efterlyser en noggrann övervakning av aktiva arbetsmarknadsåtgärder samt adekvat inkomststöd och social trygghet för att säkerställa ett deltagande på lika villkor för dem som befinner sig längst bort från arbetsmarknaden, särskilt personer med funktionsnedsättning och romer.</w:t>
            </w:r>
          </w:p>
        </w:tc>
        <w:tc>
          <w:tcPr>
            <w:tcW w:w="4876" w:type="dxa"/>
            <w:tcBorders>
              <w:top w:val="nil"/>
              <w:left w:val="nil"/>
              <w:bottom w:val="nil"/>
              <w:right w:val="nil"/>
            </w:tcBorders>
          </w:tcPr>
          <w:p>
            <w:pPr>
              <w:pStyle w:val="Normal6a"/>
            </w:pPr>
            <w:r>
              <w:t>13.</w:t>
            </w:r>
            <w:r>
              <w:tab/>
            </w:r>
            <w:r>
              <w:t xml:space="preserve">Europaparlamentet efterlyser en noggrann övervakning av aktiva arbetsmarknadsåtgärder samt adekvat inkomststöd och social trygghet för att säkerställa ett deltagande på lika villkor för dem som befinner sig längst bort från arbetsmarknaden, särskilt </w:t>
            </w:r>
            <w:r>
              <w:rPr>
                <w:b/>
                <w:i/>
              </w:rPr>
              <w:t>kvinnor,</w:t>
            </w:r>
            <w:r>
              <w:t xml:space="preserve"> personer med funktionsnedsättning</w:t>
            </w:r>
            <w:r>
              <w:rPr>
                <w:b/>
                <w:i/>
              </w:rPr>
              <w:t>, migrerande arbetstagare, hbtqi+‑personer, unga som kommer in på arbetsmarknaden</w:t>
            </w:r>
            <w:r>
              <w:t xml:space="preserve"> och romer</w:t>
            </w:r>
            <w:r>
              <w:rPr>
                <w:b/>
                <w:i/>
              </w:rPr>
              <w:t xml:space="preserve"> </w:t>
            </w:r>
            <w:r>
              <w:t xml:space="preserve"> </w:t>
            </w:r>
            <w:r>
              <w:rPr>
                <w:b/>
                <w:i/>
              </w:rPr>
              <w:t>och andra människor som kan vara i behov av extra stöd</w:t>
            </w:r>
            <w:r>
              <w:t xml:space="preserve">. </w:t>
            </w:r>
            <w:r>
              <w:rPr>
                <w:b/>
                <w:i/>
              </w:rPr>
              <w:t>Parlamentet påminner i detta sammanhang om sin uppmaning till ett direktiv om minimiinkomst</w:t>
            </w:r>
            <w:r>
              <w:rPr>
                <w:b/>
                <w:i/>
                <w:vertAlign w:val="superscript"/>
              </w:rPr>
              <w:t>1a</w:t>
            </w:r>
            <w:r>
              <w:t xml:space="preserve"> </w:t>
            </w:r>
            <w:r>
              <w:rPr>
                <w:b/>
                <w:i/>
              </w:rPr>
              <w:t>för att ytterligare förbättra minimiinkomstsystemens tillgänglighet, tillräcklighet och ändamålsenlighet i fråga om att främja uppåtgående social konvergens.</w:t>
            </w:r>
            <w:r>
              <w:t xml:space="preserve"> </w:t>
            </w:r>
            <w:r>
              <w:rPr>
                <w:b/>
                <w:i/>
              </w:rPr>
              <w:t>Parlamentet påminner om att minimiinkomstsystemen bör skydda människor som saknar tillräckliga resurser från fattigdom och social utestängning.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https://www.europarl.europa.eu/doceo/document/TA-9-2023-0076_SV.html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Europaparlamentet efterlyser en noggrann övervakning av aktiva arbetsmarknadsåtgärder samt adekvat inkomststöd och social trygghet för att säkerställa ett deltagande på lika villkor för dem som befinner sig längst bort från arbetsmarknaden</w:t>
            </w:r>
            <w:r>
              <w:rPr>
                <w:b/>
                <w:i/>
              </w:rPr>
              <w:t>, särskilt personer med funktionsnedsättning och romer</w:t>
            </w:r>
            <w:r>
              <w:t>.</w:t>
            </w:r>
          </w:p>
        </w:tc>
        <w:tc>
          <w:tcPr>
            <w:tcW w:w="4876" w:type="dxa"/>
            <w:tcBorders>
              <w:top w:val="nil"/>
              <w:left w:val="nil"/>
              <w:bottom w:val="nil"/>
              <w:right w:val="nil"/>
            </w:tcBorders>
          </w:tcPr>
          <w:p>
            <w:pPr>
              <w:pStyle w:val="Normal6a"/>
            </w:pPr>
            <w:r>
              <w:t>13.</w:t>
            </w:r>
            <w:r>
              <w:tab/>
            </w:r>
            <w:r>
              <w:t>Europaparlamentet efterlyser en noggrann övervakning av aktiva arbetsmarknadsåtgärder</w:t>
            </w:r>
            <w:r>
              <w:rPr>
                <w:b/>
                <w:i/>
              </w:rPr>
              <w:t>, inklusive lika tillgång till arbetstillfällen av god kvalitet,</w:t>
            </w:r>
            <w:r>
              <w:t xml:space="preserve"> samt adekvat inkomststöd och social trygghet för att säkerställa ett deltagande på lika villkor för </w:t>
            </w:r>
            <w:r>
              <w:rPr>
                <w:b/>
                <w:i/>
              </w:rPr>
              <w:t>utsatta grupper och</w:t>
            </w:r>
            <w:r>
              <w:t xml:space="preserve"> dem som befinner sig längst bort från arbetsmarknaden</w:t>
            </w:r>
            <w:r>
              <w:rPr>
                <w:b/>
                <w:i/>
              </w:rPr>
              <w:t>.</w:t>
            </w:r>
            <w:r>
              <w:t xml:space="preserve"> </w:t>
            </w:r>
            <w:r>
              <w:rPr>
                <w:b/>
                <w:i/>
              </w:rPr>
              <w:t>Parlamentet framhåller i detta avseende vikten av att upprätta en bindande EU-ram för system för tillräcklig minimiinkomst, såsom efterlyses i Europaparlamentets resolution, för att garantera inkomsttrygghet, minska fattigdomen och stödja integrationen på arbetsmarknaden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Europaparlamentet efterlyser en noggrann övervakning av aktiva arbetsmarknadsåtgärder samt adekvat </w:t>
            </w:r>
            <w:r>
              <w:rPr>
                <w:b/>
                <w:i/>
              </w:rPr>
              <w:t>inkomststöd och</w:t>
            </w:r>
            <w:r>
              <w:t xml:space="preserve"> social trygghet för att säkerställa ett deltagande på lika villkor för dem som befinner sig längst bort från arbetsmarknaden, särskilt personer med funktionsnedsättning </w:t>
            </w:r>
            <w:r>
              <w:rPr>
                <w:b/>
                <w:i/>
              </w:rPr>
              <w:t>och</w:t>
            </w:r>
            <w:r>
              <w:t xml:space="preserve"> romer.</w:t>
            </w:r>
          </w:p>
        </w:tc>
        <w:tc>
          <w:tcPr>
            <w:tcW w:w="4876" w:type="dxa"/>
            <w:tcBorders>
              <w:top w:val="nil"/>
              <w:left w:val="nil"/>
              <w:bottom w:val="nil"/>
              <w:right w:val="nil"/>
            </w:tcBorders>
          </w:tcPr>
          <w:p>
            <w:pPr>
              <w:pStyle w:val="Normal6a"/>
            </w:pPr>
            <w:r>
              <w:t>13.</w:t>
            </w:r>
            <w:r>
              <w:tab/>
            </w:r>
            <w:r>
              <w:t xml:space="preserve">Europaparlamentet efterlyser en noggrann övervakning av aktiva arbetsmarknadsåtgärder samt adekvat </w:t>
            </w:r>
            <w:r>
              <w:rPr>
                <w:b/>
                <w:i/>
              </w:rPr>
              <w:t>minimiinkomststöd och allmän</w:t>
            </w:r>
            <w:r>
              <w:t xml:space="preserve"> social trygghet för att säkerställa ett deltagande på lika villkor för dem som befinner sig längst bort från arbetsmarknaden, särskilt personer med funktionsnedsättning</w:t>
            </w:r>
            <w:r>
              <w:rPr>
                <w:b/>
                <w:i/>
              </w:rPr>
              <w:t>,</w:t>
            </w:r>
            <w:r>
              <w:t xml:space="preserve"> romer </w:t>
            </w:r>
            <w:r>
              <w:rPr>
                <w:b/>
                <w:i/>
              </w:rPr>
              <w:t>och långtidsanställda</w:t>
            </w:r>
            <w:r>
              <w:t xml:space="preserve">. </w:t>
            </w:r>
            <w:r>
              <w:rPr>
                <w:b/>
                <w:i/>
              </w:rPr>
              <w:t>Parlamentet understryker behovet av ett fullgott socialt skydd och stöd också för egenföretagare.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Europaparlamentet </w:t>
            </w:r>
            <w:r>
              <w:rPr>
                <w:b/>
                <w:i/>
              </w:rPr>
              <w:t>efterlyser en noggrann övervakning av aktiva arbetsmarknadsåtgärder samt</w:t>
            </w:r>
            <w:r>
              <w:t xml:space="preserve"> adekvat inkomststöd och social trygghet för att säkerställa ett deltagande på </w:t>
            </w:r>
            <w:r>
              <w:rPr>
                <w:b/>
                <w:i/>
              </w:rPr>
              <w:t>lika villkor för dem som befinner sig längst bort från</w:t>
            </w:r>
            <w:r>
              <w:t xml:space="preserve"> arbetsmarknaden</w:t>
            </w:r>
            <w:r>
              <w:rPr>
                <w:b/>
                <w:i/>
              </w:rPr>
              <w:t>, särskilt</w:t>
            </w:r>
            <w:r>
              <w:t xml:space="preserve"> personer med funktionsnedsättning </w:t>
            </w:r>
            <w:r>
              <w:rPr>
                <w:b/>
                <w:i/>
              </w:rPr>
              <w:t>och romer</w:t>
            </w:r>
            <w:r>
              <w:t>.</w:t>
            </w:r>
          </w:p>
        </w:tc>
        <w:tc>
          <w:tcPr>
            <w:tcW w:w="4876" w:type="dxa"/>
            <w:tcBorders>
              <w:top w:val="nil"/>
              <w:left w:val="nil"/>
              <w:bottom w:val="nil"/>
              <w:right w:val="nil"/>
            </w:tcBorders>
          </w:tcPr>
          <w:p>
            <w:pPr>
              <w:pStyle w:val="Normal6a"/>
            </w:pPr>
            <w:r>
              <w:t>13.</w:t>
            </w:r>
            <w:r>
              <w:tab/>
            </w:r>
            <w:r>
              <w:t xml:space="preserve">Europaparlamentet </w:t>
            </w:r>
            <w:r>
              <w:rPr>
                <w:b/>
                <w:i/>
              </w:rPr>
              <w:t>rekommenderar de medlemsstater som ännu saknar ett specifikt system för detta att införa</w:t>
            </w:r>
            <w:r>
              <w:t xml:space="preserve"> adekvat inkomststöd och social trygghet för att säkerställa ett </w:t>
            </w:r>
            <w:r>
              <w:rPr>
                <w:b/>
                <w:i/>
              </w:rPr>
              <w:t>jämlikt</w:t>
            </w:r>
            <w:r>
              <w:t xml:space="preserve"> deltagande på arbetsmarknaden </w:t>
            </w:r>
            <w:r>
              <w:rPr>
                <w:b/>
                <w:i/>
              </w:rPr>
              <w:t>för</w:t>
            </w:r>
            <w:r>
              <w:t xml:space="preserve"> personer med funktionsnedsättning.</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Europaparlamentet efterlyser en noggrann övervakning av aktiva arbetsmarknadsåtgärder samt adekvat inkomststöd och social trygghet för att säkerställa ett deltagande på lika villkor för dem som befinner sig längst bort från arbetsmarknaden, </w:t>
            </w:r>
            <w:r>
              <w:rPr>
                <w:b/>
                <w:i/>
              </w:rPr>
              <w:t>särskilt</w:t>
            </w:r>
            <w:r>
              <w:t xml:space="preserve"> personer med funktionsnedsättning och </w:t>
            </w:r>
            <w:r>
              <w:rPr>
                <w:b/>
                <w:i/>
              </w:rPr>
              <w:t>romer</w:t>
            </w:r>
            <w:r>
              <w:t>.</w:t>
            </w:r>
          </w:p>
        </w:tc>
        <w:tc>
          <w:tcPr>
            <w:tcW w:w="4876" w:type="dxa"/>
            <w:tcBorders>
              <w:top w:val="nil"/>
              <w:left w:val="nil"/>
              <w:bottom w:val="nil"/>
              <w:right w:val="nil"/>
            </w:tcBorders>
          </w:tcPr>
          <w:p>
            <w:pPr>
              <w:pStyle w:val="Normal6a"/>
            </w:pPr>
            <w:r>
              <w:t>13.</w:t>
            </w:r>
            <w:r>
              <w:tab/>
            </w:r>
            <w:r>
              <w:t xml:space="preserve">Europaparlamentet efterlyser en noggrann övervakning av aktiva arbetsmarknadsåtgärder samt adekvat inkomststöd och social trygghet för att säkerställa ett deltagande på lika villkor för dem som befinner sig längst bort från arbetsmarknaden, </w:t>
            </w:r>
            <w:r>
              <w:rPr>
                <w:b/>
                <w:i/>
              </w:rPr>
              <w:t>bland annat</w:t>
            </w:r>
            <w:r>
              <w:t xml:space="preserve"> personer med funktionsnedsättning och </w:t>
            </w:r>
            <w:r>
              <w:rPr>
                <w:b/>
                <w:i/>
              </w:rPr>
              <w:t>minoriteter</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Chiara Gemma, Francesco Torselli,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Europaparlamentet anser att den sociala ekonomin är en viktig drivkraft för genomförandet av den europeiska pelaren för sociala rättigheter och dess mål i och med att den ofta ger sysselsättning till utsatta och utestängda grupper. Parlamentet uppmanar kommissionen och medlemsstaterna att stärka sitt stöd till alla företag inom den sociala ekonomin</w:t>
            </w:r>
            <w:r>
              <w:rPr>
                <w:b/>
                <w:i/>
              </w:rPr>
              <w:t>, särskilt icke-vinstdrivande företag,</w:t>
            </w:r>
            <w:r>
              <w:t xml:space="preserve"> för att främja anständigt och inkluderande arbete av god kvalitet.</w:t>
            </w:r>
          </w:p>
        </w:tc>
        <w:tc>
          <w:tcPr>
            <w:tcW w:w="4876" w:type="dxa"/>
            <w:tcBorders>
              <w:top w:val="nil"/>
              <w:left w:val="nil"/>
              <w:bottom w:val="nil"/>
              <w:right w:val="nil"/>
            </w:tcBorders>
          </w:tcPr>
          <w:p>
            <w:pPr>
              <w:pStyle w:val="Normal6a"/>
            </w:pPr>
            <w:r>
              <w:t>14.</w:t>
            </w:r>
            <w:r>
              <w:tab/>
            </w:r>
            <w:r>
              <w:t>Europaparlamentet anser att den sociala ekonomin är en viktig drivkraft för genomförandet av den europeiska pelaren för sociala rättigheter och dess mål i och med att den ofta ger sysselsättning till utsatta och utestängda grupper. Parlamentet uppmanar kommissionen och medlemsstaterna att stärka sitt stöd till alla företag inom den sociala ekonomin för att främja anständigt och inkluderande arbete av god kvalitet.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Europaparlamentet anser att den sociala ekonomin </w:t>
            </w:r>
            <w:r>
              <w:rPr>
                <w:b/>
                <w:i/>
              </w:rPr>
              <w:t>är en viktig drivkraft för genomförandet av den europeiska pelaren för</w:t>
            </w:r>
            <w:r>
              <w:t xml:space="preserve"> sociala rättigheter </w:t>
            </w:r>
            <w:r>
              <w:rPr>
                <w:b/>
                <w:i/>
              </w:rPr>
              <w:t>och dess mål i och med att den ofta ger</w:t>
            </w:r>
            <w:r>
              <w:t xml:space="preserve"> sysselsättning </w:t>
            </w:r>
            <w:r>
              <w:rPr>
                <w:b/>
                <w:i/>
              </w:rPr>
              <w:t>till utsatta och utestängda grupper</w:t>
            </w:r>
            <w:r>
              <w:t xml:space="preserve">. Parlamentet </w:t>
            </w:r>
            <w:r>
              <w:rPr>
                <w:b/>
                <w:i/>
              </w:rPr>
              <w:t>uppmanar kommissionen och</w:t>
            </w:r>
            <w:r>
              <w:t xml:space="preserve"> medlemsstaterna att </w:t>
            </w:r>
            <w:r>
              <w:rPr>
                <w:b/>
                <w:i/>
              </w:rPr>
              <w:t>stärka sitt stöd till alla</w:t>
            </w:r>
            <w:r>
              <w:t xml:space="preserve"> företag </w:t>
            </w:r>
            <w:r>
              <w:rPr>
                <w:b/>
                <w:i/>
              </w:rPr>
              <w:t>inom</w:t>
            </w:r>
            <w:r>
              <w:t xml:space="preserve"> den sociala ekonomin</w:t>
            </w:r>
            <w:r>
              <w:rPr>
                <w:b/>
                <w:i/>
              </w:rPr>
              <w:t>, särskilt icke-vinstdrivande företag, för att främja</w:t>
            </w:r>
            <w:r>
              <w:t xml:space="preserve"> anständigt </w:t>
            </w:r>
            <w:r>
              <w:rPr>
                <w:b/>
                <w:i/>
              </w:rPr>
              <w:t>och inkluderande</w:t>
            </w:r>
            <w:r>
              <w:t xml:space="preserve"> arbete av god kvalitet.</w:t>
            </w:r>
          </w:p>
        </w:tc>
        <w:tc>
          <w:tcPr>
            <w:tcW w:w="4876" w:type="dxa"/>
            <w:tcBorders>
              <w:top w:val="nil"/>
              <w:left w:val="nil"/>
              <w:bottom w:val="nil"/>
              <w:right w:val="nil"/>
            </w:tcBorders>
          </w:tcPr>
          <w:p>
            <w:pPr>
              <w:pStyle w:val="Normal6a"/>
            </w:pPr>
            <w:r>
              <w:t>14.</w:t>
            </w:r>
            <w:r>
              <w:tab/>
            </w:r>
            <w:r>
              <w:t xml:space="preserve">Europaparlamentet anser att den sociala </w:t>
            </w:r>
            <w:r>
              <w:rPr>
                <w:b/>
                <w:i/>
              </w:rPr>
              <w:t>och solidariska</w:t>
            </w:r>
            <w:r>
              <w:t xml:space="preserve"> ekonomin </w:t>
            </w:r>
            <w:r>
              <w:rPr>
                <w:b/>
                <w:i/>
              </w:rPr>
              <w:t>bidrar till respekten för arbetstagarnas</w:t>
            </w:r>
            <w:r>
              <w:t xml:space="preserve"> sociala rättigheter </w:t>
            </w:r>
            <w:r>
              <w:rPr>
                <w:b/>
                <w:i/>
              </w:rPr>
              <w:t>i fråga om förekomsten av ett visst antal stödstrukturer, bland annat sådana som erbjuder</w:t>
            </w:r>
            <w:r>
              <w:t xml:space="preserve"> sysselsättning </w:t>
            </w:r>
            <w:r>
              <w:rPr>
                <w:b/>
                <w:i/>
              </w:rPr>
              <w:t>för personer med funktionsnedsättning</w:t>
            </w:r>
            <w:r>
              <w:t xml:space="preserve">. Parlamentet </w:t>
            </w:r>
            <w:r>
              <w:rPr>
                <w:b/>
                <w:i/>
              </w:rPr>
              <w:t>rekommenderar</w:t>
            </w:r>
            <w:r>
              <w:t xml:space="preserve"> medlemsstaterna att </w:t>
            </w:r>
            <w:r>
              <w:rPr>
                <w:b/>
                <w:i/>
              </w:rPr>
              <w:t>stödja</w:t>
            </w:r>
            <w:r>
              <w:t xml:space="preserve"> företag </w:t>
            </w:r>
            <w:r>
              <w:rPr>
                <w:b/>
                <w:i/>
              </w:rPr>
              <w:t>i</w:t>
            </w:r>
            <w:r>
              <w:t xml:space="preserve"> den sociala </w:t>
            </w:r>
            <w:r>
              <w:rPr>
                <w:b/>
                <w:i/>
              </w:rPr>
              <w:t>och solidariska</w:t>
            </w:r>
            <w:r>
              <w:t xml:space="preserve"> ekonomin </w:t>
            </w:r>
            <w:r>
              <w:rPr>
                <w:b/>
                <w:i/>
              </w:rPr>
              <w:t>som bidrar till inkludering av personer med funktionsnedsättning, i syfte att säkerställa</w:t>
            </w:r>
            <w:r>
              <w:t xml:space="preserve"> anständigt arbete av god kvalitet.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 xml:space="preserve">Europaparlamentet konstaterar att det, för att den sociala ekonomins fulla potential när det gäller att hantera socioekonomiska utmaningar ska kunna utnyttjas, krävs att offentliga myndigheter tydligt fastställer vilka de sociala prioriteringarna </w:t>
            </w:r>
            <w:r>
              <w:t xml:space="preserve"> </w:t>
            </w:r>
            <w:r>
              <w:rPr>
                <w:b/>
                <w:i/>
              </w:rPr>
              <w:t>och leverantörerna av sociala tjänster i den främsta linjen är.</w:t>
            </w:r>
            <w:r>
              <w:t xml:space="preserve"> </w:t>
            </w:r>
            <w:r>
              <w:rPr>
                <w:b/>
                <w:i/>
              </w:rPr>
              <w:t>Parlamentet betonar att projekt inom den sociala ekonomin i allmänhet kräver ett nära partnerskap med offentliga organ och uppmanar därför kommissionen och medlemsstaterna att, inom den ram för makroekonomisk styrning som tillhandahålls på EU-nivå, utveckla en (ny) strategi för sociala investeringar som inte inkräktar på befintliga finansieringsinstrument och har tydligt fastställda sociala prioriteringar, i linje med den europeiska pelaren för sociala rättigheter, och som kan utgöra en ram för samarbete mellan offentliga myndigheter och organisationer inom den sociala ekonomin.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Europaparlamentet betonar att det för att uppnå målen för 2030 också krävs tillämpning av principer för god samhällsstyrning som bygger på rättsstatsprincipen, ansvarsfulla institutioner och effektiv reglering och på att rättsosäkerhet undviks.</w:t>
            </w:r>
          </w:p>
        </w:tc>
        <w:tc>
          <w:tcPr>
            <w:tcW w:w="4876" w:type="dxa"/>
            <w:tcBorders>
              <w:top w:val="nil"/>
              <w:left w:val="nil"/>
              <w:bottom w:val="nil"/>
              <w:right w:val="nil"/>
            </w:tcBorders>
          </w:tcPr>
          <w:p>
            <w:pPr>
              <w:pStyle w:val="Normal6a"/>
            </w:pPr>
            <w:r>
              <w:t>15.</w:t>
            </w:r>
            <w:r>
              <w:tab/>
            </w:r>
            <w:r>
              <w:t xml:space="preserve">Europaparlamentet betonar att det för att uppnå målen för 2030 också krävs tillämpning av principer för god samhällsstyrning som bygger på rättsstatsprincipen, ansvarsfulla institutioner och effektiv reglering och på att rättsosäkerhet undviks. </w:t>
            </w:r>
            <w:r>
              <w:rPr>
                <w:b/>
                <w:i/>
              </w:rPr>
              <w:t>Parlamentet är bekymrat övar att kommissionens avregleringsagenda kan leda till en tillbakagång när det gäller befintliga sociala standarder och miljöstandarder och därmed hämma unionens framsteg med att uppnå målen för 2030.</w:t>
            </w:r>
            <w:r>
              <w:t xml:space="preserve"> </w:t>
            </w:r>
            <w:r>
              <w:rPr>
                <w:b/>
                <w:i/>
              </w:rPr>
              <w:t>Parlamentet uppmanar kommissionen och medlemsstaterna att leva upp till sina åtaganden i fråga om unionens gemensamma mål, särskilt artikel 3 i fördraget om Europeiska unionen.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Europaparlamentet betonar att det för att uppnå målen för 2030 också krävs tillämpning av principer för god samhällsstyrning som bygger på rättsstatsprincipen, ansvarsfulla institutioner </w:t>
            </w:r>
            <w:r>
              <w:rPr>
                <w:b/>
                <w:i/>
              </w:rPr>
              <w:t>och effektiv reglering</w:t>
            </w:r>
            <w:r>
              <w:t xml:space="preserve"> och på att rättsosäkerhet undviks.</w:t>
            </w:r>
          </w:p>
        </w:tc>
        <w:tc>
          <w:tcPr>
            <w:tcW w:w="4876" w:type="dxa"/>
            <w:tcBorders>
              <w:top w:val="nil"/>
              <w:left w:val="nil"/>
              <w:bottom w:val="nil"/>
              <w:right w:val="nil"/>
            </w:tcBorders>
          </w:tcPr>
          <w:p>
            <w:pPr>
              <w:pStyle w:val="Normal6a"/>
            </w:pPr>
            <w:r>
              <w:t>15.</w:t>
            </w:r>
            <w:r>
              <w:tab/>
            </w:r>
            <w:r>
              <w:t>Europaparlamentet betonar att det för att uppnå målen för 2030 också krävs tillämpning av principer för god samhällsstyrning som bygger på rättsstatsprincipen, ansvarsfulla institutioner</w:t>
            </w:r>
            <w:r>
              <w:rPr>
                <w:b/>
                <w:i/>
              </w:rPr>
              <w:t>, effektivitet i samband med genomförande, övervakning och efterlevnad</w:t>
            </w:r>
            <w:r>
              <w:t xml:space="preserve"> och på att rättsosäkerhet undviks. </w:t>
            </w:r>
            <w:r>
              <w:rPr>
                <w:b/>
                <w:i/>
              </w:rPr>
              <w:t>Parlamentet begär i detta avseende att den politiska förklaringen från det andra globala toppmötet ska innehålla meningsfulla åtaganden om att främja målen för hållbar utveckling och ta itu med ihållande brister i den sociala utvecklingen samt kraftfulla övervaknings- och översynsmekanismer.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Europaparlamentet betonar att det för att uppnå målen för 2030 också krävs tillämpning av principer för god samhällsstyrning som bygger på rättsstatsprincipen, ansvarsfulla institutioner och effektiv reglering och på att rättsosäkerhet undviks.</w:t>
            </w:r>
          </w:p>
        </w:tc>
        <w:tc>
          <w:tcPr>
            <w:tcW w:w="4876" w:type="dxa"/>
            <w:tcBorders>
              <w:top w:val="nil"/>
              <w:left w:val="nil"/>
              <w:bottom w:val="nil"/>
              <w:right w:val="nil"/>
            </w:tcBorders>
          </w:tcPr>
          <w:p>
            <w:pPr>
              <w:pStyle w:val="Normal6a"/>
            </w:pPr>
            <w:r>
              <w:t>15.</w:t>
            </w:r>
            <w:r>
              <w:tab/>
            </w:r>
            <w:r>
              <w:t>Europaparlamentet betonar att det för att uppnå målen för 2030 också krävs tillämpning av principer för god samhällsstyrning som bygger på rättsstatsprincipen, ansvarsfulla institutioner och effektiv reglering och på att rättsosäkerhet undviks</w:t>
            </w:r>
            <w:r>
              <w:rPr>
                <w:b/>
                <w:i/>
              </w:rPr>
              <w:t>, inbegripet i EU:s kandidatländer</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Europaparlamentet betonar också att dessa principer bygger på medlemsstaternas suveränitet samt att de inbegriper bekämpning av utländsk inblandning och förutsätter att staterna har handlingsfrihet i tryggandet av sina folks rättigheter.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Marie Dauchy, Mélanie Disdier, Nikola Bartůšek</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Europaparlamentet betonar att ledarskap på området för internationella mänskliga rättigheter bäst utövas genom att man föregår med gott exempel, vilket inbegriper en beredvillighet att ratificera internationella människorättsinstrument och att genomföra dem fullt ut och effektivt.</w:t>
            </w:r>
            <w:r>
              <w:t xml:space="preserve"> </w:t>
            </w:r>
            <w:r>
              <w:rPr>
                <w:b/>
                <w:i/>
              </w:rPr>
              <w:t>Parlamentet konstaterar att det globala engagemanget för mänskliga rättigheter också måste stärkas genom utnyttjande av diplomatiska och ekonomiska möjligheter för att förbättra engagemanget för människorättsinstrument och göra det möjligt för andra – såsom icke-statliga organisationer och fackföreningar – att arbeta fritt för att främja människorättsnormer i hela världen.</w:t>
            </w:r>
            <w:r>
              <w:t xml:space="preserve"> </w:t>
            </w:r>
            <w:r>
              <w:rPr>
                <w:b/>
                <w:i/>
              </w:rPr>
              <w:t>Parlamentet påminner om att mänskliga rättigheter och sociala rättigheter endast kan främjas på ett trovärdigt sätt av länder som själva fullgör sina skyldigheter.</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Europaparlamentet betonar att ledarskap på området för internationella mänskliga rättigheter bäst utövas genom att man föregår med gott exempel, vilket inbegriper en beredvillighet att ratificera internationella människorättsinstrument och att genomföra dem fullt ut och effektivt. Parlamentet konstaterar att det globala engagemanget för mänskliga rättigheter också måste stärkas genom utnyttjande av diplomatiska och ekonomiska möjligheter för att förbättra engagemanget för människorättsinstrument och göra det möjligt för andra – såsom icke-statliga organisationer och fackföreningar – att arbeta fritt för att främja människorättsnormer i hela världen. Parlamentet påminner om att mänskliga rättigheter och sociala rättigheter endast kan främjas på ett trovärdigt sätt av länder som själva fullgör sina skyldigheter.</w:t>
            </w:r>
          </w:p>
        </w:tc>
        <w:tc>
          <w:tcPr>
            <w:tcW w:w="4876" w:type="dxa"/>
            <w:tcBorders>
              <w:top w:val="nil"/>
              <w:left w:val="nil"/>
              <w:bottom w:val="nil"/>
              <w:right w:val="nil"/>
            </w:tcBorders>
          </w:tcPr>
          <w:p>
            <w:pPr>
              <w:pStyle w:val="Normal6a"/>
            </w:pPr>
            <w:r>
              <w:t>16.</w:t>
            </w:r>
            <w:r>
              <w:tab/>
            </w:r>
            <w:r>
              <w:t>Europaparlamentet betonar att ledarskap på området för internationella mänskliga rättigheter bäst utövas genom att man föregår med gott exempel</w:t>
            </w:r>
            <w:r>
              <w:rPr>
                <w:b/>
                <w:i/>
              </w:rPr>
              <w:t>, särskilt EU-institutionerna</w:t>
            </w:r>
            <w:r>
              <w:t xml:space="preserve">, vilket inbegriper en beredvillighet att ratificera internationella människorättsinstrument och att genomföra dem fullt ut och effektivt. Parlamentet konstaterar att det globala engagemanget för mänskliga rättigheter också måste stärkas genom utnyttjande av diplomatiska och ekonomiska möjligheter för att förbättra engagemanget för människorättsinstrument och göra det möjligt för andra – såsom icke-statliga organisationer och fackföreningar </w:t>
            </w:r>
            <w:r>
              <w:rPr>
                <w:b/>
                <w:i/>
              </w:rPr>
              <w:t>som stöds genom EU-budgeten</w:t>
            </w:r>
            <w:r>
              <w:t xml:space="preserve"> – att arbeta fritt </w:t>
            </w:r>
            <w:r>
              <w:rPr>
                <w:b/>
                <w:i/>
              </w:rPr>
              <w:t>och i överensstämmelse med fördragen</w:t>
            </w:r>
            <w:r>
              <w:t xml:space="preserve"> för att främja människorättsnormer i hela världen </w:t>
            </w:r>
            <w:r>
              <w:rPr>
                <w:b/>
                <w:i/>
              </w:rPr>
              <w:t>utan att allvarligt äventyra unionens ekonomiska intressen i den globala konkurrensen</w:t>
            </w:r>
            <w:r>
              <w:t>. Parlamentet påminner om att mänskliga rättigheter och sociala rättigheter endast kan främjas på ett trovärdigt sätt av länder som själva fullgör sina skyldigheter.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Chiara Gemma, Francesco Torselli, Elena Donazzan, Mariateresa Vivaldini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Europaparlamentet betonar att ledarskap på området för internationella mänskliga rättigheter bäst utövas genom att man föregår med gott exempel, vilket inbegriper en beredvillighet att ratificera internationella människorättsinstrument och att genomföra dem fullt ut och effektivt. Parlamentet konstaterar att det globala engagemanget för mänskliga rättigheter också måste stärkas genom utnyttjande av diplomatiska och ekonomiska möjligheter för att förbättra engagemanget för människorättsinstrument </w:t>
            </w:r>
            <w:r>
              <w:rPr>
                <w:b/>
                <w:i/>
              </w:rPr>
              <w:t>och göra det möjligt för andra – såsom icke-statliga organisationer och fackföreningar – att arbeta fritt för att främja människorättsnormer i hela världen</w:t>
            </w:r>
            <w:r>
              <w:t>. Parlamentet påminner om att mänskliga rättigheter och sociala rättigheter endast kan främjas på ett trovärdigt sätt av länder som själva fullgör sina skyldigheter.</w:t>
            </w:r>
          </w:p>
        </w:tc>
        <w:tc>
          <w:tcPr>
            <w:tcW w:w="4876" w:type="dxa"/>
            <w:tcBorders>
              <w:top w:val="nil"/>
              <w:left w:val="nil"/>
              <w:bottom w:val="nil"/>
              <w:right w:val="nil"/>
            </w:tcBorders>
          </w:tcPr>
          <w:p>
            <w:pPr>
              <w:pStyle w:val="Normal6a"/>
            </w:pPr>
            <w:r>
              <w:t>16.</w:t>
            </w:r>
            <w:r>
              <w:tab/>
            </w:r>
            <w:r>
              <w:t>Europaparlamentet betonar att ledarskap på området för internationella mänskliga rättigheter bäst utövas genom att man föregår med gott exempel, vilket inbegriper en beredvillighet att ratificera internationella människorättsinstrument och att genomföra dem fullt ut och effektivt. Parlamentet konstaterar att det globala engagemanget för mänskliga rättigheter också måste stärkas genom utnyttjande av diplomatiska och ekonomiska möjligheter för att förbättra engagemanget för människorättsinstrument. Parlamentet påminner om att mänskliga rättigheter och sociala rättigheter endast kan främjas på ett trovärdigt sätt av länder som själva fullgör sina skyldigheter.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Europaparlamentet betonar att ledarskap på området för internationella mänskliga rättigheter bäst utövas genom att man föregår med gott exempel, vilket inbegriper en beredvillighet att ratificera internationella människorättsinstrument och att genomföra dem fullt ut och effektivt. Parlamentet konstaterar att det globala engagemanget för mänskliga rättigheter också måste stärkas genom utnyttjande av diplomatiska och ekonomiska möjligheter för att förbättra engagemanget för människorättsinstrument och göra det möjligt för andra – såsom icke-statliga organisationer och fackföreningar – att arbeta fritt för att främja människorättsnormer i hela världen. Parlamentet påminner om att mänskliga rättigheter och sociala rättigheter endast kan främjas på ett trovärdigt sätt av länder som själva fullgör sina skyldigheter.</w:t>
            </w:r>
          </w:p>
        </w:tc>
        <w:tc>
          <w:tcPr>
            <w:tcW w:w="4876" w:type="dxa"/>
            <w:tcBorders>
              <w:top w:val="nil"/>
              <w:left w:val="nil"/>
              <w:bottom w:val="nil"/>
              <w:right w:val="nil"/>
            </w:tcBorders>
          </w:tcPr>
          <w:p>
            <w:pPr>
              <w:pStyle w:val="Normal6a"/>
            </w:pPr>
            <w:r>
              <w:t>16.</w:t>
            </w:r>
            <w:r>
              <w:tab/>
            </w:r>
            <w:r>
              <w:t xml:space="preserve">Europaparlamentet </w:t>
            </w:r>
            <w:r>
              <w:rPr>
                <w:b/>
                <w:i/>
              </w:rPr>
              <w:t>påminner om att fred och globalt samarbete är de grundläggande förutsättningarna för att uppnå hållbar utveckling i Europa och globalt.</w:t>
            </w:r>
            <w:r>
              <w:t xml:space="preserve"> </w:t>
            </w:r>
            <w:r>
              <w:rPr>
                <w:b/>
                <w:i/>
              </w:rPr>
              <w:t>Parlamentet</w:t>
            </w:r>
            <w:r>
              <w:t xml:space="preserve"> betonar att ledarskap på området för internationella mänskliga rättigheter bäst utövas genom att man föregår med gott exempel, vilket inbegriper en beredvillighet att ratificera internationella människorättsinstrument och att genomföra dem fullt ut och effektivt. Parlamentet konstaterar att det globala engagemanget för mänskliga rättigheter också måste stärkas genom utnyttjande av diplomatiska och ekonomiska möjligheter för att förbättra engagemanget för människorättsinstrument och göra det möjligt för andra – såsom icke-statliga organisationer och fackföreningar – att arbeta fritt för att främja människorättsnormer i hela världen. Parlamentet påminner om att mänskliga rättigheter och sociala rättigheter endast kan främjas på ett trovärdigt sätt av länder som själva fullgör sina skyldigheter.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Europaparlamentet betonar att </w:t>
            </w:r>
            <w:r>
              <w:rPr>
                <w:b/>
                <w:i/>
              </w:rPr>
              <w:t>ledarskap</w:t>
            </w:r>
            <w:r>
              <w:t xml:space="preserve"> på området för internationella mänskliga rättigheter </w:t>
            </w:r>
            <w:r>
              <w:rPr>
                <w:b/>
                <w:i/>
              </w:rPr>
              <w:t>bäst utövas</w:t>
            </w:r>
            <w:r>
              <w:t xml:space="preserve"> genom att </w:t>
            </w:r>
            <w:r>
              <w:rPr>
                <w:b/>
                <w:i/>
              </w:rPr>
              <w:t>man föregår med gott exempel, vilket inbegriper en beredvillighet att ratificera</w:t>
            </w:r>
            <w:r>
              <w:t xml:space="preserve"> internationella människorättsinstrument </w:t>
            </w:r>
            <w:r>
              <w:rPr>
                <w:b/>
                <w:i/>
              </w:rPr>
              <w:t>och att genomföra dem fullt ut och effektivt</w:t>
            </w:r>
            <w:r>
              <w:t xml:space="preserve">. Parlamentet konstaterar att det globala engagemanget för </w:t>
            </w:r>
            <w:r>
              <w:rPr>
                <w:b/>
                <w:i/>
              </w:rPr>
              <w:t>mänskliga rättigheter</w:t>
            </w:r>
            <w:r>
              <w:t xml:space="preserve"> också måste stärkas genom utnyttjande av diplomatiska och ekonomiska möjligheter </w:t>
            </w:r>
            <w:r>
              <w:rPr>
                <w:b/>
                <w:i/>
              </w:rPr>
              <w:t>för att förbättra engagemanget för människorättsinstrument</w:t>
            </w:r>
            <w:r>
              <w:t xml:space="preserve"> och göra det möjligt för andra – såsom icke-statliga organisationer och fackföreningar – att arbeta fritt för att främja människorättsnormer i hela världen. Parlamentet påminner om att mänskliga rättigheter och sociala rättigheter endast kan främjas på ett trovärdigt sätt av länder som själva fullgör sina skyldigheter.</w:t>
            </w:r>
          </w:p>
        </w:tc>
        <w:tc>
          <w:tcPr>
            <w:tcW w:w="4876" w:type="dxa"/>
            <w:tcBorders>
              <w:top w:val="nil"/>
              <w:left w:val="nil"/>
              <w:bottom w:val="nil"/>
              <w:right w:val="nil"/>
            </w:tcBorders>
          </w:tcPr>
          <w:p>
            <w:pPr>
              <w:pStyle w:val="Normal6a"/>
            </w:pPr>
            <w:r>
              <w:t>16.</w:t>
            </w:r>
            <w:r>
              <w:tab/>
            </w:r>
            <w:r>
              <w:t xml:space="preserve">Europaparlamentet betonar att </w:t>
            </w:r>
            <w:r>
              <w:rPr>
                <w:b/>
                <w:i/>
              </w:rPr>
              <w:t>EU måste spela en ledande roll</w:t>
            </w:r>
            <w:r>
              <w:t xml:space="preserve"> på området för internationella mänskliga rättigheter genom att </w:t>
            </w:r>
            <w:r>
              <w:rPr>
                <w:b/>
                <w:i/>
              </w:rPr>
              <w:t>fullt ut och effektivt genomföra</w:t>
            </w:r>
            <w:r>
              <w:t xml:space="preserve"> internationella människorättsinstrument. Parlamentet konstaterar att det globala engagemanget för </w:t>
            </w:r>
            <w:r>
              <w:rPr>
                <w:b/>
                <w:i/>
              </w:rPr>
              <w:t>människorättsinstrument</w:t>
            </w:r>
            <w:r>
              <w:t xml:space="preserve"> också måste stärkas genom utnyttjande av diplomatiska och ekonomiska möjligheter och göra det möjligt för andra – såsom icke-statliga organisationer och fackföreningar – att arbeta fritt för att främja människorättsnormer </w:t>
            </w:r>
            <w:r>
              <w:rPr>
                <w:b/>
                <w:i/>
              </w:rPr>
              <w:t>och sociala normer</w:t>
            </w:r>
            <w:r>
              <w:t xml:space="preserve"> i hela världen. Parlamentet påminner om att mänskliga rättigheter och sociala rättigheter endast kan främjas på ett trovärdigt sätt av länder som själva fullgör sina skyldigheter.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Katrin Langensiepen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Europaparlamentet betonar att initiativ som syftar till att stimulera ekonomisk tillväxt inte får ske på bekostnad av social rättvisa, arbetstagarrättigheter eller miljöskydd.</w:t>
            </w:r>
            <w:r>
              <w:t xml:space="preserve"> </w:t>
            </w:r>
            <w:r>
              <w:rPr>
                <w:b/>
                <w:i/>
              </w:rPr>
              <w:t>Parlamentet uppmanar EU att konstruktivt engagera sig i antagandet av FN:s konvention om företag och mänskliga rättigheter för att reglera transnationella företags och andra företags verksamhet och göra det möjligt för drabbade att söka gottgörelse.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Li Andersson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Europaparlamentet betonar behovet av att regelbundet genomföra en grundlig översynsprocess för att bedöma framstegen, identifiera brister och förnya åtaganden.</w:t>
            </w:r>
            <w:r>
              <w:t xml:space="preserve"> </w:t>
            </w:r>
            <w:r>
              <w:rPr>
                <w:b/>
                <w:i/>
              </w:rPr>
              <w:t>Parlamentet uppmanar Internationella arbetsorganisationen (ILO) att fungera som det främsta uppföljningsorganet för åtaganden om social utveckling och begär att dess roll i översynsprocessen stärks.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Marie Dauchy, Mélanie Disdier</w:t>
      </w:r>
      <w:r>
        <w:rPr>
          <w:rStyle w:val="HideTWBExt"/>
          <w:b w:val="0"/>
        </w:rPr>
        <w:t>&lt;/Members&gt;</w:t>
      </w:r>
    </w:p>
    <w:p>
      <w:r>
        <w:rPr>
          <w:rStyle w:val="HideTWBExt"/>
          <w:b w:val="0"/>
        </w:rPr>
        <w:t>&lt;AuNomDe&gt;</w:t>
      </w:r>
      <w:r>
        <w:rPr>
          <w:rStyle w:val="HideTWBInt"/>
        </w:rPr>
        <w:t>{EMPL}</w:t>
      </w:r>
      <w:r>
        <w:t>för utskottet för sysselsättning och sociala frågor</w:t>
      </w:r>
      <w:r>
        <w:rPr>
          <w:rStyle w:val="HideTWBExt"/>
          <w:b w:val="0"/>
        </w:rPr>
        <w:t>&lt;/AuNomDe&gt;</w:t>
      </w:r>
    </w:p>
    <w:p>
      <w:pPr>
        <w:pStyle w:val="NormalBold"/>
      </w:pP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Europaparlamentet uppmanar FN att säkerställa full respekt för arbetstagarrättigheter och sociala rättigheter i värdländerna för toppmötena om social utveckling. </w:t>
            </w:r>
            <w:r>
              <w:rPr>
                <w:b/>
                <w:i/>
              </w:rPr>
              <w:t>Parlamentet efterlyser därför mer beslutsamma åtgärder så att vi gör vårt yttersta för att uppnå EU:s överordnade mål och målen för hållbar utveckling i hela EU senast 2030 och gör mer för att målen för hållbar utveckling ska uppnås i hela världen.</w:t>
            </w:r>
          </w:p>
        </w:tc>
        <w:tc>
          <w:tcPr>
            <w:tcW w:w="4876" w:type="dxa"/>
            <w:tcBorders>
              <w:top w:val="nil"/>
              <w:left w:val="nil"/>
              <w:bottom w:val="nil"/>
              <w:right w:val="nil"/>
            </w:tcBorders>
          </w:tcPr>
          <w:p>
            <w:pPr>
              <w:pStyle w:val="Normal6a"/>
            </w:pPr>
            <w:r>
              <w:t>17.</w:t>
            </w:r>
            <w:r>
              <w:tab/>
            </w:r>
            <w:r>
              <w:t>Europaparlamentet uppmanar FN att säkerställa full respekt för arbetstagarrättigheter och sociala rättigheter i värdländerna för toppmötena om social utveckling.</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Europaparlamentet uppmanar FN </w:t>
            </w:r>
            <w:r>
              <w:rPr>
                <w:b/>
                <w:i/>
              </w:rPr>
              <w:t>att säkerställa full respekt för</w:t>
            </w:r>
            <w:r>
              <w:t xml:space="preserve"> arbetstagarrättigheter och sociala rättigheter </w:t>
            </w:r>
            <w:r>
              <w:rPr>
                <w:b/>
                <w:i/>
              </w:rPr>
              <w:t>i värdländerna för toppmötena om social utveckling</w:t>
            </w:r>
            <w:r>
              <w:t xml:space="preserve">. Parlamentet efterlyser därför </w:t>
            </w:r>
            <w:r>
              <w:rPr>
                <w:b/>
                <w:i/>
              </w:rPr>
              <w:t>mer beslutsamma åtgärder så att vi gör vårt yttersta</w:t>
            </w:r>
            <w:r>
              <w:t xml:space="preserve"> för att uppnå </w:t>
            </w:r>
            <w:r>
              <w:rPr>
                <w:b/>
                <w:i/>
              </w:rPr>
              <w:t>EU:s överordnade</w:t>
            </w:r>
            <w:r>
              <w:t xml:space="preserve"> mål och målen för hållbar utveckling </w:t>
            </w:r>
            <w:r>
              <w:rPr>
                <w:b/>
                <w:i/>
              </w:rPr>
              <w:t>i hela EU</w:t>
            </w:r>
            <w:r>
              <w:t xml:space="preserve"> senast 2030 och </w:t>
            </w:r>
            <w:r>
              <w:rPr>
                <w:b/>
                <w:i/>
              </w:rPr>
              <w:t>gör mer för att målen för hållbar utveckling ska uppnås</w:t>
            </w:r>
            <w:r>
              <w:t xml:space="preserve"> i hela världen.</w:t>
            </w:r>
          </w:p>
        </w:tc>
        <w:tc>
          <w:tcPr>
            <w:tcW w:w="4876" w:type="dxa"/>
            <w:tcBorders>
              <w:top w:val="nil"/>
              <w:left w:val="nil"/>
              <w:bottom w:val="nil"/>
              <w:right w:val="nil"/>
            </w:tcBorders>
          </w:tcPr>
          <w:p>
            <w:pPr>
              <w:pStyle w:val="Normal6a"/>
            </w:pPr>
            <w:r>
              <w:t>17.</w:t>
            </w:r>
            <w:r>
              <w:tab/>
            </w:r>
            <w:r>
              <w:t xml:space="preserve">Europaparlamentet uppmanar FN </w:t>
            </w:r>
            <w:r>
              <w:rPr>
                <w:b/>
                <w:i/>
              </w:rPr>
              <w:t>och alla deltagande länder att till fullo upprätthålla</w:t>
            </w:r>
            <w:r>
              <w:t xml:space="preserve"> arbetstagarrättigheter och sociala rättigheter</w:t>
            </w:r>
            <w:r>
              <w:rPr>
                <w:b/>
                <w:i/>
              </w:rPr>
              <w:t>, bland annat genom att ratificera ILO:s grundläggande konventioner, respektera jämställdhet mellan kvinnor och män och sluta upp bakom värdena i den sociala förklaringen</w:t>
            </w:r>
            <w:r>
              <w:t xml:space="preserve">. Parlamentet efterlyser därför </w:t>
            </w:r>
            <w:r>
              <w:rPr>
                <w:b/>
                <w:i/>
              </w:rPr>
              <w:t>en starkare global anpassning till principerna i den europeiska pelaren för sociala rättigheter och La Hulpe-förklaringen.</w:t>
            </w:r>
            <w:r>
              <w:t xml:space="preserve"> </w:t>
            </w:r>
            <w:r>
              <w:rPr>
                <w:b/>
                <w:i/>
              </w:rPr>
              <w:t>Parlamentet betonar behovet av ett förnyat åtagande</w:t>
            </w:r>
            <w:r>
              <w:t xml:space="preserve"> för att uppnå </w:t>
            </w:r>
            <w:r>
              <w:rPr>
                <w:b/>
                <w:i/>
              </w:rPr>
              <w:t>både EU:s sociala</w:t>
            </w:r>
            <w:r>
              <w:t xml:space="preserve"> mål och målen för hållbar utveckling senast 2030</w:t>
            </w:r>
            <w:r>
              <w:rPr>
                <w:b/>
                <w:i/>
              </w:rPr>
              <w:t>, i Europa</w:t>
            </w:r>
            <w:r>
              <w:t xml:space="preserve"> och i hela världen.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Jana Toom, Irena Joveva, 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Europaparlamentet uppmanar FN att säkerställa full respekt för arbetstagarrättigheter och sociala rättigheter i värdländerna för toppmötena om social utveckling. Parlamentet efterlyser därför mer beslutsamma åtgärder så att vi gör vårt yttersta för att uppnå EU:s överordnade mål och målen för hållbar utveckling i hela EU senast 2030 och gör mer för att målen för hållbar utveckling ska uppnås i hela världen.</w:t>
            </w:r>
          </w:p>
        </w:tc>
        <w:tc>
          <w:tcPr>
            <w:tcW w:w="4876" w:type="dxa"/>
            <w:tcBorders>
              <w:top w:val="nil"/>
              <w:left w:val="nil"/>
              <w:bottom w:val="nil"/>
              <w:right w:val="nil"/>
            </w:tcBorders>
          </w:tcPr>
          <w:p>
            <w:pPr>
              <w:pStyle w:val="Normal6a"/>
            </w:pPr>
            <w:r>
              <w:t>17.</w:t>
            </w:r>
            <w:r>
              <w:tab/>
            </w:r>
            <w:r>
              <w:t xml:space="preserve">Europaparlamentet uppmanar FN att säkerställa full respekt för arbetstagarrättigheter och sociala rättigheter </w:t>
            </w:r>
            <w:r>
              <w:rPr>
                <w:b/>
                <w:i/>
              </w:rPr>
              <w:t>i alla medlemsstater och särskilt</w:t>
            </w:r>
            <w:r>
              <w:t xml:space="preserve"> i värdländerna för toppmötena om social utveckling. Parlamentet efterlyser därför mer beslutsamma åtgärder så att vi gör vårt yttersta för att uppnå EU:s överordnade mål och målen för hållbar utveckling i hela EU senast 2030 och gör mer för att målen för hållbar utveckling ska uppnås i hela världen.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Europaparlamentet uppmanar EU att stödja den globala övergången från informell till formell sysselsättning, i enlighet med ILO:s rekommendation 204, genom att främja rättvisa arbetsnormer, anständigt arbete och tillgång till socialt skydd.</w:t>
            </w:r>
            <w:r>
              <w:t xml:space="preserve"> </w:t>
            </w:r>
            <w:r>
              <w:rPr>
                <w:b/>
                <w:i/>
              </w:rPr>
              <w:t>Parlamentet uppmuntrar till integrering av detta mål i EU:s politik för utveckling, handel och yttre åtgärder.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Estelle Ceulemans, Alicia Homs Ginel, Idoia Mendia, Romana Jerković, Marit Maij, Vilija Blinkevičiūtė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Utkast till förslag till resolution</w:t>
      </w:r>
      <w:r>
        <w:rPr>
          <w:rStyle w:val="HideTWBExt"/>
        </w:rPr>
        <w:t>&lt;/DocAmend&gt;</w:t>
      </w:r>
    </w:p>
    <w:p>
      <w:pPr>
        <w:pStyle w:val="NormalBold"/>
      </w:pPr>
      <w:r>
        <w:rPr>
          <w:rStyle w:val="HideTWBExt"/>
        </w:rPr>
        <w:t>&lt;Article&gt;</w:t>
      </w:r>
      <w:r>
        <w:t>Punkt 17b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Utkast till 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Parlamentet uppmanar FN att inrätta en robust ram för uppföljning av det globala toppmötet om social utveckling, inbegripet ministerförklaringar vartannat år och förstärkta övervakningsstrukturer.</w:t>
            </w:r>
            <w:r>
              <w:t xml:space="preserve"> </w:t>
            </w:r>
            <w:r>
              <w:rPr>
                <w:b/>
                <w:i/>
              </w:rPr>
              <w:t>Parlamentet stöder vitaliseringen av FN:s kommission för social utveckling och ett större deltagande från arbetsmarknadsministeriers och arbetsmarknadsparternas sida.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774.385</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70</w:t>
    </w:r>
    <w:r>
      <w:fldChar w:fldCharType="end"/>
    </w:r>
    <w:r>
      <w:t>/</w:t>
    </w:r>
    <w:r>
      <w:fldChar w:fldCharType="begin"/>
    </w:r>
    <w:r>
      <w:instrText xml:space="preserve"> NUMPAGES </w:instrText>
    </w:r>
    <w:r>
      <w:fldChar w:fldCharType="separate"/>
    </w:r>
    <w:r>
      <w:t>70</w:t>
    </w:r>
    <w:r>
      <w:fldChar w:fldCharType="end"/>
    </w:r>
    <w:r>
      <w:tab/>
    </w:r>
    <w:r>
      <w:rPr>
        <w:rStyle w:val="HideTWBExt"/>
      </w:rPr>
      <w:t>&lt;PathFdR&gt;</w:t>
    </w:r>
    <w:r>
      <w:t>AM\1322547SV.docx</w:t>
    </w:r>
    <w:r>
      <w:rPr>
        <w:rStyle w:val="HideTWBExt"/>
      </w:rPr>
      <w:t>&lt;/PathFdR&gt;</w:t>
    </w:r>
  </w:p>
  <w:p>
    <w:pPr>
      <w:pStyle w:val="EPFooter2"/>
    </w:pPr>
    <w:r>
      <w:t>SV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AM\1322547SV.docx</w:t>
    </w:r>
    <w:r>
      <w:rPr>
        <w:rStyle w:val="HideTWBExt"/>
      </w:rPr>
      <w:t>&lt;/PathFdR&gt;</w:t>
    </w:r>
    <w:r>
      <w:tab/>
    </w:r>
    <w:r>
      <w:fldChar w:fldCharType="begin"/>
    </w:r>
    <w:r>
      <w:instrText xml:space="preserve"> PAGE </w:instrText>
    </w:r>
    <w:r>
      <w:fldChar w:fldCharType="separate"/>
    </w:r>
    <w:r>
      <w:t>69</w:t>
    </w:r>
    <w:r>
      <w:fldChar w:fldCharType="end"/>
    </w:r>
    <w:r>
      <w:t>/</w:t>
    </w:r>
    <w:r>
      <w:fldChar w:fldCharType="begin"/>
    </w:r>
    <w:r>
      <w:instrText xml:space="preserve"> NUMPAGES </w:instrText>
    </w:r>
    <w:r>
      <w:fldChar w:fldCharType="separate"/>
    </w:r>
    <w:r>
      <w:t>70</w:t>
    </w:r>
    <w:r>
      <w:fldChar w:fldCharType="end"/>
    </w:r>
    <w:r>
      <w:tab/>
    </w:r>
    <w:r>
      <w:t>PE</w:t>
    </w:r>
    <w:r>
      <w:rPr>
        <w:rStyle w:val="HideTWBExt"/>
      </w:rPr>
      <w:t>&lt;NoPE&gt;</w:t>
    </w:r>
    <w:r>
      <w:t>774.385</w:t>
    </w:r>
    <w:r>
      <w:rPr>
        <w:rStyle w:val="HideTWBExt"/>
      </w:rPr>
      <w:t>&lt;/NoPE&gt;</w:t>
    </w:r>
    <w:r>
      <w:rPr>
        <w:rStyle w:val="HideTWBExt"/>
      </w:rPr>
      <w:t>&lt;Version&gt;</w:t>
    </w:r>
    <w:r>
      <w:t>v01-00</w:t>
    </w:r>
    <w:r>
      <w:rPr>
        <w:rStyle w:val="HideTWBExt"/>
      </w:rPr>
      <w:t>&lt;/Version&gt;</w:t>
    </w:r>
  </w:p>
  <w:p>
    <w:pPr>
      <w:pStyle w:val="EPFooter2"/>
    </w:pPr>
    <w:r>
      <w:tab/>
    </w:r>
    <w:r>
      <w:tab/>
    </w:r>
    <w:r>
      <w:t>SV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AM\1322547SV.docx</w:t>
    </w:r>
    <w:r>
      <w:rPr>
        <w:rStyle w:val="HideTWBExt"/>
      </w:rPr>
      <w:t>&lt;/PathFdR&gt;</w:t>
    </w:r>
    <w:r>
      <w:tab/>
    </w:r>
    <w:r>
      <w:tab/>
    </w:r>
    <w:r>
      <w:t>PE</w:t>
    </w:r>
    <w:r>
      <w:rPr>
        <w:rStyle w:val="HideTWBExt"/>
      </w:rPr>
      <w:t>&lt;NoPE&gt;</w:t>
    </w:r>
    <w:r>
      <w:t>774.385</w:t>
    </w:r>
    <w:r>
      <w:rPr>
        <w:rStyle w:val="HideTWBExt"/>
      </w:rPr>
      <w:t>&lt;/NoPE&gt;</w:t>
    </w:r>
    <w:r>
      <w:rPr>
        <w:rStyle w:val="HideTWBExt"/>
      </w:rPr>
      <w:t>&lt;Version&gt;</w:t>
    </w:r>
    <w:r>
      <w:t>v01-00</w:t>
    </w:r>
    <w:r>
      <w:rPr>
        <w:rStyle w:val="HideTWBExt"/>
      </w:rPr>
      <w:t>&lt;/Version&gt;</w:t>
    </w:r>
  </w:p>
  <w:p>
    <w:pPr>
      <w:pStyle w:val="EPFooter2"/>
    </w:pPr>
    <w:r>
      <w:t>SV</w:t>
    </w:r>
    <w:r>
      <w:tab/>
    </w:r>
    <w:r>
      <w:rPr>
        <w:rStyle w:val="EPFooter2Motto"/>
      </w:rPr>
      <w:t>Förenade i mångfalden</w:t>
    </w:r>
    <w:r>
      <w:tab/>
    </w:r>
    <w:r>
      <w:t>SV</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fbimajor\f31503\fbidi \fswiss\fcharset0\fprq2 DokChampa;}&#13;_x000a_{\flominor\f31504\fbidi \froman\fcharset0\fprq2{\*\panose 02020603050405020304}Times New Roman;}{\fdbminor\f31505\fbidi \froman\fcharset0\fprq2{\*\panose 02020603050405020304}Times New Roman;}&#13;_x000a_{\fhiminor\f31506\fbidi \fswiss\fcharset0\fprq2{\*\panose 020f0502020204030204}Calibri;}{\fbiminor\f31507\fbidi \fswiss\fcharset0\fprq2 DokChampa;}{\f302\fbidi \froman\fcharset238\fprq2 Times New Roman CE;}&#13;_x000a_{\f303\fbidi \froman\fcharset204\fprq2 Times New Roman Cyr;}{\f305\fbidi \froman\fcharset161\fprq2 Times New Roman Greek;}{\f306\fbidi \froman\fcharset162\fprq2 Times New Roman Tur;}{\f307\fbidi \froman\fcharset177\fprq2 Times New Roman (Hebrew);}&#13;_x000a_{\f308\fbidi \froman\fcharset178\fprq2 Times New Roman (Arabic);}{\f309\fbidi \froman\fcharset186\fprq2 Times New Roman Baltic;}{\f310\fbidi \froman\fcharset163\fprq2 Times New Roman (Vietnamese);}{\f312\fbidi \fswiss\fcharset238\fprq2 Arial CE;}&#13;_x000a_{\f313\fbidi \fswiss\fcharset204\fprq2 Arial Cyr;}{\f315\fbidi \fswiss\fcharset161\fprq2 Arial Greek;}{\f316\fbidi \fswiss\fcharset162\fprq2 Arial Tur;}{\f317\fbidi \fswiss\fcharset177\fprq2 Arial (Hebrew);}&#13;_x000a_{\f318\fbidi \fswiss\fcharset178\fprq2 Arial (Arabic);}{\f319\fbidi \fswiss\fcharset186\fprq2 Arial Baltic;}{\f320\fbidi \fswiss\fcharset163\fprq2 Arial (Vietnamese);}{\f642\fbidi \froman\fcharset238\fprq2 Cambria Math CE;}&#13;_x000a_{\f643\fbidi \froman\fcharset204\fprq2 Cambria Math Cyr;}{\f645\fbidi \froman\fcharset161\fprq2 Cambria Math Greek;}{\f646\fbidi \froman\fcharset162\fprq2 Cambria Math Tur;}{\f649\fbidi \froman\fcharset186\fprq2 Cambria Math Baltic;}&#13;_x000a_{\f650\fbidi \froman\fcharset163\fprq2 Cambria Math (Vietnamese);}{\flomajor\f31508\fbidi \froman\fcharset238\fprq2 Times New Roman CE;}{\flomajor\f31509\fbidi \froman\fcharset204\fprq2 Times New Roman Cyr;}&#13;_x000a_{\flomajor\f31511\fbidi \froman\fcharset161\fprq2 Times New Roman Greek;}{\flomajor\f31512\fbidi \froman\fcharset162\fprq2 Times New Roman Tur;}{\flomajor\f31513\fbidi \froman\fcharset177\fprq2 Times New Roman (Hebrew);}&#13;_x000a_{\flomajor\f31514\fbidi \froman\fcharset178\fprq2 Times New Roman (Arabic);}{\flomajor\f31515\fbidi \froman\fcharset186\fprq2 Times New Roman Baltic;}{\flomajor\f31516\fbidi \froman\fcharset163\fprq2 Times New Roman (Vietnamese);}&#13;_x000a_{\fdbmajor\f31518\fbidi \froman\fcharset238\fprq2 Times New Roman CE;}{\fdbmajor\f31519\fbidi \froman\fcharset204\fprq2 Times New Roman Cyr;}{\fdbmajor\f31521\fbidi \froman\fcharset161\fprq2 Times New Roman Greek;}&#13;_x000a_{\fdbmajor\f31522\fbidi \froman\fcharset162\fprq2 Times New Roman Tur;}{\fdbmajor\f31523\fbidi \froman\fcharset177\fprq2 Times New Roman (Hebrew);}{\fdbmajor\f31524\fbidi \froman\fcharset178\fprq2 Times New Roman (Arabic);}&#13;_x000a_{\fdbmajor\f31525\fbidi \froman\fcharset186\fprq2 Times New Roman Baltic;}{\fdbmajor\f31526\fbidi \froman\fcharset163\fprq2 Times New Roman (Vietnamese);}{\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7\fbidi \fswiss\fcharset222\fprq2 DokChampa (Tha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7\fbidi \fswiss\fcharset222\fprq2 DokChampa (Tha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5068917 HideTWBExt;}{&#13;_x000a_\s18\qr \li0\ri0\sb240\sa240\nowidctlpar\wrapdefault\aspalpha\aspnum\faauto\adjustright\rin0\lin0\itap0 \rtlch\fcs1 \af0\afs20\alang1025 \ltrch\fcs0 \fs24\lang2057\langfe2057\cgrid\langnp2057\langfenp2057 \sbasedon0 \snext18 \spriority0 \styrsid5068917 &#13;_x000a_AmOrLang;}{\s19\ql \li0\ri0\sa120\nowidctlpar\wrapdefault\aspalpha\aspnum\faauto\adjustright\rin0\lin0\itap0 \rtlch\fcs1 \af0\afs20\alang1025 \ltrch\fcs0 \fs24\lang2057\langfe2057\cgrid\langnp2057\langfenp2057 &#13;_x000a_\sbasedon0 \snext19 \spriority0 \styrsid5068917 Normal6a;}{\s20\ql \li0\ri0\nowidctlpar\wrapdefault\aspalpha\aspnum\faauto\adjustright\rin0\lin0\itap0 \rtlch\fcs1 \af0\afs20\alang1025 \ltrch\fcs0 \b\fs24\lang2057\langfe2057\cgrid\langnp2057\langfenp2057 &#13;_x000a_\sbasedon0 \snext20 \spriority0 \styrsid5068917 NormalBold;}{\s21\qc \li0\ri0\sa240\nowidctlpar\wrapdefault\aspalpha\aspnum\faauto\adjustright\rin0\lin0\itap0 \rtlch\fcs1 \af0\afs20\alang1025 \ltrch\fcs0 &#13;_x000a_\i\fs24\lang2057\langfe2057\cgrid\langnp2057\langfenp2057 \sbasedon0 \snext21 \spriority0 \styrsid5068917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5068917 AmNumberTabs;}}{\*\rsidtbl \rsid24658\rsid223860\rsid735077\rsid1718133\rsid2892074\rsid3565327\rsid4666813\rsid5068917\rsid6641733&#13;_x000a_\rsid7823322\rsid9636012\rsid10377208\rsid11215221\rsid11549030\rsid12154954\rsid14382809\rsid14424199\rsid15204470\rsid15285974\rsid15950462\rsid16324206\rsid16404612\rsid16662270}{\mmathPr\mmathFont34\mbrkBin0\mbrkBinSub0\msmallFrac0\mdispDef1\mlMargin0&#13;_x000a_\mrMargin0\mdefJc1\mwrapIndent1440\mintLim0\mnaryLim1}{\info{\author FELIX Karina}{\operator FELIX Karina}{\creatim\yr2022\mo1\dy10\hr18\min34}{\revtim\yr2022\mo1\dy10\hr18\min34}{\version1}{\edmins0}{\nofpages1}{\nofwords47}{\nofchars269}{\nofcharsws315}&#13;_x000a_{\vern105}}{\*\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splytwnine\ftnlytwnine\htmautsp\nolnhtadjtbl\useltbaln\alntblind\lytcalctblwd\lyttblrtgr\lnbrkrule\nobrkwrptbl\snaptogridincell\allowfieldendsel\wrppunct&#13;_x000a_\asianbrkrule\nojkernpunct\rsidroot5068917\newtblstyruls\nogrowautofit\usenormstyforlist\noindnmbrts\felnbrelev\nocxsptable\indrlsweleven\noafcnsttbl\afelev\utinl\hwelev\spltpgpar\notcvasp\notbrkcnstfrctbl\notvatxbx\krnprsnet\cachedcolbal &#13;_x000a_\nouicompat \fet0{\*\wgrffmtfilter 013f}\nofeaturethrottle1\ilfomacatclnup0{\*\template C:\\Users\\kfelix\\AppData\\Local\\Temp\\Blank1.dotx}{\*\ftnsep \ltrpar \pard\plain \ltrpar&#13;_x000a_\ql \li0\ri0\widctlpar\wrapdefault\aspalpha\aspnum\faauto\adjustright\rin0\lin0\itap0 \rtlch\fcs1 \af0\afs20\alang1025 \ltrch\fcs0 \fs24\lang2057\langfe2057\cgrid\langnp2057\langfenp2057 {\rtlch\fcs1 \af0 \ltrch\fcs0 \insrsid16404612 \chftnsep &#13;_x000a_\par }}{\*\ftnsepc \ltrpar \pard\plain \ltrpar\ql \li0\ri0\widctlpar\wrapdefault\aspalpha\aspnum\faauto\adjustright\rin0\lin0\itap0 \rtlch\fcs1 \af0\afs20\alang1025 \ltrch\fcs0 \fs24\lang2057\langfe2057\cgrid\langnp2057\langfenp2057 {\rtlch\fcs1 \af0 &#13;_x000a_\ltrch\fcs0 \insrsid16404612 \chftnsepc &#13;_x000a_\par }}{\*\aftnsep \ltrpar \pard\plain \ltrpar\ql \li0\ri0\widctlpar\wrapdefault\aspalpha\aspnum\faauto\adjustright\rin0\lin0\itap0 \rtlch\fcs1 \af0\afs20\alang1025 \ltrch\fcs0 \fs24\lang2057\langfe2057\cgrid\langnp2057\langfenp2057 {\rtlch\fcs1 \af0 &#13;_x000a_\ltrch\fcs0 \insrsid16404612 \chftnsep &#13;_x000a_\par }}{\*\aftnsepc \ltrpar \pard\plain \ltrpar\ql \li0\ri0\widctlpar\wrapdefault\aspalpha\aspnum\faauto\adjustright\rin0\lin0\itap0 \rtlch\fcs1 \af0\afs20\alang1025 \ltrch\fcs0 \fs24\lang2057\langfe2057\cgrid\langnp2057\langfenp2057 {\rtlch\fcs1 \af0 &#13;_x000a_\ltrch\fcs0 \insrsid16404612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2\ql \li0\ri0\sb240\keepn\nowidctlpar&#13;_x000a_\tx879\tx936\tx1021\tx1077\tx1134\tx1191\tx1247\tx1304\tx1361\tx1418\tx1474\tx1531\tx1588\tx1644\tx1701\tx1758\tx1814\tx1871\tx2070\tx2126\tx3374\tx3430\wrapdefault\aspalpha\aspnum\faauto\adjustright\rin0\lin0\itap0\pararsid5068917 \rtlch\fcs1 &#13;_x000a_\af0\afs20\alang1025 \ltrch\fcs0 \b\fs24\lang2057\langfe2057\cgrid\langnp2057\langfenp2057 {\rtlch\fcs1 \af0 \ltrch\fcs0 \cs17\b0\v\f1\fs20\cf9\lang1024\langfe1024\noproof\insrsid5068917\charrsid4417459 {\*\bkmkstart restart}&lt;Amend&gt;}{\rtlch\fcs1 \af0 &#13;_x000a_\ltrch\fcs0 \insrsid5068917\charrsid1799708 [ZAMENDMENT]}{\rtlch\fcs1 \af0 \ltrch\fcs0 \insrsid5068917 \tab \tab }{\rtlch\fcs1 \af0 \ltrch\fcs0 \cs17\b0\v\f1\fs20\cf9\lang1024\langfe1024\noproof\insrsid5068917\charrsid4417459 &lt;NumAm&gt;}{\rtlch\fcs1 \af0 &#13;_x000a_\ltrch\fcs0 \insrsid5068917\charrsid1799708 [ZNRAM]}{\rtlch\fcs1 \af0 \ltrch\fcs0 \cs17\b0\v\f1\fs20\cf9\lang1024\langfe1024\noproof\insrsid5068917\charrsid4417459 &lt;/NumAm&gt;}{\rtlch\fcs1 \af0 \ltrch\fcs0 \insrsid5068917\charrsid4080556 &#13;_x000a_\par }\pard\plain \ltrpar\s20\ql \li0\ri0\nowidctlpar\wrapdefault\aspalpha\aspnum\faauto\adjustright\rin0\lin0\itap0\pararsid5068917 \rtlch\fcs1 \af0\afs20\alang1025 \ltrch\fcs0 \b\fs24\lang2057\langfe2057\cgrid\langnp2057\langfenp2057 {\rtlch\fcs1 \af0 &#13;_x000a_\ltrch\fcs0 \cs17\b0\v\f1\fs20\cf9\lang1024\langfe1024\noproof\insrsid5068917\charrsid14699840 &lt;RepeatBlock-By&gt;}{\rtlch\fcs1 \af0 \ltrch\fcs0 \lang1024\langfe1024\noproof\insrsid5068917\charrsid14699840 [RepeatMembers]}{\rtlch\fcs1 \af0 \ltrch\fcs0 &#13;_x000a_\cs17\b0\v\f1\fs20\cf9\lang1024\langfe1024\noproof\insrsid5068917\charrsid14699840 &lt;Members&gt;}{\rtlch\fcs1 \af0 \ltrch\fcs0 \insrsid5068917\charrsid14699840 [ZMEMBERS]}{\rtlch\fcs1 \af0 \ltrch\fcs0 &#13;_x000a_\cs17\b0\v\f1\fs20\cf9\lang1024\langfe1024\noproof\insrsid5068917\charrsid14699840 &lt;/Members&gt;}{\rtlch\fcs1 \af0 \ltrch\fcs0 \insrsid5068917\charrsid14699840 &#13;_x000a_\par }\pard\plain \ltrpar\ql \li0\ri0\widctlpar\wrapdefault\aspalpha\aspnum\faauto\adjustright\rin0\lin0\itap0\pararsid5068917 \rtlch\fcs1 \af0\afs20\alang1025 \ltrch\fcs0 \fs24\lang2057\langfe2057\cgrid\langnp2057\langfenp2057 {\rtlch\fcs1 \af0 \ltrch\fcs0 &#13;_x000a_\cs17\v\f1\fs20\cf9\lang1024\langfe1024\noproof\langnp1043\insrsid5068917\charrsid2558431 &lt;AuNomDe&gt;&lt;OptDel&gt;}{\rtlch\fcs1 \af0 \ltrch\fcs0 \lang1043\langfe2057\langnp1043\insrsid5068917\charrsid2558431 [ZONBEHALF]}{\rtlch\fcs1 \af0 \ltrch\fcs0 &#13;_x000a_\cs17\v\f1\fs20\cf9\lang1024\langfe1024\noproof\langnp1043\insrsid5068917\charrsid2558431 &lt;/OptDel&gt;&lt;/AuNomDe&gt;}{\rtlch\fcs1 \af0 \ltrch\fcs0 \lang1043\langfe2057\langnp1043\insrsid5068917\charrsid2558431 &#13;_x000a_\par }{\rtlch\fcs1 \af0 \ltrch\fcs0 \insrsid5068917\charrsid14699840 &lt;&lt;&lt;}{\rtlch\fcs1 \af0 \ltrch\fcs0 \cs17\v\f1\fs20\cf9\lang1024\langfe1024\noproof\insrsid5068917\charrsid14699840 &lt;/RepeatBlock-By&gt;}{\rtlch\fcs1 \af0 \ltrch\fcs0 &#13;_x000a_\insrsid5068917\charrsid14699840 &#13;_x000a_\par }\pard\plain \ltrpar\s20\ql \li0\ri0\nowidctlpar\wrapdefault\aspalpha\aspnum\faauto\adjustright\rin0\lin0\itap0\pararsid5068917 \rtlch\fcs1 \af0\afs20\alang1025 \ltrch\fcs0 \b\fs24\lang2057\langfe2057\cgrid\langnp2057\langfenp2057 {\rtlch\fcs1 \af0 &#13;_x000a_\ltrch\fcs0 \cs17\b0\v\f1\fs20\cf9\lang1024\langfe1024\noproof\insrsid5068917\charrsid4737239 &lt;DocAmend&gt;}{\rtlch\fcs1 \af0 \ltrch\fcs0 \insrsid5068917\charrsid1799708 [Z}{\rtlch\fcs1 \af0 \ltrch\fcs0 \insrsid5068917 AMDOC}{\rtlch\fcs1 \af0 \ltrch\fcs0 &#13;_x000a_\insrsid5068917\charrsid1799708 ]}{\rtlch\fcs1 \af0 \ltrch\fcs0 \cs17\b0\v\f1\fs20\cf9\lang1024\langfe1024\noproof\insrsid5068917\charrsid4737239 &lt;/DocAmend&gt;}{\rtlch\fcs1 \af0 \ltrch\fcs0 \insrsid5068917\charrsid1799708 &#13;_x000a_\par }{\rtlch\fcs1 \af0 \ltrch\fcs0 \cs17\b0\v\f1\fs20\cf9\lang1024\langfe1024\noproof\insrsid5068917\charrsid1799708 &lt;Article&gt;}{\rtlch\fcs1 \af0 \ltrch\fcs0 \insrsid5068917\charrsid1799708 [ZAMPART]}{\rtlch\fcs1 \af0 \ltrch\fcs0 &#13;_x000a_\cs17\b0\v\f1\fs20\cf9\lang1024\langfe1024\noproof\insrsid5068917\charrsid1799708 &lt;/Article&gt;}{\rtlch\fcs1 \af0 \ltrch\fcs0 \insrsid5068917\charrsid1799708 &#13;_x000a_\par \ltrrow}\trowd \irow0\irowband0\ltrrow\ts11\trqc\trgaph340\trleft-340\trftsWidth3\trwWidth9752\trftsWidthB3\trpaddl340\trpaddr340\trpaddfl3\trpaddft3\trpaddfb3\trpaddfr3\tblrsid14055546\tblind0\tblindtype3 \clvertalt\clbrdrt\brdrtbl \clbrdrl\brdrtbl &#13;_x000a_\clbrdrb\brdrtbl \clbrdrr\brdrtbl \cltxlrtb\clftsWidth3\clwWidth9752\clshdrawnil \cellx9412\pard\plain \ltrpar\ql \li0\ri0\keepn\widctlpar\intbl\wrapdefault\aspalpha\aspnum\faauto\adjustright\rin0\lin0\pararsid13137226 \rtlch\fcs1 \af0\afs20\alang1025 &#13;_x000a_\ltrch\fcs0 \fs24\lang2057\langfe2057\cgrid\langnp2057\langfenp2057 {\rtlch\fcs1 \af0 \ltrch\fcs0 \insrsid5068917\charrsid1799708 \cell }\pard\plain \ltrpar\ql \li0\ri0\widctlpar\intbl\wrapdefault\aspalpha\aspnum\faauto\adjustright\rin0\lin0 \rtlch\fcs1 &#13;_x000a_\af0\afs20\alang1025 \ltrch\fcs0 \fs24\lang2057\langfe2057\cgrid\langnp2057\langfenp2057 {\rtlch\fcs1 \af0 \ltrch\fcs0 \insrsid5068917\charrsid1799708 \trowd \irow0\irowband0\ltrrow&#13;_x000a_\ts11\trqc\trgaph340\trleft-340\trftsWidth3\trwWidth9752\trftsWidthB3\trpaddl340\trpaddr340\trpaddfl3\trpaddft3\trpaddfb3\trpaddfr3\tblrsid14055546\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14055546\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1\qc \li0\ri0\sa240\keepn\nowidctlpar\intbl\wrapdefault\aspalpha\aspnum\faauto\adjustright\rin0\lin0\pararsid13137226 \rtlch\fcs1 \af0\afs20\alang1025 \ltrch\fcs0 \i\fs24\lang2057\langfe2057\cgrid\langnp2057\langfenp2057 {\rtlch\fcs1 \af0 \ltrch\fcs0 &#13;_x000a_\insrsid5068917\charrsid1799708 [ZLEFT]\cell [ZRIGHT]\cell }\pard\plain \ltrpar\ql \li0\ri0\widctlpar\intbl\wrapdefault\aspalpha\aspnum\faauto\adjustright\rin0\lin0 \rtlch\fcs1 \af0\afs20\alang1025 \ltrch\fcs0 &#13;_x000a_\fs24\lang2057\langfe2057\cgrid\langnp2057\langfenp2057 {\rtlch\fcs1 \af0 \ltrch\fcs0 \insrsid5068917\charrsid1799708 \trowd \irow1\irowband1\ltrrow&#13;_x000a_\ts11\trqc\trgaph340\trleft-340\trftsWidth3\trwWidth9752\trftsWidthB3\trpaddl340\trpaddr340\trpaddfl3\trpaddft3\trpaddfb3\trpaddfr3\tblrsid14055546\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9\ql \li0\ri0\sa120\nowidctlpar\intbl\wrapdefault\aspalpha\aspnum\faauto\adjustright\rin0\lin0\pararsid14055546 \rtlch\fcs1 \af0\afs20\alang1025 \ltrch\fcs0 \fs24\lang2057\langfe2057\cgrid\langnp2057\langfenp2057 {\rtlch\fcs1 \af0 \ltrch\fcs0 &#13;_x000a_\insrsid5068917\charrsid1799708 [ZTEXTL]\cell [ZTEXTR]}{\rtlch\fcs1 \af0\afs24 \ltrch\fcs0 \insrsid5068917\charrsid1799708 \cell }\pard\plain \ltrpar\ql \li0\ri0\widctlpar\intbl\wrapdefault\aspalpha\aspnum\faauto\adjustright\rin0\lin0 \rtlch\fcs1 &#13;_x000a_\af0\afs20\alang1025 \ltrch\fcs0 \fs24\lang2057\langfe2057\cgrid\langnp2057\langfenp2057 {\rtlch\fcs1 \af0 \ltrch\fcs0 \insrsid5068917\charrsid1799708 \trowd \irow2\irowband2\lastrow \ltrrow&#13;_x000a_\ts11\trqc\trgaph340\trleft-340\trftsWidth3\trwWidth9752\trftsWidthB3\trpaddl340\trpaddr340\trpaddfl3\trpaddft3\trpaddfb3\trpaddfr3\tblrsid14055546\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068917 \rtlch\fcs1 \af0\afs20\alang1025 \ltrch\fcs0 \fs24\lang2057\langfe2057\cgrid\langnp2057\langfenp2057 {\rtlch\fcs1 \af0 \ltrch\fcs0 &#13;_x000a_\insrsid5068917\charrsid1799708 Or. }{\rtlch\fcs1 \af0 \ltrch\fcs0 \cs17\v\f1\fs20\cf9\lang1024\langfe1024\noproof\insrsid5068917\charrsid1799708 &lt;Original&gt;}{\rtlch\fcs1 \af0 \ltrch\fcs0 \insrsid5068917\charrsid1799708 [ZORLANG]}{\rtlch\fcs1 \af0 &#13;_x000a_\ltrch\fcs0 \cs17\v\f1\fs20\cf9\lang1024\langfe1024\noproof\insrsid5068917\charrsid1799708 &lt;/Original&gt;}{\rtlch\fcs1 \af0 \ltrch\fcs0 \insrsid5068917\charrsid1799708 &#13;_x000a_\par }\pard\plain \ltrpar\ql \li0\ri0\widctlpar\wrapdefault\aspalpha\aspnum\faauto\adjustright\rin0\lin0\itap0\pararsid5068917 \rtlch\fcs1 \af0\afs20\alang1025 \ltrch\fcs0 \fs24\lang2057\langfe2057\cgrid\langnp2057\langfenp2057 {\rtlch\fcs1 \af0 \ltrch\fcs0 &#13;_x000a_\cs17\v\f1\fs20\cf9\lang1024\langfe1024\noproof\insrsid5068917\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c074&#13;_x000a_d8604806d8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Logo">
    <w:name w:val="EPLogo"/>
    <w:basedOn w:val="Normal"/>
    <w:pPr>
      <w:widowControl w:val="0"/>
      <w:jc w:val="right"/>
    </w:p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styleId="TOCHeading">
    <w:name w:val="TOC Heading"/>
    <w:basedOn w:val="Normal"/>
    <w:next w:val="Normal"/>
    <w:uiPriority w:val="39"/>
    <w:unhideWhenUsed/>
    <w:qFormat/>
    <w:rsid w:val="000200DD"/>
    <w:pPr>
      <w:keepLines/>
      <w:widowControl w:val="0"/>
      <w:spacing w:after="240"/>
      <w:outlineLvl w:val="9"/>
    </w:pPr>
    <w:rPr>
      <w:b/>
      <w:color w:val="2E74B5"/>
      <w:sz w:val="32"/>
      <w:shd w:val="pct50" w:color="auto" w:fill="auto" w:themeColor="accent1" w:themeFill="accent1"/>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70</Pages>
  <Words>15586</Words>
  <Characters>101099</Characters>
  <Application>Microsoft Office Word</Application>
  <DocSecurity>0</DocSecurity>
  <Lines>1</Lines>
  <Paragraphs>1136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AM_Com_NonLegRD</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1322547</vt:lpwstr>
  </property>
  <property fmtid="{D5CDD505-2E9C-101B-9397-08002B2CF9AE}" pid="4" name="&lt;Model&gt;">
    <vt:lpwstr>AM_Com_NonLegRD</vt:lpwstr>
  </property>
  <property fmtid="{D5CDD505-2E9C-101B-9397-08002B2CF9AE}" pid="5" name="&lt;Type&gt;">
    <vt:lpwstr>AM</vt:lpwstr>
  </property>
  <property fmtid="{D5CDD505-2E9C-101B-9397-08002B2CF9AE}" pid="6" name="dmxml.render.id">
    <vt:lpwstr>199470</vt:lpwstr>
  </property>
  <property fmtid="{D5CDD505-2E9C-101B-9397-08002B2CF9AE}" pid="7" name="dmxml.render.traceId">
    <vt:lpwstr>6853cbf607fa867092ff035f4b87aa96</vt:lpwstr>
  </property>
  <property fmtid="{D5CDD505-2E9C-101B-9397-08002B2CF9AE}" pid="8" name="FooterPath">
    <vt:lpwstr>AM\1322547SV.docx</vt:lpwstr>
  </property>
  <property fmtid="{D5CDD505-2E9C-101B-9397-08002B2CF9AE}" pid="9" name="PE Number">
    <vt:lpwstr>774.385</vt:lpwstr>
  </property>
  <property fmtid="{D5CDD505-2E9C-101B-9397-08002B2CF9AE}" pid="10" name="UID">
    <vt:lpwstr>eu.europa.europarl-DIN1-2025-0000118099_01.00-sv-01.00_text-xml</vt:lpwstr>
  </property>
</Properties>
</file>