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Европейски парламент</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Комисия по заетост и социални въпроси</w:t>
      </w:r>
      <w:r>
        <w:rPr>
          <w:rStyle w:val="HideTWBExt"/>
        </w:rPr>
        <w:t>&lt;/Commission&gt;</w:t>
      </w:r>
    </w:p>
    <w:p>
      <w:pPr>
        <w:pStyle w:val="LineBottom"/>
      </w:pPr>
      <w:r>
        <w:t xml:space="preserve"> </w:t>
      </w:r>
    </w:p>
    <w:p>
      <w:pPr>
        <w:pStyle w:val="CoverReference"/>
      </w:pPr>
      <w:r>
        <w:rPr>
          <w:rStyle w:val="HideTWBExt"/>
        </w:rPr>
        <w:t>&lt;RefProc&gt;</w:t>
      </w:r>
      <w:r>
        <w:t>2025/2133</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{16/09/2025}</w:t>
      </w:r>
      <w:r>
        <w:t>16.9.2025</w:t>
      </w:r>
      <w:r>
        <w:rPr>
          <w:rStyle w:val="HideTWBExt"/>
        </w:rPr>
        <w:t>&lt;/Date&gt;</w:t>
      </w:r>
    </w:p>
    <w:p>
      <w:pPr>
        <w:pStyle w:val="CoverDocType"/>
      </w:pPr>
      <w:r>
        <w:rPr>
          <w:rStyle w:val="HideTWBExt"/>
        </w:rPr>
        <w:t>&lt;TypeAM&gt;</w:t>
      </w:r>
      <w:r>
        <w:t>ИЗМЕНЕНИЯ</w:t>
      </w:r>
      <w:r>
        <w:rPr>
          <w:rStyle w:val="HideTWBExt"/>
        </w:rPr>
        <w:t>&lt;/TypeAM&gt;</w:t>
      </w:r>
    </w:p>
    <w:p>
      <w:pPr>
        <w:pStyle w:val="CoverDocType24a"/>
      </w:pPr>
      <w:r>
        <w:rPr>
          <w:rStyle w:val="HideTWBExt"/>
        </w:rPr>
        <w:t>&lt;RangeAM&gt;</w:t>
      </w:r>
      <w:r>
        <w:t>1</w:t>
      </w:r>
      <w:r>
        <w:t xml:space="preserve"> - </w:t>
      </w:r>
      <w:r>
        <w:t>252</w:t>
      </w:r>
      <w:r>
        <w:rPr>
          <w:rStyle w:val="HideTWBExt"/>
        </w:rPr>
        <w:t>&lt;/RangeAM&gt;</w:t>
      </w:r>
    </w:p>
    <w:p>
      <w:pPr>
        <w:pStyle w:val="CoverBold"/>
      </w:pPr>
      <w:r>
        <w:rPr>
          <w:rStyle w:val="HideTWBExt"/>
        </w:rPr>
        <w:t>&lt;TitreType&gt;</w:t>
      </w:r>
      <w:r>
        <w:t>Проект на доклад</w:t>
      </w:r>
      <w:r>
        <w:rPr>
          <w:rStyle w:val="HideTWBExt"/>
        </w:rPr>
        <w:t>&lt;/TitreType&gt;</w:t>
      </w:r>
    </w:p>
    <w:p>
      <w:pPr>
        <w:pStyle w:val="CoverBold"/>
      </w:pPr>
      <w:r>
        <w:rPr>
          <w:rStyle w:val="HideTWBExt"/>
        </w:rPr>
        <w:t>&lt;Rapporteur&gt;</w:t>
      </w:r>
      <w:r>
        <w:t>Йоан Даниелсон</w:t>
      </w:r>
      <w:r>
        <w:rPr>
          <w:rStyle w:val="HideTWBExt"/>
        </w:rPr>
        <w:t>&lt;/Rapporteur&gt;</w:t>
      </w:r>
    </w:p>
    <w:p>
      <w:pPr>
        <w:pStyle w:val="CoverNormal24a"/>
      </w:pPr>
      <w:r>
        <w:rPr>
          <w:rStyle w:val="HideTWBExt"/>
        </w:rPr>
        <w:t>&lt;DocRefPE&gt;</w:t>
      </w:r>
      <w:r>
        <w:t>(PE775.631v01-00)</w:t>
      </w:r>
      <w:r>
        <w:rPr>
          <w:rStyle w:val="HideTWBExt"/>
        </w:rPr>
        <w:t>&lt;/DocRefPE&gt;</w:t>
      </w:r>
    </w:p>
    <w:p>
      <w:pPr>
        <w:pStyle w:val="CoverNormal"/>
      </w:pPr>
      <w:r>
        <w:rPr>
          <w:rStyle w:val="HideTWBExt"/>
        </w:rPr>
        <w:t>&lt;Titre&gt;</w:t>
      </w:r>
      <w:r>
        <w:t>Действия по отношение на веригите за подизпълнение и ролята на посредниците за защита на правата на работниците</w:t>
      </w:r>
      <w:r>
        <w:rPr>
          <w:rStyle w:val="HideTWBExt"/>
        </w:rPr>
        <w:t>&lt;/Titre&gt;</w:t>
      </w:r>
    </w:p>
    <w:p>
      <w:pPr>
        <w:pStyle w:val="CoverNormal24a"/>
      </w:pPr>
      <w:r>
        <w:rPr>
          <w:rStyle w:val="HideTWBExt"/>
        </w:rPr>
        <w:t>&lt;DocRef&gt;</w:t>
      </w:r>
      <w:r>
        <w:t>(2025/2133(INI))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Изменение</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Ангелика Винциг, Раул Де Ла Ос Кинтано, Реджина Дохърти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като взе предвид Директива 2011/36/ЕС на Европейския парламент и на Съвета от 5 април 2011 г.</w:t>
            </w:r>
            <w:r>
              <w:t xml:space="preserve"> </w:t>
            </w:r>
            <w:r>
              <w:rPr>
                <w:b/>
                <w:i/>
              </w:rPr>
              <w:t>относно предотвратяването и борбата с трафика на хора и защитата на жертвите от него и за замяна на Рамково решение 2002/629/ПВР на Съвета във версията след нейното изменение с Директива (ЕС) 2024/1712</w:t>
            </w:r>
            <w:r>
              <w:rPr>
                <w:b/>
                <w:i/>
                <w:vertAlign w:val="superscript"/>
              </w:rPr>
              <w:t>3</w:t>
            </w:r>
            <w:r>
              <w:rPr>
                <w:b/>
                <w:i/>
              </w:rPr>
              <w:t>,</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3</w:t>
            </w:r>
            <w:r>
              <w:t xml:space="preserve"> </w:t>
            </w:r>
            <w:r>
              <w:rPr>
                <w:b/>
                <w:i/>
              </w:rPr>
              <w:t>ОВ L 101, 15.4.2011 г., стр.</w:t>
            </w:r>
            <w:r>
              <w:t xml:space="preserve"> </w:t>
            </w:r>
            <w:r>
              <w:rPr>
                <w:b/>
                <w:i/>
              </w:rPr>
              <w:t>1, ELI:</w:t>
            </w:r>
            <w:r>
              <w:t xml:space="preserve"> </w:t>
            </w:r>
            <w:r>
              <w:rPr>
                <w:b/>
                <w:i/>
              </w:rPr>
              <w:t>http://data.europa.eu/eli/dir/2011/36/oj.</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4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Директива 2014/67/ЕС на Европейския парламент и на Съвета от 15 май 2014 г. за осигуряване на изпълнението на Директива 96/71/ЕО относно командироването на работници в рамките на предоставянето на услуги и за изменение на Регламент (ЕС) № 1024/2012 относно административно сътрудничество посредством Информационната система за вътрешния пазар („Регламент за ИСВП“),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4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Директива 2009/52/ЕО на Европейския парламент и на Съвета от 18 юни 2009 г. за предвиждане на минимални стандарти за санкциите и мерките срещу работодатели на незаконно пребиваващи граждани на трета държава,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Ангелика Винциг, Раул Де Ла Ос Кинтано, Реджина Дохърти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като взе предвид доклада на Комисията от 26 май 2025 г., озаглавен „Оценка на Европейския орган по труда (ЕОТ)“ (COM(2025)0256),</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Мириам Лексман, Ангелика Винциг, Раул Де Ла Ос Кинтано, Реджина Дохърти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3 декември 2020 г., озаглавено „Стратегическа рамка на ЕС за здравословни и безопасни условия на труд за периода 2021—2027 г. Здравословни и безопасни условия на труд в променящ се свят на труда“ (COM(2021)0323), включително подхода за „нулева смъртност“ на работното място в ЕС,</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10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доклада на ЕОТ, озаглавен „Строителен сектор:</w:t>
            </w:r>
            <w:r>
              <w:t xml:space="preserve"> </w:t>
            </w:r>
            <w:r>
              <w:rPr>
                <w:b/>
                <w:i/>
              </w:rPr>
              <w:t>Въпроси, свързани с предоставянето на информация, прилагането на законодателството в областта на трудовата мобилност, регламентите за координация на системите за социална сигурност и сътрудничеството между държавите членки“</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https://www.ela.europa.eu/en/publications/construction-sector-issues-information-provision-enforcement-labour-mobility-law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като взе предвид Конвенцията на МОТ относно частните агенции по труда (Конвенция № 181, 1997 г.),</w:t>
            </w:r>
          </w:p>
        </w:tc>
        <w:tc>
          <w:tcPr>
            <w:tcW w:w="4876" w:type="dxa"/>
            <w:tcBorders>
              <w:top w:val="nil"/>
              <w:left w:val="nil"/>
              <w:bottom w:val="nil"/>
              <w:right w:val="nil"/>
            </w:tcBorders>
          </w:tcPr>
          <w:p>
            <w:pPr>
              <w:pStyle w:val="Normal6a"/>
            </w:pPr>
            <w:r>
              <w:rPr>
                <w:b/>
                <w:i/>
              </w:rPr>
              <w:t>–</w:t>
            </w:r>
            <w:r>
              <w:tab/>
            </w:r>
            <w:r>
              <w:t xml:space="preserve">като взе предвид Конвенцията на МОТ относно частните агенции по труда (Конвенция № 181, 1997 г.), </w:t>
            </w:r>
            <w:r>
              <w:rPr>
                <w:b/>
                <w:i/>
              </w:rPr>
              <w:t>ратифицирана само от 13 държави членки (BE, BG, CZ, FI, FR, HU, IT, LT, NL, PL, PT, SK и SP),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като взе предвид Конвенцията на МОТ за безопасност и здраве в строителството (Конвенция № 167, 1988 г.),</w:t>
            </w:r>
          </w:p>
        </w:tc>
        <w:tc>
          <w:tcPr>
            <w:tcW w:w="4876" w:type="dxa"/>
            <w:tcBorders>
              <w:top w:val="nil"/>
              <w:left w:val="nil"/>
              <w:bottom w:val="nil"/>
              <w:right w:val="nil"/>
            </w:tcBorders>
          </w:tcPr>
          <w:p>
            <w:pPr>
              <w:pStyle w:val="Normal6a"/>
            </w:pPr>
            <w:r>
              <w:rPr>
                <w:b/>
                <w:i/>
              </w:rPr>
              <w:t>–</w:t>
            </w:r>
            <w:r>
              <w:tab/>
            </w:r>
            <w:r>
              <w:t xml:space="preserve">като взе предвид Конвенцията на МОТ за безопасност и здраве в строителството (Конвенция № 167, 1988 г.), </w:t>
            </w:r>
            <w:r>
              <w:rPr>
                <w:b/>
                <w:i/>
              </w:rPr>
              <w:t>ратифицирана само от 11 държави членки (BE, CZ, DK, FI, DE, HU, IT, LU, SK, ES и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Мириам Лексман, Ангелика Винциг, Реджина Дохърти, Йорген Варборн, Арба Кокалари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18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доклада от септември 2025 г. на Ерик Синандер, доцент в Стокхолмския университет, озаглавен „Може ли ЕС да ограничи възлагането на подизпълнители?</w:t>
            </w:r>
            <w:r>
              <w:t xml:space="preserve"> </w:t>
            </w:r>
            <w:r>
              <w:rPr>
                <w:b/>
                <w:i/>
              </w:rPr>
              <w:t>Правна гледна точка“</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https://su.diva-portal.org/smash/get/diva2:1994767/FULLTEXT01.pdf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Мириам Лексман, Ангелика Винциг, Раул Де Ла Ос Кинтано, Реджина Дохърти, 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18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тристранната декларация от 31 януари 2024 г. на срещата на високо равнище на социалните партньори във Вал Дюшес за процъфтяващ европейски социален диалог</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https://ec.europa.eu/social/BlobServlet?docId=27309⟨Id=en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Паскал Аримон, Мириам Лексман, Ангелика Винциг, Раул Де Ла Ос Кинтано, Реджина Дохърти, Йорген Варборн, Арба Кокалари, Лисбет Сомен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18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съобщението на Комисията от 29</w:t>
            </w:r>
            <w:r>
              <w:t xml:space="preserve"> </w:t>
            </w:r>
            <w:r>
              <w:rPr>
                <w:b/>
                <w:i/>
              </w:rPr>
              <w:t>януари 2025 г., озаглавено „Компас за конкурентоспособността на ЕС“ (COM (2025) 30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Паскал Аримон, Мириам Лексман, Ангелика Винциг, Раул Де Ла Ос Кинтано, Реджина Дохърти, Йорген Варборн, Арба Кокалари, Лисбет Сомен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18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доклада на Марио Драги от 9 септември 2024 г., озаглавен „Бъдещето на европейската конкурентоспособност“ (доклада „Драги“)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Мириам Лексман, Ангелика Винциг, Реджина Дохърти, Йорген Варборн, Арба Кокалари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18 д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доклада от [xx] септември 2025 г. на Ларс Ягрен, главен икономист в „Swedish Enterprise“, озаглавен „Последици от ограничаването на броя на подизпълнителите до двама“ [предстоящ],</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като взе предвид националните стратегии за борба с експлоатацията на труда, принудителния труд и недекларирания труд</w:t>
            </w:r>
            <w:r>
              <w:rPr>
                <w:vertAlign w:val="superscript"/>
              </w:rPr>
              <w:t>10</w:t>
            </w:r>
            <w:r>
              <w:t>,</w:t>
            </w:r>
          </w:p>
        </w:tc>
        <w:tc>
          <w:tcPr>
            <w:tcW w:w="4876" w:type="dxa"/>
            <w:tcBorders>
              <w:top w:val="nil"/>
              <w:left w:val="nil"/>
              <w:bottom w:val="nil"/>
              <w:right w:val="nil"/>
            </w:tcBorders>
          </w:tcPr>
          <w:p>
            <w:pPr>
              <w:pStyle w:val="Normal6a"/>
            </w:pPr>
            <w:r>
              <w:rPr>
                <w:b/>
                <w:i/>
              </w:rPr>
              <w:t>–</w:t>
            </w:r>
            <w:r>
              <w:tab/>
            </w:r>
            <w:r>
              <w:t>като взе предвид националните стратегии за борба с експлоатацията на труда, принудителния труд и недекларирания труд</w:t>
            </w:r>
            <w:r>
              <w:rPr>
                <w:vertAlign w:val="superscript"/>
              </w:rPr>
              <w:t>10</w:t>
            </w:r>
            <w:r>
              <w:t xml:space="preserve"> </w:t>
            </w:r>
            <w:r>
              <w:rPr>
                <w:b/>
                <w:i/>
              </w:rPr>
              <w:t>и</w:t>
            </w:r>
            <w:r>
              <w:t xml:space="preserve">, </w:t>
            </w:r>
            <w:r>
              <w:rPr>
                <w:b/>
                <w:i/>
              </w:rPr>
              <w:t>и като взе предвид, че според Глобалния доклад от 2018 г. относно незаконния трафик на хора от Службата на ООН по наркотиците и престъпността (СНПООН) само през 2016 г. 2,5 милиона души са били контрабандирани, за икономическа възвращаемост от около 5,5—7 милиарда щатски долара, получени от таксите, плащани на контрабандистите,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rPr>
                <w:b/>
                <w:i/>
              </w:rPr>
              <w:t>Вж.</w:t>
            </w:r>
            <w:r>
              <w:t xml:space="preserve"> например: Федерално министерство на труда и социалните въпроси на Германия „Nationaler Aktionsplan gegen Arbeitsausbeutung und Zwangsarbeit“ (2025 г.); Министерство на труда и социалните политики на Италия „Piano nazionale per la lotta al lavoro sommerso“ (2022 г.); Испанското министерство на приобщаването, социалната сигурност и миграцията „Plan de Acción contra el Trabajo Forzoso“ (2021 г.); Правителството на Швеция „Nationell strategi mot arbetslivskriminalitet“ (2022 г.) и освен това: Правителството на Норвегия „Strategi mot arbeidslivskriminalitet“ (2021 г.).</w:t>
            </w:r>
          </w:p>
        </w:tc>
        <w:tc>
          <w:tcPr>
            <w:tcW w:w="4876" w:type="dxa"/>
            <w:tcBorders>
              <w:top w:val="nil"/>
              <w:left w:val="nil"/>
              <w:bottom w:val="nil"/>
              <w:right w:val="nil"/>
            </w:tcBorders>
          </w:tcPr>
          <w:p>
            <w:pPr>
              <w:pStyle w:val="Normal6a"/>
            </w:pPr>
            <w:r>
              <w:rPr>
                <w:vertAlign w:val="superscript"/>
              </w:rPr>
              <w:t>10</w:t>
            </w:r>
            <w:r>
              <w:t xml:space="preserve"> </w:t>
            </w:r>
            <w:r>
              <w:t>например: Федерално министерство на труда и социалните въпроси на Германия „Nationaler Aktionsplan gegen Arbeitsausbeutung und Zwangsarbeit“ (2025 г.); Министерство на труда и социалните политики на Италия „Piano nazionale per la lotta al lavoro sommerso“ (2022 г.); Испанското министерство на приобщаването, социалната сигурност и миграцията „Plan de Acción contra el Trabajo Forzoso“ (2021 г.); Правителството на Швеция „Nationell strategi mot arbetslivskriminalitet“ (2022 г.) и освен това: Правителството на Норвегия „Strategi mot arbeidslivskriminalitet“ (2021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21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Директива 2009/52/ЕО на Европейския парламент и на Съвета от 18 юни 2009 г. за предвиждане на минимални стандарти за санкциите и мерките срещу работодатели на незаконно пребиваващи граждани на трета държава (Директивата относно санкциите за работодателите),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Позоваване 24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решението на Съда по дело Borta UAB, C-298/15, свързано с обществените поръчки,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Ангелика Винциг, Раул Де Ла Ос Кинтано, Реджина Дохърти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А.</w:t>
            </w:r>
            <w:r>
              <w:tab/>
            </w:r>
            <w:r>
              <w:rPr>
                <w:b/>
                <w:i/>
              </w:rPr>
              <w:t>като има предвид, че експлоатацията на труда и злоупотребите на пазара на труда в ЕС представляват широко разпространено и неотложно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като има предвид, че експлоатацията на труда и злоупотребите на пазара на труда в ЕС представляват широко разпространено и неотложно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w:t>
            </w:r>
          </w:p>
        </w:tc>
        <w:tc>
          <w:tcPr>
            <w:tcW w:w="4876" w:type="dxa"/>
            <w:tcBorders>
              <w:top w:val="nil"/>
              <w:left w:val="nil"/>
              <w:bottom w:val="nil"/>
              <w:right w:val="nil"/>
            </w:tcBorders>
          </w:tcPr>
          <w:p>
            <w:pPr>
              <w:pStyle w:val="Normal6a"/>
            </w:pPr>
            <w:r>
              <w:t>А.</w:t>
            </w:r>
            <w:r>
              <w:tab/>
            </w:r>
            <w:r>
              <w:t xml:space="preserve">като има предвид, че експлоатацията на труда и злоупотребите </w:t>
            </w:r>
            <w:r>
              <w:rPr>
                <w:b/>
                <w:i/>
              </w:rPr>
              <w:t>в някои високорискови сектори</w:t>
            </w:r>
            <w:r>
              <w:t xml:space="preserve"> на пазара на труда в ЕС представляват широко разпространено и неотложно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 </w:t>
            </w:r>
            <w:r>
              <w:rPr>
                <w:b/>
                <w:i/>
              </w:rPr>
              <w:t>като има предвид, че тези незаконни практики вече са обхванати от съществуващото законодателство;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като има предвид, че експлоатацията на труда и злоупотребите на пазара на труда в ЕС представляват широко разпространено и неотложно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w:t>
            </w:r>
          </w:p>
        </w:tc>
        <w:tc>
          <w:tcPr>
            <w:tcW w:w="4876" w:type="dxa"/>
            <w:tcBorders>
              <w:top w:val="nil"/>
              <w:left w:val="nil"/>
              <w:bottom w:val="nil"/>
              <w:right w:val="nil"/>
            </w:tcBorders>
          </w:tcPr>
          <w:p>
            <w:pPr>
              <w:pStyle w:val="Normal6a"/>
            </w:pPr>
            <w:r>
              <w:t>А.</w:t>
            </w:r>
            <w:r>
              <w:tab/>
            </w:r>
            <w:r>
              <w:t xml:space="preserve">като има предвид, че експлоатацията на труда и злоупотребите </w:t>
            </w:r>
            <w:r>
              <w:rPr>
                <w:b/>
                <w:i/>
              </w:rPr>
              <w:t>в специфични случаи и в рискови сектори</w:t>
            </w:r>
            <w:r>
              <w:t xml:space="preserve"> на пазара на труда в ЕС представляват широко разпространено и неотложно предизвикателство</w:t>
            </w:r>
            <w:r>
              <w:rPr>
                <w:b/>
                <w:i/>
              </w:rPr>
              <w:t>, известно като незаконна трудова заетост</w:t>
            </w:r>
            <w:r>
              <w:t>,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като има предвид, че експлоатацията на труда и злоупотребите на пазара на труда в ЕС представляват широко разпространено и неотложно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w:t>
            </w:r>
          </w:p>
        </w:tc>
        <w:tc>
          <w:tcPr>
            <w:tcW w:w="4876" w:type="dxa"/>
            <w:tcBorders>
              <w:top w:val="nil"/>
              <w:left w:val="nil"/>
              <w:bottom w:val="nil"/>
              <w:right w:val="nil"/>
            </w:tcBorders>
          </w:tcPr>
          <w:p>
            <w:pPr>
              <w:pStyle w:val="Normal6a"/>
            </w:pPr>
            <w:r>
              <w:t>А.</w:t>
            </w:r>
            <w:r>
              <w:tab/>
            </w:r>
            <w:r>
              <w:t xml:space="preserve">като има предвид, че експлоатацията на труда и злоупотребите на пазара на труда в ЕС представляват широко разпространено и неотложно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w:t>
            </w:r>
            <w:r>
              <w:rPr>
                <w:b/>
                <w:i/>
              </w:rPr>
              <w:t>незаконната миграция,</w:t>
            </w:r>
            <w:r>
              <w:t xml:space="preserve"> трудовата експлоатация и съвременното робство;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 xml:space="preserve">като има предвид, че експлоатацията на труда и злоупотребите на пазара на труда в ЕС представляват </w:t>
            </w:r>
            <w:r>
              <w:rPr>
                <w:b/>
                <w:i/>
              </w:rPr>
              <w:t>широко разпространено и неотложно</w:t>
            </w:r>
            <w:r>
              <w:t xml:space="preserve">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w:t>
            </w:r>
          </w:p>
        </w:tc>
        <w:tc>
          <w:tcPr>
            <w:tcW w:w="4876" w:type="dxa"/>
            <w:tcBorders>
              <w:top w:val="nil"/>
              <w:left w:val="nil"/>
              <w:bottom w:val="nil"/>
              <w:right w:val="nil"/>
            </w:tcBorders>
          </w:tcPr>
          <w:p>
            <w:pPr>
              <w:pStyle w:val="Normal6a"/>
            </w:pPr>
            <w:r>
              <w:t>А.</w:t>
            </w:r>
            <w:r>
              <w:tab/>
            </w:r>
            <w:r>
              <w:t xml:space="preserve">като има предвид, че експлоатацията на труда и злоупотребите на пазара на труда в ЕС представляват предизвикателство, което се проявява </w:t>
            </w:r>
            <w:r>
              <w:rPr>
                <w:b/>
                <w:i/>
              </w:rPr>
              <w:t>по-ярко в определени сектори и държави членки и намира израз</w:t>
            </w:r>
            <w:r>
              <w:t xml:space="preserve"> в различни </w:t>
            </w:r>
            <w:r>
              <w:rPr>
                <w:b/>
                <w:i/>
              </w:rPr>
              <w:t>форми и</w:t>
            </w:r>
            <w:r>
              <w:t xml:space="preserve">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 xml:space="preserve">като има предвид, че експлоатацията на труда и злоупотребите на пазара на труда в ЕС представляват </w:t>
            </w:r>
            <w:r>
              <w:rPr>
                <w:b/>
                <w:i/>
              </w:rPr>
              <w:t>широко разпространено и неотложно</w:t>
            </w:r>
            <w:r>
              <w:t xml:space="preserve">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w:t>
            </w:r>
            <w:r>
              <w:rPr>
                <w:b/>
                <w:i/>
              </w:rPr>
              <w:t>,</w:t>
            </w:r>
            <w:r>
              <w:t xml:space="preserve"> трудовата експлоатация </w:t>
            </w:r>
            <w:r>
              <w:rPr>
                <w:b/>
                <w:i/>
              </w:rPr>
              <w:t>и съвременното робство</w:t>
            </w:r>
            <w:r>
              <w:t>;</w:t>
            </w:r>
          </w:p>
        </w:tc>
        <w:tc>
          <w:tcPr>
            <w:tcW w:w="4876" w:type="dxa"/>
            <w:tcBorders>
              <w:top w:val="nil"/>
              <w:left w:val="nil"/>
              <w:bottom w:val="nil"/>
              <w:right w:val="nil"/>
            </w:tcBorders>
          </w:tcPr>
          <w:p>
            <w:pPr>
              <w:pStyle w:val="Normal6a"/>
            </w:pPr>
            <w:r>
              <w:t>А.</w:t>
            </w:r>
            <w:r>
              <w:tab/>
            </w:r>
            <w:r>
              <w:t xml:space="preserve">като има предвид, че експлоатацията на труда и злоупотребите на пазара на труда в ЕС представляват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w:t>
            </w:r>
            <w:r>
              <w:rPr>
                <w:b/>
                <w:i/>
              </w:rPr>
              <w:t>и</w:t>
            </w:r>
            <w:r>
              <w:t xml:space="preserve"> трудовата експлоатация;</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Ангелика Винциг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 xml:space="preserve">като има предвид, че експлоатацията на труда и злоупотребите на пазара на труда в ЕС представляват </w:t>
            </w:r>
            <w:r>
              <w:rPr>
                <w:b/>
                <w:i/>
              </w:rPr>
              <w:t>широко разпространено и неотложно</w:t>
            </w:r>
            <w:r>
              <w:t xml:space="preserve">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w:t>
            </w:r>
          </w:p>
        </w:tc>
        <w:tc>
          <w:tcPr>
            <w:tcW w:w="4876" w:type="dxa"/>
            <w:tcBorders>
              <w:top w:val="nil"/>
              <w:left w:val="nil"/>
              <w:bottom w:val="nil"/>
              <w:right w:val="nil"/>
            </w:tcBorders>
          </w:tcPr>
          <w:p>
            <w:pPr>
              <w:pStyle w:val="Normal6a"/>
            </w:pPr>
            <w:r>
              <w:t>А.</w:t>
            </w:r>
            <w:r>
              <w:tab/>
            </w:r>
            <w:r>
              <w:t>като има предвид, че експлоатацията на труда и злоупотребите на пазара на труда в ЕС представляват предизвикателство, което се проявява в различни терминологии, включително, но не само, свързаните с труда престъпления, недекларирания труд, сивата икономика, социалния дъмпинг, трудовата експлоатация и съвременното робство;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Аа.</w:t>
            </w:r>
            <w:r>
              <w:tab/>
            </w:r>
            <w:r>
              <w:rPr>
                <w:b/>
                <w:i/>
              </w:rPr>
              <w:t>като има предвид, че секторите, които са постоянно изложени на висок риск в държавите членки, включват строителство, селско стопанство, хотелиерство и ресторантьорство, домашен труд, транспорт и логистика, преработка на месо и храни, почистване и грижи;</w:t>
            </w:r>
            <w:r>
              <w:t xml:space="preserve"> </w:t>
            </w:r>
            <w:r>
              <w:rPr>
                <w:b/>
                <w:i/>
              </w:rPr>
              <w:t>като има предвид, че по-специално строителството е изправено пред нарастващ недостиг на работна ръка, който се изостря от неправомерните практики на подизпълнителите;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Аа.</w:t>
            </w:r>
            <w:r>
              <w:tab/>
            </w:r>
            <w:r>
              <w:rPr>
                <w:b/>
                <w:i/>
              </w:rPr>
              <w:t>като има предвид, че последиците от експлоатацията на труда и злоупотребите се простират отвъд работниците, които са подложени на несправедливи и опасни условия на труд, неадекватно заплащане, жалки жилищни условия и несигурна заетост, тъй като те също така оказват въздействие върху предприятията, особено МСП, които са подложени на нелоялна конкуренция и нарушения на пазара;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A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като има предвид, че голяма част от тези злоупотреби и пропуски включват и са насочени конкретно към работници, които се намират незаконно в държавите членки;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като има предвид, че Европол подчертава, че 86% от най-застрашаващите престъпни мрежи използват законни стопански структури като част от престъпната си дейност;</w:t>
            </w:r>
          </w:p>
        </w:tc>
        <w:tc>
          <w:tcPr>
            <w:tcW w:w="4876" w:type="dxa"/>
            <w:tcBorders>
              <w:top w:val="nil"/>
              <w:left w:val="nil"/>
              <w:bottom w:val="nil"/>
              <w:right w:val="nil"/>
            </w:tcBorders>
          </w:tcPr>
          <w:p>
            <w:pPr>
              <w:pStyle w:val="Normal6a"/>
            </w:pPr>
            <w:r>
              <w:t>Б.</w:t>
            </w:r>
            <w:r>
              <w:tab/>
            </w:r>
            <w:r>
              <w:t xml:space="preserve">като има предвид, че Европол подчертава, че 86% от най-застрашаващите престъпни мрежи използват законни стопански структури като част от престъпната си дейност; </w:t>
            </w:r>
            <w:r>
              <w:rPr>
                <w:b/>
                <w:i/>
              </w:rPr>
              <w:t>като има предвид, че анализът и оперативните дейности на Европейския орган по труда подчертават повишените рискове от трудова експлоатация и злоупотреби, свързани с дълги и сложни вериги от подизпълнители, както и измамни форми на посредничество в областта на труда, изразяващи се в неплатени заплати и социалноосигурителни вноски, влошаване на условията на труд и стандартите за безопасност, зависимост и несигурност, разпокъсани работни места, липса на информация и консултации, избягване на отговорностите на работодателите и др.;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като има предвид, че Европол подчертава, че 86% от най-застрашаващите престъпни мрежи използват законни стопански структури като част от престъпната си дейност;</w:t>
            </w:r>
          </w:p>
        </w:tc>
        <w:tc>
          <w:tcPr>
            <w:tcW w:w="4876" w:type="dxa"/>
            <w:tcBorders>
              <w:top w:val="nil"/>
              <w:left w:val="nil"/>
              <w:bottom w:val="nil"/>
              <w:right w:val="nil"/>
            </w:tcBorders>
          </w:tcPr>
          <w:p>
            <w:pPr>
              <w:pStyle w:val="Normal6a"/>
            </w:pPr>
            <w:r>
              <w:t>Б.</w:t>
            </w:r>
            <w:r>
              <w:tab/>
            </w:r>
            <w:r>
              <w:t>като има предвид, че Европол подчертава, че 86% от най-застрашаващите престъпни мрежи използват законни стопански структури като част от престъпната си дейност</w:t>
            </w:r>
            <w:r>
              <w:rPr>
                <w:b/>
                <w:i/>
              </w:rPr>
              <w:t>, което представлява сериозна заплаха за лоялната конкуренция на европейския единен пазар</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В.</w:t>
            </w:r>
            <w:r>
              <w:tab/>
            </w:r>
            <w:r>
              <w:rPr>
                <w:b/>
                <w:i/>
              </w:rPr>
              <w:t>като има предвид, че често срещана променлива в повечето сектори, изложени на висок риск от трудова експлоатация, е високата интензивност на труда, съчетана със зависимостта от дълги и сложни вериги за подизпълнение, наличието на злоупотребяващи трудови посредници, както и силната зависимост от командировани работници, мобилни работници от ЕС и граждани на трети държави;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като има предвид, че често срещана променлива в повечето сектори, изложени на висок риск от трудова експлоатация, е високата интензивност на труда, съчетана със зависимостта от дълги и сложни вериги за подизпълнение, наличието на злоупотребяващи трудови посредници, както и силната зависимост от командировани работници, мобилни работници от ЕС и граждани на трети държави;</w:t>
            </w:r>
          </w:p>
        </w:tc>
        <w:tc>
          <w:tcPr>
            <w:tcW w:w="4876" w:type="dxa"/>
            <w:tcBorders>
              <w:top w:val="nil"/>
              <w:left w:val="nil"/>
              <w:bottom w:val="nil"/>
              <w:right w:val="nil"/>
            </w:tcBorders>
          </w:tcPr>
          <w:p>
            <w:pPr>
              <w:pStyle w:val="Normal6a"/>
            </w:pPr>
            <w:r>
              <w:t>В.</w:t>
            </w:r>
            <w:r>
              <w:tab/>
            </w:r>
            <w:r>
              <w:t xml:space="preserve">като има предвид, че често срещана променлива в повечето сектори, изложени на висок риск от трудова експлоатация, е високата интензивност на труда, съчетана със зависимостта от дълги и сложни вериги за подизпълнение </w:t>
            </w:r>
            <w:r>
              <w:rPr>
                <w:b/>
                <w:i/>
              </w:rPr>
              <w:t>по вертикална и хоризонтална линия</w:t>
            </w:r>
            <w:r>
              <w:t xml:space="preserve">, наличието на злоупотребяващи трудови посредници, както и силната зависимост от командировани работници, мобилни работници от ЕС и граждани на трети държави; </w:t>
            </w:r>
            <w:r>
              <w:rPr>
                <w:b/>
                <w:i/>
              </w:rPr>
              <w:t>като има предвид, че разчитането на нестандартни форми на заетост и сложни трансгранични договорености размива правата на работниците и отговорностите на работодателите и допълнително усложнява осведомеността, наблюдението и прилагането на трудовото законодателство и приложимите колективни трудови договори;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като има предвид, че често срещана променлива в повечето сектори, изложени на висок риск от трудова експлоатация, е високата интензивност на труда, съчетана със зависимостта от дълги и сложни вериги за подизпълнение, наличието на злоупотребяващи трудови посредници, както и силната зависимост от </w:t>
            </w:r>
            <w:r>
              <w:rPr>
                <w:b/>
                <w:i/>
              </w:rPr>
              <w:t>командировани</w:t>
            </w:r>
            <w:r>
              <w:t xml:space="preserve"> работници, </w:t>
            </w:r>
            <w:r>
              <w:rPr>
                <w:b/>
                <w:i/>
              </w:rPr>
              <w:t>мобилни</w:t>
            </w:r>
            <w:r>
              <w:t xml:space="preserve"> работници от ЕС </w:t>
            </w:r>
            <w:r>
              <w:rPr>
                <w:b/>
                <w:i/>
              </w:rPr>
              <w:t>и граждани</w:t>
            </w:r>
            <w:r>
              <w:t xml:space="preserve"> на трети държави;</w:t>
            </w:r>
          </w:p>
        </w:tc>
        <w:tc>
          <w:tcPr>
            <w:tcW w:w="4876" w:type="dxa"/>
            <w:tcBorders>
              <w:top w:val="nil"/>
              <w:left w:val="nil"/>
              <w:bottom w:val="nil"/>
              <w:right w:val="nil"/>
            </w:tcBorders>
          </w:tcPr>
          <w:p>
            <w:pPr>
              <w:pStyle w:val="Normal6a"/>
            </w:pPr>
            <w:r>
              <w:t>В.</w:t>
            </w:r>
            <w:r>
              <w:tab/>
            </w:r>
            <w:r>
              <w:t xml:space="preserve">като има предвид, че често срещана променлива в повечето сектори, изложени на висок риск от трудова експлоатация, е високата интензивност на труда, съчетана със зависимостта от дълги и сложни вериги за подизпълнение, наличието на злоупотребяващи трудови посредници, както и силната зависимост от </w:t>
            </w:r>
            <w:r>
              <w:rPr>
                <w:b/>
                <w:i/>
              </w:rPr>
              <w:t>по-малката част от командированите</w:t>
            </w:r>
            <w:r>
              <w:t xml:space="preserve"> работници, </w:t>
            </w:r>
            <w:r>
              <w:rPr>
                <w:b/>
                <w:i/>
              </w:rPr>
              <w:t>мобилните</w:t>
            </w:r>
            <w:r>
              <w:t xml:space="preserve"> работници от ЕС</w:t>
            </w:r>
            <w:r>
              <w:rPr>
                <w:b/>
                <w:i/>
              </w:rPr>
              <w:t>, както и от значителна част от гражданите</w:t>
            </w:r>
            <w:r>
              <w:t xml:space="preserve"> на трети държави </w:t>
            </w:r>
            <w:r>
              <w:rPr>
                <w:b/>
                <w:i/>
              </w:rPr>
              <w:t>и незаконните мигранти, които биват изложени на риск от робство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като има предвид, че често срещана променлива в повечето сектори, изложени на висок риск от трудова експлоатация, е </w:t>
            </w:r>
            <w:r>
              <w:rPr>
                <w:b/>
                <w:i/>
              </w:rPr>
              <w:t>високата интензивност на труда, съчетана със зависимостта от дълги и сложни вериги за подизпълнение, наличието на злоупотребяващи трудови посредници, както и силната зависимост от командировани</w:t>
            </w:r>
            <w:r>
              <w:t xml:space="preserve"> работници, </w:t>
            </w:r>
            <w:r>
              <w:rPr>
                <w:b/>
                <w:i/>
              </w:rPr>
              <w:t>мобилни</w:t>
            </w:r>
            <w:r>
              <w:t xml:space="preserve"> работници от ЕС и </w:t>
            </w:r>
            <w:r>
              <w:rPr>
                <w:b/>
                <w:i/>
              </w:rPr>
              <w:t>граждани</w:t>
            </w:r>
            <w:r>
              <w:t xml:space="preserve"> на трети държави;</w:t>
            </w:r>
          </w:p>
        </w:tc>
        <w:tc>
          <w:tcPr>
            <w:tcW w:w="4876" w:type="dxa"/>
            <w:tcBorders>
              <w:top w:val="nil"/>
              <w:left w:val="nil"/>
              <w:bottom w:val="nil"/>
              <w:right w:val="nil"/>
            </w:tcBorders>
          </w:tcPr>
          <w:p>
            <w:pPr>
              <w:pStyle w:val="Normal6a"/>
            </w:pPr>
            <w:r>
              <w:t>В.</w:t>
            </w:r>
            <w:r>
              <w:tab/>
            </w:r>
            <w:r>
              <w:t xml:space="preserve">като има предвид, че често срещана променлива в повечето сектори, изложени на висок риск от трудова експлоатация, е </w:t>
            </w:r>
            <w:r>
              <w:rPr>
                <w:b/>
                <w:i/>
              </w:rPr>
              <w:t>липсата на прозрачност и правилно прилагане, по-специално по отношение на разрешенията, данъците и самоличността на командированите</w:t>
            </w:r>
            <w:r>
              <w:t xml:space="preserve"> работници, </w:t>
            </w:r>
            <w:r>
              <w:rPr>
                <w:b/>
                <w:i/>
              </w:rPr>
              <w:t>мобилните</w:t>
            </w:r>
            <w:r>
              <w:t xml:space="preserve"> работници от ЕС и </w:t>
            </w:r>
            <w:r>
              <w:rPr>
                <w:b/>
                <w:i/>
              </w:rPr>
              <w:t>гражданите</w:t>
            </w:r>
            <w:r>
              <w:t xml:space="preserve"> на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Ва.</w:t>
            </w:r>
            <w:r>
              <w:tab/>
            </w:r>
            <w:r>
              <w:rPr>
                <w:b/>
                <w:i/>
              </w:rPr>
              <w:t>като има предвид, че присъствието на измамни и престъпни действащи лица на европейските работни места също представлява риск за сигурността, особено когато засяга сектори на критичната инфраструктура, като например транспорт и логистика, строителство, енергетика и здравеопазване, или дейности с достъп до чувствителни по отношение на сигурността работни места, по-специално почистване и поддръжка;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Ва.</w:t>
            </w:r>
            <w:r>
              <w:tab/>
            </w:r>
            <w:r>
              <w:rPr>
                <w:b/>
                <w:i/>
              </w:rPr>
              <w:t>като има предвид, че възлагането на подизпълнители следва да се ръководи от необходимостта от специализиран експертен опит или от възлагане на външни изпълнители на неосновни задачи, които попадат извън основните дейности на дружеството, вместо да се използват за извършване на основните дейности на дружествата, от работници, наети от изпълнители или от подизпълнители, при по-неблагоприятни условия;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Вa.</w:t>
            </w:r>
            <w:r>
              <w:tab/>
            </w:r>
            <w:r>
              <w:rPr>
                <w:b/>
                <w:i/>
              </w:rPr>
              <w:t>като има предвид, че командированата работа в рамките на ЕС винаги е била област, в която значителна част от злоупотребите и пропуските се извършват по отношение на трудовото право и лоялната конкуренция между работниците;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В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Вб.</w:t>
            </w:r>
            <w:r>
              <w:tab/>
            </w:r>
            <w:r>
              <w:rPr>
                <w:b/>
                <w:i/>
              </w:rPr>
              <w:t>като има предвид, че неспазването на законодателството в областта на здравословните и безопасни условия на труд е съставна част от трудовата експлоатация, като по този начин подкопава подхода „Нулева смъртност“ към смъртните случаи, свързани с работата, както е посочено в стратегическата рамка на ЕС за здравословни и безопасни условия на труд за периода 2021—2027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като има предвид, че според ЕОТ командироването на граждани на трети държави нараства, като един от всеки четирима командировани работници през 2022 г. е бил гражданин на трета държава;</w:t>
            </w:r>
          </w:p>
        </w:tc>
        <w:tc>
          <w:tcPr>
            <w:tcW w:w="4876" w:type="dxa"/>
            <w:tcBorders>
              <w:top w:val="nil"/>
              <w:left w:val="nil"/>
              <w:bottom w:val="nil"/>
              <w:right w:val="nil"/>
            </w:tcBorders>
          </w:tcPr>
          <w:p>
            <w:pPr>
              <w:pStyle w:val="Normal6a"/>
            </w:pPr>
            <w:r>
              <w:t>Г.</w:t>
            </w:r>
            <w:r>
              <w:tab/>
            </w:r>
            <w:r>
              <w:t xml:space="preserve">като има предвид, че според ЕОТ командироването на </w:t>
            </w:r>
            <w:r>
              <w:rPr>
                <w:b/>
                <w:i/>
              </w:rPr>
              <w:t>работници, които са</w:t>
            </w:r>
            <w:r>
              <w:t xml:space="preserve"> граждани на трети държави</w:t>
            </w:r>
            <w:r>
              <w:rPr>
                <w:b/>
                <w:i/>
              </w:rPr>
              <w:t>,</w:t>
            </w:r>
            <w:r>
              <w:t xml:space="preserve"> нараства, като един от всеки четирима командировани работници през 2022 г. е бил гражданин на трета държава; </w:t>
            </w:r>
            <w:r>
              <w:rPr>
                <w:b/>
                <w:i/>
              </w:rPr>
              <w:t>като има предвид, че мобилните работници и работниците мигранти са особено изложени на безскрупулни посредници, установени в държавите на произход на работниците или в държавите на местоназначение, и че тези работници биват улавяни в капан на спирала на зависимост от визи, прекомерни такси за работниците за наемане на работа, пътуване, настаняване;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 xml:space="preserve">като има предвид, че според </w:t>
            </w:r>
            <w:r>
              <w:rPr>
                <w:b/>
                <w:i/>
              </w:rPr>
              <w:t>ЕОТ</w:t>
            </w:r>
            <w:r>
              <w:t xml:space="preserve"> командироването на граждани на трети държави </w:t>
            </w:r>
            <w:r>
              <w:rPr>
                <w:b/>
                <w:i/>
              </w:rPr>
              <w:t>нараства</w:t>
            </w:r>
            <w:r>
              <w:t xml:space="preserve">, като един от всеки четирима командировани работници през 2022 г. е </w:t>
            </w:r>
            <w:r>
              <w:rPr>
                <w:b/>
                <w:i/>
              </w:rPr>
              <w:t>бил</w:t>
            </w:r>
            <w:r>
              <w:t xml:space="preserve"> гражданин на трета държава;</w:t>
            </w:r>
          </w:p>
        </w:tc>
        <w:tc>
          <w:tcPr>
            <w:tcW w:w="4876" w:type="dxa"/>
            <w:tcBorders>
              <w:top w:val="nil"/>
              <w:left w:val="nil"/>
              <w:bottom w:val="nil"/>
              <w:right w:val="nil"/>
            </w:tcBorders>
          </w:tcPr>
          <w:p>
            <w:pPr>
              <w:pStyle w:val="Normal6a"/>
            </w:pPr>
            <w:r>
              <w:t>Г.</w:t>
            </w:r>
            <w:r>
              <w:tab/>
            </w:r>
            <w:r>
              <w:t xml:space="preserve">като има предвид, че според </w:t>
            </w:r>
            <w:r>
              <w:rPr>
                <w:b/>
                <w:i/>
              </w:rPr>
              <w:t>неизчерпателното проучване на ЕОТ, съсредоточено само върху много ограничен подбор от сектори,</w:t>
            </w:r>
            <w:r>
              <w:t xml:space="preserve"> командироването на граждани на трети държави </w:t>
            </w:r>
            <w:r>
              <w:rPr>
                <w:b/>
                <w:i/>
              </w:rPr>
              <w:t>в рамките на избраните сектори се увеличава</w:t>
            </w:r>
            <w:r>
              <w:t xml:space="preserve">, като един от всеки четирима командировани работници през 2022 г. е гражданин на трета държава; </w:t>
            </w:r>
            <w:r>
              <w:rPr>
                <w:b/>
                <w:i/>
              </w:rPr>
              <w:t>като има предвид, че командированите работници са защитени от законодателство в областта на командироването;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 xml:space="preserve">като има предвид, че според ЕОТ командироването на граждани на трети държави </w:t>
            </w:r>
            <w:r>
              <w:rPr>
                <w:b/>
                <w:i/>
              </w:rPr>
              <w:t>нараства</w:t>
            </w:r>
            <w:r>
              <w:t xml:space="preserve">, като един </w:t>
            </w:r>
            <w:r>
              <w:rPr>
                <w:b/>
                <w:i/>
              </w:rPr>
              <w:t>от</w:t>
            </w:r>
            <w:r>
              <w:t xml:space="preserve"> всеки четирима командировани работници през 2022 г. е </w:t>
            </w:r>
            <w:r>
              <w:rPr>
                <w:b/>
                <w:i/>
              </w:rPr>
              <w:t>бил</w:t>
            </w:r>
            <w:r>
              <w:t xml:space="preserve"> гражданин на трета държава;</w:t>
            </w:r>
          </w:p>
        </w:tc>
        <w:tc>
          <w:tcPr>
            <w:tcW w:w="4876" w:type="dxa"/>
            <w:tcBorders>
              <w:top w:val="nil"/>
              <w:left w:val="nil"/>
              <w:bottom w:val="nil"/>
              <w:right w:val="nil"/>
            </w:tcBorders>
          </w:tcPr>
          <w:p>
            <w:pPr>
              <w:pStyle w:val="Normal6a"/>
            </w:pPr>
            <w:r>
              <w:t>Г.</w:t>
            </w:r>
            <w:r>
              <w:tab/>
            </w:r>
            <w:r>
              <w:t xml:space="preserve">като има предвид, че според ЕОТ командироването на граждани на трети държави </w:t>
            </w:r>
            <w:r>
              <w:rPr>
                <w:b/>
                <w:i/>
              </w:rPr>
              <w:t>се увеличава</w:t>
            </w:r>
            <w:r>
              <w:t xml:space="preserve">, като един </w:t>
            </w:r>
            <w:r>
              <w:rPr>
                <w:b/>
                <w:i/>
              </w:rPr>
              <w:t>на</w:t>
            </w:r>
            <w:r>
              <w:t xml:space="preserve"> всеки четирима командировани работници през 2022 г. е гражданин на трета държава</w:t>
            </w:r>
            <w:r>
              <w:rPr>
                <w:b/>
                <w:i/>
              </w:rPr>
              <w:t>, като се взема предвид методологията на проучването, в което са взети предвид само строителният и местният сектор в определен брой държави, в които се проучват конкретни случаи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като има предвид, че според ЕОТ командироването на граждани на трети държави нараства, като един от всеки четирима командировани работници през 2022 г. е бил гражданин на трета държава;</w:t>
            </w:r>
          </w:p>
        </w:tc>
        <w:tc>
          <w:tcPr>
            <w:tcW w:w="4876" w:type="dxa"/>
            <w:tcBorders>
              <w:top w:val="nil"/>
              <w:left w:val="nil"/>
              <w:bottom w:val="nil"/>
              <w:right w:val="nil"/>
            </w:tcBorders>
          </w:tcPr>
          <w:p>
            <w:pPr>
              <w:pStyle w:val="Normal6a"/>
            </w:pPr>
            <w:r>
              <w:t>Г.</w:t>
            </w:r>
            <w:r>
              <w:tab/>
            </w:r>
            <w:r>
              <w:t xml:space="preserve">като има предвид, че според ЕОТ командироването на граждани на трети държави нараства, като един от всеки четирима командировани работници през 2022 г. е бил гражданин на трета държава; </w:t>
            </w:r>
            <w:r>
              <w:rPr>
                <w:b/>
                <w:i/>
              </w:rPr>
              <w:t>като има предвид, че гражданите на трети държави обикновено са по-слабо представени от синдикалните организации и срещат повече трудности при защитата на правата си и достъпа до съдебната система;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като има предвид, че според ЕОТ командироването на граждани на трети държави нараства, като един от всеки четирима командировани работници през 2022 г. е бил гражданин на трета държава;</w:t>
            </w:r>
          </w:p>
        </w:tc>
        <w:tc>
          <w:tcPr>
            <w:tcW w:w="4876" w:type="dxa"/>
            <w:tcBorders>
              <w:top w:val="nil"/>
              <w:left w:val="nil"/>
              <w:bottom w:val="nil"/>
              <w:right w:val="nil"/>
            </w:tcBorders>
          </w:tcPr>
          <w:p>
            <w:pPr>
              <w:pStyle w:val="Normal6a"/>
            </w:pPr>
            <w:r>
              <w:t>Г.</w:t>
            </w:r>
            <w:r>
              <w:tab/>
            </w:r>
            <w:r>
              <w:t xml:space="preserve">като има предвид, че според ЕОТ командироването на </w:t>
            </w:r>
            <w:r>
              <w:rPr>
                <w:b/>
                <w:i/>
              </w:rPr>
              <w:t>работници, които са</w:t>
            </w:r>
            <w:r>
              <w:t xml:space="preserve"> граждани на трети държави </w:t>
            </w:r>
            <w:r>
              <w:rPr>
                <w:b/>
                <w:i/>
              </w:rPr>
              <w:t>и които представляват особено уязвима група,</w:t>
            </w:r>
            <w:r>
              <w:t xml:space="preserve"> нараства, като един от всеки четирима командировани работници през 2022 г. е бил гражданин на трета държава;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Паскал Аримон, Ангелика Винциг, Раул Де Ла Ос Кинтано, Реджина Дохърти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 xml:space="preserve">като има предвид, че </w:t>
            </w:r>
            <w:r>
              <w:rPr>
                <w:b/>
                <w:i/>
              </w:rPr>
              <w:t>според ЕОТ командироването на</w:t>
            </w:r>
            <w:r>
              <w:t xml:space="preserve"> граждани на трети държави </w:t>
            </w:r>
            <w:r>
              <w:rPr>
                <w:b/>
                <w:i/>
              </w:rPr>
              <w:t>нараства, като</w:t>
            </w:r>
            <w:r>
              <w:t xml:space="preserve"> един от всеки четирима командировани работници през 2022 г. </w:t>
            </w:r>
            <w:r>
              <w:rPr>
                <w:b/>
                <w:i/>
              </w:rPr>
              <w:t>е бил гражданин на трета държава</w:t>
            </w:r>
            <w:r>
              <w:t>;</w:t>
            </w:r>
          </w:p>
        </w:tc>
        <w:tc>
          <w:tcPr>
            <w:tcW w:w="4876" w:type="dxa"/>
            <w:tcBorders>
              <w:top w:val="nil"/>
              <w:left w:val="nil"/>
              <w:bottom w:val="nil"/>
              <w:right w:val="nil"/>
            </w:tcBorders>
          </w:tcPr>
          <w:p>
            <w:pPr>
              <w:pStyle w:val="Normal6a"/>
            </w:pPr>
            <w:r>
              <w:t>Г.</w:t>
            </w:r>
            <w:r>
              <w:tab/>
            </w:r>
            <w:r>
              <w:t xml:space="preserve">като има предвид, че </w:t>
            </w:r>
            <w:r>
              <w:rPr>
                <w:b/>
                <w:i/>
              </w:rPr>
              <w:t>командированите работници, които са</w:t>
            </w:r>
            <w:r>
              <w:t xml:space="preserve"> граждани на трети държави</w:t>
            </w:r>
            <w:r>
              <w:rPr>
                <w:b/>
                <w:i/>
              </w:rPr>
              <w:t>, все повече биват наемани в нискорискови сектори и че според ЕОТ те представляват</w:t>
            </w:r>
            <w:r>
              <w:t xml:space="preserve"> един от всеки четирима командировани работници през 2022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Г.</w:t>
            </w:r>
            <w:r>
              <w:tab/>
            </w:r>
            <w:r>
              <w:t xml:space="preserve">като има предвид, че според </w:t>
            </w:r>
            <w:r>
              <w:rPr>
                <w:b/>
                <w:i/>
              </w:rPr>
              <w:t>ЕОТ</w:t>
            </w:r>
            <w:r>
              <w:t xml:space="preserve"> командироването на граждани на трети държави </w:t>
            </w:r>
            <w:r>
              <w:rPr>
                <w:b/>
                <w:i/>
              </w:rPr>
              <w:t>нараства</w:t>
            </w:r>
            <w:r>
              <w:t xml:space="preserve">, като един от всеки четирима командировани работници през 2022 г. е </w:t>
            </w:r>
            <w:r>
              <w:rPr>
                <w:b/>
                <w:i/>
              </w:rPr>
              <w:t>бил</w:t>
            </w:r>
            <w:r>
              <w:t xml:space="preserve"> гражданин на трета държава;</w:t>
            </w:r>
          </w:p>
        </w:tc>
        <w:tc>
          <w:tcPr>
            <w:tcW w:w="4876" w:type="dxa"/>
            <w:tcBorders>
              <w:top w:val="nil"/>
              <w:left w:val="nil"/>
              <w:bottom w:val="nil"/>
              <w:right w:val="nil"/>
            </w:tcBorders>
          </w:tcPr>
          <w:p>
            <w:pPr>
              <w:pStyle w:val="Normal6a"/>
            </w:pPr>
            <w:r>
              <w:t>Г.</w:t>
            </w:r>
            <w:r>
              <w:tab/>
            </w:r>
            <w:r>
              <w:t xml:space="preserve">като има предвид, че според </w:t>
            </w:r>
            <w:r>
              <w:rPr>
                <w:b/>
                <w:i/>
              </w:rPr>
              <w:t>Европейския орган по труда (ЕОТ)</w:t>
            </w:r>
            <w:r>
              <w:t xml:space="preserve"> командироването на граждани на трети държави </w:t>
            </w:r>
            <w:r>
              <w:rPr>
                <w:b/>
                <w:i/>
              </w:rPr>
              <w:t>се увеличава</w:t>
            </w:r>
            <w:r>
              <w:t>, като един от всеки четирима командировани работници през 2022 г. е гражданин на трета държава</w:t>
            </w:r>
            <w:r>
              <w:rPr>
                <w:b/>
                <w:i/>
              </w:rPr>
              <w:t>, което произтича от хроничния недостиг на умения и работна ръка в рамките на ЕС</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Мириам Лексман, Андреа Векслер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Га.</w:t>
            </w:r>
            <w:r>
              <w:tab/>
            </w:r>
            <w:r>
              <w:rPr>
                <w:b/>
                <w:i/>
              </w:rPr>
              <w:t>като има предвид, че възлагането на подизпълнители играе съществена роля в икономиката;</w:t>
            </w:r>
            <w:r>
              <w:t xml:space="preserve"> </w:t>
            </w:r>
            <w:r>
              <w:rPr>
                <w:b/>
                <w:i/>
              </w:rPr>
              <w:t>като има предвид, че съществуват значителни различия в използването на договори за подизпълнение между секторите и дружествата;</w:t>
            </w:r>
            <w:r>
              <w:t xml:space="preserve"> </w:t>
            </w:r>
            <w:r>
              <w:rPr>
                <w:b/>
                <w:i/>
              </w:rPr>
              <w:t>като има предвид, че повечето дружества използват една или повече форми на възлагане на подизпълнители за определени дейности, които не са основната дейност на тяхното собствено дружество;</w:t>
            </w:r>
            <w:r>
              <w:t xml:space="preserve"> </w:t>
            </w:r>
            <w:r>
              <w:rPr>
                <w:b/>
                <w:i/>
              </w:rPr>
              <w:t>като има предвид, че възможността за предлагане на експертен опит на големите дружества в рамките на възлагането на подизпълнители носи много възможности за МСП;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Га.</w:t>
            </w:r>
            <w:r>
              <w:tab/>
            </w:r>
            <w:r>
              <w:rPr>
                <w:b/>
                <w:i/>
              </w:rPr>
              <w:t>като има предвид, че все по-често се наблюдава измамна практика на „наемане на работа с цел командироване“, при която граждани на трети държави се наемат не на работа в изпращащата държава членка, а единствено с цел да бъдат командировани в друга държава членка;</w:t>
            </w:r>
            <w:r>
              <w:t xml:space="preserve"> </w:t>
            </w:r>
            <w:r>
              <w:rPr>
                <w:b/>
                <w:i/>
              </w:rPr>
              <w:t>като има предвид, че ЕОТ определи това като нарастващо предизвикателство по отношение на правоприлагането, особено в областта на строителството, грижите, транспорта и логистиката</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Доклад на ЕОТ „Командироване на граждани на трети държави:</w:t>
            </w:r>
            <w:r>
              <w:t xml:space="preserve"> </w:t>
            </w:r>
            <w:r>
              <w:rPr>
                <w:b/>
                <w:i/>
              </w:rPr>
              <w:t>Вериги на договаряне, модели на набиране на персонал и въпроси, свързани с правоприлагането“,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Лисбет Сомен, Паскал Аримон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Га.</w:t>
            </w:r>
            <w:r>
              <w:tab/>
            </w:r>
            <w:r>
              <w:rPr>
                <w:b/>
                <w:i/>
              </w:rPr>
              <w:t>като има предвид, че в принцип № 5 от Европейския стълб за социални права се посочва, че независимо от вида и продължителността на трудовото правоотношение, работниците имат право на справедливо и равно третиране по отношение на условията на труда и достъпа до социална закрила и обучение;</w:t>
            </w:r>
            <w:r>
              <w:t xml:space="preserve"> </w:t>
            </w:r>
            <w:r>
              <w:rPr>
                <w:b/>
                <w:i/>
              </w:rPr>
              <w:t>като има предвид, че трудовите правоотношения, които водят до несигурни условия на труд, трябва да бъдат предотвратявани;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Мириам Лексман, Андреа Векслер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Г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Гб.</w:t>
            </w:r>
            <w:r>
              <w:tab/>
            </w:r>
            <w:r>
              <w:rPr>
                <w:b/>
                <w:i/>
              </w:rPr>
              <w:t>като има предвид, че свободата на предоставяне на услуги в ЕС е една от четирите свободи и като такава е крайъгълен камък на вътрешния пазар;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като има предвид, че възлагането на подизпълнители е добре функционираща и важна практика в много сектори, улесняваща достъпа до специализиран експертен опит; като има предвид обаче, че дългите и сложни вериги </w:t>
            </w:r>
            <w:r>
              <w:rPr>
                <w:b/>
                <w:i/>
              </w:rPr>
              <w:t>за подизпълнение</w:t>
            </w:r>
            <w:r>
              <w:t xml:space="preserve"> могат да увеличат рисковете, свързани с измамите, проникването на престъпни елементи, здравословните и безопасни условия на труд на работниците </w:t>
            </w:r>
            <w:r>
              <w:rPr>
                <w:b/>
                <w:i/>
              </w:rPr>
              <w:t>и</w:t>
            </w:r>
            <w:r>
              <w:t xml:space="preserve"> нелоялната конкуренция за предприятията, особено за малките и средните предприятия (МСП);</w:t>
            </w:r>
          </w:p>
        </w:tc>
        <w:tc>
          <w:tcPr>
            <w:tcW w:w="4876" w:type="dxa"/>
            <w:tcBorders>
              <w:top w:val="nil"/>
              <w:left w:val="nil"/>
              <w:bottom w:val="nil"/>
              <w:right w:val="nil"/>
            </w:tcBorders>
          </w:tcPr>
          <w:p>
            <w:pPr>
              <w:pStyle w:val="Normal6a"/>
            </w:pPr>
            <w:r>
              <w:t>Д.</w:t>
            </w:r>
            <w:r>
              <w:tab/>
            </w:r>
            <w:r>
              <w:t xml:space="preserve">като има предвид, че възлагането на подизпълнители е добре функционираща и важна практика в много сектори, улесняваща достъпа до специализиран експертен опит; като има предвид обаче, че дългите и сложни вериги </w:t>
            </w:r>
            <w:r>
              <w:rPr>
                <w:b/>
                <w:i/>
              </w:rPr>
              <w:t>от подизпълнители</w:t>
            </w:r>
            <w:r>
              <w:t xml:space="preserve"> могат </w:t>
            </w:r>
            <w:r>
              <w:rPr>
                <w:b/>
                <w:i/>
              </w:rPr>
              <w:t>да нарушат лоялната конкуренция, да прикрият отчетността,</w:t>
            </w:r>
            <w:r>
              <w:t xml:space="preserve"> да увеличат рисковете, свързани с измамите</w:t>
            </w:r>
            <w:r>
              <w:rPr>
                <w:b/>
                <w:i/>
              </w:rPr>
              <w:t>, експлоатацията на труда и измамните практики, особено във високорисковите сектори и трансграничната работа</w:t>
            </w:r>
            <w:r>
              <w:t>, проникването на престъпни елементи, здравословните и безопасни условия на труд на работниците</w:t>
            </w:r>
            <w:r>
              <w:rPr>
                <w:b/>
                <w:i/>
              </w:rPr>
              <w:t>, както и с</w:t>
            </w:r>
            <w:r>
              <w:t xml:space="preserve"> нелоялната конкуренция за предприятията, особено за малките и средните предприятия (МСП); </w:t>
            </w:r>
            <w:r>
              <w:rPr>
                <w:b/>
                <w:i/>
              </w:rPr>
              <w:t>като има предвид, че недостатъчните прозрачност и надзор в разширените споразумения за подизпълнение затрудняват работодателите в усилията им да осигурят спазването на приложимото право на ЕС и национално право;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като има предвид, че възлагането на подизпълнители е добре функционираща и важна практика в много сектори, улесняваща достъпа до специализиран експертен опит; като има предвид </w:t>
            </w:r>
            <w:r>
              <w:rPr>
                <w:b/>
                <w:i/>
              </w:rPr>
              <w:t>обаче</w:t>
            </w:r>
            <w:r>
              <w:t>, че дългите и сложни вериги за подизпълнение могат да увеличат рисковете, свързани с измамите, проникването на престъпни елементи, здравословните и безопасни условия на труд на работниците и нелоялната конкуренция за предприятията, особено за малките и средните предприятия (МСП);</w:t>
            </w:r>
          </w:p>
        </w:tc>
        <w:tc>
          <w:tcPr>
            <w:tcW w:w="4876" w:type="dxa"/>
            <w:tcBorders>
              <w:top w:val="nil"/>
              <w:left w:val="nil"/>
              <w:bottom w:val="nil"/>
              <w:right w:val="nil"/>
            </w:tcBorders>
          </w:tcPr>
          <w:p>
            <w:pPr>
              <w:pStyle w:val="Normal6a"/>
            </w:pPr>
            <w:r>
              <w:t>Д.</w:t>
            </w:r>
            <w:r>
              <w:tab/>
            </w:r>
            <w:r>
              <w:t>като има предвид, че възлагането на подизпълнители е добре функционираща и важна практика в много сектори, улесняваща достъпа до специализиран експертен опит</w:t>
            </w:r>
            <w:r>
              <w:rPr>
                <w:b/>
                <w:i/>
              </w:rPr>
              <w:t>, като играе съществена роля в икономиката</w:t>
            </w:r>
            <w:r>
              <w:t>; като има предвид, че дългите и сложни вериги за подизпълнение могат</w:t>
            </w:r>
            <w:r>
              <w:rPr>
                <w:b/>
                <w:i/>
              </w:rPr>
              <w:t>, в някои рискови сектори и в определени случаи,</w:t>
            </w:r>
            <w:r>
              <w:t xml:space="preserve"> да увеличат рисковете, свързани с измамите, проникването на престъпни елементи, здравословните и безопасни условия на труд на работниците и нелоялната конкуренция за предприятията, особено за малките и средните предприятия (МСП); </w:t>
            </w:r>
            <w:r>
              <w:rPr>
                <w:b/>
                <w:i/>
              </w:rPr>
              <w:t>като има предвид, че МСП обикновено могат да предлагат експертен опит на по-големите дружества;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като има предвид, че възлагането на подизпълнители е добре функционираща и важна практика в много сектори, </w:t>
            </w:r>
            <w:r>
              <w:rPr>
                <w:b/>
                <w:i/>
              </w:rPr>
              <w:t>улесняваща достъпа до специализиран експертен опит</w:t>
            </w:r>
            <w:r>
              <w:t>; като има предвид обаче, че дългите и сложни вериги за подизпълнение могат да увеличат рисковете, свързани с измамите, проникването на престъпни елементи, здравословните и безопасни условия на труд на работниците и нелоялната конкуренция за предприятията, особено за малките и средните предприятия (МСП);</w:t>
            </w:r>
          </w:p>
        </w:tc>
        <w:tc>
          <w:tcPr>
            <w:tcW w:w="4876" w:type="dxa"/>
            <w:tcBorders>
              <w:top w:val="nil"/>
              <w:left w:val="nil"/>
              <w:bottom w:val="nil"/>
              <w:right w:val="nil"/>
            </w:tcBorders>
          </w:tcPr>
          <w:p>
            <w:pPr>
              <w:pStyle w:val="Normal6a"/>
            </w:pPr>
            <w:r>
              <w:t>Д.</w:t>
            </w:r>
            <w:r>
              <w:tab/>
            </w:r>
            <w:r>
              <w:t xml:space="preserve">като има предвид, че възлагането на подизпълнители е добре функционираща и важна практика в много сектори, </w:t>
            </w:r>
            <w:r>
              <w:rPr>
                <w:b/>
                <w:i/>
              </w:rPr>
              <w:t>която позволява да се отговори на специализирани, свързани с капацитета или стратегически нужди</w:t>
            </w:r>
            <w:r>
              <w:t>; като има предвид обаче, че дългите и сложни вериги за подизпълнение могат да увеличат рисковете, свързани с измамите, проникването на престъпни елементи, здравословните и безопасни условия на труд на работниците и нелоялната конкуренция за предприятията, особено за малките и средните предприятия (МСП);</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 Йорген Варборн, Арба Кокалари, Изабел Льо Каленек, Лисбет Сомен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като има предвид, че възлагането на подизпълнители е добре функционираща и важна практика в много сектори, улесняваща достъпа до специализиран експертен опит; като има предвид обаче, че дългите и сложни вериги за подизпълнение могат да увеличат рисковете, свързани с измамите, проникването на престъпни елементи, здравословните и безопасни условия на труд на работниците и нелоялната конкуренция за предприятията</w:t>
            </w:r>
            <w:r>
              <w:rPr>
                <w:b/>
                <w:i/>
              </w:rPr>
              <w:t>, особено за малките и средните предприятия (МСП)</w:t>
            </w:r>
            <w:r>
              <w:t>;</w:t>
            </w:r>
          </w:p>
        </w:tc>
        <w:tc>
          <w:tcPr>
            <w:tcW w:w="4876" w:type="dxa"/>
            <w:tcBorders>
              <w:top w:val="nil"/>
              <w:left w:val="nil"/>
              <w:bottom w:val="nil"/>
              <w:right w:val="nil"/>
            </w:tcBorders>
          </w:tcPr>
          <w:p>
            <w:pPr>
              <w:pStyle w:val="Normal6a"/>
            </w:pPr>
            <w:r>
              <w:t>Д.</w:t>
            </w:r>
            <w:r>
              <w:tab/>
            </w:r>
            <w:r>
              <w:t>като има предвид, че възлагането на подизпълнители е добре функционираща и важна практика в много сектори, улесняваща достъпа до специализиран експертен опит</w:t>
            </w:r>
            <w:r>
              <w:rPr>
                <w:b/>
                <w:i/>
              </w:rPr>
              <w:t>, и че тя е от особена важност за процъфтяването на МСП</w:t>
            </w:r>
            <w:r>
              <w:t>; като има предвид обаче, че дългите и сложни вериги за подизпълнение могат да увеличат рисковете, свързани с измамите, проникването на престъпни елементи, здравословните и безопасни условия на труд на работниците и нелоялната конкуренция за предприятията;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Д.</w:t>
            </w:r>
            <w:r>
              <w:tab/>
            </w:r>
            <w:r>
              <w:t xml:space="preserve">като има предвид, че възлагането на подизпълнители </w:t>
            </w:r>
            <w:r>
              <w:rPr>
                <w:b/>
                <w:i/>
              </w:rPr>
              <w:t>е добре функционираща и важна практика в много сектори, улесняваща достъпа до специализиран експертен опит</w:t>
            </w:r>
            <w:r>
              <w:t xml:space="preserve">; като има предвид </w:t>
            </w:r>
            <w:r>
              <w:rPr>
                <w:b/>
                <w:i/>
              </w:rPr>
              <w:t>обаче, че дългите и сложни вериги за подизпълнение могат да увеличат рисковете, свързани с измамите, проникването на престъпни елементи, здравословните и безопасни условия на труд на работниците и нелоялната конкуренция за предприятията, особено за малките и средните предприятия (МСП)</w:t>
            </w:r>
            <w:r>
              <w:t>;</w:t>
            </w:r>
          </w:p>
        </w:tc>
        <w:tc>
          <w:tcPr>
            <w:tcW w:w="4876" w:type="dxa"/>
            <w:tcBorders>
              <w:top w:val="nil"/>
              <w:left w:val="nil"/>
              <w:bottom w:val="nil"/>
              <w:right w:val="nil"/>
            </w:tcBorders>
          </w:tcPr>
          <w:p>
            <w:pPr>
              <w:pStyle w:val="Normal6a"/>
            </w:pPr>
            <w:r>
              <w:t>Д.</w:t>
            </w:r>
            <w:r>
              <w:tab/>
            </w:r>
            <w:r>
              <w:t xml:space="preserve">като има предвид, че възлагането на подизпълнители </w:t>
            </w:r>
            <w:r>
              <w:rPr>
                <w:b/>
                <w:i/>
              </w:rPr>
              <w:t>следва да бъде ограничено и продиктувано от необходимостта от специализирани експертни познания или технически умения, които не са налични в рамките на дадено дружество, или от необходимостта да се делегират несъществени задачи, които не попадат в основната област на дейност на това дружество</w:t>
            </w:r>
            <w:r>
              <w:t>; като има предвид</w:t>
            </w:r>
            <w:r>
              <w:rPr>
                <w:b/>
                <w:i/>
              </w:rPr>
              <w:t>, че ключовите дейности на дружеството следва да се извършват изключително от работници, които имат отношение на пряко подчинение с основното дружество</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като има предвид, че през последните три десетилетия на интеграция на вътрешния пазар на ЕС възлагането на подизпълнители се превърна в бизнес модел, който все повече се използва за извършване на основните дейности на дружествата, с единствената цел да се разделят властта и печалбите от рисковете и отговорностите в ущърб на достойния труд и лоялната конкуренция;</w:t>
            </w:r>
            <w:r>
              <w:t xml:space="preserve"> </w:t>
            </w:r>
            <w:r>
              <w:rPr>
                <w:b/>
                <w:i/>
              </w:rPr>
              <w:t>като има предвид, че сложните вериги от подизпълнители увеличават излагането на работниците на рискове за здравето и безопасността поради неясни отговорности, а Конвенция № 167 на МОТ възлага на основните изпълнители задължението да координират мерките за здравословни и безопасни условия на труд;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Дa.</w:t>
            </w:r>
            <w:r>
              <w:tab/>
            </w:r>
            <w:r>
              <w:rPr>
                <w:b/>
                <w:i/>
              </w:rPr>
              <w:t>като има предвид, че в множество сектори възлагането на дейности на външни изпълнители обикновено се използва като бизнес модел, който води до конкуренция по отношение на заплатите, което води до надпревара за достигане на най-ниски равнища на заплащане, влошаване на условията на труд, освобождаване от отговорност на основните изпълнители, засилен контрол от страна на големите дружества върху малките предприятия и фиктивна самостоятелна заетост;</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като има предвид, че трудовата експлоатация и злоупотребите възникват на работните места в цяла Европа, но някои сектори на пазара на труда са изложени на по-висок риск от други, включително строителството, селското стопанство, хотелиерството и ресторантьорството, домакинската работа, транспортът и логистиката, преработката на месо и храни, услугите по почистване и полагането на грижи;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като има предвид, че нелоялните търговски практики (НТП) в по-дълги и сложни вериги от подизпълнители остават незабелязани и следователно нерешени, като изострят неравенствата и улесняват незаконните практики за работниците и по-малките дружества подизпълнители, особено в хранително-вкусовия сектор;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като има предвид, че възлагането на подизпълнители сред дружествата и секторите на икономиката се различава значително;</w:t>
            </w:r>
            <w:r>
              <w:t xml:space="preserve"> </w:t>
            </w:r>
            <w:r>
              <w:rPr>
                <w:b/>
                <w:i/>
              </w:rPr>
              <w:t>като има предвид, че не съществува присъща връзка между възлагането на подизпълнители и незаконното наемане на работа и че възлагането на подизпълнители не може автоматично да се възприема като проблематично;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Да.</w:t>
            </w:r>
            <w:r>
              <w:tab/>
            </w:r>
            <w:r>
              <w:rPr>
                <w:b/>
                <w:i/>
              </w:rPr>
              <w:t>като има предвид, че възлагането на подизпълнители е полезна бизнес практика, която позволява на дружествата да имат достъп до специализиран експертен опит и да реагират на гъвкавостта на търсенето по икономически ефективен начин;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Д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Дб.</w:t>
            </w:r>
            <w:r>
              <w:tab/>
            </w:r>
            <w:r>
              <w:rPr>
                <w:b/>
                <w:i/>
              </w:rPr>
              <w:t>като има предвид, че ограниченията на веригите от подизпълнители в сектори, в които незаконната заетост е изключително рядка или не съществува, биха могли да причинят повече вреди на дружествата, особено на МСП;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 Йорген Варборн, Арба Кокалари,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 xml:space="preserve">като има предвид, че някои държави членки са приели законодателство, ограничаващо дължината на веригите </w:t>
            </w:r>
            <w:r>
              <w:rPr>
                <w:b/>
                <w:i/>
              </w:rPr>
              <w:t>за подизпълнение</w:t>
            </w:r>
            <w:r>
              <w:t xml:space="preserve"> в определени сектори; като има предвид, че Комисията </w:t>
            </w:r>
            <w:r>
              <w:rPr>
                <w:b/>
                <w:i/>
              </w:rPr>
              <w:t>счита</w:t>
            </w:r>
            <w:r>
              <w:t xml:space="preserve"> ограничаването на </w:t>
            </w:r>
            <w:r>
              <w:rPr>
                <w:b/>
                <w:i/>
              </w:rPr>
              <w:t>равнищата на възлагане на подизпълнители и разширяването на отговорността на подизпълнителите върху цялата верига като добра практика за държавите членки</w:t>
            </w:r>
            <w:r>
              <w:t>; като има предвид, че има и предприятия, които доброволно са ограничили дължината на своите вериги за подизпълнение;</w:t>
            </w:r>
          </w:p>
        </w:tc>
        <w:tc>
          <w:tcPr>
            <w:tcW w:w="4876" w:type="dxa"/>
            <w:tcBorders>
              <w:top w:val="nil"/>
              <w:left w:val="nil"/>
              <w:bottom w:val="nil"/>
              <w:right w:val="nil"/>
            </w:tcBorders>
          </w:tcPr>
          <w:p>
            <w:pPr>
              <w:pStyle w:val="Normal6a"/>
            </w:pPr>
            <w:r>
              <w:t>Е.</w:t>
            </w:r>
            <w:r>
              <w:tab/>
            </w:r>
            <w:r>
              <w:t xml:space="preserve">като има предвид, че някои държави членки са приели законодателство, ограничаващо дължината на веригите </w:t>
            </w:r>
            <w:r>
              <w:rPr>
                <w:b/>
                <w:i/>
              </w:rPr>
              <w:t>от подизпълнители</w:t>
            </w:r>
            <w:r>
              <w:t xml:space="preserve"> в определени сектори</w:t>
            </w:r>
            <w:r>
              <w:rPr>
                <w:b/>
                <w:i/>
              </w:rPr>
              <w:t>, макар и с различна степен на успех и прилагане</w:t>
            </w:r>
            <w:r>
              <w:t xml:space="preserve">; като има предвид, че Комисията </w:t>
            </w:r>
            <w:r>
              <w:rPr>
                <w:b/>
                <w:i/>
              </w:rPr>
              <w:t>разглежда отрицателните и положителните последици от</w:t>
            </w:r>
            <w:r>
              <w:t xml:space="preserve"> ограничаването на </w:t>
            </w:r>
            <w:r>
              <w:rPr>
                <w:b/>
                <w:i/>
              </w:rPr>
              <w:t>броя на посредниците и дали съществуват добри практики в това отношение</w:t>
            </w:r>
            <w:r>
              <w:t>; като има предвид, че има и предприятия, които доброволно са ограничили дължината на своите вериги за подизпълнение;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като има предвид, че някои държави членки са приели законодателство, ограничаващо дължината на веригите за подизпълнение в определени сектори; като има предвид, че Комисията счита ограничаването на равнищата на възлагане на подизпълнители и разширяването на отговорността на подизпълнителите върху цялата верига като добра практика за държавите членки; като има предвид, че има и предприятия, които доброволно са ограничили дължината на своите вериги за подизпълнение;</w:t>
            </w:r>
          </w:p>
        </w:tc>
        <w:tc>
          <w:tcPr>
            <w:tcW w:w="4876" w:type="dxa"/>
            <w:tcBorders>
              <w:top w:val="nil"/>
              <w:left w:val="nil"/>
              <w:bottom w:val="nil"/>
              <w:right w:val="nil"/>
            </w:tcBorders>
          </w:tcPr>
          <w:p>
            <w:pPr>
              <w:pStyle w:val="Normal6a"/>
            </w:pPr>
            <w:r>
              <w:t>Е.</w:t>
            </w:r>
            <w:r>
              <w:tab/>
            </w:r>
            <w:r>
              <w:t xml:space="preserve">като има предвид, че някои държави членки са приели законодателство, ограничаващо дължината на веригите за подизпълнение </w:t>
            </w:r>
            <w:r>
              <w:rPr>
                <w:b/>
                <w:i/>
              </w:rPr>
              <w:t>в общ план или</w:t>
            </w:r>
            <w:r>
              <w:t xml:space="preserve"> в определени сектори; като има предвид, че Комисията счита ограничаването на равнищата на възлагане на подизпълнители и разширяването на отговорността на подизпълнителите върху цялата верига като добра практика за държавите членки; като има предвид, че има и предприятия, които доброволно са ограничили дължината на своите вериги за подизпълнение;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Еa.</w:t>
            </w:r>
            <w:r>
              <w:tab/>
            </w:r>
            <w:r>
              <w:rPr>
                <w:b/>
                <w:i/>
              </w:rPr>
              <w:t>като има предвид, че някои държави членки са приели законодателни разпоредби, забраняващи възлагането на подизпълнители в определени сектори, които дават възможност за пряко наемане на значителен брой хора и спомагат за борбата срещу социалния дъмпинг и за повишаване на равнището на гаранциите за работниците, без да се подкопава конкурентоспособността на дружествата, които са обект на тези промени;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Е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Еа.</w:t>
            </w:r>
            <w:r>
              <w:tab/>
            </w:r>
            <w:r>
              <w:rPr>
                <w:b/>
                <w:i/>
              </w:rPr>
              <w:t>като има предвид, че в доклада на Лета се подчертава необходимостта от регулиране на практиките на възлагане на подизпълнители с цел предотвратяване на експлоатация и злоупотреби;</w:t>
            </w:r>
            <w:r>
              <w:t xml:space="preserve"> </w:t>
            </w:r>
            <w:r>
              <w:rPr>
                <w:b/>
                <w:i/>
              </w:rPr>
              <w:t>като има предвид, че ЕОТ и Комисията предупреждават, че с дългите и сложни вериги от подизпълнители често се злоупотребява с цел подкопаване на отчетността и правата на работниците;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Ж.</w:t>
            </w:r>
            <w:r>
              <w:tab/>
            </w:r>
            <w:r>
              <w:rPr>
                <w:b/>
                <w:i/>
              </w:rPr>
              <w:t>като има предвид, че в закона няма легална дефиниция за трудовото посредничество и то може да приеме много форми, вариращи от по-големи утвърдени дружества до индивидуални лица, набиращи персонал, неформални брокери и дори незаконни трудови посредници;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като има предвид, че в закона няма легална дефиниция за трудовото посредничество и то може да приеме много форми, вариращи от по-големи утвърдени дружества до индивидуални лица, набиращи персонал</w:t>
            </w:r>
            <w:r>
              <w:rPr>
                <w:b/>
                <w:i/>
              </w:rPr>
              <w:t>, неформални</w:t>
            </w:r>
            <w:r>
              <w:t xml:space="preserve"> брокери и дори </w:t>
            </w:r>
            <w:r>
              <w:rPr>
                <w:b/>
                <w:i/>
              </w:rPr>
              <w:t>незаконни</w:t>
            </w:r>
            <w:r>
              <w:t xml:space="preserve"> трудови посредници;</w:t>
            </w:r>
          </w:p>
        </w:tc>
        <w:tc>
          <w:tcPr>
            <w:tcW w:w="4876" w:type="dxa"/>
            <w:tcBorders>
              <w:top w:val="nil"/>
              <w:left w:val="nil"/>
              <w:bottom w:val="nil"/>
              <w:right w:val="nil"/>
            </w:tcBorders>
          </w:tcPr>
          <w:p>
            <w:pPr>
              <w:pStyle w:val="Normal6a"/>
            </w:pPr>
            <w:r>
              <w:t>Ж.</w:t>
            </w:r>
            <w:r>
              <w:tab/>
            </w:r>
            <w:r>
              <w:t>като има предвид, че в закона няма легална дефиниция за трудовото посредничество и то може да приеме много форми, вариращи от по-големи утвърдени дружества до индивидуални лица, набиращи персонал</w:t>
            </w:r>
            <w:r>
              <w:rPr>
                <w:b/>
                <w:i/>
              </w:rPr>
              <w:t>;</w:t>
            </w:r>
            <w:r>
              <w:t xml:space="preserve"> </w:t>
            </w:r>
            <w:r>
              <w:rPr>
                <w:b/>
                <w:i/>
              </w:rPr>
              <w:t>като има предвид, че неформалните</w:t>
            </w:r>
            <w:r>
              <w:t xml:space="preserve"> брокери и дори </w:t>
            </w:r>
            <w:r>
              <w:rPr>
                <w:b/>
                <w:i/>
              </w:rPr>
              <w:t>незаконните</w:t>
            </w:r>
            <w:r>
              <w:t xml:space="preserve"> трудови посредници </w:t>
            </w:r>
            <w:r>
              <w:rPr>
                <w:b/>
                <w:i/>
              </w:rPr>
              <w:t>не могат да се наричат посредник на пазара на труда, тъй като тяхната цел е далеч от създаването на мост между търсещо работа лице и работодател</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като има предвид, че в закона няма легална дефиниция за трудовото посредничество и то може да приеме много форми, вариращи от по-големи утвърдени дружества до индивидуални лица, набиращи персонал, неформални брокери и дори незаконни трудови посредници;</w:t>
            </w:r>
          </w:p>
        </w:tc>
        <w:tc>
          <w:tcPr>
            <w:tcW w:w="4876" w:type="dxa"/>
            <w:tcBorders>
              <w:top w:val="nil"/>
              <w:left w:val="nil"/>
              <w:bottom w:val="nil"/>
              <w:right w:val="nil"/>
            </w:tcBorders>
          </w:tcPr>
          <w:p>
            <w:pPr>
              <w:pStyle w:val="Normal6a"/>
            </w:pPr>
            <w:r>
              <w:t>Ж.</w:t>
            </w:r>
            <w:r>
              <w:tab/>
            </w:r>
            <w:r>
              <w:t xml:space="preserve">като има предвид, че в закона няма легална дефиниция за трудовото посредничество и то може да приеме много форми, вариращи от по-големи утвърдени дружества до индивидуални лица, набиращи персонал, неформални брокери и дори незаконни трудови посредници; </w:t>
            </w:r>
            <w:r>
              <w:rPr>
                <w:b/>
                <w:i/>
              </w:rPr>
              <w:t>като има предвид, че съществува национално законодателство относно назначаването на работници във всички държави членки в резултат на Директивата относно работата чрез агенции за временна заетост;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като има предвид, че в закона няма легална дефиниция за трудовото посредничество и то може да приеме много форми, вариращи от по-големи утвърдени дружества до индивидуални лица, набиращи персонал, неформални брокери и дори незаконни трудови посредници;</w:t>
            </w:r>
          </w:p>
        </w:tc>
        <w:tc>
          <w:tcPr>
            <w:tcW w:w="4876" w:type="dxa"/>
            <w:tcBorders>
              <w:top w:val="nil"/>
              <w:left w:val="nil"/>
              <w:bottom w:val="nil"/>
              <w:right w:val="nil"/>
            </w:tcBorders>
          </w:tcPr>
          <w:p>
            <w:pPr>
              <w:pStyle w:val="Normal6a"/>
            </w:pPr>
            <w:r>
              <w:t>Ж.</w:t>
            </w:r>
            <w:r>
              <w:tab/>
            </w:r>
            <w:r>
              <w:t>като има предвид, че в закона няма легална дефиниция за трудовото посредничество и то може да приеме много форми, вариращи от по-големи утвърдени дружества до индивидуални лица, набиращи персонал, неформални брокери и дори незаконни трудови посредници</w:t>
            </w:r>
            <w:r>
              <w:rPr>
                <w:b/>
                <w:i/>
              </w:rPr>
              <w:t>, както и съвременните роботърговци, а именно трафикантите в Средиземноморието</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като има предвид, че в закона няма легална дефиниция за трудовото посредничество и то може да приеме много форми, вариращи от по-големи утвърдени дружества до индивидуални лица, набиращи персонал</w:t>
            </w:r>
            <w:r>
              <w:rPr>
                <w:b/>
                <w:i/>
              </w:rPr>
              <w:t>, неформални</w:t>
            </w:r>
            <w:r>
              <w:t xml:space="preserve"> брокери и дори </w:t>
            </w:r>
            <w:r>
              <w:rPr>
                <w:b/>
                <w:i/>
              </w:rPr>
              <w:t>незаконни</w:t>
            </w:r>
            <w:r>
              <w:t xml:space="preserve"> трудови посредници;</w:t>
            </w:r>
          </w:p>
        </w:tc>
        <w:tc>
          <w:tcPr>
            <w:tcW w:w="4876" w:type="dxa"/>
            <w:tcBorders>
              <w:top w:val="nil"/>
              <w:left w:val="nil"/>
              <w:bottom w:val="nil"/>
              <w:right w:val="nil"/>
            </w:tcBorders>
          </w:tcPr>
          <w:p>
            <w:pPr>
              <w:pStyle w:val="Normal6a"/>
            </w:pPr>
            <w:r>
              <w:t>Ж.</w:t>
            </w:r>
            <w:r>
              <w:tab/>
            </w:r>
            <w:r>
              <w:t>като има предвид, че в закона няма легална дефиниция за трудовото посредничество и то може да приеме много форми, вариращи от по-големи утвърдени дружества до индивидуални лица, набиращи персонал</w:t>
            </w:r>
            <w:r>
              <w:rPr>
                <w:b/>
                <w:i/>
              </w:rPr>
              <w:t>;</w:t>
            </w:r>
            <w:r>
              <w:t xml:space="preserve"> </w:t>
            </w:r>
            <w:r>
              <w:rPr>
                <w:b/>
                <w:i/>
              </w:rPr>
              <w:t>като има предвид, че неформалните</w:t>
            </w:r>
            <w:r>
              <w:t xml:space="preserve"> брокери и дори </w:t>
            </w:r>
            <w:r>
              <w:rPr>
                <w:b/>
                <w:i/>
              </w:rPr>
              <w:t>незаконните трудови посредници могат да бъдат маскирани като</w:t>
            </w:r>
            <w:r>
              <w:t xml:space="preserve"> трудови посредници;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З.</w:t>
            </w:r>
            <w:r>
              <w:tab/>
            </w:r>
            <w:r>
              <w:t xml:space="preserve">като има предвид, че </w:t>
            </w:r>
            <w:r>
              <w:rPr>
                <w:b/>
                <w:i/>
              </w:rPr>
              <w:t>трудовите</w:t>
            </w:r>
            <w:r>
              <w:t xml:space="preserve"> посредници, които не са нито регистрирани</w:t>
            </w:r>
            <w:r>
              <w:rPr>
                <w:b/>
                <w:i/>
              </w:rPr>
              <w:t>, нито лицензирани</w:t>
            </w:r>
            <w:r>
              <w:t xml:space="preserve">, нито сертифицирани, често се </w:t>
            </w:r>
            <w:r>
              <w:rPr>
                <w:b/>
                <w:i/>
              </w:rPr>
              <w:t>използват</w:t>
            </w:r>
            <w:r>
              <w:t xml:space="preserve"> за прикриване </w:t>
            </w:r>
            <w:r>
              <w:rPr>
                <w:b/>
                <w:i/>
              </w:rPr>
              <w:t>на нарушения и за</w:t>
            </w:r>
            <w:r>
              <w:t xml:space="preserve"> заобикаляне на трудовото законодателство и отговорността на работодателя;</w:t>
            </w:r>
          </w:p>
        </w:tc>
        <w:tc>
          <w:tcPr>
            <w:tcW w:w="4876" w:type="dxa"/>
            <w:tcBorders>
              <w:top w:val="nil"/>
              <w:left w:val="nil"/>
              <w:bottom w:val="nil"/>
              <w:right w:val="nil"/>
            </w:tcBorders>
          </w:tcPr>
          <w:p>
            <w:pPr>
              <w:pStyle w:val="Normal6a"/>
            </w:pPr>
            <w:r>
              <w:t>З.</w:t>
            </w:r>
            <w:r>
              <w:tab/>
            </w:r>
            <w:r>
              <w:t xml:space="preserve">като има предвид, че </w:t>
            </w:r>
            <w:r>
              <w:rPr>
                <w:b/>
                <w:i/>
              </w:rPr>
              <w:t>неформалният процес на набиране на персонал, извършван от трудови</w:t>
            </w:r>
            <w:r>
              <w:t xml:space="preserve"> посредници, които не са нито </w:t>
            </w:r>
            <w:r>
              <w:rPr>
                <w:b/>
                <w:i/>
              </w:rPr>
              <w:t>регулирани, нито</w:t>
            </w:r>
            <w:r>
              <w:t xml:space="preserve"> регистрирани, нито сертифицирани, често се </w:t>
            </w:r>
            <w:r>
              <w:rPr>
                <w:b/>
                <w:i/>
              </w:rPr>
              <w:t>използва</w:t>
            </w:r>
            <w:r>
              <w:t xml:space="preserve"> за прикриване </w:t>
            </w:r>
            <w:r>
              <w:rPr>
                <w:b/>
                <w:i/>
              </w:rPr>
              <w:t>и</w:t>
            </w:r>
            <w:r>
              <w:t xml:space="preserve"> заобикаляне на трудовото законодателство и отговорността на работодателя</w:t>
            </w:r>
            <w:r>
              <w:rPr>
                <w:b/>
                <w:i/>
              </w:rPr>
              <w:t>, като по този начин значително се увеличава зависимостта на работниците и рисковете от трудова експлоатация, измами и злоупотреби</w:t>
            </w:r>
            <w:r>
              <w:t xml:space="preserve">; </w:t>
            </w:r>
            <w:r>
              <w:rPr>
                <w:b/>
                <w:i/>
              </w:rPr>
              <w:t>като има предвид, че практиките на злоупотреба при набирането на персонал и посредничеството могат да включват укриване или фалшифициране на информация, непредоставяне на писмени договори, налагане на измамни такси за наемане на работа, приспадане на прекомерни разходи за настаняване от заплатите, таксуване на работниците за транспорт, обучение, оборудване или разрешения за работа, конфискуване на паспорти или участие в крепостничество или антисиндикални действия;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З.</w:t>
            </w:r>
            <w:r>
              <w:tab/>
            </w:r>
            <w:r>
              <w:t xml:space="preserve">като има предвид, че </w:t>
            </w:r>
            <w:r>
              <w:rPr>
                <w:b/>
                <w:i/>
              </w:rPr>
              <w:t>трудовите</w:t>
            </w:r>
            <w:r>
              <w:t xml:space="preserve"> посредници</w:t>
            </w:r>
            <w:r>
              <w:rPr>
                <w:b/>
                <w:i/>
              </w:rPr>
              <w:t>, които не са нито регистрирани, нито лицензирани, нито сертифицирани, често</w:t>
            </w:r>
            <w:r>
              <w:t xml:space="preserve"> се използват за прикриване </w:t>
            </w:r>
            <w:r>
              <w:rPr>
                <w:b/>
                <w:i/>
              </w:rPr>
              <w:t>на нарушения и за</w:t>
            </w:r>
            <w:r>
              <w:t xml:space="preserve"> заобикаляне на трудовото законодателство и отговорността на работодателя;</w:t>
            </w:r>
          </w:p>
        </w:tc>
        <w:tc>
          <w:tcPr>
            <w:tcW w:w="4876" w:type="dxa"/>
            <w:tcBorders>
              <w:top w:val="nil"/>
              <w:left w:val="nil"/>
              <w:bottom w:val="nil"/>
              <w:right w:val="nil"/>
            </w:tcBorders>
          </w:tcPr>
          <w:p>
            <w:pPr>
              <w:pStyle w:val="Normal6a"/>
            </w:pPr>
            <w:r>
              <w:t>З.</w:t>
            </w:r>
            <w:r>
              <w:tab/>
            </w:r>
            <w:r>
              <w:t xml:space="preserve">като има предвид, че </w:t>
            </w:r>
            <w:r>
              <w:rPr>
                <w:b/>
                <w:i/>
              </w:rPr>
              <w:t>тези неформални брокери и незаконни</w:t>
            </w:r>
            <w:r>
              <w:t xml:space="preserve"> посредници </w:t>
            </w:r>
            <w:r>
              <w:rPr>
                <w:b/>
                <w:i/>
              </w:rPr>
              <w:t>понякога</w:t>
            </w:r>
            <w:r>
              <w:t xml:space="preserve"> се използват </w:t>
            </w:r>
            <w:r>
              <w:rPr>
                <w:b/>
                <w:i/>
              </w:rPr>
              <w:t>в някои рискови сектори</w:t>
            </w:r>
            <w:r>
              <w:t xml:space="preserve"> за прикриване </w:t>
            </w:r>
            <w:r>
              <w:rPr>
                <w:b/>
                <w:i/>
              </w:rPr>
              <w:t>и</w:t>
            </w:r>
            <w:r>
              <w:t xml:space="preserve"> заобикаляне на трудовото законодателство и отговорността на работодателя; </w:t>
            </w:r>
            <w:r>
              <w:rPr>
                <w:b/>
                <w:i/>
              </w:rPr>
              <w:t>като има предвид, че по-доброто прилагане на съществуващите правила, както и целенасочените инспекции биха могли да спомогнат за борбата с незаконното наемане на работа;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Мириам Лексман, Ангелика Винциг, Раул Де Ла Ос Кинтано, Реджина Дохърти, Йорген Варборн, Арба Кокалари,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З.</w:t>
            </w:r>
            <w:r>
              <w:tab/>
            </w:r>
            <w:r>
              <w:t xml:space="preserve">като има предвид, че трудовите посредници, които не са </w:t>
            </w:r>
            <w:r>
              <w:rPr>
                <w:b/>
                <w:i/>
              </w:rPr>
              <w:t>нито</w:t>
            </w:r>
            <w:r>
              <w:t xml:space="preserve"> регистрирани, </w:t>
            </w:r>
            <w:r>
              <w:rPr>
                <w:b/>
                <w:i/>
              </w:rPr>
              <w:t>нито</w:t>
            </w:r>
            <w:r>
              <w:t xml:space="preserve"> лицензирани, </w:t>
            </w:r>
            <w:r>
              <w:rPr>
                <w:b/>
                <w:i/>
              </w:rPr>
              <w:t>нито сертифицирани, често се използват</w:t>
            </w:r>
            <w:r>
              <w:t xml:space="preserve"> за прикриване на нарушения и за заобикаляне на трудовото законодателство и отговорността на работодателя;</w:t>
            </w:r>
          </w:p>
        </w:tc>
        <w:tc>
          <w:tcPr>
            <w:tcW w:w="4876" w:type="dxa"/>
            <w:tcBorders>
              <w:top w:val="nil"/>
              <w:left w:val="nil"/>
              <w:bottom w:val="nil"/>
              <w:right w:val="nil"/>
            </w:tcBorders>
          </w:tcPr>
          <w:p>
            <w:pPr>
              <w:pStyle w:val="Normal6a"/>
            </w:pPr>
            <w:r>
              <w:t>З.</w:t>
            </w:r>
            <w:r>
              <w:tab/>
            </w:r>
            <w:r>
              <w:t xml:space="preserve">като има предвид, че трудовите посредници, които не са регистрирани, </w:t>
            </w:r>
            <w:r>
              <w:rPr>
                <w:b/>
                <w:i/>
              </w:rPr>
              <w:t>или когато това се изисква,</w:t>
            </w:r>
            <w:r>
              <w:t xml:space="preserve"> лицензирани, </w:t>
            </w:r>
            <w:r>
              <w:rPr>
                <w:b/>
                <w:i/>
              </w:rPr>
              <w:t>могат да бъдат използвани</w:t>
            </w:r>
            <w:r>
              <w:t xml:space="preserve"> за прикриване на нарушения и за заобикаляне на трудовото законодателство и отговорността на работодателя;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З.</w:t>
            </w:r>
            <w:r>
              <w:tab/>
            </w:r>
            <w:r>
              <w:t xml:space="preserve">като има предвид, че </w:t>
            </w:r>
            <w:r>
              <w:rPr>
                <w:b/>
                <w:i/>
              </w:rPr>
              <w:t>трудовите</w:t>
            </w:r>
            <w:r>
              <w:t xml:space="preserve"> посредници, които не са нито регистрирани, нито лицензирани, нито сертифицирани, често се използват за прикриване на нарушения и за заобикаляне на трудовото законодателство и отговорността на работодателя;</w:t>
            </w:r>
          </w:p>
        </w:tc>
        <w:tc>
          <w:tcPr>
            <w:tcW w:w="4876" w:type="dxa"/>
            <w:tcBorders>
              <w:top w:val="nil"/>
              <w:left w:val="nil"/>
              <w:bottom w:val="nil"/>
              <w:right w:val="nil"/>
            </w:tcBorders>
          </w:tcPr>
          <w:p>
            <w:pPr>
              <w:pStyle w:val="Normal6a"/>
            </w:pPr>
            <w:r>
              <w:t>З.</w:t>
            </w:r>
            <w:r>
              <w:tab/>
            </w:r>
            <w:r>
              <w:t xml:space="preserve">като има предвид, че </w:t>
            </w:r>
            <w:r>
              <w:rPr>
                <w:b/>
                <w:i/>
              </w:rPr>
              <w:t>маскираните трудови</w:t>
            </w:r>
            <w:r>
              <w:t xml:space="preserve"> посредници, които не са нито регистрирани, нито лицензирани, нито сертифицирани, </w:t>
            </w:r>
            <w:r>
              <w:rPr>
                <w:b/>
                <w:i/>
              </w:rPr>
              <w:t>са незаконни и</w:t>
            </w:r>
            <w:r>
              <w:t xml:space="preserve"> често се използват за прикриване на нарушения и за заобикаляне на трудовото законодателство и отговорността на работодателя;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З.</w:t>
            </w:r>
            <w:r>
              <w:tab/>
            </w:r>
            <w:r>
              <w:t>като има предвид, че трудовите посредници, които не са нито регистрирани, нито лицензирани, нито сертифицирани, често се използват за прикриване на нарушения и за заобикаляне на трудовото законодателство и отговорността на работодателя;</w:t>
            </w:r>
          </w:p>
        </w:tc>
        <w:tc>
          <w:tcPr>
            <w:tcW w:w="4876" w:type="dxa"/>
            <w:tcBorders>
              <w:top w:val="nil"/>
              <w:left w:val="nil"/>
              <w:bottom w:val="nil"/>
              <w:right w:val="nil"/>
            </w:tcBorders>
          </w:tcPr>
          <w:p>
            <w:pPr>
              <w:pStyle w:val="Normal6a"/>
            </w:pPr>
            <w:r>
              <w:t>З.</w:t>
            </w:r>
            <w:r>
              <w:tab/>
            </w:r>
            <w:r>
              <w:t>като има предвид, че трудовите посредници, които не са нито регистрирани, нито лицензирани, нито сертифицирани, често се използват за прикриване на нарушения и за заобикаляне на трудовото законодателство и отговорността на работодателя</w:t>
            </w:r>
            <w:r>
              <w:rPr>
                <w:b/>
                <w:i/>
              </w:rPr>
              <w:t>, с цел намаляване на разходите чрез използване на „вносен“ труд</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За.</w:t>
            </w:r>
            <w:r>
              <w:tab/>
            </w:r>
            <w:r>
              <w:rPr>
                <w:b/>
                <w:i/>
              </w:rPr>
              <w:t>като има предвид, че мобилните работници и работниците мигранти, включително от трети държави, са особено изложени на безскрупулни посредници, установени в държавите на произход на работниците или в държавите на местоназначение, и че тези работници биват улавяни в капан на спирала на зависимост за визи, разрешителни за работа, жилищно настаняване и пътни разноски и организация;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Зб.</w:t>
            </w:r>
            <w:r>
              <w:tab/>
            </w:r>
            <w:r>
              <w:rPr>
                <w:b/>
                <w:i/>
              </w:rPr>
              <w:t>като има предвид, че в отговор на тези предизвикателства няколко европейски държави приеха национални планове за действие и политики, насочени към борба с трудовата експлоатация, включително действия за справяне със злоупотребите във веригите от подизпълнители и от страна на трудовите посредници</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Швеция:</w:t>
            </w:r>
            <w:r>
              <w:t xml:space="preserve"> </w:t>
            </w:r>
            <w:r>
              <w:rPr>
                <w:b/>
                <w:i/>
              </w:rPr>
              <w:t>https://www.regeringen.se/contentassets/f6f461b310984b598ee4f7a2d83350d0/nationell-strategi-mot-arbetslivskriminalitet.pdf, Финландия:</w:t>
            </w:r>
            <w:r>
              <w:t xml:space="preserve"> </w:t>
            </w:r>
            <w:r>
              <w:rPr>
                <w:b/>
                <w:i/>
              </w:rPr>
              <w:t>https://julkaisut.valtioneuvosto.fi/bitstream/handle/10024/165395/TEM_2024_5.pdf, Италия:</w:t>
            </w:r>
            <w:r>
              <w:t xml:space="preserve"> </w:t>
            </w:r>
            <w:r>
              <w:rPr>
                <w:b/>
                <w:i/>
              </w:rPr>
              <w:t>https://www.lavoro.gov.it/strumenti-e-servizi/Attuazione-Interventi-PNRR/Documents/DM-58-del-06042023-Aggiornamento-Piano-Lavoro-Sommerso.pdf?utm, Германия:</w:t>
            </w:r>
            <w:r>
              <w:t xml:space="preserve"> </w:t>
            </w:r>
            <w:r>
              <w:rPr>
                <w:b/>
                <w:i/>
              </w:rPr>
              <w:t>https://www.bmas.de/DE/Service/Presse/Meldungen/2025/nationaler-aktionsplan-gegen-arbeitsausbeutung-und-zwangsarbeit-beschlossen.html, Испания:</w:t>
            </w:r>
            <w:r>
              <w:t xml:space="preserve"> </w:t>
            </w:r>
            <w:r>
              <w:rPr>
                <w:b/>
                <w:i/>
              </w:rPr>
              <w:t>https://www.mites.gob.es/itss/ITSS/ITSS_Descargas/Atencion_ciudadano/Normativa_documentacion/Docum_ITSS/Plan_accion_TF_ingl.pdf, Норвегия:</w:t>
            </w:r>
            <w:r>
              <w:t xml:space="preserve"> </w:t>
            </w:r>
            <w:r>
              <w:rPr>
                <w:b/>
                <w:i/>
              </w:rPr>
              <w:t>уебсайт: https://www.regjeringen.no/no/dokumenter/strategi-mot-arbeidslivskriminalitet-2021/id2831867/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Зв.</w:t>
            </w:r>
            <w:r>
              <w:tab/>
            </w:r>
            <w:r>
              <w:rPr>
                <w:b/>
                <w:i/>
              </w:rPr>
              <w:t>като има предвид, че в отговор на тези предизвикателства социалните партньори на европейско, национално и местно равнище, както и на секторно и междусекторно равнище, предприеха мерки за справяне с проблемите, свързани със злоупотребата с подизпълнители и посредничество в областта на труда, включително чрез колективно договаряне и други съвместни инициативи за защита на работните места и защита на сериозни предприятия и права на работниците;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Зг.</w:t>
            </w:r>
            <w:r>
              <w:tab/>
            </w:r>
            <w:r>
              <w:rPr>
                <w:b/>
                <w:i/>
              </w:rPr>
              <w:t>като има предвид, че в доклада на Комисията, озаглавен „Да приведем в действие социално отговорното възлагане на обществени поръчки:</w:t>
            </w:r>
            <w:r>
              <w:t xml:space="preserve"> </w:t>
            </w:r>
            <w:r>
              <w:rPr>
                <w:b/>
                <w:i/>
              </w:rPr>
              <w:t>71 примера за добри практики“, се подчертава норвежкият модел на Skien, който беше разработен съвместно от община Skien, профсъюзите и организациите на работодателите и включва строги ограничения за дълги нива на възлагане на подизпълнители, задължително използване на квалифицирани работници и чираци и предварително одобрение на временната работна ръка, с цел да се гарантират отчетност и достойни условия на труд във високорискови сектори;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Зг.</w:t>
            </w:r>
            <w:r>
              <w:tab/>
            </w:r>
            <w:r>
              <w:rPr>
                <w:b/>
                <w:i/>
              </w:rPr>
              <w:t>като има предвид, че в доклада на Лета, озаглавен „Много повече от пазар“, се подчертава спешната необходимост от регулиране на практиките на възлагане на подизпълнители с цел предотвратяване на експлоатация и злоупотреби;</w:t>
            </w:r>
            <w:r>
              <w:t xml:space="preserve"> </w:t>
            </w:r>
            <w:r>
              <w:rPr>
                <w:b/>
                <w:i/>
              </w:rPr>
              <w:t>като има предвид, че той предупреждава, че неконтролираните вериги от подизпълнители могат да доведат до подкопаване на трудовите стандарти, социален дъмпинг и подкопаване на лоялната конкуренция, както и до нарушения на задълженията за здраве и безопасност;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 е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Зe.</w:t>
            </w:r>
            <w:r>
              <w:tab/>
            </w:r>
            <w:r>
              <w:rPr>
                <w:b/>
                <w:i/>
              </w:rPr>
              <w:t>като има предвид, че член 12 от Директива 2014/67/ЕС изисква от държавите членки да въведат отговорност за подизпълнение в строителния сектор, с възможност тя да бъде разширена, така че да обхване и други сектори, както и да въведат по-строги правила за отговорност;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 ж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Зж.</w:t>
            </w:r>
            <w:r>
              <w:tab/>
            </w:r>
            <w:r>
              <w:rPr>
                <w:b/>
                <w:i/>
              </w:rPr>
              <w:t>като има предвид, че солидарната отговорност във веригите от подизпълнители служи на двойната роля на предоставяне на достъп до работници, които са били експлоатирани, и на стимулиране на изпълнителите по цялата верига да участват в саморегулиране;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З з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Зз.</w:t>
            </w:r>
            <w:r>
              <w:tab/>
            </w:r>
            <w:r>
              <w:rPr>
                <w:b/>
                <w:i/>
              </w:rPr>
              <w:t>като има предвид, че държавите членки, Комисията и социалните партньори в Декларацията от Ла Юлп се ангажираха да обърнат специално внимание на мерките в областта на възлагането на подизпълнители и работата чрез агенции, като признават общите предизвикателства, пред които са изправени тези две явления на европейските пазари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И.</w:t>
            </w:r>
            <w:r>
              <w:tab/>
            </w:r>
            <w:r>
              <w:rPr>
                <w:b/>
                <w:i/>
              </w:rPr>
              <w:t>като има предвид, че процесът на регулиране на веригите за подизпълнение и на трудовите посредници на национално равнище може да бъде продължителен и труден за държавите членки, не на последно място поради правни неясноти, произтичащи от правилата на вътрешния пазар;</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И.</w:t>
            </w:r>
            <w:r>
              <w:tab/>
            </w:r>
            <w:r>
              <w:t xml:space="preserve">като има предвид, че процесът на регулиране на веригите </w:t>
            </w:r>
            <w:r>
              <w:rPr>
                <w:b/>
                <w:i/>
              </w:rPr>
              <w:t>за подизпълнение и на</w:t>
            </w:r>
            <w:r>
              <w:t xml:space="preserve"> трудовите посредници на национално равнище </w:t>
            </w:r>
            <w:r>
              <w:rPr>
                <w:b/>
                <w:i/>
              </w:rPr>
              <w:t>може да бъде продължителен и труден за</w:t>
            </w:r>
            <w:r>
              <w:t xml:space="preserve"> държавите членки</w:t>
            </w:r>
            <w:r>
              <w:rPr>
                <w:b/>
                <w:i/>
              </w:rPr>
              <w:t>, не на последно място поради правни неясноти, произтичащи от правилата на вътрешния пазар</w:t>
            </w:r>
            <w:r>
              <w:t>;</w:t>
            </w:r>
          </w:p>
        </w:tc>
        <w:tc>
          <w:tcPr>
            <w:tcW w:w="4876" w:type="dxa"/>
            <w:tcBorders>
              <w:top w:val="nil"/>
              <w:left w:val="nil"/>
              <w:bottom w:val="nil"/>
              <w:right w:val="nil"/>
            </w:tcBorders>
          </w:tcPr>
          <w:p>
            <w:pPr>
              <w:pStyle w:val="Normal6a"/>
            </w:pPr>
            <w:r>
              <w:t>И.</w:t>
            </w:r>
            <w:r>
              <w:tab/>
            </w:r>
            <w:r>
              <w:t xml:space="preserve">като има предвид, че процесът на регулиране на веригите </w:t>
            </w:r>
            <w:r>
              <w:rPr>
                <w:b/>
                <w:i/>
              </w:rPr>
              <w:t>от подизпълнители и</w:t>
            </w:r>
            <w:r>
              <w:t xml:space="preserve"> трудовите посредници </w:t>
            </w:r>
            <w:r>
              <w:rPr>
                <w:b/>
                <w:i/>
              </w:rPr>
              <w:t>се извършва най-добре</w:t>
            </w:r>
            <w:r>
              <w:t xml:space="preserve"> на национално равнище </w:t>
            </w:r>
            <w:r>
              <w:rPr>
                <w:b/>
                <w:i/>
              </w:rPr>
              <w:t>от</w:t>
            </w:r>
            <w:r>
              <w:t xml:space="preserve"> държавите членки </w:t>
            </w:r>
            <w:r>
              <w:rPr>
                <w:b/>
                <w:i/>
              </w:rPr>
              <w:t>с най-добрата възможност за адаптиране към националните условия и особености, както и към прилагането на такова регулиране, като това е национална компетентност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И.</w:t>
            </w:r>
            <w:r>
              <w:tab/>
            </w:r>
            <w:r>
              <w:t>като има предвид, че процесът на регулиране на веригите за подизпълнение и на трудовите посредници на национално равнище може да бъде продължителен и труден за държавите членки, не на последно място поради правни неясноти, произтичащи от правилата на вътрешния пазар;</w:t>
            </w:r>
          </w:p>
        </w:tc>
        <w:tc>
          <w:tcPr>
            <w:tcW w:w="4876" w:type="dxa"/>
            <w:tcBorders>
              <w:top w:val="nil"/>
              <w:left w:val="nil"/>
              <w:bottom w:val="nil"/>
              <w:right w:val="nil"/>
            </w:tcBorders>
          </w:tcPr>
          <w:p>
            <w:pPr>
              <w:pStyle w:val="Normal6a"/>
            </w:pPr>
            <w:r>
              <w:t>И.</w:t>
            </w:r>
            <w:r>
              <w:tab/>
            </w:r>
            <w:r>
              <w:t>като има предвид, че процесът на регулиране на веригите за подизпълнение и на трудовите посредници на национално равнище може да бъде продължителен и труден за държавите членки, не на последно място поради правни неясноти, произтичащи от правилата на вътрешния пазар</w:t>
            </w:r>
            <w:r>
              <w:rPr>
                <w:b/>
                <w:i/>
              </w:rPr>
              <w:t>, както и крехки и нестабилни правителства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И.</w:t>
            </w:r>
            <w:r>
              <w:tab/>
            </w:r>
            <w:r>
              <w:t xml:space="preserve">като има предвид, че </w:t>
            </w:r>
            <w:r>
              <w:rPr>
                <w:b/>
                <w:i/>
              </w:rPr>
              <w:t>процесът на регулиране на</w:t>
            </w:r>
            <w:r>
              <w:t xml:space="preserve"> веригите </w:t>
            </w:r>
            <w:r>
              <w:rPr>
                <w:b/>
                <w:i/>
              </w:rPr>
              <w:t>за подизпълнение и на трудовите посредници</w:t>
            </w:r>
            <w:r>
              <w:t xml:space="preserve"> на национално равнище </w:t>
            </w:r>
            <w:r>
              <w:rPr>
                <w:b/>
                <w:i/>
              </w:rPr>
              <w:t>може да бъде продължителен и труден за държавите членки, не на последно място поради правни неясноти, произтичащи от правилата на вътрешния пазар</w:t>
            </w:r>
            <w:r>
              <w:t>;</w:t>
            </w:r>
          </w:p>
        </w:tc>
        <w:tc>
          <w:tcPr>
            <w:tcW w:w="4876" w:type="dxa"/>
            <w:tcBorders>
              <w:top w:val="nil"/>
              <w:left w:val="nil"/>
              <w:bottom w:val="nil"/>
              <w:right w:val="nil"/>
            </w:tcBorders>
          </w:tcPr>
          <w:p>
            <w:pPr>
              <w:pStyle w:val="Normal6a"/>
            </w:pPr>
            <w:r>
              <w:t>И.</w:t>
            </w:r>
            <w:r>
              <w:tab/>
            </w:r>
            <w:r>
              <w:t xml:space="preserve">като има предвид, че </w:t>
            </w:r>
            <w:r>
              <w:rPr>
                <w:b/>
                <w:i/>
              </w:rPr>
              <w:t>повечето държави членки имат правила относно</w:t>
            </w:r>
            <w:r>
              <w:t xml:space="preserve"> веригите </w:t>
            </w:r>
            <w:r>
              <w:rPr>
                <w:b/>
                <w:i/>
              </w:rPr>
              <w:t>от подизпълнители и посредниците на труда</w:t>
            </w:r>
            <w:r>
              <w:t xml:space="preserve"> на национално равнище;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И.</w:t>
            </w:r>
            <w:r>
              <w:tab/>
            </w:r>
            <w:r>
              <w:t xml:space="preserve">като има предвид, че процесът на регулиране на веригите </w:t>
            </w:r>
            <w:r>
              <w:rPr>
                <w:b/>
                <w:i/>
              </w:rPr>
              <w:t>за подизпълнение и на трудовите посредници</w:t>
            </w:r>
            <w:r>
              <w:t xml:space="preserve"> на национално равнище </w:t>
            </w:r>
            <w:r>
              <w:rPr>
                <w:b/>
                <w:i/>
              </w:rPr>
              <w:t>може да бъде продължителен и труден за държавите</w:t>
            </w:r>
            <w:r>
              <w:t xml:space="preserve"> членки, </w:t>
            </w:r>
            <w:r>
              <w:rPr>
                <w:b/>
                <w:i/>
              </w:rPr>
              <w:t>не на последно място поради правни неясноти, произтичащи от правилата на вътрешния</w:t>
            </w:r>
            <w:r>
              <w:t xml:space="preserve"> пазар;</w:t>
            </w:r>
          </w:p>
        </w:tc>
        <w:tc>
          <w:tcPr>
            <w:tcW w:w="4876" w:type="dxa"/>
            <w:tcBorders>
              <w:top w:val="nil"/>
              <w:left w:val="nil"/>
              <w:bottom w:val="nil"/>
              <w:right w:val="nil"/>
            </w:tcBorders>
          </w:tcPr>
          <w:p>
            <w:pPr>
              <w:pStyle w:val="Normal6a"/>
            </w:pPr>
            <w:r>
              <w:t>И.</w:t>
            </w:r>
            <w:r>
              <w:tab/>
            </w:r>
            <w:r>
              <w:t xml:space="preserve">като има предвид, че процесът на регулиране на веригите </w:t>
            </w:r>
            <w:r>
              <w:rPr>
                <w:b/>
                <w:i/>
              </w:rPr>
              <w:t>от подизпълнители и на посредниците на труда</w:t>
            </w:r>
            <w:r>
              <w:t xml:space="preserve"> на национално равнище </w:t>
            </w:r>
            <w:r>
              <w:rPr>
                <w:b/>
                <w:i/>
              </w:rPr>
              <w:t>се различава значително в отделните държави</w:t>
            </w:r>
            <w:r>
              <w:t xml:space="preserve"> членки, </w:t>
            </w:r>
            <w:r>
              <w:rPr>
                <w:b/>
                <w:i/>
              </w:rPr>
              <w:t>като по този начин се създава разпокъсаност на единния</w:t>
            </w:r>
            <w:r>
              <w:t xml:space="preserve"> пазар;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И.</w:t>
            </w:r>
            <w:r>
              <w:tab/>
            </w:r>
            <w:r>
              <w:t xml:space="preserve">като има предвид, че </w:t>
            </w:r>
            <w:r>
              <w:rPr>
                <w:b/>
                <w:i/>
              </w:rPr>
              <w:t>процесът на регулиране на</w:t>
            </w:r>
            <w:r>
              <w:t xml:space="preserve"> веригите </w:t>
            </w:r>
            <w:r>
              <w:rPr>
                <w:b/>
                <w:i/>
              </w:rPr>
              <w:t>за подизпълнение и на</w:t>
            </w:r>
            <w:r>
              <w:t xml:space="preserve"> трудовите посредници на национално равнище може да </w:t>
            </w:r>
            <w:r>
              <w:rPr>
                <w:b/>
                <w:i/>
              </w:rPr>
              <w:t>бъде продължителен и труден за държавите</w:t>
            </w:r>
            <w:r>
              <w:t xml:space="preserve"> членки</w:t>
            </w:r>
            <w:r>
              <w:rPr>
                <w:b/>
                <w:i/>
              </w:rPr>
              <w:t>, не на последно място поради правни неясноти, произтичащи от правилата на вътрешния пазар</w:t>
            </w:r>
            <w:r>
              <w:t>;</w:t>
            </w:r>
          </w:p>
        </w:tc>
        <w:tc>
          <w:tcPr>
            <w:tcW w:w="4876" w:type="dxa"/>
            <w:tcBorders>
              <w:top w:val="nil"/>
              <w:left w:val="nil"/>
              <w:bottom w:val="nil"/>
              <w:right w:val="nil"/>
            </w:tcBorders>
          </w:tcPr>
          <w:p>
            <w:pPr>
              <w:pStyle w:val="Normal6a"/>
            </w:pPr>
            <w:r>
              <w:t>И.</w:t>
            </w:r>
            <w:r>
              <w:tab/>
            </w:r>
            <w:r>
              <w:t xml:space="preserve">като има предвид, че веригите </w:t>
            </w:r>
            <w:r>
              <w:rPr>
                <w:b/>
                <w:i/>
              </w:rPr>
              <w:t>от подизпълнители и</w:t>
            </w:r>
            <w:r>
              <w:t xml:space="preserve"> трудовите посредници </w:t>
            </w:r>
            <w:r>
              <w:rPr>
                <w:b/>
                <w:i/>
              </w:rPr>
              <w:t>следва да бъдат регулирани първо</w:t>
            </w:r>
            <w:r>
              <w:t xml:space="preserve"> на национално равнище</w:t>
            </w:r>
            <w:r>
              <w:rPr>
                <w:b/>
                <w:i/>
              </w:rPr>
              <w:t>, въпреки че</w:t>
            </w:r>
            <w:r>
              <w:t xml:space="preserve"> може да </w:t>
            </w:r>
            <w:r>
              <w:rPr>
                <w:b/>
                <w:i/>
              </w:rPr>
              <w:t>има и известно регулиране на равнището на Съюза за случаи, засягащи две или повече държави</w:t>
            </w:r>
            <w:r>
              <w:t xml:space="preserve">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О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Иa.</w:t>
            </w:r>
            <w:r>
              <w:tab/>
            </w:r>
            <w:r>
              <w:rPr>
                <w:b/>
                <w:i/>
              </w:rPr>
              <w:t>като има предвид, че борбата с недекларирания труд, трафика на хора и експлоатацията на труда предполага строги национални инспекции, трансгранични проверки и строго лицензиране/регистрация на посредници, като се обръща специално внимание на МСП (малките и средните предприятия);</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Лисбет Сомен, Паскал Аримон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Иа.</w:t>
            </w:r>
            <w:r>
              <w:tab/>
            </w:r>
            <w:r>
              <w:rPr>
                <w:b/>
                <w:i/>
              </w:rPr>
              <w:t>като има предвид, че процесът на възлагане на подизпълнители не следва да се използва за подкопаване на ролята на социалните партньори и следва да зачита приложимите колективни трудови договори и демокрацията на работното място;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Паскал Аримон, Мириам Лексман, Ангелика Винциг, Раул Де Ла Ос Кинтано, Реджина Дохърти, Йорген Варборн, Арба Кокалари, Изабел Льо Каленек, Лисбет Сомен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Иа.</w:t>
            </w:r>
            <w:r>
              <w:tab/>
            </w:r>
            <w:r>
              <w:rPr>
                <w:b/>
                <w:i/>
              </w:rPr>
              <w:t>като има предвид, че ЕС трябва да запази и повиши своята конкурентоспособност като място, където предприятията могат да процъфтяват както в рамките на Европа, така и на световната сцена;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Иа.</w:t>
            </w:r>
            <w:r>
              <w:tab/>
            </w:r>
            <w:r>
              <w:rPr>
                <w:b/>
                <w:i/>
              </w:rPr>
              <w:t>като има предвид, че предоставянето на услуги е основен стълб на ЕС и неговия вътрешен пазар;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Мириам Лексман, Ангелика Винциг, Раул Де Ла Ос Кинтано, Реджина Дохърти, Йорген Варборн, Арба Кокалари,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Иб.</w:t>
            </w:r>
            <w:r>
              <w:tab/>
            </w:r>
            <w:r>
              <w:rPr>
                <w:b/>
                <w:i/>
              </w:rPr>
              <w:t>като има предвид, че правилата, ограничаващи възлагането на подизпълнители, биха могли да подкопаят способността на дружествата да организират ефективни и иновативни вериги за създаване на стойност, особено в секторите, изложени на глобална конкуренция;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 Йорген Варборн, Арба Кокалари,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Ив.</w:t>
            </w:r>
            <w:r>
              <w:tab/>
            </w:r>
            <w:r>
              <w:rPr>
                <w:b/>
                <w:i/>
              </w:rPr>
              <w:t>като има предвид, че сложните структури за доставки и подизпълнители са необходими за широкомащабни трансгранични проекти и за предоставяне на възможност на малките и средните предприятия (МСП) да участват на европейските и международните пазари;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Паскал Аримон, Мириам Лексман, Ангелика Винциг, Раул Де Ла Ос Кинтано, Реджина Дохърти, Йорген Варборн, Арба Кокалари,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 г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Иг.</w:t>
            </w:r>
            <w:r>
              <w:tab/>
            </w:r>
            <w:r>
              <w:rPr>
                <w:b/>
                <w:i/>
              </w:rPr>
              <w:t>като има предвид, че прилагането на съществуващите правила, по-доброто сътрудничество между държавите членки и целенасочената подкрепа за инспекциите по труда могат да отговорят на много от опасенията, свързани с дългите вериги от подизпълнители, без да се прибягва до строги ограничения;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Паскал Аримон, Мириам Лексман, Ангелика Винциг, Раул Де Ла Ос Кинтано, Реджина Дохърти, Йорген Варборн, Арба Кокалари, Изабел Льо Каленек, Лисбет Сомен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Съображение И д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Ид.</w:t>
            </w:r>
            <w:r>
              <w:tab/>
            </w:r>
            <w:r>
              <w:rPr>
                <w:b/>
                <w:i/>
              </w:rPr>
              <w:t>като има предвид, че ЕС следва да постигне напредък в по-доброто регулиране, за да се създадат ясни, пропорционални и основани на доказателства правила, които намаляват ненужната тежест, укрепват правоприлагането и подкрепят конкурентоспособността и участието на МСП в единния пазар;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подчертава необходимостта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европейска стратегия за борба с трудовата експлоатация;</w:t>
            </w:r>
          </w:p>
        </w:tc>
        <w:tc>
          <w:tcPr>
            <w:tcW w:w="4876" w:type="dxa"/>
            <w:tcBorders>
              <w:top w:val="nil"/>
              <w:left w:val="nil"/>
              <w:bottom w:val="nil"/>
              <w:right w:val="nil"/>
            </w:tcBorders>
          </w:tcPr>
          <w:p>
            <w:pPr>
              <w:pStyle w:val="Normal6a"/>
            </w:pPr>
            <w:r>
              <w:t>1.</w:t>
            </w:r>
            <w:r>
              <w:tab/>
            </w:r>
            <w:r>
              <w:rPr>
                <w:b/>
                <w:i/>
              </w:rPr>
              <w:t>приветства ангажимента на Комисията в нейната стратегия за единния пазар от 21 май 2025 г. да представи пакет за справедлива мобилност през 2026 г.;</w:t>
            </w:r>
            <w:r>
              <w:t xml:space="preserve"> </w:t>
            </w:r>
            <w:r>
              <w:rPr>
                <w:b/>
                <w:i/>
              </w:rPr>
              <w:t>подчертава, че общите цели за опростяване и намаляване на административната тежест чрез преодоляване на необоснованите пречки в рамките на единния пазар не трябва да водят до/да водят до по-малка защита за гражданите/работниците и потребителите;</w:t>
            </w:r>
            <w:r>
              <w:t xml:space="preserve"> подчертава необходимостта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европейска стратегия за борба с трудовата експлоатация </w:t>
            </w:r>
            <w:r>
              <w:rPr>
                <w:b/>
                <w:i/>
              </w:rPr>
              <w:t>и за насърчаване на преките трудови правоотношения, като част от предстоящата пътна карта на Комисията за качествени работни места</w:t>
            </w:r>
            <w:r>
              <w:t xml:space="preserve">; </w:t>
            </w:r>
            <w:r>
              <w:rPr>
                <w:b/>
                <w:i/>
              </w:rPr>
              <w:t>подчертава, че тази стратегия следва също така да включва екологични аспекти, като признава, че експлоататорските трудови модели се припокриват с опасни за околната среда практики;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подчертава необходимостта от всеобхватен европейски подход </w:t>
            </w:r>
            <w:r>
              <w:rPr>
                <w:b/>
                <w:i/>
              </w:rPr>
              <w:t>към трудовата експлоатация като цяло и в частност към злоупотребяващите форми на подизпълнение и трудово посредничество и поради това призовава за европейска стратегия за борба</w:t>
            </w:r>
            <w:r>
              <w:t xml:space="preserve"> с трудовата експлоатация;</w:t>
            </w:r>
          </w:p>
        </w:tc>
        <w:tc>
          <w:tcPr>
            <w:tcW w:w="4876" w:type="dxa"/>
            <w:tcBorders>
              <w:top w:val="nil"/>
              <w:left w:val="nil"/>
              <w:bottom w:val="nil"/>
              <w:right w:val="nil"/>
            </w:tcBorders>
          </w:tcPr>
          <w:p>
            <w:pPr>
              <w:pStyle w:val="Normal6a"/>
            </w:pPr>
            <w:r>
              <w:t>1.</w:t>
            </w:r>
            <w:r>
              <w:tab/>
            </w:r>
            <w:r>
              <w:t xml:space="preserve">подчертава необходимостта от всеобхватен европейски подход </w:t>
            </w:r>
            <w:r>
              <w:rPr>
                <w:b/>
                <w:i/>
              </w:rPr>
              <w:t>за справяне с трансграничната организирана престъпност, свързана</w:t>
            </w:r>
            <w:r>
              <w:t xml:space="preserve"> с трудовата експлоатация </w:t>
            </w:r>
            <w:r>
              <w:rPr>
                <w:b/>
                <w:i/>
              </w:rPr>
              <w:t>и неправомерните форми на бизнес практика</w:t>
            </w:r>
            <w:r>
              <w:t xml:space="preserve">; </w:t>
            </w:r>
            <w:r>
              <w:rPr>
                <w:b/>
                <w:i/>
              </w:rPr>
              <w:t>подчертава, че възлагането на подизпълнители и посредничеството в областта на труда следва да останат национална отговорност, за да се гарантират ефективни, гъвкави и съобразени с контекста решения, адаптирани към всяка държава членка, за борба с експлоатацията на труда и неправомерните форми на бизнес практики;</w:t>
            </w:r>
            <w:r>
              <w:t xml:space="preserve"> </w:t>
            </w:r>
            <w:r>
              <w:rPr>
                <w:b/>
                <w:i/>
              </w:rPr>
              <w:t>подчертава, че ЕС следва да се съсредоточи върху защитата на конкурентоспособността на европейските дружества, подкрепата за трансграничното сътрудничество в областта на правоприлагането и обмена на информация, а не върху налагането на подробно законодателство в областта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подчертава необходимостта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европейска стратегия за борба с трудовата експлоатация;</w:t>
            </w:r>
          </w:p>
        </w:tc>
        <w:tc>
          <w:tcPr>
            <w:tcW w:w="4876" w:type="dxa"/>
            <w:tcBorders>
              <w:top w:val="nil"/>
              <w:left w:val="nil"/>
              <w:bottom w:val="nil"/>
              <w:right w:val="nil"/>
            </w:tcBorders>
          </w:tcPr>
          <w:p>
            <w:pPr>
              <w:pStyle w:val="Normal6a"/>
            </w:pPr>
            <w:r>
              <w:t>1.</w:t>
            </w:r>
            <w:r>
              <w:tab/>
            </w:r>
            <w:r>
              <w:t xml:space="preserve">подчертава необходимостта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европейска стратегия за борба с трудовата експлоатация </w:t>
            </w:r>
            <w:r>
              <w:rPr>
                <w:b/>
                <w:i/>
              </w:rPr>
              <w:t>и с незаконния труд</w:t>
            </w:r>
            <w:r>
              <w:t xml:space="preserve">; </w:t>
            </w:r>
            <w:r>
              <w:rPr>
                <w:b/>
                <w:i/>
              </w:rPr>
              <w:t>подчертава, че експлоатацията на труда е не само нарушение на правата на работниците и правата на човека, но също така подкопава лоялната конкуренция за предприятията;</w:t>
            </w:r>
            <w:r>
              <w:t xml:space="preserve"> </w:t>
            </w:r>
            <w:r>
              <w:rPr>
                <w:b/>
                <w:i/>
              </w:rPr>
              <w:t>във връзка с това подчертава необходимостта от по-строго прилагане на съществуващото трудово законодателство, за да се гарантира ефективна защита на правата на работниците и еднакви условия на конкуренция;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Мириам Лексман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подчертава необходимостта от </w:t>
            </w:r>
            <w:r>
              <w:rPr>
                <w:b/>
                <w:i/>
              </w:rPr>
              <w:t>всеобхватен европейски подход</w:t>
            </w:r>
            <w:r>
              <w:t xml:space="preserve"> към трудовата експлоатация като цяло </w:t>
            </w:r>
            <w:r>
              <w:rPr>
                <w:b/>
                <w:i/>
              </w:rPr>
              <w:t>и в частност към злоупотребяващите</w:t>
            </w:r>
            <w:r>
              <w:t xml:space="preserve"> форми на </w:t>
            </w:r>
            <w:r>
              <w:rPr>
                <w:b/>
                <w:i/>
              </w:rPr>
              <w:t>подизпълнение и трудово</w:t>
            </w:r>
            <w:r>
              <w:t xml:space="preserve"> посредничество </w:t>
            </w:r>
            <w:r>
              <w:rPr>
                <w:b/>
                <w:i/>
              </w:rPr>
              <w:t>и поради това</w:t>
            </w:r>
            <w:r>
              <w:t xml:space="preserve"> призовава за европейска стратегия </w:t>
            </w:r>
            <w:r>
              <w:rPr>
                <w:b/>
                <w:i/>
              </w:rPr>
              <w:t>за борба с трудовата експлоатация</w:t>
            </w:r>
            <w:r>
              <w:t>;</w:t>
            </w:r>
          </w:p>
        </w:tc>
        <w:tc>
          <w:tcPr>
            <w:tcW w:w="4876" w:type="dxa"/>
            <w:tcBorders>
              <w:top w:val="nil"/>
              <w:left w:val="nil"/>
              <w:bottom w:val="nil"/>
              <w:right w:val="nil"/>
            </w:tcBorders>
          </w:tcPr>
          <w:p>
            <w:pPr>
              <w:pStyle w:val="Normal6a"/>
            </w:pPr>
            <w:r>
              <w:t>1.</w:t>
            </w:r>
            <w:r>
              <w:tab/>
            </w:r>
            <w:r>
              <w:t xml:space="preserve">подчертава необходимостта от </w:t>
            </w:r>
            <w:r>
              <w:rPr>
                <w:b/>
                <w:i/>
              </w:rPr>
              <w:t>подкрепа за националните подходи</w:t>
            </w:r>
            <w:r>
              <w:t xml:space="preserve"> към трудовата експлоатация като цяло</w:t>
            </w:r>
            <w:r>
              <w:rPr>
                <w:b/>
                <w:i/>
              </w:rPr>
              <w:t>, които могат да бъдат различни в различните държави членки и сектори;</w:t>
            </w:r>
            <w:r>
              <w:t xml:space="preserve"> </w:t>
            </w:r>
            <w:r>
              <w:rPr>
                <w:b/>
                <w:i/>
              </w:rPr>
              <w:t>както и към</w:t>
            </w:r>
            <w:r>
              <w:t xml:space="preserve"> форми на </w:t>
            </w:r>
            <w:r>
              <w:rPr>
                <w:b/>
                <w:i/>
              </w:rPr>
              <w:t>злоупотреба, по-специално на подизпълнители и</w:t>
            </w:r>
            <w:r>
              <w:t xml:space="preserve"> посредничество </w:t>
            </w:r>
            <w:r>
              <w:rPr>
                <w:b/>
                <w:i/>
              </w:rPr>
              <w:t>в областта на труда, и същевременно</w:t>
            </w:r>
            <w:r>
              <w:t xml:space="preserve"> призовава за европейска стратегия</w:t>
            </w:r>
            <w:r>
              <w:rPr>
                <w:b/>
                <w:i/>
              </w:rPr>
              <w:t>, която би помогнала на държавите членки да координират и засилят усилията си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подчертава необходимостта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европейска стратегия за борба с трудовата експлоатация;</w:t>
            </w:r>
          </w:p>
        </w:tc>
        <w:tc>
          <w:tcPr>
            <w:tcW w:w="4876" w:type="dxa"/>
            <w:tcBorders>
              <w:top w:val="nil"/>
              <w:left w:val="nil"/>
              <w:bottom w:val="nil"/>
              <w:right w:val="nil"/>
            </w:tcBorders>
          </w:tcPr>
          <w:p>
            <w:pPr>
              <w:pStyle w:val="Normal6a"/>
            </w:pPr>
            <w:r>
              <w:t>1.</w:t>
            </w:r>
            <w:r>
              <w:tab/>
            </w:r>
            <w:r>
              <w:rPr>
                <w:b/>
                <w:i/>
              </w:rPr>
              <w:t>приветства бъдещото представяне от Комисията на пакет за „справедлива трудова мобилност“ през 2026 г.;</w:t>
            </w:r>
            <w:r>
              <w:t xml:space="preserve"> </w:t>
            </w:r>
            <w:r>
              <w:rPr>
                <w:b/>
                <w:i/>
              </w:rPr>
              <w:t>призовава Комисията да представи предложение за директива на ЕС, която урежда възлагането на подизпълнители и посредничеството в областта на труда;</w:t>
            </w:r>
            <w:r>
              <w:t xml:space="preserve"> подчертава необходимостта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европейска стратегия за борба с трудовата експлоатация;</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подчертава необходимостта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w:t>
            </w:r>
            <w:r>
              <w:rPr>
                <w:b/>
                <w:i/>
              </w:rPr>
              <w:t>европейска стратегия</w:t>
            </w:r>
            <w:r>
              <w:t xml:space="preserve"> за борба с трудовата експлоатация;</w:t>
            </w:r>
          </w:p>
        </w:tc>
        <w:tc>
          <w:tcPr>
            <w:tcW w:w="4876" w:type="dxa"/>
            <w:tcBorders>
              <w:top w:val="nil"/>
              <w:left w:val="nil"/>
              <w:bottom w:val="nil"/>
              <w:right w:val="nil"/>
            </w:tcBorders>
          </w:tcPr>
          <w:p>
            <w:pPr>
              <w:pStyle w:val="Normal6a"/>
            </w:pPr>
            <w:r>
              <w:t>1.</w:t>
            </w:r>
            <w:r>
              <w:tab/>
            </w:r>
            <w:r>
              <w:t>подчертава необходимостта</w:t>
            </w:r>
            <w:r>
              <w:rPr>
                <w:b/>
                <w:i/>
              </w:rPr>
              <w:t>, заедно с държавите членки,</w:t>
            </w:r>
            <w:r>
              <w:t xml:space="preserve">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w:t>
            </w:r>
            <w:r>
              <w:rPr>
                <w:b/>
                <w:i/>
              </w:rPr>
              <w:t>европейско сътрудничество</w:t>
            </w:r>
            <w:r>
              <w:t xml:space="preserve"> за борба с трудовата експлоатация;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подчертава необходимостта от </w:t>
            </w:r>
            <w:r>
              <w:rPr>
                <w:b/>
                <w:i/>
              </w:rPr>
              <w:t>всеобхватен европейски подход към</w:t>
            </w:r>
            <w:r>
              <w:t xml:space="preserve"> трудовата експлоатация като цяло и </w:t>
            </w:r>
            <w:r>
              <w:rPr>
                <w:b/>
                <w:i/>
              </w:rPr>
              <w:t>в частност към злоупотребяващите</w:t>
            </w:r>
            <w:r>
              <w:t xml:space="preserve"> форми на подизпълнение и </w:t>
            </w:r>
            <w:r>
              <w:rPr>
                <w:b/>
                <w:i/>
              </w:rPr>
              <w:t>трудово</w:t>
            </w:r>
            <w:r>
              <w:t xml:space="preserve"> посредничество </w:t>
            </w:r>
            <w:r>
              <w:rPr>
                <w:b/>
                <w:i/>
              </w:rPr>
              <w:t>и поради това призовава за европейска стратегия за борба с трудовата експлоатация</w:t>
            </w:r>
            <w:r>
              <w:t>;</w:t>
            </w:r>
          </w:p>
        </w:tc>
        <w:tc>
          <w:tcPr>
            <w:tcW w:w="4876" w:type="dxa"/>
            <w:tcBorders>
              <w:top w:val="nil"/>
              <w:left w:val="nil"/>
              <w:bottom w:val="nil"/>
              <w:right w:val="nil"/>
            </w:tcBorders>
          </w:tcPr>
          <w:p>
            <w:pPr>
              <w:pStyle w:val="Normal6a"/>
            </w:pPr>
            <w:r>
              <w:t>1.</w:t>
            </w:r>
            <w:r>
              <w:tab/>
            </w:r>
            <w:r>
              <w:t xml:space="preserve">подчертава необходимостта от </w:t>
            </w:r>
            <w:r>
              <w:rPr>
                <w:b/>
                <w:i/>
              </w:rPr>
              <w:t>по-нататъшно разработване на европейското картографиране на</w:t>
            </w:r>
            <w:r>
              <w:t xml:space="preserve"> трудовата експлоатация като цяло и </w:t>
            </w:r>
            <w:r>
              <w:rPr>
                <w:b/>
                <w:i/>
              </w:rPr>
              <w:t>по-специално на неправомерните</w:t>
            </w:r>
            <w:r>
              <w:t xml:space="preserve"> форми на подизпълнение и посредничество </w:t>
            </w:r>
            <w:r>
              <w:rPr>
                <w:b/>
                <w:i/>
              </w:rPr>
              <w:t>в областта на труда</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Елена Донацан, Киара Гема, Мариятереза Вивалдини, Франческо Торсели, Марлена Малонг, Косма Злотовски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подчертава необходимостта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европейска стратегия за борба с трудовата експлоатация;</w:t>
            </w:r>
          </w:p>
        </w:tc>
        <w:tc>
          <w:tcPr>
            <w:tcW w:w="4876" w:type="dxa"/>
            <w:tcBorders>
              <w:top w:val="nil"/>
              <w:left w:val="nil"/>
              <w:bottom w:val="nil"/>
              <w:right w:val="nil"/>
            </w:tcBorders>
          </w:tcPr>
          <w:p>
            <w:pPr>
              <w:pStyle w:val="Normal6a"/>
            </w:pPr>
            <w:r>
              <w:t>1.</w:t>
            </w:r>
            <w:r>
              <w:tab/>
            </w:r>
            <w:r>
              <w:t>подчертава необходимостта от всеобхватен европейски подход към трудовата експлоатация като цяло и в частност към злоупотребяващите форми на подизпълнение и трудово посредничество и поради това призовава за европейска стратегия за борба с трудовата експлоатация</w:t>
            </w:r>
            <w:r>
              <w:rPr>
                <w:b/>
                <w:i/>
              </w:rPr>
              <w:t>, като същевременно се оказва закрила на конкурентоспособността на европейските дружества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Ангелика Винциг, Раул Де Ла Ос Кинтано, Реджина Дохърти,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подчертава необходимостта от </w:t>
            </w:r>
            <w:r>
              <w:rPr>
                <w:b/>
                <w:i/>
              </w:rPr>
              <w:t>всеобхватен европейски</w:t>
            </w:r>
            <w:r>
              <w:t xml:space="preserve"> подход към </w:t>
            </w:r>
            <w:r>
              <w:rPr>
                <w:b/>
                <w:i/>
              </w:rPr>
              <w:t>трудовата експлоатация като цяло и в частност към злоупотребяващите</w:t>
            </w:r>
            <w:r>
              <w:t xml:space="preserve"> форми на </w:t>
            </w:r>
            <w:r>
              <w:rPr>
                <w:b/>
                <w:i/>
              </w:rPr>
              <w:t>подизпълнение и трудово посредничество и поради това</w:t>
            </w:r>
            <w:r>
              <w:t xml:space="preserve"> призовава за европейска </w:t>
            </w:r>
            <w:r>
              <w:rPr>
                <w:b/>
                <w:i/>
              </w:rPr>
              <w:t>стратегия за борба с трудовата експлоатация</w:t>
            </w:r>
            <w:r>
              <w:t>;</w:t>
            </w:r>
          </w:p>
        </w:tc>
        <w:tc>
          <w:tcPr>
            <w:tcW w:w="4876" w:type="dxa"/>
            <w:tcBorders>
              <w:top w:val="nil"/>
              <w:left w:val="nil"/>
              <w:bottom w:val="nil"/>
              <w:right w:val="nil"/>
            </w:tcBorders>
          </w:tcPr>
          <w:p>
            <w:pPr>
              <w:pStyle w:val="Normal6a"/>
            </w:pPr>
            <w:r>
              <w:t>1.</w:t>
            </w:r>
            <w:r>
              <w:tab/>
            </w:r>
            <w:r>
              <w:t xml:space="preserve">подчертава необходимостта от </w:t>
            </w:r>
            <w:r>
              <w:rPr>
                <w:b/>
                <w:i/>
              </w:rPr>
              <w:t>постоянен национален</w:t>
            </w:r>
            <w:r>
              <w:t xml:space="preserve"> подход към </w:t>
            </w:r>
            <w:r>
              <w:rPr>
                <w:b/>
                <w:i/>
              </w:rPr>
              <w:t>неправомерните</w:t>
            </w:r>
            <w:r>
              <w:t xml:space="preserve"> форми на </w:t>
            </w:r>
            <w:r>
              <w:rPr>
                <w:b/>
                <w:i/>
              </w:rPr>
              <w:t>възлагане на подизпълнители и по-специално към посредничеството в областта на труда и</w:t>
            </w:r>
            <w:r>
              <w:t xml:space="preserve"> призовава за европейска </w:t>
            </w:r>
            <w:r>
              <w:rPr>
                <w:b/>
                <w:i/>
              </w:rPr>
              <w:t>подкрепа за държавите членки при обмена на най-добри практики и информация относно подходящи национални мерки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подчертава </w:t>
            </w:r>
            <w:r>
              <w:rPr>
                <w:b/>
                <w:i/>
              </w:rPr>
              <w:t>необходимостта от всеобхватен</w:t>
            </w:r>
            <w:r>
              <w:t xml:space="preserve"> европейски подход към трудовата експлоатация </w:t>
            </w:r>
            <w:r>
              <w:rPr>
                <w:b/>
                <w:i/>
              </w:rPr>
              <w:t>като цяло и в частност към злоупотребяващите</w:t>
            </w:r>
            <w:r>
              <w:t xml:space="preserve"> форми на </w:t>
            </w:r>
            <w:r>
              <w:rPr>
                <w:b/>
                <w:i/>
              </w:rPr>
              <w:t>подизпълнение и трудово</w:t>
            </w:r>
            <w:r>
              <w:t xml:space="preserve"> посредничество </w:t>
            </w:r>
            <w:r>
              <w:rPr>
                <w:b/>
                <w:i/>
              </w:rPr>
              <w:t>и поради това призовава за европейска стратегия за борба с трудовата експлоатация</w:t>
            </w:r>
            <w:r>
              <w:t>;</w:t>
            </w:r>
          </w:p>
        </w:tc>
        <w:tc>
          <w:tcPr>
            <w:tcW w:w="4876" w:type="dxa"/>
            <w:tcBorders>
              <w:top w:val="nil"/>
              <w:left w:val="nil"/>
              <w:bottom w:val="nil"/>
              <w:right w:val="nil"/>
            </w:tcBorders>
          </w:tcPr>
          <w:p>
            <w:pPr>
              <w:pStyle w:val="Normal6a"/>
            </w:pPr>
            <w:r>
              <w:t>1.</w:t>
            </w:r>
            <w:r>
              <w:tab/>
            </w:r>
            <w:r>
              <w:t>подчертава</w:t>
            </w:r>
            <w:r>
              <w:rPr>
                <w:b/>
                <w:i/>
              </w:rPr>
              <w:t>, че е целесъобразно да се анализира възможността за</w:t>
            </w:r>
            <w:r>
              <w:t xml:space="preserve"> европейски подход към трудовата експлоатация </w:t>
            </w:r>
            <w:r>
              <w:rPr>
                <w:b/>
                <w:i/>
              </w:rPr>
              <w:t>чрез неправомерни</w:t>
            </w:r>
            <w:r>
              <w:t xml:space="preserve"> форми на </w:t>
            </w:r>
            <w:r>
              <w:rPr>
                <w:b/>
                <w:i/>
              </w:rPr>
              <w:t>възлагане на подизпълнители и</w:t>
            </w:r>
            <w:r>
              <w:t xml:space="preserve"> посредничество </w:t>
            </w:r>
            <w:r>
              <w:rPr>
                <w:b/>
                <w:i/>
              </w:rPr>
              <w:t>в областта на труда в случаите, когато две или повече държави членки се намесват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1а.</w:t>
            </w:r>
            <w:r>
              <w:tab/>
            </w:r>
            <w:r>
              <w:rPr>
                <w:b/>
                <w:i/>
              </w:rPr>
              <w:t>подчертава, че възлагането на подизпълнители е нормален и съществен начин за осъществяване на стопанска дейност;</w:t>
            </w:r>
            <w:r>
              <w:t xml:space="preserve"> </w:t>
            </w:r>
            <w:r>
              <w:rPr>
                <w:b/>
                <w:i/>
              </w:rPr>
              <w:t>подчертава, че това е от съществено значение за доброто функциониране на конкурентоспособността в Европейския съюз и е част от свободата на стопанска инициатива и установяване;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1а.</w:t>
            </w:r>
            <w:r>
              <w:tab/>
            </w:r>
            <w:r>
              <w:rPr>
                <w:b/>
                <w:i/>
              </w:rPr>
              <w:t>подчертава, че всяка инициатива, насочена към справяне с трудовата експлоатация и ограничаване на сложните вериги от подизпълнители, следва да бъде разработена в тясно сътрудничество със социалните партньори и съобразена със специфичните секторни реалности;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Лисбет Сомен, Паскал Аримон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1а.</w:t>
            </w:r>
            <w:r>
              <w:tab/>
            </w:r>
            <w:r>
              <w:rPr>
                <w:b/>
                <w:i/>
              </w:rPr>
              <w:t>призовава Комисията да обърне внимание на необходимостта от безопасни и здравословни условия на труд за всички работници в следващата стратегическа рамка на ЕС за здравословни и безопасни условия на труд;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1б.</w:t>
            </w:r>
            <w:r>
              <w:tab/>
            </w:r>
            <w:r>
              <w:rPr>
                <w:b/>
                <w:i/>
              </w:rPr>
              <w:t>подчертава, че една европейска стратегия срещу трудовата експлоатация следва да стане част от обявения от Комисията пакет за справедлива мобилност;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изразява съжаление относно липсата на правна яснота по отношение на</w:t>
            </w:r>
            <w:r>
              <w:t xml:space="preserve"> възможността държавите членки да регулират </w:t>
            </w:r>
            <w:r>
              <w:rPr>
                <w:b/>
                <w:i/>
              </w:rPr>
              <w:t>дълги и сложни вериги за подизпълнение;</w:t>
            </w:r>
            <w:r>
              <w:t xml:space="preserve"> </w:t>
            </w:r>
            <w:r>
              <w:rPr>
                <w:b/>
                <w:i/>
              </w:rPr>
              <w:t>призовава Комисията да поясни, че правилата на ЕС за вътрешния пазар не възпрепятстват държавите членки да приемат законодателство за справяне с дългите и сложни вериги за подизпълнение, включително изискване за преки трудови правоотношения във високорискови сектори</w:t>
            </w:r>
            <w:r>
              <w:t>, когато това е осъществимо и обосновано с доказателства;</w:t>
            </w:r>
          </w:p>
        </w:tc>
        <w:tc>
          <w:tcPr>
            <w:tcW w:w="4876" w:type="dxa"/>
            <w:tcBorders>
              <w:top w:val="nil"/>
              <w:left w:val="nil"/>
              <w:bottom w:val="nil"/>
              <w:right w:val="nil"/>
            </w:tcBorders>
          </w:tcPr>
          <w:p>
            <w:pPr>
              <w:pStyle w:val="Normal6a"/>
            </w:pPr>
            <w:r>
              <w:t>2.</w:t>
            </w:r>
            <w:r>
              <w:tab/>
            </w:r>
            <w:r>
              <w:rPr>
                <w:b/>
                <w:i/>
              </w:rPr>
              <w:t>отбелязва</w:t>
            </w:r>
            <w:r>
              <w:t xml:space="preserve"> възможността държавите членки да регулират </w:t>
            </w:r>
            <w:r>
              <w:rPr>
                <w:b/>
                <w:i/>
              </w:rPr>
              <w:t>секторите с висок риск</w:t>
            </w:r>
            <w:r>
              <w:t>, когато това е осъществимо и обосновано с доказателства;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изразява съжаление относно липсата на правна яснота по отношение на възможността държавите членки да регулират дълги и сложни вериги за подизпълнение; призовава Комисията да </w:t>
            </w:r>
            <w:r>
              <w:rPr>
                <w:b/>
                <w:i/>
              </w:rPr>
              <w:t>поясни, че правилата на ЕС за вътрешния пазар не възпрепятстват</w:t>
            </w:r>
            <w:r>
              <w:t xml:space="preserve"> държавите членки да </w:t>
            </w:r>
            <w:r>
              <w:rPr>
                <w:b/>
                <w:i/>
              </w:rPr>
              <w:t>приемат законодателство за справяне с</w:t>
            </w:r>
            <w:r>
              <w:t xml:space="preserve"> дългите и сложни вериги </w:t>
            </w:r>
            <w:r>
              <w:rPr>
                <w:b/>
                <w:i/>
              </w:rPr>
              <w:t>за подизпълнение</w:t>
            </w:r>
            <w:r>
              <w:t>, включително изискване за преки трудови правоотношения във високорискови сектори</w:t>
            </w:r>
            <w:r>
              <w:rPr>
                <w:b/>
                <w:i/>
              </w:rPr>
              <w:t>, когато това е осъществимо и обосновано с доказателства</w:t>
            </w:r>
            <w:r>
              <w:t>;</w:t>
            </w:r>
          </w:p>
        </w:tc>
        <w:tc>
          <w:tcPr>
            <w:tcW w:w="4876" w:type="dxa"/>
            <w:tcBorders>
              <w:top w:val="nil"/>
              <w:left w:val="nil"/>
              <w:bottom w:val="nil"/>
              <w:right w:val="nil"/>
            </w:tcBorders>
          </w:tcPr>
          <w:p>
            <w:pPr>
              <w:pStyle w:val="Normal6a"/>
            </w:pPr>
            <w:r>
              <w:t>2.</w:t>
            </w:r>
            <w:r>
              <w:tab/>
            </w:r>
            <w:r>
              <w:t xml:space="preserve">изразява съжаление относно липсата на правна яснота по отношение на възможността държавите членки да регулират дълги и сложни вериги за подизпълнение; </w:t>
            </w:r>
            <w:r>
              <w:rPr>
                <w:b/>
                <w:i/>
              </w:rPr>
              <w:t>подчертава, че липсата на регулиране се е превърнала в пазари на труда, където дружествата не са в състояние ефективно да прилагат трудовите права и безопасните работни места за работниците;</w:t>
            </w:r>
            <w:r>
              <w:t xml:space="preserve"> призовава Комисията да </w:t>
            </w:r>
            <w:r>
              <w:rPr>
                <w:b/>
                <w:i/>
              </w:rPr>
              <w:t>насърчава</w:t>
            </w:r>
            <w:r>
              <w:t xml:space="preserve"> държавите членки да </w:t>
            </w:r>
            <w:r>
              <w:rPr>
                <w:b/>
                <w:i/>
              </w:rPr>
              <w:t>се справят с проблемите, произтичащи от</w:t>
            </w:r>
            <w:r>
              <w:t xml:space="preserve"> дългите и сложни вериги </w:t>
            </w:r>
            <w:r>
              <w:rPr>
                <w:b/>
                <w:i/>
              </w:rPr>
              <w:t>от подизпълнители, чрез законодателство</w:t>
            </w:r>
            <w:r>
              <w:t xml:space="preserve">, включително </w:t>
            </w:r>
            <w:r>
              <w:rPr>
                <w:b/>
                <w:i/>
              </w:rPr>
              <w:t>чрез</w:t>
            </w:r>
            <w:r>
              <w:t xml:space="preserve"> изискване за преки трудови правоотношения във високорискови сектори;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изразява съжаление относно липсата на правна яснота по отношение на възможността държавите членки да регулират дълги и сложни вериги за подизпълнение;</w:t>
            </w:r>
            <w:r>
              <w:t xml:space="preserve"> призовава Комисията да </w:t>
            </w:r>
            <w:r>
              <w:rPr>
                <w:b/>
                <w:i/>
              </w:rPr>
              <w:t>поясни</w:t>
            </w:r>
            <w:r>
              <w:t xml:space="preserve">, че правилата на </w:t>
            </w:r>
            <w:r>
              <w:rPr>
                <w:b/>
                <w:i/>
              </w:rPr>
              <w:t>ЕС за</w:t>
            </w:r>
            <w:r>
              <w:t xml:space="preserve"> вътрешния пазар не възпрепятстват държавите членки да </w:t>
            </w:r>
            <w:r>
              <w:rPr>
                <w:b/>
                <w:i/>
              </w:rPr>
              <w:t>приемат законодателство за справяне с дългите и сложни вериги за подизпълнение, включително</w:t>
            </w:r>
            <w:r>
              <w:t xml:space="preserve"> изискване за преки трудови правоотношения </w:t>
            </w:r>
            <w:r>
              <w:rPr>
                <w:b/>
                <w:i/>
              </w:rPr>
              <w:t>във високорискови сектори</w:t>
            </w:r>
            <w:r>
              <w:t xml:space="preserve">, когато това е </w:t>
            </w:r>
            <w:r>
              <w:rPr>
                <w:b/>
                <w:i/>
              </w:rPr>
              <w:t>осъществимо и</w:t>
            </w:r>
            <w:r>
              <w:t xml:space="preserve"> обосновано </w:t>
            </w:r>
            <w:r>
              <w:rPr>
                <w:b/>
                <w:i/>
              </w:rPr>
              <w:t>с доказателства</w:t>
            </w:r>
            <w:r>
              <w:t>;</w:t>
            </w:r>
          </w:p>
        </w:tc>
        <w:tc>
          <w:tcPr>
            <w:tcW w:w="4876" w:type="dxa"/>
            <w:tcBorders>
              <w:top w:val="nil"/>
              <w:left w:val="nil"/>
              <w:bottom w:val="nil"/>
              <w:right w:val="nil"/>
            </w:tcBorders>
          </w:tcPr>
          <w:p>
            <w:pPr>
              <w:pStyle w:val="Normal6a"/>
            </w:pPr>
            <w:r>
              <w:t>2.</w:t>
            </w:r>
            <w:r>
              <w:tab/>
            </w:r>
            <w:r>
              <w:t xml:space="preserve">призовава Комисията да </w:t>
            </w:r>
            <w:r>
              <w:rPr>
                <w:b/>
                <w:i/>
              </w:rPr>
              <w:t>публикува тълкувателно съобщение, в което да посочи</w:t>
            </w:r>
            <w:r>
              <w:t xml:space="preserve">, че правилата на вътрешния пазар </w:t>
            </w:r>
            <w:r>
              <w:rPr>
                <w:b/>
                <w:i/>
              </w:rPr>
              <w:t>на ЕС</w:t>
            </w:r>
            <w:r>
              <w:t xml:space="preserve"> не възпрепятстват държавите членки да </w:t>
            </w:r>
            <w:r>
              <w:rPr>
                <w:b/>
                <w:i/>
              </w:rPr>
              <w:t>установяват в секторите с висок риск а) максимални равнища на възлагане на подизпълнители, б)</w:t>
            </w:r>
            <w:r>
              <w:t xml:space="preserve"> изискване за преки трудови правоотношения, когато това е обосновано</w:t>
            </w:r>
            <w:r>
              <w:rPr>
                <w:b/>
                <w:i/>
              </w:rPr>
              <w:t>, и в) солидарна отговорност по цялата верига</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Мириам Лексман, Ангелика Винциг, Раул Де Ла Ос Кинтано, Реджина Дохърти,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изразява съжаление относно липсата на правна яснота по отношение на възможността държавите членки да регулират дълги и сложни вериги за подизпълнение;</w:t>
            </w:r>
            <w:r>
              <w:t xml:space="preserve"> призовава Комисията да поясни</w:t>
            </w:r>
            <w:r>
              <w:rPr>
                <w:b/>
                <w:i/>
              </w:rPr>
              <w:t>, че</w:t>
            </w:r>
            <w:r>
              <w:t xml:space="preserve"> правилата на ЕС за вътрешния пазар </w:t>
            </w:r>
            <w:r>
              <w:rPr>
                <w:b/>
                <w:i/>
              </w:rPr>
              <w:t>не</w:t>
            </w:r>
            <w:r>
              <w:t xml:space="preserve"> възпрепятстват държавите членки да приемат законодателство за справяне с дългите и сложни вериги за подизпълнение, </w:t>
            </w:r>
            <w:r>
              <w:rPr>
                <w:b/>
                <w:i/>
              </w:rPr>
              <w:t>включително изискване за преки трудови правоотношения във високорискови сектори,</w:t>
            </w:r>
            <w:r>
              <w:t xml:space="preserve"> когато това е осъществимо и обосновано с доказателства;</w:t>
            </w:r>
          </w:p>
        </w:tc>
        <w:tc>
          <w:tcPr>
            <w:tcW w:w="4876" w:type="dxa"/>
            <w:tcBorders>
              <w:top w:val="nil"/>
              <w:left w:val="nil"/>
              <w:bottom w:val="nil"/>
              <w:right w:val="nil"/>
            </w:tcBorders>
          </w:tcPr>
          <w:p>
            <w:pPr>
              <w:pStyle w:val="Normal6a"/>
            </w:pPr>
            <w:r>
              <w:t>2.</w:t>
            </w:r>
            <w:r>
              <w:tab/>
            </w:r>
            <w:r>
              <w:t xml:space="preserve">призовава Комисията да поясни </w:t>
            </w:r>
            <w:r>
              <w:rPr>
                <w:b/>
                <w:i/>
              </w:rPr>
              <w:t>дали</w:t>
            </w:r>
            <w:r>
              <w:t xml:space="preserve"> правилата на ЕС за вътрешния пазар възпрепятстват държавите членки да приемат законодателство за справяне с дългите и сложни вериги за подизпълнение, когато това е </w:t>
            </w:r>
            <w:r>
              <w:rPr>
                <w:b/>
                <w:i/>
              </w:rPr>
              <w:t>пропорционално,</w:t>
            </w:r>
            <w:r>
              <w:t xml:space="preserve"> осъществимо и обосновано с доказателства;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изразява съжаление относно липсата на правна яснота по отношение на възможността държавите членки да регулират дълги и сложни вериги за подизпълнение; призовава Комисията да </w:t>
            </w:r>
            <w:r>
              <w:rPr>
                <w:b/>
                <w:i/>
              </w:rPr>
              <w:t>поясни, че правилата на ЕС за вътрешния пазар не възпрепятстват</w:t>
            </w:r>
            <w:r>
              <w:t xml:space="preserve"> държавите членки да приемат законодателство за справяне с дългите и сложни вериги </w:t>
            </w:r>
            <w:r>
              <w:rPr>
                <w:b/>
                <w:i/>
              </w:rPr>
              <w:t>за подизпълнение</w:t>
            </w:r>
            <w:r>
              <w:t xml:space="preserve">, включително </w:t>
            </w:r>
            <w:r>
              <w:rPr>
                <w:b/>
                <w:i/>
              </w:rPr>
              <w:t>изискване за</w:t>
            </w:r>
            <w:r>
              <w:t xml:space="preserve"> преки трудови правоотношения </w:t>
            </w:r>
            <w:r>
              <w:rPr>
                <w:b/>
                <w:i/>
              </w:rPr>
              <w:t>във високорискови сектори</w:t>
            </w:r>
            <w:r>
              <w:t xml:space="preserve">, когато </w:t>
            </w:r>
            <w:r>
              <w:rPr>
                <w:b/>
                <w:i/>
              </w:rPr>
              <w:t>това е осъществимо и обосновано с доказателства</w:t>
            </w:r>
            <w:r>
              <w:t>;</w:t>
            </w:r>
          </w:p>
        </w:tc>
        <w:tc>
          <w:tcPr>
            <w:tcW w:w="4876" w:type="dxa"/>
            <w:tcBorders>
              <w:top w:val="nil"/>
              <w:left w:val="nil"/>
              <w:bottom w:val="nil"/>
              <w:right w:val="nil"/>
            </w:tcBorders>
          </w:tcPr>
          <w:p>
            <w:pPr>
              <w:pStyle w:val="Normal6a"/>
            </w:pPr>
            <w:r>
              <w:t>2.</w:t>
            </w:r>
            <w:r>
              <w:tab/>
            </w:r>
            <w:r>
              <w:t xml:space="preserve">изразява съжаление относно липсата на правна яснота по отношение на възможността държавите членки да регулират дълги и сложни вериги за подизпълнение; призовава Комисията да </w:t>
            </w:r>
            <w:r>
              <w:rPr>
                <w:b/>
                <w:i/>
              </w:rPr>
              <w:t>разясни по правен път дали</w:t>
            </w:r>
            <w:r>
              <w:t xml:space="preserve"> държавите членки </w:t>
            </w:r>
            <w:r>
              <w:rPr>
                <w:b/>
                <w:i/>
              </w:rPr>
              <w:t>могат</w:t>
            </w:r>
            <w:r>
              <w:t xml:space="preserve"> да приемат законодателство за справяне с дългите и сложни вериги </w:t>
            </w:r>
            <w:r>
              <w:rPr>
                <w:b/>
                <w:i/>
              </w:rPr>
              <w:t>от подизпълнители, без да бъдат възпрепятствани от правилата на вътрешния пазар на ЕС</w:t>
            </w:r>
            <w:r>
              <w:t xml:space="preserve">, включително </w:t>
            </w:r>
            <w:r>
              <w:rPr>
                <w:b/>
                <w:i/>
              </w:rPr>
              <w:t>да изискват</w:t>
            </w:r>
            <w:r>
              <w:t xml:space="preserve"> преки трудови правоотношения, когато </w:t>
            </w:r>
            <w:r>
              <w:rPr>
                <w:b/>
                <w:i/>
              </w:rPr>
              <w:t>става въпрос за основната дейност на дружествата</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изразява съжаление относно липсата на правна яснота по отношение на</w:t>
            </w:r>
            <w:r>
              <w:t xml:space="preserve"> възможността </w:t>
            </w:r>
            <w:r>
              <w:rPr>
                <w:b/>
                <w:i/>
              </w:rPr>
              <w:t>държавите членки да регулират</w:t>
            </w:r>
            <w:r>
              <w:t xml:space="preserve"> дълги и сложни вериги </w:t>
            </w:r>
            <w:r>
              <w:rPr>
                <w:b/>
                <w:i/>
              </w:rPr>
              <w:t>за подизпълнение</w:t>
            </w:r>
            <w:r>
              <w:t>; призовава Комисията да поясни, че правилата на ЕС за вътрешния пазар не възпрепятстват държавите членки да приемат законодателство за справяне с дългите и сложни вериги за подизпълнение</w:t>
            </w:r>
            <w:r>
              <w:rPr>
                <w:b/>
                <w:i/>
              </w:rPr>
              <w:t>, включително изискване за преки трудови правоотношения във високорискови сектори, когато това е осъществимо и обосновано с доказателства</w:t>
            </w:r>
            <w:r>
              <w:t>;</w:t>
            </w:r>
          </w:p>
        </w:tc>
        <w:tc>
          <w:tcPr>
            <w:tcW w:w="4876" w:type="dxa"/>
            <w:tcBorders>
              <w:top w:val="nil"/>
              <w:left w:val="nil"/>
              <w:bottom w:val="nil"/>
              <w:right w:val="nil"/>
            </w:tcBorders>
          </w:tcPr>
          <w:p>
            <w:pPr>
              <w:pStyle w:val="Normal6a"/>
            </w:pPr>
            <w:r>
              <w:t>2.</w:t>
            </w:r>
            <w:r>
              <w:tab/>
            </w:r>
            <w:r>
              <w:rPr>
                <w:b/>
                <w:i/>
              </w:rPr>
              <w:t>подчертава</w:t>
            </w:r>
            <w:r>
              <w:t xml:space="preserve"> възможността </w:t>
            </w:r>
            <w:r>
              <w:rPr>
                <w:b/>
                <w:i/>
              </w:rPr>
              <w:t>за подход на Съюза в случай на</w:t>
            </w:r>
            <w:r>
              <w:t xml:space="preserve"> дълги и сложни вериги </w:t>
            </w:r>
            <w:r>
              <w:rPr>
                <w:b/>
                <w:i/>
              </w:rPr>
              <w:t>от подизпълнители, при които се намесват две или повече държави членки</w:t>
            </w:r>
            <w:r>
              <w:t>; призовава Комисията да поясни, че правилата на ЕС за вътрешния пазар не възпрепятстват държавите членки да приемат законодателство за справяне с дългите и сложни вериги за подизпълнение;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изразява съжаление относно липсата на правна яснота по отношение на възможността държавите членки да регулират дълги и сложни вериги за подизпълнение; призовава Комисията да </w:t>
            </w:r>
            <w:r>
              <w:rPr>
                <w:b/>
                <w:i/>
              </w:rPr>
              <w:t>поясни</w:t>
            </w:r>
            <w:r>
              <w:t>, че правилата на ЕС за вътрешния пазар не възпрепятстват държавите членки да приемат законодателство за справяне с дългите и сложни вериги за подизпълнение, включително изискване за преки трудови правоотношения във високорискови сектори, когато това е осъществимо и обосновано с доказателства;</w:t>
            </w:r>
          </w:p>
        </w:tc>
        <w:tc>
          <w:tcPr>
            <w:tcW w:w="4876" w:type="dxa"/>
            <w:tcBorders>
              <w:top w:val="nil"/>
              <w:left w:val="nil"/>
              <w:bottom w:val="nil"/>
              <w:right w:val="nil"/>
            </w:tcBorders>
          </w:tcPr>
          <w:p>
            <w:pPr>
              <w:pStyle w:val="Normal6a"/>
            </w:pPr>
            <w:r>
              <w:t>2.</w:t>
            </w:r>
            <w:r>
              <w:tab/>
            </w:r>
            <w:r>
              <w:t xml:space="preserve">изразява съжаление относно липсата на правна яснота по отношение на възможността държавите членки да регулират дълги и сложни вериги за подизпълнение; призовава Комисията да </w:t>
            </w:r>
            <w:r>
              <w:rPr>
                <w:b/>
                <w:i/>
              </w:rPr>
              <w:t>предприеме необходимите мерки, за да гарантира</w:t>
            </w:r>
            <w:r>
              <w:t>, че правилата на ЕС за вътрешния пазар не възпрепятстват държавите членки да приемат законодателство за справяне с дългите и сложни вериги за подизпълнение, включително изискване за преки трудови правоотношения във високорискови сектори, когато това е осъществимо и обосновано с доказателства;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изразява съжаление относно липсата на правна яснота по отношение на възможността</w:t>
            </w:r>
            <w:r>
              <w:t xml:space="preserve"> държавите членки </w:t>
            </w:r>
            <w:r>
              <w:rPr>
                <w:b/>
                <w:i/>
              </w:rPr>
              <w:t>да регулират дълги и сложни вериги за подизпълнение</w:t>
            </w:r>
            <w:r>
              <w:t xml:space="preserve">; призовава Комисията да </w:t>
            </w:r>
            <w:r>
              <w:rPr>
                <w:b/>
                <w:i/>
              </w:rPr>
              <w:t>поясни, че правилата на ЕС за вътрешния пазар не възпрепятстват държавите членки да приемат</w:t>
            </w:r>
            <w:r>
              <w:t xml:space="preserve"> законодателство за справяне с </w:t>
            </w:r>
            <w:r>
              <w:rPr>
                <w:b/>
                <w:i/>
              </w:rPr>
              <w:t>дългите</w:t>
            </w:r>
            <w:r>
              <w:t xml:space="preserve"> и сложни вериги </w:t>
            </w:r>
            <w:r>
              <w:rPr>
                <w:b/>
                <w:i/>
              </w:rPr>
              <w:t>за подизпълнение, включително изискване за преки трудови правоотношения във високорискови сектори, когато това е осъществимо и обосновано с доказателства</w:t>
            </w:r>
            <w:r>
              <w:t>;</w:t>
            </w:r>
          </w:p>
        </w:tc>
        <w:tc>
          <w:tcPr>
            <w:tcW w:w="4876" w:type="dxa"/>
            <w:tcBorders>
              <w:top w:val="nil"/>
              <w:left w:val="nil"/>
              <w:bottom w:val="nil"/>
              <w:right w:val="nil"/>
            </w:tcBorders>
          </w:tcPr>
          <w:p>
            <w:pPr>
              <w:pStyle w:val="Normal6a"/>
            </w:pPr>
            <w:r>
              <w:t>2.</w:t>
            </w:r>
            <w:r>
              <w:tab/>
            </w:r>
            <w:r>
              <w:rPr>
                <w:b/>
                <w:i/>
              </w:rPr>
              <w:t>припомня предизвикателствата, пред които са изправени някои инициативи на</w:t>
            </w:r>
            <w:r>
              <w:t xml:space="preserve"> държавите членки </w:t>
            </w:r>
            <w:r>
              <w:rPr>
                <w:b/>
                <w:i/>
              </w:rPr>
              <w:t>за определяне на ограничения по отношение на дължината на веригите от подизпълнители</w:t>
            </w:r>
            <w:r>
              <w:t xml:space="preserve">; призовава Комисията да </w:t>
            </w:r>
            <w:r>
              <w:rPr>
                <w:b/>
                <w:i/>
              </w:rPr>
              <w:t>изясни и издаде насоки относно възможностите за приемане на национално</w:t>
            </w:r>
            <w:r>
              <w:t xml:space="preserve"> законодателство за справяне с </w:t>
            </w:r>
            <w:r>
              <w:rPr>
                <w:b/>
                <w:i/>
              </w:rPr>
              <w:t>рисковете, произтичащи от дълги</w:t>
            </w:r>
            <w:r>
              <w:t xml:space="preserve"> и сложни вериги </w:t>
            </w:r>
            <w:r>
              <w:rPr>
                <w:b/>
                <w:i/>
              </w:rPr>
              <w:t>от подизпълнители, и да представи законодателни и незаконодателни предложения за борба с трудовата експлоатация, не на последно място в секторите с висок риск</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подчертава, че всички национални мерки трябва да зачитат изцяло вътрешния пазар на ЕС, който е основен стълб на Съюза;</w:t>
            </w:r>
            <w:r>
              <w:t xml:space="preserve"> </w:t>
            </w:r>
            <w:r>
              <w:rPr>
                <w:b/>
                <w:i/>
              </w:rPr>
              <w:t>призовава държавите членки да гарантират, че тяхното законодателство относно подизпълнителите и трудовите правоотношения е съвместимо с принципите на свободно движение на услуги и работници, както и със свободата на установяване, и не създава ненужни пречки пред трансграничната стопанска дейност, които възпрепятстват иновациите и конкурентоспособността;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2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2б.</w:t>
            </w:r>
            <w:r>
              <w:tab/>
            </w:r>
            <w:r>
              <w:rPr>
                <w:b/>
                <w:i/>
              </w:rPr>
              <w:t>изразява съжаление относно липсата на сътрудничество и координация между държавите членки и между националните органи за борба с престъпленията, независимо дали те са организирани или 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Никола Бартушек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отново призовава</w:t>
            </w:r>
            <w:r>
              <w:rPr>
                <w:b/>
                <w:i/>
                <w:vertAlign w:val="superscript"/>
              </w:rPr>
              <w:t>11</w:t>
            </w:r>
            <w:r>
              <w:rPr>
                <w:b/>
                <w:i/>
              </w:rPr>
              <w:t>Комисията да обмисли рамкова директива за справяне с предизвикателствата, свързани със злоупотребяващите форми на подизпълнение и трудово посредничество в Европа, и тази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11</w:t>
            </w:r>
            <w:r>
              <w:t xml:space="preserve"> </w:t>
            </w:r>
            <w:r>
              <w:rPr>
                <w:b/>
                <w:i/>
              </w:rPr>
              <w:t>Резолюция от 13 март 2025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 Йорген Варборн, Арба Кокалари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отново призовава</w:t>
            </w:r>
            <w:r>
              <w:rPr>
                <w:b/>
                <w:i/>
                <w:vertAlign w:val="superscript"/>
              </w:rPr>
              <w:t>11</w:t>
            </w:r>
            <w:r>
              <w:rPr>
                <w:b/>
                <w:i/>
              </w:rPr>
              <w:t>Комисията да обмисли рамкова директива за справяне с предизвикателствата, свързани със злоупотребяващите форми на подизпълнение и трудово посредничество в Европа, и тази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11</w:t>
            </w:r>
            <w:r>
              <w:t xml:space="preserve"> </w:t>
            </w:r>
            <w:r>
              <w:rPr>
                <w:b/>
                <w:i/>
              </w:rPr>
              <w:t>Резолюция от 13 март 2025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отново призовава</w:t>
            </w:r>
            <w:r>
              <w:rPr>
                <w:b/>
                <w:i/>
                <w:vertAlign w:val="superscript"/>
              </w:rPr>
              <w:t>11</w:t>
            </w:r>
            <w:r>
              <w:rPr>
                <w:b/>
                <w:i/>
              </w:rPr>
              <w:t>Комисията да обмисли рамкова директива за справяне с предизвикателствата, свързани със злоупотребяващите форми на подизпълнение и трудово посредничество в Европа, и тази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11</w:t>
            </w:r>
            <w:r>
              <w:t xml:space="preserve"> </w:t>
            </w:r>
            <w:r>
              <w:rPr>
                <w:b/>
                <w:i/>
              </w:rPr>
              <w:t>Резолюция от 13 март 2025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отново</w:t>
            </w:r>
            <w:r>
              <w:t xml:space="preserve"> призовава</w:t>
            </w:r>
            <w:r>
              <w:rPr>
                <w:b/>
                <w:i/>
                <w:vertAlign w:val="superscript"/>
              </w:rPr>
              <w:t>11</w:t>
            </w:r>
            <w:r>
              <w:t xml:space="preserve">Комисията </w:t>
            </w:r>
            <w:r>
              <w:rPr>
                <w:b/>
                <w:i/>
              </w:rPr>
              <w:t>да обмисли</w:t>
            </w:r>
            <w:r>
              <w:t xml:space="preserve"> рамкова директива за справяне с предизвикателствата, свързани </w:t>
            </w:r>
            <w:r>
              <w:rPr>
                <w:b/>
                <w:i/>
              </w:rPr>
              <w:t>със злоупотребяващите форми на подизпълнение и трудово</w:t>
            </w:r>
            <w:r>
              <w:t xml:space="preserve"> посредничество в Европа, и тази рамкова директива да въведе обща правна рамка, ограничаваща </w:t>
            </w:r>
            <w:r>
              <w:rPr>
                <w:b/>
                <w:i/>
              </w:rPr>
              <w:t>подизпълнението и гарантираща</w:t>
            </w:r>
            <w:r>
              <w:t xml:space="preserve"> солидарна отговорност по цялата верига от подизпълнители, както и </w:t>
            </w:r>
            <w:r>
              <w:rPr>
                <w:b/>
                <w:i/>
              </w:rPr>
              <w:t>да въведе</w:t>
            </w:r>
            <w:r>
              <w:t xml:space="preserve"> мерки за регулиране на ролята и отговорностите на трудовите посредници, различни от агенциите за временна заетост;</w:t>
            </w:r>
          </w:p>
        </w:tc>
        <w:tc>
          <w:tcPr>
            <w:tcW w:w="4876" w:type="dxa"/>
            <w:tcBorders>
              <w:top w:val="nil"/>
              <w:left w:val="nil"/>
              <w:bottom w:val="nil"/>
              <w:right w:val="nil"/>
            </w:tcBorders>
          </w:tcPr>
          <w:p>
            <w:pPr>
              <w:pStyle w:val="Normal6a"/>
            </w:pPr>
            <w:r>
              <w:t>3.</w:t>
            </w:r>
            <w:r>
              <w:tab/>
            </w:r>
            <w:r>
              <w:rPr>
                <w:b/>
                <w:i/>
              </w:rPr>
              <w:t>осъзнава, че добре регулираното възлагане на подизпълнители е от решаващо значение за осигуряването на лоялна конкуренция за МСП и способността да се разчита на специализиран експертен опит;</w:t>
            </w:r>
            <w:r>
              <w:t xml:space="preserve"> </w:t>
            </w:r>
            <w:r>
              <w:rPr>
                <w:b/>
                <w:i/>
              </w:rPr>
              <w:t>признава обаче, че множеството нива на възлагане на подизпълнители може да доведат до намаляване на отчетността, увеличаване на рисковете от нарушения на трудовото право, да окажат натиск в посока занижаване на условията на труд на работниците надолу по веригата от подизпълнители и да възпрепятстват ефективното прилагане;</w:t>
            </w:r>
            <w:r>
              <w:t xml:space="preserve"> </w:t>
            </w:r>
            <w:r>
              <w:rPr>
                <w:b/>
                <w:i/>
              </w:rPr>
              <w:t>подчертава, че правилата за обществените поръчки следва да насърчават преките работни места;</w:t>
            </w:r>
            <w:r>
              <w:t xml:space="preserve"> призовава Комисията</w:t>
            </w:r>
            <w:r>
              <w:rPr>
                <w:b/>
                <w:i/>
              </w:rPr>
              <w:t>, с цел прекратяване на неправомерното възлагане на подизпълнители и защита на правата на работниците, както и за повишаване на прозрачността и отговорността по цялата верига на доставки, да предложи</w:t>
            </w:r>
            <w:r>
              <w:t xml:space="preserve"> рамкова директива за справяне с предизвикателствата, свързани </w:t>
            </w:r>
            <w:r>
              <w:rPr>
                <w:b/>
                <w:i/>
              </w:rPr>
              <w:t>с формите на злоупотреба с подизпълнители и</w:t>
            </w:r>
            <w:r>
              <w:t xml:space="preserve"> посредничество </w:t>
            </w:r>
            <w:r>
              <w:rPr>
                <w:b/>
                <w:i/>
              </w:rPr>
              <w:t>в областта на труда</w:t>
            </w:r>
            <w:r>
              <w:t xml:space="preserve"> в Европа, и тази рамкова директива да въведе обща правна рамка, ограничаваща </w:t>
            </w:r>
            <w:r>
              <w:rPr>
                <w:b/>
                <w:i/>
              </w:rPr>
              <w:t>нивата на възлагане на подизпълнители;</w:t>
            </w:r>
            <w:r>
              <w:t xml:space="preserve"> </w:t>
            </w:r>
            <w:r>
              <w:rPr>
                <w:b/>
                <w:i/>
              </w:rPr>
              <w:t>призовава също така за въвеждането на ясно определен режим за солидарна отговорност на икономическите оператори и подизпълнителите, като се гарантира</w:t>
            </w:r>
            <w:r>
              <w:t xml:space="preserve"> солидарна отговорност по цялата верига от подизпълнители, </w:t>
            </w:r>
            <w:r>
              <w:rPr>
                <w:b/>
                <w:i/>
              </w:rPr>
              <w:t>включително всички възможни правни форми на възлагане на дейности на външни изпълнители,</w:t>
            </w:r>
            <w:r>
              <w:t xml:space="preserve"> както и </w:t>
            </w:r>
            <w:r>
              <w:rPr>
                <w:b/>
                <w:i/>
              </w:rPr>
              <w:t>за въвеждане на</w:t>
            </w:r>
            <w:r>
              <w:t xml:space="preserve"> мерки за регулиране на ролята и отговорностите на трудовите посредници, различни от агенциите за временна заетост; </w:t>
            </w:r>
            <w:r>
              <w:rPr>
                <w:b/>
                <w:i/>
              </w:rPr>
              <w:t>призовава освен това, в случай на възлагане на обществени поръчки, да се гарантира прозрачност по отношение на участващите подизпълнители и дела от договора, който изпълнителят възнамерява да възложи на подизпълнители;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11</w:t>
            </w:r>
            <w:r>
              <w:t xml:space="preserve"> </w:t>
            </w:r>
            <w:r>
              <w:rPr>
                <w:b/>
                <w:i/>
              </w:rPr>
              <w:t>Резолюция от 13 март 2025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отново</w:t>
            </w:r>
            <w:r>
              <w:t xml:space="preserve"> призовава</w:t>
            </w:r>
            <w:r>
              <w:rPr>
                <w:b/>
                <w:i/>
                <w:vertAlign w:val="superscript"/>
              </w:rPr>
              <w:t>11</w:t>
            </w:r>
            <w:r>
              <w:t xml:space="preserve">Комисията да </w:t>
            </w:r>
            <w:r>
              <w:rPr>
                <w:b/>
                <w:i/>
              </w:rPr>
              <w:t>обмисли рамкова директива за справяне с предизвикателствата, свързани със злоупотребяващите форми на подизпълнение и трудово посредничество в Европа, и тази рамкова директива да въведе обща правна рамка, ограничаваща подизпълнението и гарантираща солидарна отговорност по цялата верига от</w:t>
            </w:r>
            <w:r>
              <w:t xml:space="preserve"> подизпълнители</w:t>
            </w:r>
            <w:r>
              <w:rPr>
                <w:b/>
                <w:i/>
              </w:rPr>
              <w:t>, както и да въведе мерки за регулиране на ролята и отговорностите на трудовите посредници, различни от агенциите за временна заетост</w:t>
            </w:r>
            <w:r>
              <w:t>;</w:t>
            </w:r>
          </w:p>
        </w:tc>
        <w:tc>
          <w:tcPr>
            <w:tcW w:w="4876" w:type="dxa"/>
            <w:tcBorders>
              <w:top w:val="nil"/>
              <w:left w:val="nil"/>
              <w:bottom w:val="nil"/>
              <w:right w:val="nil"/>
            </w:tcBorders>
          </w:tcPr>
          <w:p>
            <w:pPr>
              <w:pStyle w:val="Normal6a"/>
            </w:pPr>
            <w:r>
              <w:t>3.</w:t>
            </w:r>
            <w:r>
              <w:tab/>
            </w:r>
            <w:r>
              <w:t xml:space="preserve">призовава Комисията да </w:t>
            </w:r>
            <w:r>
              <w:rPr>
                <w:b/>
                <w:i/>
              </w:rPr>
              <w:t>представи препоръка и „инструментариум за прилагане“ за злоупотреба с</w:t>
            </w:r>
            <w:r>
              <w:t xml:space="preserve"> подизпълнители</w:t>
            </w:r>
            <w:r>
              <w:rPr>
                <w:b/>
                <w:i/>
              </w:rPr>
              <w:t>/посредничество, като използва пълноценно настоящите достижения на правото на ЕС (96/71/ЕО, 2014/67/ЕС, 2011/36/ЕС), вместо ново хоризонтално законодателство</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11</w:t>
            </w:r>
            <w:r>
              <w:t xml:space="preserve"> </w:t>
            </w:r>
            <w:r>
              <w:rPr>
                <w:b/>
                <w:i/>
              </w:rPr>
              <w:t>Резолюция от 13 март 2025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Елена Донацан, Киара Гема, Мариятереза Вивалдини, Франческо Торсели, Марлена Малонг, Косма Злотовски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Комисията да обмисли </w:t>
            </w:r>
            <w:r>
              <w:rPr>
                <w:b/>
                <w:i/>
              </w:rPr>
              <w:t>рамкова директива</w:t>
            </w:r>
            <w:r>
              <w:t xml:space="preserve"> за справяне с предизвикателствата, свързани </w:t>
            </w:r>
            <w:r>
              <w:rPr>
                <w:b/>
                <w:i/>
              </w:rPr>
              <w:t>със злоупотребяващите</w:t>
            </w:r>
            <w:r>
              <w:t xml:space="preserve"> форми на </w:t>
            </w:r>
            <w:r>
              <w:rPr>
                <w:b/>
                <w:i/>
              </w:rPr>
              <w:t>подизпълнение</w:t>
            </w:r>
            <w:r>
              <w:t xml:space="preserve"> и трудово посредничество в Европа</w:t>
            </w:r>
            <w:r>
              <w:rPr>
                <w:b/>
                <w:i/>
              </w:rPr>
              <w:t>, и тази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r>
              <w:t>;</w:t>
            </w:r>
          </w:p>
        </w:tc>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 Комисията да обмисли </w:t>
            </w:r>
            <w:r>
              <w:rPr>
                <w:b/>
                <w:i/>
              </w:rPr>
              <w:t>препоръка</w:t>
            </w:r>
            <w:r>
              <w:t xml:space="preserve"> за справяне с предизвикателствата, свързани </w:t>
            </w:r>
            <w:r>
              <w:rPr>
                <w:b/>
                <w:i/>
              </w:rPr>
              <w:t>с неправомерните</w:t>
            </w:r>
            <w:r>
              <w:t xml:space="preserve"> форми на </w:t>
            </w:r>
            <w:r>
              <w:rPr>
                <w:b/>
                <w:i/>
              </w:rPr>
              <w:t>възлагане на подизпълнители</w:t>
            </w:r>
            <w:r>
              <w:t xml:space="preserve"> и трудово посредничество в Европа;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Ангелика Винциг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Комисията да обмисли </w:t>
            </w:r>
            <w:r>
              <w:rPr>
                <w:b/>
                <w:i/>
              </w:rPr>
              <w:t>рамкова директива</w:t>
            </w:r>
            <w:r>
              <w:t xml:space="preserve"> за справяне с предизвикателствата, свързани </w:t>
            </w:r>
            <w:r>
              <w:rPr>
                <w:b/>
                <w:i/>
              </w:rPr>
              <w:t>със злоупотребяващите</w:t>
            </w:r>
            <w:r>
              <w:t xml:space="preserve"> форми на </w:t>
            </w:r>
            <w:r>
              <w:rPr>
                <w:b/>
                <w:i/>
              </w:rPr>
              <w:t>подизпълнение</w:t>
            </w:r>
            <w:r>
              <w:t xml:space="preserve"> и трудово посредничество в Европа</w:t>
            </w:r>
            <w:r>
              <w:rPr>
                <w:b/>
                <w:i/>
              </w:rPr>
              <w:t>, и тази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r>
              <w:t>;</w:t>
            </w:r>
          </w:p>
        </w:tc>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 Комисията да обмисли </w:t>
            </w:r>
            <w:r>
              <w:rPr>
                <w:b/>
                <w:i/>
              </w:rPr>
              <w:t>препоръка</w:t>
            </w:r>
            <w:r>
              <w:t xml:space="preserve"> за справяне с предизвикателствата, свързани </w:t>
            </w:r>
            <w:r>
              <w:rPr>
                <w:b/>
                <w:i/>
              </w:rPr>
              <w:t>с неправомерните</w:t>
            </w:r>
            <w:r>
              <w:t xml:space="preserve"> форми на </w:t>
            </w:r>
            <w:r>
              <w:rPr>
                <w:b/>
                <w:i/>
              </w:rPr>
              <w:t>възлагане на подизпълнители</w:t>
            </w:r>
            <w:r>
              <w:t xml:space="preserve"> и трудово посредничество в Европа;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Комисията да обмисли рамкова директива за справяне с предизвикателствата, свързани със злоупотребяващите форми на подизпълнение и трудово посредничество в </w:t>
            </w:r>
            <w:r>
              <w:rPr>
                <w:b/>
                <w:i/>
              </w:rPr>
              <w:t>Европа, и тази рамкова</w:t>
            </w:r>
            <w:r>
              <w:t xml:space="preserve"> директива да </w:t>
            </w:r>
            <w:r>
              <w:rPr>
                <w:b/>
                <w:i/>
              </w:rPr>
              <w:t>въведе обща правна рамка, ограничаваща подизпълнението и гарантираща солидарна</w:t>
            </w:r>
            <w:r>
              <w:t xml:space="preserve">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p>
        </w:tc>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 Комисията да обмисли рамкова директива за справяне с предизвикателствата, свързани със злоупотребяващите форми на подизпълнение и трудово посредничество в </w:t>
            </w:r>
            <w:r>
              <w:rPr>
                <w:b/>
                <w:i/>
              </w:rPr>
              <w:t>ЕС;</w:t>
            </w:r>
            <w:r>
              <w:t xml:space="preserve"> </w:t>
            </w:r>
            <w:r>
              <w:rPr>
                <w:b/>
                <w:i/>
              </w:rPr>
              <w:t>призовава тази</w:t>
            </w:r>
            <w:r>
              <w:t xml:space="preserve"> директива да </w:t>
            </w:r>
            <w:r>
              <w:rPr>
                <w:b/>
                <w:i/>
              </w:rPr>
              <w:t>разшири солидарната</w:t>
            </w:r>
            <w:r>
              <w:t xml:space="preserve"> отговорност по цялата верига от подизпълнители</w:t>
            </w:r>
            <w:r>
              <w:rPr>
                <w:b/>
                <w:i/>
              </w:rPr>
              <w:t>, да гарантира прозрачност във веригата от подизпълнители чрез задължителен и цифров регистър, да изисква определянето на координатор с преглед на всички различни субекти във веригата от подизпълнители и да въведе рамка за ограничаване на възлагането на подизпълнители във високорискови сектори</w:t>
            </w:r>
            <w:r>
              <w:t>, както и да въведе мерки за регулиране на ролята и отговорностите на трудовите посредници, различни от агенциите за временна заетост</w:t>
            </w:r>
            <w:r>
              <w:rPr>
                <w:b/>
                <w:i/>
              </w:rPr>
              <w:t>, с цел борба с измамното поведение и дружествата „пощенски кутии“</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отново призовава</w:t>
            </w:r>
            <w:r>
              <w:rPr>
                <w:vertAlign w:val="superscript"/>
              </w:rPr>
              <w:t>11</w:t>
            </w:r>
            <w:r>
              <w:t>Комисията да обмисли рамкова директива за справяне с предизвикателствата, свързани със злоупотребяващите форми на подизпълнение и трудово посредничество в Европа, и тази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p>
        </w:tc>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 Комисията да обмисли рамкова директива за справяне с предизвикателствата, свързани със злоупотребяващите форми на подизпълнение и трудово посредничество в Европа, и тази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r>
              <w:rPr>
                <w:b/>
                <w:i/>
              </w:rPr>
              <w:t>, по отношение на веригите за подизпълнение, наемащи граждани на трети държави</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Комисията да </w:t>
            </w:r>
            <w:r>
              <w:rPr>
                <w:b/>
                <w:i/>
              </w:rPr>
              <w:t>обмисли рамкова директива за справяне с предизвикателствата, свързани със злоупотребяващите форми на подизпълнение и трудово посредничество в Европа, и тази</w:t>
            </w:r>
            <w:r>
              <w:t xml:space="preserve">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p>
        </w:tc>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 Комисията да </w:t>
            </w:r>
            <w:r>
              <w:rPr>
                <w:b/>
                <w:i/>
              </w:rPr>
              <w:t>предвиди бъдещата</w:t>
            </w:r>
            <w:r>
              <w:t xml:space="preserve">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w:t>
            </w:r>
            <w:r>
              <w:rPr>
                <w:b/>
                <w:i/>
              </w:rPr>
              <w:t>при национални, така и при трансгранични условия,</w:t>
            </w:r>
            <w:r>
              <w:t xml:space="preserve"> и да въведе мерки за регулиране на ролята и отговорностите на трудовите посредници, различни от агенциите за временна заетост;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отново призовава</w:t>
            </w:r>
            <w:r>
              <w:rPr>
                <w:vertAlign w:val="superscript"/>
              </w:rPr>
              <w:t>11</w:t>
            </w:r>
            <w:r>
              <w:t>Комисията да обмисли рамкова директива за справяне с предизвикателствата, свързани със злоупотребяващите форми на подизпълнение и трудово посредничество в Европа, и тази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p>
        </w:tc>
        <w:tc>
          <w:tcPr>
            <w:tcW w:w="4876" w:type="dxa"/>
            <w:tcBorders>
              <w:top w:val="nil"/>
              <w:left w:val="nil"/>
              <w:bottom w:val="nil"/>
              <w:right w:val="nil"/>
            </w:tcBorders>
          </w:tcPr>
          <w:p>
            <w:pPr>
              <w:pStyle w:val="Normal6a"/>
            </w:pPr>
            <w:r>
              <w:t>3.</w:t>
            </w:r>
            <w:r>
              <w:tab/>
            </w:r>
            <w:r>
              <w:t>отново призовава</w:t>
            </w:r>
            <w:r>
              <w:rPr>
                <w:vertAlign w:val="superscript"/>
              </w:rPr>
              <w:t>11</w:t>
            </w:r>
            <w:r>
              <w:t xml:space="preserve"> Комисията да обмисли рамкова директива за справяне с предизвикателствата, свързани със злоупотребяващите форми на подизпълнение и трудово посредничество в Европа, и тази рамкова директива да въведе обща правна рамка, ограничаваща подизпълнението и гарантираща солидарна отговорност по цялата верига от подизпълнители, както и да въведе мерки за регулиране на ролята и отговорностите на трудовите посредници, различни от агенциите за временна заетост;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c>
          <w:tcPr>
            <w:tcW w:w="4876" w:type="dxa"/>
            <w:tcBorders>
              <w:top w:val="nil"/>
              <w:left w:val="nil"/>
              <w:bottom w:val="nil"/>
              <w:right w:val="nil"/>
            </w:tcBorders>
          </w:tcPr>
          <w:p>
            <w:pPr>
              <w:pStyle w:val="Normal6a"/>
            </w:pPr>
            <w:r>
              <w:rPr>
                <w:vertAlign w:val="superscript"/>
              </w:rPr>
              <w:t>11</w:t>
            </w:r>
            <w:r>
              <w:t xml:space="preserve"> </w:t>
            </w:r>
            <w:r>
              <w:t>Резолюция от 13 март 2025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Паскал Аримон, Лисбет Сомен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посочва, че принципът на каскадна отговорност във веригите от подизпълнители може да бъде начин да се гарантира, че главният изпълнител носи цялостна отговорност за услугите, предоставяни в рамките на цялата верига от подизпълнители;</w:t>
            </w:r>
            <w:r>
              <w:t xml:space="preserve"> </w:t>
            </w:r>
            <w:r>
              <w:rPr>
                <w:b/>
                <w:i/>
              </w:rPr>
              <w:t>счита, че подобен принцип може да гарантира, че качеството, изпълнението и спазването на трудовите и социалните стандарти и стандартите за безопасност са гарантирани по договор на всяко равнище от веригата от подизпълнители.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отново изразява своята позиция</w:t>
            </w:r>
            <w:r>
              <w:rPr>
                <w:b/>
                <w:i/>
                <w:vertAlign w:val="superscript"/>
              </w:rPr>
              <w:t>1б</w:t>
            </w:r>
            <w:r>
              <w:rPr>
                <w:b/>
                <w:i/>
              </w:rPr>
              <w:t>, че правилата за възлагане на обществени поръчки следва да насърчават преките работни места, и призовава Комисията да ограничи нивата на възлагане на подизпълнители, както и да обмисли въвеждането на ясно определен режим за солидарна отговорност и за гарантиране на прозрачност по отношение на участващите подизпълнители и дела от договора, който изпълнителят възнамерява да възложи на подизпълнители;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1б</w:t>
            </w:r>
            <w:r>
              <w:t xml:space="preserve"> </w:t>
            </w:r>
            <w:r>
              <w:rPr>
                <w:b/>
                <w:i/>
              </w:rPr>
              <w:t>https://www.europarl.europa.eu/doceo/document/EMPL-AD-770193_BG.pdf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подчертава необходимостта да се признае ключовата роля на нелоялните търговски практики (НТП) за насърчаване на незаконното възлагане на подизпълнители и свързаните с това нарушения на правата на работниците, особено в хранително-вкусовия сектор;</w:t>
            </w:r>
            <w:r>
              <w:t xml:space="preserve"> </w:t>
            </w:r>
            <w:r>
              <w:rPr>
                <w:b/>
                <w:i/>
              </w:rPr>
              <w:t>призовава Комисията да направи оценка на начините за борба с тези (нелоялни търговски) практики, включително чрез законодателство във веригата за доставки на селскостопански и хранителни продукти;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подчертава, че по-голямата част от дейностите, обхванати от договора, трябва да се извършват от изпълнителя със собствени преки служители и че на етапа на подаване на оферти частите, подлежащи на подизпълнение, и дружествата, с които оферентът възнамерява да сключи договор за подизпълнение, следва да бъдат ясно определени;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призовава Комисията да предприеме секторни инициативи за справяне с трудовата експлоатация и незаконния труд във високорискови сектори въз основа на идентифицирането на високорискови сектори, които да бъдат определени съвместно с националните органи и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3а.</w:t>
            </w:r>
            <w:r>
              <w:tab/>
            </w:r>
            <w:r>
              <w:rPr>
                <w:b/>
                <w:i/>
              </w:rPr>
              <w:t>призовава Комисията, в съответствие със своята програма за опростяване, да облекчи административната тежест за дружествата, особено в нерисковите сектори;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3б.</w:t>
            </w:r>
            <w:r>
              <w:tab/>
            </w:r>
            <w:r>
              <w:rPr>
                <w:b/>
                <w:i/>
              </w:rPr>
              <w:t>припомня, че ограниченията за възлагане на подизпълнители трябва да бъдат балансирани по отношение на интервенциите, които те създават спрямо правото на стопанска инициатива;</w:t>
            </w:r>
            <w:r>
              <w:t xml:space="preserve"> </w:t>
            </w:r>
            <w:r>
              <w:rPr>
                <w:b/>
                <w:i/>
              </w:rPr>
              <w:t>изразява загриженост, че ограничаването на възлагането на подизпълнители до определен брой нива е драстична намеса в това право, и призовава Комисията да оцени възможността за такива ограничения само ако няма друга налична мярка</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https://www.fiec.eu/application/files/2617/5688/9845/Can_the_EU_restrict_subcontracting_A_legal_perspective_September_2025.pdf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3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3в.</w:t>
            </w:r>
            <w:r>
              <w:tab/>
            </w:r>
            <w:r>
              <w:rPr>
                <w:b/>
                <w:i/>
              </w:rPr>
              <w:t>припомня, че Съдът на ЕС, като взе предвид общите принципи на ДФЕС, постанови, че ограничаването на веригата от подизпълнители от страна на правителство на държава членка е незаконна пречка пред свободното движение</w:t>
            </w:r>
            <w:r>
              <w:rPr>
                <w:b/>
                <w:i/>
                <w:vertAlign w:val="superscript"/>
              </w:rPr>
              <w:t>2a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https://www.fiec.eu/application/files/2617/5688/9845/Can_the_EU_restrict_subcontracting_A_legal_perspective_September_2025.pdf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Никола Бартушек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w:t>
            </w:r>
            <w:r>
              <w:rPr>
                <w:b/>
                <w:i/>
              </w:rPr>
              <w:t>ограничаване на равнищата на</w:t>
            </w:r>
            <w:r>
              <w:t xml:space="preserve"> възлагане на подизпълнители често се инициират съвместно от социалните партньори, включително представители на МСП; </w:t>
            </w:r>
            <w:r>
              <w:rPr>
                <w:b/>
                <w:i/>
              </w:rPr>
              <w:t>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w:t>
            </w:r>
            <w:r>
              <w:t xml:space="preserve"> </w:t>
            </w:r>
            <w:r>
              <w:rPr>
                <w:b/>
                <w:i/>
              </w:rPr>
              <w:t>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w:t>
            </w:r>
            <w:r>
              <w:rPr>
                <w:b/>
                <w:i/>
              </w:rPr>
              <w:t>борба със злоупотребите при</w:t>
            </w:r>
            <w:r>
              <w:t xml:space="preserve"> възлагане на подизпълнители често се инициират съвместно от социалните партньори, включително представители на МСП;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Елена Донацан, Киара Гема, Мариятереза Вивалдини, Франческо Торсели, Марлена Малонг, Косма Злотовски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w:t>
            </w:r>
            <w:r>
              <w:rPr>
                <w:b/>
                <w:i/>
              </w:rPr>
              <w:t>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w:t>
            </w:r>
            <w:r>
              <w:t xml:space="preserve"> подчертава, че идентифицирането на национални високорискови сектори </w:t>
            </w:r>
            <w:r>
              <w:rPr>
                <w:b/>
                <w:i/>
              </w:rPr>
              <w:t>и установяването на процес за отклонение от общото правило, когато това е надлежно обосновано,</w:t>
            </w:r>
            <w:r>
              <w:t xml:space="preserve"> следва да </w:t>
            </w:r>
            <w:r>
              <w:rPr>
                <w:b/>
                <w:i/>
              </w:rPr>
              <w:t>бъдат</w:t>
            </w:r>
            <w:r>
              <w:t xml:space="preserve">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подчертава, че идентифицирането на национални високорискови сектори следва да </w:t>
            </w:r>
            <w:r>
              <w:rPr>
                <w:b/>
                <w:i/>
              </w:rPr>
              <w:t>бъде</w:t>
            </w:r>
            <w:r>
              <w:t xml:space="preserve"> отговорност на държавите членки в сътрудничество със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Ангелика Винциг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w:t>
            </w:r>
            <w:r>
              <w:rPr>
                <w:b/>
                <w:i/>
              </w:rPr>
              <w:t>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w:t>
            </w:r>
            <w:r>
              <w:t xml:space="preserve"> подчертава, че идентифицирането на национални високорискови сектори </w:t>
            </w:r>
            <w:r>
              <w:rPr>
                <w:b/>
                <w:i/>
              </w:rPr>
              <w:t>и установяването на процес за отклонение от общото правило, когато това е надлежно обосновано,</w:t>
            </w:r>
            <w:r>
              <w:t xml:space="preserve"> следва да </w:t>
            </w:r>
            <w:r>
              <w:rPr>
                <w:b/>
                <w:i/>
              </w:rPr>
              <w:t>бъдат</w:t>
            </w:r>
            <w:r>
              <w:t xml:space="preserve">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подчертава, че идентифицирането на национални високорискови сектори следва да </w:t>
            </w:r>
            <w:r>
              <w:rPr>
                <w:b/>
                <w:i/>
              </w:rPr>
              <w:t>бъде</w:t>
            </w:r>
            <w:r>
              <w:t xml:space="preserve"> отговорност на държавите членки в сътрудничество със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Бранислав Ондруш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 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 </w:t>
            </w:r>
            <w:r>
              <w:rPr>
                <w:b/>
                <w:i/>
              </w:rPr>
              <w:t>призовава Комисията да въведе задължително изключване от обществените поръчки на икономическите оператори, осъдени за неспазване на правилата за условията на труд и правилата за здравословни и безопасни условия на труд, при предстоящото преразглеждане на рамката за обществените поръчки;</w:t>
            </w:r>
            <w:r>
              <w:t xml:space="preserve"> 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отговорност на държавите членки в сътрудничество със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w:t>
            </w:r>
            <w:r>
              <w:rPr>
                <w:b/>
                <w:i/>
              </w:rPr>
              <w:t>предложения за определяне на общо правило, ограничаващо</w:t>
            </w:r>
            <w:r>
              <w:t xml:space="preserve"> възлагането на подизпълнители </w:t>
            </w:r>
            <w:r>
              <w:rPr>
                <w:b/>
                <w:i/>
              </w:rPr>
              <w:t>до максимум две равнища под основния изпълнител</w:t>
            </w:r>
            <w:r>
              <w:t xml:space="preserve"> за секторите с висок риск от трудова експлоатация; 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w:t>
            </w:r>
            <w:r>
              <w:rPr>
                <w:b/>
                <w:i/>
              </w:rPr>
              <w:t>предложение за механизъм, който да задейства ограничения за</w:t>
            </w:r>
            <w:r>
              <w:t xml:space="preserve"> възлагането на подизпълнители за секторите с висок риск от трудова експлоатация; подчертава, че идентифицирането на национални високорискови сектори</w:t>
            </w:r>
            <w:r>
              <w:rPr>
                <w:b/>
                <w:i/>
              </w:rPr>
              <w:t>, условията за задействане</w:t>
            </w:r>
            <w:r>
              <w:t xml:space="preserve"> и установяването на процес за отклонение от общото правило, когато това е надлежно обосновано, следва да бъдат отговорност на държавите членки в сътрудничество със социалните партньори; </w:t>
            </w:r>
            <w:r>
              <w:rPr>
                <w:b/>
                <w:i/>
              </w:rPr>
              <w:t>подчертава необходимостта тези решения да се основават на точни и актуални данни, включително относно трансгранични случаи;</w:t>
            </w:r>
            <w:r>
              <w:t xml:space="preserve"> </w:t>
            </w:r>
            <w:r>
              <w:rPr>
                <w:b/>
                <w:i/>
              </w:rPr>
              <w:t>подчертава ролята на дейностите на ЕОТ за предоставянето на надеждна информация относно неправомерното поведение и общите тенденции;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w:t>
            </w:r>
            <w:r>
              <w:t xml:space="preserve"> призовава Комисията да </w:t>
            </w:r>
            <w:r>
              <w:rPr>
                <w:b/>
                <w:i/>
              </w:rPr>
              <w:t>представи предложения за определяне на общо правило, ограничаващо</w:t>
            </w:r>
            <w:r>
              <w:t xml:space="preserve"> възлагането на подизпълнители до максимум две равнища </w:t>
            </w:r>
            <w:r>
              <w:rPr>
                <w:b/>
                <w:i/>
              </w:rPr>
              <w:t>под основния изпълнител за секторите с висок риск от трудова експлоатация;</w:t>
            </w:r>
            <w:r>
              <w:t xml:space="preserve"> </w:t>
            </w:r>
            <w:r>
              <w:rPr>
                <w:b/>
                <w:i/>
              </w:rPr>
              <w:t>подчертава, че идентифицирането на национални</w:t>
            </w:r>
            <w:r>
              <w:t xml:space="preserve"> високорискови сектори </w:t>
            </w:r>
            <w:r>
              <w:rPr>
                <w:b/>
                <w:i/>
              </w:rPr>
              <w:t>и установяването на процес за отклонение от общото правило, когато това е</w:t>
            </w:r>
            <w:r>
              <w:t xml:space="preserve"> надлежно </w:t>
            </w:r>
            <w:r>
              <w:rPr>
                <w:b/>
                <w:i/>
              </w:rPr>
              <w:t>обосновано, следва да бъдат отговорност на държавите членки в сътрудничество със</w:t>
            </w:r>
            <w:r>
              <w:t xml:space="preserve"> социалните партньори;</w:t>
            </w:r>
          </w:p>
        </w:tc>
        <w:tc>
          <w:tcPr>
            <w:tcW w:w="4876" w:type="dxa"/>
            <w:tcBorders>
              <w:top w:val="nil"/>
              <w:left w:val="nil"/>
              <w:bottom w:val="nil"/>
              <w:right w:val="nil"/>
            </w:tcBorders>
          </w:tcPr>
          <w:p>
            <w:pPr>
              <w:pStyle w:val="Normal6a"/>
            </w:pPr>
            <w:r>
              <w:t>4.</w:t>
            </w:r>
            <w:r>
              <w:tab/>
            </w:r>
            <w:r>
              <w:t xml:space="preserve">призовава Комисията да </w:t>
            </w:r>
            <w:r>
              <w:rPr>
                <w:b/>
                <w:i/>
              </w:rPr>
              <w:t>подкрепи държавите членки при ограничаването на</w:t>
            </w:r>
            <w:r>
              <w:t xml:space="preserve"> възлагането на подизпълнители до максимум две равнища </w:t>
            </w:r>
            <w:r>
              <w:rPr>
                <w:b/>
                <w:i/>
              </w:rPr>
              <w:t>във</w:t>
            </w:r>
            <w:r>
              <w:t xml:space="preserve"> високорискови сектори</w:t>
            </w:r>
            <w:r>
              <w:rPr>
                <w:b/>
                <w:i/>
              </w:rPr>
              <w:t>, с възможност за</w:t>
            </w:r>
            <w:r>
              <w:t xml:space="preserve"> надлежно </w:t>
            </w:r>
            <w:r>
              <w:rPr>
                <w:b/>
                <w:i/>
              </w:rPr>
              <w:t>обосновани дерогации при съгласие от страна на</w:t>
            </w:r>
            <w:r>
              <w:t xml:space="preserve"> социалните партньори; </w:t>
            </w:r>
            <w:r>
              <w:rPr>
                <w:b/>
                <w:i/>
              </w:rPr>
              <w:t>освен това призовава за въвеждането на солидарна отговорност по цялата верига от подизпълнители и за задължения за надлежна проверка на подизпълнителите и техните вериги, включително идентифициране и проверка на контрагентите, проследимост на договорите и периодична оценка на съответствието;</w:t>
            </w:r>
            <w:r>
              <w:t xml:space="preserve"> </w:t>
            </w:r>
            <w:r>
              <w:rPr>
                <w:b/>
                <w:i/>
              </w:rPr>
              <w:t>горепосочените изисквания трябва да се прилагат пропорционално и с опростявания за МСП;</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 Йорген Варборн, Арба Кокалари,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w:t>
            </w:r>
            <w:r>
              <w:rPr>
                <w:b/>
                <w:i/>
              </w:rPr>
              <w:t>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w:t>
            </w:r>
            <w:r>
              <w:t xml:space="preserve">; подчертава, че идентифицирането на национални високорискови сектори </w:t>
            </w:r>
            <w:r>
              <w:rPr>
                <w:b/>
                <w:i/>
              </w:rPr>
              <w:t>и установяването на процес за отклонение от общото правило, когато това е надлежно обосновано,</w:t>
            </w:r>
            <w:r>
              <w:t xml:space="preserve"> следва </w:t>
            </w:r>
            <w:r>
              <w:rPr>
                <w:b/>
                <w:i/>
              </w:rPr>
              <w:t>да бъдат</w:t>
            </w:r>
            <w:r>
              <w:t xml:space="preserve">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w:t>
            </w:r>
            <w:r>
              <w:rPr>
                <w:b/>
                <w:i/>
              </w:rPr>
              <w:t>подчертава, че тези споразумения следва да бъдат спазвани</w:t>
            </w:r>
            <w:r>
              <w:t xml:space="preserve">; подчертава, че идентифицирането на национални високорискови сектори следва </w:t>
            </w:r>
            <w:r>
              <w:rPr>
                <w:b/>
                <w:i/>
              </w:rPr>
              <w:t>винаги да бъде</w:t>
            </w:r>
            <w:r>
              <w:t xml:space="preserve"> отговорност на държавите членки в сътрудничество със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 за определяне на общо правило, ограничаващо възлагането на подизпълнители </w:t>
            </w:r>
            <w:r>
              <w:rPr>
                <w:b/>
                <w:i/>
              </w:rPr>
              <w:t>до максимум две равнища под основния изпълнител за секторите с висок риск от</w:t>
            </w:r>
            <w:r>
              <w:t xml:space="preserve"> трудова експлоатация; 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w:t>
            </w:r>
            <w:r>
              <w:rPr>
                <w:b/>
                <w:i/>
              </w:rPr>
              <w:t>, като зачита националните компетентности и защитава националните МСП</w:t>
            </w:r>
            <w:r>
              <w:t xml:space="preserve"> за определяне на общо правило, ограничаващо възлагането на подизпълнители </w:t>
            </w:r>
            <w:r>
              <w:rPr>
                <w:b/>
                <w:i/>
              </w:rPr>
              <w:t>за изпълнители с определен оборот и с предходни случаи на осъждане за</w:t>
            </w:r>
            <w:r>
              <w:t xml:space="preserve"> трудова експлоатация; 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отговорност на държавите членки в сътрудничество със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w:t>
            </w:r>
            <w:r>
              <w:rPr>
                <w:b/>
                <w:i/>
              </w:rPr>
              <w:t>;</w:t>
            </w:r>
            <w:r>
              <w:t xml:space="preserve"> </w:t>
            </w:r>
            <w:r>
              <w:rPr>
                <w:b/>
                <w:i/>
              </w:rPr>
              <w:t>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w:t>
            </w:r>
            <w:r>
              <w:t xml:space="preserve">; подчертава, че идентифицирането на национални високорискови сектори и установяването на </w:t>
            </w:r>
            <w:r>
              <w:rPr>
                <w:b/>
                <w:i/>
              </w:rPr>
              <w:t>процес за отклонение от общото правило</w:t>
            </w:r>
            <w:r>
              <w:t>, когато това е надлежно обосновано, следва да бъдат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w:t>
            </w:r>
            <w:r>
              <w:rPr>
                <w:b/>
                <w:i/>
              </w:rPr>
              <w:t>, в ущърб на някои отрасли със сложни и свръхспециализирани процедури и продукти</w:t>
            </w:r>
            <w:r>
              <w:t xml:space="preserve">; подчертава, че идентифицирането на национални високорискови сектори и установяването на </w:t>
            </w:r>
            <w:r>
              <w:rPr>
                <w:b/>
                <w:i/>
              </w:rPr>
              <w:t>специални правила</w:t>
            </w:r>
            <w:r>
              <w:t>, когато това е надлежно обосновано, следва да бъдат отговорност на държавите членки в сътрудничество със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w:t>
            </w:r>
            <w:r>
              <w:rPr>
                <w:b/>
                <w:i/>
              </w:rPr>
              <w:t>предложения</w:t>
            </w:r>
            <w:r>
              <w:t xml:space="preserve"> за определяне на общо правило, ограничаващо възлагането на подизпълнители до максимум две </w:t>
            </w:r>
            <w:r>
              <w:rPr>
                <w:b/>
                <w:i/>
              </w:rPr>
              <w:t>равнища</w:t>
            </w:r>
            <w:r>
              <w:t xml:space="preserve"> под основния изпълнител </w:t>
            </w:r>
            <w:r>
              <w:rPr>
                <w:b/>
                <w:i/>
              </w:rPr>
              <w:t>за</w:t>
            </w:r>
            <w:r>
              <w:t xml:space="preserve"> секторите с висок риск от трудова експлоатация; 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w:t>
            </w:r>
            <w:r>
              <w:rPr>
                <w:b/>
                <w:i/>
              </w:rPr>
              <w:t>отговорност на</w:t>
            </w:r>
            <w:r>
              <w:t xml:space="preserve"> държавите членки </w:t>
            </w:r>
            <w:r>
              <w:rPr>
                <w:b/>
                <w:i/>
              </w:rPr>
              <w:t>в сътрудничество със</w:t>
            </w:r>
            <w:r>
              <w:t xml:space="preserve"> социалните партньори;</w:t>
            </w:r>
          </w:p>
        </w:tc>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w:t>
            </w:r>
            <w:r>
              <w:rPr>
                <w:b/>
                <w:i/>
              </w:rPr>
              <w:t>законодателно предложение</w:t>
            </w:r>
            <w:r>
              <w:t xml:space="preserve"> за определяне на общо правило, ограничаващо възлагането на подизпълнители до максимум две </w:t>
            </w:r>
            <w:r>
              <w:rPr>
                <w:b/>
                <w:i/>
              </w:rPr>
              <w:t>подравнища</w:t>
            </w:r>
            <w:r>
              <w:t xml:space="preserve"> под основния изпълнител </w:t>
            </w:r>
            <w:r>
              <w:rPr>
                <w:b/>
                <w:i/>
              </w:rPr>
              <w:t>и със специално внимание към нуждите на</w:t>
            </w:r>
            <w:r>
              <w:t xml:space="preserve"> секторите с висок риск от трудова експлоатация; 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w:t>
            </w:r>
            <w:r>
              <w:rPr>
                <w:b/>
                <w:i/>
              </w:rPr>
              <w:t>договорени от</w:t>
            </w:r>
            <w:r>
              <w:t xml:space="preserve"> държавите членки </w:t>
            </w:r>
            <w:r>
              <w:rPr>
                <w:b/>
                <w:i/>
              </w:rPr>
              <w:t>и</w:t>
            </w:r>
            <w:r>
              <w:t xml:space="preserve">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 подчертава, че идентифицирането на национални високорискови сектори и установяването на процес за отклонение от общото правило</w:t>
            </w:r>
            <w:r>
              <w:rPr>
                <w:b/>
                <w:i/>
              </w:rPr>
              <w:t>, когато това е надлежно обосновано,</w:t>
            </w:r>
            <w:r>
              <w:t xml:space="preserve"> следва да бъдат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 подчертава, че идентифицирането на национални високорискови сектори и установяването на процес за отклонение от общото правило следва да бъдат отговорност на държавите членки в сътрудничество със социалните партньори;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Евелин Регнер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 за определяне на общо правило, ограничаващо възлагането на подизпълнители до максимум </w:t>
            </w:r>
            <w:r>
              <w:rPr>
                <w:b/>
                <w:i/>
              </w:rPr>
              <w:t>две равнища</w:t>
            </w:r>
            <w:r>
              <w:t xml:space="preserve"> под основния изпълнител за секторите с висок риск от трудова експлоатация; 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 за определяне на общо правило, ограничаващо възлагането на подизпълнители до максимум </w:t>
            </w:r>
            <w:r>
              <w:rPr>
                <w:b/>
                <w:i/>
              </w:rPr>
              <w:t>едно равнище</w:t>
            </w:r>
            <w:r>
              <w:t xml:space="preserve"> под основния изпълнител за секторите с висок риск от трудова експлоатация; подчертава, че идентифицирането на национални високорискови сектори и установяването на процес за отклонение от общото правило, когато това е надлежно обосновано, следва да бъдат отговорност на държавите членки в сътрудничество със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w:t>
            </w:r>
            <w:r>
              <w:rPr>
                <w:b/>
                <w:i/>
              </w:rPr>
              <w:t>ограничаване на равнищата на възлагане на подизпълнители</w:t>
            </w:r>
            <w:r>
              <w:t xml:space="preserve"> често се инициират съвместно от социалните партньори, включително представители на МСП; призовава Комисията да </w:t>
            </w:r>
            <w:r>
              <w:rPr>
                <w:b/>
                <w:i/>
              </w:rPr>
              <w:t>представи предложения за определяне на общо правило, ограничаващо възлагането на подизпълнители до максимум две равнища под основния изпълнител за секторите с висок риск от трудова експлоатация</w:t>
            </w:r>
            <w:r>
              <w:t xml:space="preserve">; подчертава, че идентифицирането на национални високорискови сектори и установяването на процес за отклонение от </w:t>
            </w:r>
            <w:r>
              <w:rPr>
                <w:b/>
                <w:i/>
              </w:rPr>
              <w:t>общото правило</w:t>
            </w:r>
            <w:r>
              <w:t>, когато това е надлежно обосновано, следва да бъдат отговорност на държавите членки в сътрудничество със социалните партньори;</w:t>
            </w:r>
          </w:p>
        </w:tc>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w:t>
            </w:r>
            <w:r>
              <w:rPr>
                <w:b/>
                <w:i/>
              </w:rPr>
              <w:t>борба престъпленията, свързани с работните места,</w:t>
            </w:r>
            <w:r>
              <w:t xml:space="preserve"> често се инициират съвместно от социалните партньори, включително представители на МСП; </w:t>
            </w:r>
            <w:r>
              <w:rPr>
                <w:b/>
                <w:i/>
              </w:rPr>
              <w:t>подчертава, че тези споразумения следва да бъдат спазвани;</w:t>
            </w:r>
            <w:r>
              <w:t xml:space="preserve"> призовава Комисията да </w:t>
            </w:r>
            <w:r>
              <w:rPr>
                <w:b/>
                <w:i/>
              </w:rPr>
              <w:t>установи координация и сътрудничество между ЕС и националните органи с цел борба с престъпленията, свързани с работните места</w:t>
            </w:r>
            <w:r>
              <w:t xml:space="preserve">; подчертава, че идентифицирането на национални високорискови сектори и установяването на процес за отклонение от </w:t>
            </w:r>
            <w:r>
              <w:rPr>
                <w:b/>
                <w:i/>
              </w:rPr>
              <w:t>общите правила</w:t>
            </w:r>
            <w:r>
              <w:t xml:space="preserve">, когато това е надлежно обосновано, следва </w:t>
            </w:r>
            <w:r>
              <w:rPr>
                <w:b/>
                <w:i/>
              </w:rPr>
              <w:t>винаги</w:t>
            </w:r>
            <w:r>
              <w:t xml:space="preserve"> да бъдат отговорност на държавите членки в сътрудничество със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 </w:t>
            </w:r>
            <w:r>
              <w:rPr>
                <w:b/>
                <w:i/>
              </w:rPr>
              <w:t>за секторите с висок риск от трудова експлоатация;</w:t>
            </w:r>
            <w:r>
              <w:t xml:space="preserve"> </w:t>
            </w:r>
            <w:r>
              <w:rPr>
                <w:b/>
                <w:i/>
              </w:rPr>
              <w:t>подчертава, че идентифицирането на национални високорискови</w:t>
            </w:r>
            <w:r>
              <w:t xml:space="preserve"> сектори и </w:t>
            </w:r>
            <w:r>
              <w:rPr>
                <w:b/>
                <w:i/>
              </w:rPr>
              <w:t>установяването на процес за отклонение от общото правило,</w:t>
            </w:r>
            <w:r>
              <w:t xml:space="preserve"> когато </w:t>
            </w:r>
            <w:r>
              <w:rPr>
                <w:b/>
                <w:i/>
              </w:rPr>
              <w:t>това е надлежно обосновано, следва да бъдат отговорност на държавите членки в сътрудничество със социалните партньори</w:t>
            </w:r>
            <w:r>
              <w:t>;</w:t>
            </w:r>
          </w:p>
        </w:tc>
        <w:tc>
          <w:tcPr>
            <w:tcW w:w="4876" w:type="dxa"/>
            <w:tcBorders>
              <w:top w:val="nil"/>
              <w:left w:val="nil"/>
              <w:bottom w:val="nil"/>
              <w:right w:val="nil"/>
            </w:tcBorders>
          </w:tcPr>
          <w:p>
            <w:pPr>
              <w:pStyle w:val="Normal6a"/>
            </w:pPr>
            <w:r>
              <w:t>4.</w:t>
            </w:r>
            <w:r>
              <w:tab/>
            </w:r>
            <w:r>
              <w:t>подчертава, че националните и регионалните политики за ограничаване на равнищата на възлагане на подизпълнители често се инициират съвместно от социалните партньори, включително представители на МСП; призовава Комисията да представи предложения за определяне на общо правило, ограничаващо възлагането на подизпълнители до максимум две равнища под основния изпълнител</w:t>
            </w:r>
            <w:r>
              <w:rPr>
                <w:b/>
                <w:i/>
              </w:rPr>
              <w:t>;</w:t>
            </w:r>
            <w:r>
              <w:t xml:space="preserve"> </w:t>
            </w:r>
            <w:r>
              <w:rPr>
                <w:b/>
                <w:i/>
              </w:rPr>
              <w:t>призовава възлагането на подизпълнители да бъде ограничено до определено равнище за особено опасните</w:t>
            </w:r>
            <w:r>
              <w:t xml:space="preserve"> сектори и когато </w:t>
            </w:r>
            <w:r>
              <w:rPr>
                <w:b/>
                <w:i/>
              </w:rPr>
              <w:t>констатациите за нарушения на трудовото законодателство са очевидни</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Лейла Шайби, Антони Смит, Марина Мьозюр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призовава Комисията да предложи изменения на директиви 2014/24/ЕС, 2014/25/ЕС (и когато е целесъобразно, 2014/23/ЕС), за да се разреши изрично на възлагащите органи да ограничават продължителността и броя на равнищата на веригите от подизпълнители, да определят таван за дела на поръчката, който може да бъде възложен на подизпълнители, и да установяват пълната отговорност на възлагащия орган, особено по отношение на трудовите злополуки, професионалните заболявания и многократните констатации за нарушения на трудовото законодателство по цялата верига от подизпълнители;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приветства факта, че няколко държави членки решиха да приемат по-строги правила за отговорност във веригите от подизпълнители в сравнение с минимума, определен в член 12 от Директива 2014/67/ЕС;</w:t>
            </w:r>
            <w:r>
              <w:t xml:space="preserve"> </w:t>
            </w:r>
            <w:r>
              <w:rPr>
                <w:b/>
                <w:i/>
              </w:rPr>
              <w:t>призовава Комисията да гарантира солидарна отговорност по цялата верига от подизпълнители в рисковите сектори, включително за заплати и социалноосигурителни вноски, както и достъп до правосъдие за засегнатите работници;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призовава за минимална рамка на ЕС за лицензиране/регистрация на трудови посредници с публичен регистър, забрана на таксите за работниците (в съответствие с Конвенция № 181 на МОТ) и възпиращи санкции, включително изключване от обществени поръчки;</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Паскал Аримон, Мириам Лексман, Ангелика Винциг, Раул Де Ла Ос Кинтано, Реджина Дохърти, Йорген Варборн, Арба Кокалари,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призовава Комисията да направи оценка на ефективното използване на ИСВП от държавите членки във връзка с Директива 2014/67/ЕС (Директивата за осигуряване на изпълнението), по-специално по отношение на механизма за контрол на действителното командироване;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4б.</w:t>
            </w:r>
            <w:r>
              <w:tab/>
            </w:r>
            <w:r>
              <w:rPr>
                <w:b/>
                <w:i/>
              </w:rPr>
              <w:t>призовава да се гарантира прозрачност по отношение на подизпълнителите, участващи в обществените поръчки, и дела на договора, който изпълнителят възнамерява да възложи на подизпълнители, с оповестяване преди изпълнението на договора и актуализации през целия период на изпълнение;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4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4в.</w:t>
            </w:r>
            <w:r>
              <w:tab/>
            </w:r>
            <w:r>
              <w:rPr>
                <w:b/>
                <w:i/>
              </w:rPr>
              <w:t>отбелязва призивите от страна на микропредприятията и МСП, особено в строителния сектор, да се обърне внимание на „възлагането на финансови подизпълнители“, при което основният изпълнител възлага цялата работа на подизпълнители;</w:t>
            </w:r>
            <w:r>
              <w:t xml:space="preserve"> </w:t>
            </w:r>
            <w:r>
              <w:rPr>
                <w:b/>
                <w:i/>
              </w:rPr>
              <w:t>призовава Комисията, при преразглеждането на Директивата за обществените поръчки, да предложи по-строги правила, с които да се гарантира, че основните изпълнители имат капацитета сами да изпълняват част от поръчката, включително ограничения за стойността или вида на работата, която може да бъде възложена на подизпълнители;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w:t>
            </w:r>
            <w:r>
              <w:t xml:space="preserve"> </w:t>
            </w:r>
            <w:r>
              <w:rPr>
                <w:b/>
                <w:i/>
              </w:rPr>
              <w:t>във връзка с това призовава Комисията да гарантира равно третиране за равен труд и да насърчава пряката трудова заетост в секторите, в които възникват такива рискове;</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във връзка с това призовава Комисията да гарантира равно третиране за равен труд и да </w:t>
            </w:r>
            <w:r>
              <w:rPr>
                <w:b/>
                <w:i/>
              </w:rPr>
              <w:t>насърчава пряката трудова заетост в</w:t>
            </w:r>
            <w:r>
              <w:t xml:space="preserve"> секторите</w:t>
            </w:r>
            <w:r>
              <w:rPr>
                <w:b/>
                <w:i/>
              </w:rPr>
              <w:t>, в които възникват такива рискове</w:t>
            </w:r>
            <w:r>
              <w:t>;</w:t>
            </w:r>
          </w:p>
        </w:tc>
        <w:tc>
          <w:tcPr>
            <w:tcW w:w="4876" w:type="dxa"/>
            <w:tcBorders>
              <w:top w:val="nil"/>
              <w:left w:val="nil"/>
              <w:bottom w:val="nil"/>
              <w:right w:val="nil"/>
            </w:tcBorders>
          </w:tcPr>
          <w:p>
            <w:pPr>
              <w:pStyle w:val="Normal6a"/>
            </w:pPr>
            <w:r>
              <w:t>5.</w:t>
            </w:r>
            <w:r>
              <w:tab/>
            </w:r>
            <w:r>
              <w:t>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w:t>
            </w:r>
            <w:r>
              <w:rPr>
                <w:b/>
                <w:i/>
              </w:rPr>
              <w:t>, неспазване на трудовото законодателство</w:t>
            </w:r>
            <w:r>
              <w:t xml:space="preserve"> и несигурност на работните места; във връзка с това призовава Комисията да гарантира равно третиране за равен труд и да </w:t>
            </w:r>
            <w:r>
              <w:rPr>
                <w:b/>
                <w:i/>
              </w:rPr>
              <w:t>забрани използването на подизпълнители от страна на главния изпълнител за дейности, свързани с основната дейност;</w:t>
            </w:r>
            <w:r>
              <w:t xml:space="preserve"> </w:t>
            </w:r>
            <w:r>
              <w:rPr>
                <w:b/>
                <w:i/>
              </w:rPr>
              <w:t>призовава Комисията да гарантира, че работата по определяне на основните дейности на</w:t>
            </w:r>
            <w:r>
              <w:t xml:space="preserve"> секторите </w:t>
            </w:r>
            <w:r>
              <w:rPr>
                <w:b/>
                <w:i/>
              </w:rPr>
              <w:t>се извършва от секторните комитети за социален диалог</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Евелин Регнер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във връзка с това призовава Комисията да гарантира равно третиране за равен труд и да насърчава пряката трудова заетост в секторите, в които възникват такива рискове;</w:t>
            </w:r>
          </w:p>
        </w:tc>
        <w:tc>
          <w:tcPr>
            <w:tcW w:w="4876" w:type="dxa"/>
            <w:tcBorders>
              <w:top w:val="nil"/>
              <w:left w:val="nil"/>
              <w:bottom w:val="nil"/>
              <w:right w:val="nil"/>
            </w:tcBorders>
          </w:tcPr>
          <w:p>
            <w:pPr>
              <w:pStyle w:val="Normal6a"/>
            </w:pPr>
            <w:r>
              <w:t>5.</w:t>
            </w:r>
            <w:r>
              <w:tab/>
            </w:r>
            <w:r>
              <w:t>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във връзка с това призовава Комисията да гарантира равно третиране за равен труд и да насърчава пряката трудова заетост в секторите, в които възникват такива рискове</w:t>
            </w:r>
            <w:r>
              <w:rPr>
                <w:b/>
                <w:i/>
              </w:rPr>
              <w:t>, както и да предвиди, че 30% от основните задачи трябва да се изпълняват от основния изпълнител, което е в съответствие и с решенията на Съда на ЕС (вж. VitaliSpA/Autostrade per l’Italia SpA, C-63/18)</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Никола Бартушек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w:t>
            </w:r>
            <w:r>
              <w:rPr>
                <w:b/>
                <w:i/>
              </w:rPr>
              <w:t>във връзка с това призовава Комисията да гарантира равно третиране за равен труд и да насърчава пряката трудова заетост в секторите, в които възникват такива рискове;</w:t>
            </w:r>
          </w:p>
        </w:tc>
        <w:tc>
          <w:tcPr>
            <w:tcW w:w="4876" w:type="dxa"/>
            <w:tcBorders>
              <w:top w:val="nil"/>
              <w:left w:val="nil"/>
              <w:bottom w:val="nil"/>
              <w:right w:val="nil"/>
            </w:tcBorders>
          </w:tcPr>
          <w:p>
            <w:pPr>
              <w:pStyle w:val="Normal6a"/>
            </w:pPr>
            <w:r>
              <w:t>5.</w:t>
            </w:r>
            <w:r>
              <w:tab/>
            </w:r>
            <w:r>
              <w:t>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за основни стопански дейности </w:t>
            </w:r>
            <w:r>
              <w:rPr>
                <w:b/>
                <w:i/>
              </w:rPr>
              <w:t>може да доведе до</w:t>
            </w:r>
            <w:r>
              <w:t xml:space="preserve"> разпокъсани работни места </w:t>
            </w:r>
            <w:r>
              <w:rPr>
                <w:b/>
                <w:i/>
              </w:rPr>
              <w:t>и</w:t>
            </w:r>
            <w:r>
              <w:t xml:space="preserve"> по-голямо излагане на работниците на по-дълго работно време, по-ниски заплати и несигурност на работните места; във връзка с това призовава Комисията да гарантира равно третиране за равен труд и да насърчава пряката трудова заетост в секторите, в които възникват такива рискове;</w:t>
            </w:r>
          </w:p>
        </w:tc>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за основни стопански дейности </w:t>
            </w:r>
            <w:r>
              <w:rPr>
                <w:b/>
                <w:i/>
              </w:rPr>
              <w:t>води до експлоатация на работниците чрез несигурни условия и недеклариран труд,</w:t>
            </w:r>
            <w:r>
              <w:t xml:space="preserve"> разпокъсани </w:t>
            </w:r>
            <w:r>
              <w:rPr>
                <w:b/>
                <w:i/>
              </w:rPr>
              <w:t>и опасни</w:t>
            </w:r>
            <w:r>
              <w:t xml:space="preserve"> работни места</w:t>
            </w:r>
            <w:r>
              <w:rPr>
                <w:b/>
                <w:i/>
              </w:rPr>
              <w:t>,</w:t>
            </w:r>
            <w:r>
              <w:t xml:space="preserve"> по-голямо излагане на работниците на по-дълго работно време, по-ниски заплати и несигурност на работните места</w:t>
            </w:r>
            <w:r>
              <w:rPr>
                <w:b/>
                <w:i/>
              </w:rPr>
              <w:t>, намалена отчетност и прозрачност</w:t>
            </w:r>
            <w:r>
              <w:t>; във връзка с това призовава Комисията да гарантира равно третиране за равен труд и да насърчава пряката трудова заетост в секторите, в които възникват такива рискове;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w:t>
            </w:r>
            <w:r>
              <w:rPr>
                <w:b/>
                <w:i/>
              </w:rPr>
              <w:t>за основни стопански дейности</w:t>
            </w:r>
            <w:r>
              <w:t xml:space="preserve"> може да доведе до </w:t>
            </w:r>
            <w:r>
              <w:rPr>
                <w:b/>
                <w:i/>
              </w:rPr>
              <w:t>разпокъсани работни места и</w:t>
            </w:r>
            <w:r>
              <w:t xml:space="preserve"> по-голямо излагане на работниците на </w:t>
            </w:r>
            <w:r>
              <w:rPr>
                <w:b/>
                <w:i/>
              </w:rPr>
              <w:t>по-дълго работно време, по-ниски заплати и</w:t>
            </w:r>
            <w:r>
              <w:t xml:space="preserve"> несигурност на работните места; </w:t>
            </w:r>
            <w:r>
              <w:rPr>
                <w:b/>
                <w:i/>
              </w:rPr>
              <w:t>във връзка с това</w:t>
            </w:r>
            <w:r>
              <w:t xml:space="preserve"> призовава </w:t>
            </w:r>
            <w:r>
              <w:rPr>
                <w:b/>
                <w:i/>
              </w:rPr>
              <w:t>Комисията да гарантира равно третиране за равен</w:t>
            </w:r>
            <w:r>
              <w:t xml:space="preserve"> труд и </w:t>
            </w:r>
            <w:r>
              <w:rPr>
                <w:b/>
                <w:i/>
              </w:rPr>
              <w:t>да насърчава пряката трудова заетост в секторите, в които възникват такива рискове</w:t>
            </w:r>
            <w:r>
              <w:t>;</w:t>
            </w:r>
          </w:p>
        </w:tc>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w:t>
            </w:r>
            <w:r>
              <w:rPr>
                <w:b/>
                <w:i/>
              </w:rPr>
              <w:t>и специализация</w:t>
            </w:r>
            <w:r>
              <w:t xml:space="preserve"> може да доведе до </w:t>
            </w:r>
            <w:r>
              <w:rPr>
                <w:b/>
                <w:i/>
              </w:rPr>
              <w:t>процъфтяващи МСП и до динамичен и иновативен пазар за доставчиците, като същевременно се има предвид, че във високорисковите сектори това развитие би могло да доведе до</w:t>
            </w:r>
            <w:r>
              <w:t xml:space="preserve"> по-голямо излагане на работниците на несигурност на работните места; призовава </w:t>
            </w:r>
            <w:r>
              <w:rPr>
                <w:b/>
                <w:i/>
              </w:rPr>
              <w:t>отговорните органи и субекти да продължат да работят за насърчаване на справедливи условия на</w:t>
            </w:r>
            <w:r>
              <w:t xml:space="preserve"> труд и </w:t>
            </w:r>
            <w:r>
              <w:rPr>
                <w:b/>
                <w:i/>
              </w:rPr>
              <w:t>безопасна среда за всички работници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Елена Донацан, Киара Гема, Мариятереза Вивалдини, Франческо Торсели, Марлена Малонг, Косма Злотовски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във връзка с това </w:t>
            </w:r>
            <w:r>
              <w:rPr>
                <w:b/>
                <w:i/>
              </w:rPr>
              <w:t>призовава Комисията да гарантира</w:t>
            </w:r>
            <w:r>
              <w:t xml:space="preserve"> равно третиране за равен труд </w:t>
            </w:r>
            <w:r>
              <w:rPr>
                <w:b/>
                <w:i/>
              </w:rPr>
              <w:t>и да насърчава пряката трудова заетост в секторите, в които възникват такива рискове</w:t>
            </w:r>
            <w:r>
              <w:t>;</w:t>
            </w:r>
          </w:p>
        </w:tc>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във връзка с това </w:t>
            </w:r>
            <w:r>
              <w:rPr>
                <w:b/>
                <w:i/>
              </w:rPr>
              <w:t>припомня принципа на</w:t>
            </w:r>
            <w:r>
              <w:t xml:space="preserve"> равно третиране за равен труд;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Ангелика Винциг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във връзка с това призовава Комисията да гарантира равно третиране за равен труд </w:t>
            </w:r>
            <w:r>
              <w:rPr>
                <w:b/>
                <w:i/>
              </w:rPr>
              <w:t>и да насърчава пряката трудова заетост в секторите, в които възникват такива рискове;</w:t>
            </w:r>
          </w:p>
        </w:tc>
        <w:tc>
          <w:tcPr>
            <w:tcW w:w="4876" w:type="dxa"/>
            <w:tcBorders>
              <w:top w:val="nil"/>
              <w:left w:val="nil"/>
              <w:bottom w:val="nil"/>
              <w:right w:val="nil"/>
            </w:tcBorders>
          </w:tcPr>
          <w:p>
            <w:pPr>
              <w:pStyle w:val="Normal6a"/>
            </w:pPr>
            <w:r>
              <w:t>5.</w:t>
            </w:r>
            <w:r>
              <w:tab/>
            </w:r>
            <w:r>
              <w:t>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във връзка с това призовава Комисията да гарантира равно третиране за равен труд</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във връзка с това призовава </w:t>
            </w:r>
            <w:r>
              <w:rPr>
                <w:b/>
                <w:i/>
              </w:rPr>
              <w:t>Комисията да гарантира</w:t>
            </w:r>
            <w:r>
              <w:t xml:space="preserve"> равно третиране за равен труд и да насърчава пряката трудова заетост в секторите, в които възникват такива рискове;</w:t>
            </w:r>
          </w:p>
        </w:tc>
        <w:tc>
          <w:tcPr>
            <w:tcW w:w="4876" w:type="dxa"/>
            <w:tcBorders>
              <w:top w:val="nil"/>
              <w:left w:val="nil"/>
              <w:bottom w:val="nil"/>
              <w:right w:val="nil"/>
            </w:tcBorders>
          </w:tcPr>
          <w:p>
            <w:pPr>
              <w:pStyle w:val="Normal6a"/>
            </w:pPr>
            <w:r>
              <w:t>5.</w:t>
            </w:r>
            <w:r>
              <w:tab/>
            </w:r>
            <w:r>
              <w:t xml:space="preserve">отбелязва, че нарастващото използване на подизпълнители за основни стопански дейности може да доведе до разпокъсани работни места и по-голямо излагане на работниците на по-дълго работно време, по-ниски заплати и несигурност на работните места; във връзка с това призовава </w:t>
            </w:r>
            <w:r>
              <w:rPr>
                <w:b/>
                <w:i/>
              </w:rPr>
              <w:t>държавите членки да гарантират</w:t>
            </w:r>
            <w:r>
              <w:t xml:space="preserve"> равно третиране за равен труд и да насърчава пряката трудова заетост в секторите, в които възникват такива рискове;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отбелязва, че </w:t>
            </w:r>
            <w:r>
              <w:rPr>
                <w:b/>
                <w:i/>
              </w:rPr>
              <w:t>нарастващото използване на подизпълнители за основни стопански дейности</w:t>
            </w:r>
            <w:r>
              <w:t xml:space="preserve"> може да </w:t>
            </w:r>
            <w:r>
              <w:rPr>
                <w:b/>
                <w:i/>
              </w:rPr>
              <w:t>доведе</w:t>
            </w:r>
            <w:r>
              <w:t xml:space="preserve"> до разпокъсани работни места и по-голямо излагане на работниците на по-дълго работно време, по-ниски заплати и несигурност на работните места</w:t>
            </w:r>
            <w:r>
              <w:rPr>
                <w:b/>
                <w:i/>
              </w:rPr>
              <w:t>;</w:t>
            </w:r>
            <w:r>
              <w:t xml:space="preserve"> </w:t>
            </w:r>
            <w:r>
              <w:rPr>
                <w:b/>
                <w:i/>
              </w:rPr>
              <w:t>във връзка с това призовава Комисията да гарантира равно третиране за равен труд и да насърчава пряката трудова заетост в секторите, в които възникват такива рискове</w:t>
            </w:r>
            <w:r>
              <w:t>;</w:t>
            </w:r>
          </w:p>
        </w:tc>
        <w:tc>
          <w:tcPr>
            <w:tcW w:w="4876" w:type="dxa"/>
            <w:tcBorders>
              <w:top w:val="nil"/>
              <w:left w:val="nil"/>
              <w:bottom w:val="nil"/>
              <w:right w:val="nil"/>
            </w:tcBorders>
          </w:tcPr>
          <w:p>
            <w:pPr>
              <w:pStyle w:val="Normal6a"/>
            </w:pPr>
            <w:r>
              <w:t>5.</w:t>
            </w:r>
            <w:r>
              <w:tab/>
            </w:r>
            <w:r>
              <w:t xml:space="preserve">отбелязва, че </w:t>
            </w:r>
            <w:r>
              <w:rPr>
                <w:b/>
                <w:i/>
              </w:rPr>
              <w:t>свързаните с работните места престъпления</w:t>
            </w:r>
            <w:r>
              <w:t xml:space="preserve"> може да </w:t>
            </w:r>
            <w:r>
              <w:rPr>
                <w:b/>
                <w:i/>
              </w:rPr>
              <w:t>доведат</w:t>
            </w:r>
            <w:r>
              <w:t xml:space="preserve"> до разпокъсани работни места и по-голямо излагане на работниците на по-дълго работно време, по-ниски заплати и несигурност на работните места</w:t>
            </w:r>
            <w:r>
              <w:rPr>
                <w:b/>
                <w:i/>
              </w:rPr>
              <w:t>, като същевременно възлагането на подизпълнители дава възможност за специализация, иновации, създаване на работни места и следователно за по-ефективни и конкурентоспособни предприятия, включително създаване на повече МСП</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5а.</w:t>
            </w:r>
            <w:r>
              <w:tab/>
            </w:r>
            <w:r>
              <w:rPr>
                <w:b/>
                <w:i/>
              </w:rPr>
              <w:t>призовава държавите членки да гарантират, че представителите на работниците и служителите биват информирани и с тях се провеждат консултации, когато дадено дружество планира да възложи дейности на външни изпълнители;</w:t>
            </w:r>
            <w:r>
              <w:t xml:space="preserve"> </w:t>
            </w:r>
            <w:r>
              <w:rPr>
                <w:b/>
                <w:i/>
              </w:rPr>
              <w:t>призовава Комисията да прилага принципа на правото на информиране и консултиране в съответствие с лицата, наети по цялата верига от подизпълнители, за основните аспекти на тяхната работа;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5а.</w:t>
            </w:r>
            <w:r>
              <w:tab/>
            </w:r>
            <w:r>
              <w:rPr>
                <w:b/>
                <w:i/>
              </w:rPr>
              <w:t>подчертава, че експлоатацията на работниците може да бъде ефективно намалена единствено чрез справяне с престъпните мрежи чрез трансгранично сътрудничество;</w:t>
            </w:r>
            <w:r>
              <w:t xml:space="preserve"> </w:t>
            </w:r>
            <w:r>
              <w:rPr>
                <w:b/>
                <w:i/>
              </w:rPr>
              <w:t>подкрепя засиленото сътрудничество между Европол, националните органи и социалните партньори за противодействие на организираната престъпност, а не на обичайните практики за възлагане на подизпълнители;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5а.</w:t>
            </w:r>
            <w:r>
              <w:tab/>
            </w:r>
            <w:r>
              <w:rPr>
                <w:b/>
                <w:i/>
              </w:rPr>
              <w:t>отбелязва, че дължината и сложността на веригите от подизпълнители представляват значително предизвикателство за инспекциите по труда при установяването на правна отговорност в случай на неспазване на трудовото законодателство на ЕС и националното трудово законодателство;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5б.</w:t>
            </w:r>
            <w:r>
              <w:tab/>
            </w:r>
            <w:r>
              <w:rPr>
                <w:b/>
                <w:i/>
              </w:rPr>
              <w:t>посочва, че определението за „работодател“ в ситуация, включваща верига от подизпълнители, е дадено в решението на Съда на Европейския съюз от 16 юли 2020 г. по дело AFMB Ltd e.a. срещу Raad van bestuur van de Sociale verzekeringsbank, в което се посочва, че работодателят е дружеството, което упражнява ефективни правомощия по отношение на работника, носи съответната отговорност за заплатите и разполага с ефективно правомощие да го уволнява, а не дружеството, с което този работник е сключил трудов договор и което е представено формално в този договор като работодател на този работник;</w:t>
            </w:r>
            <w:r>
              <w:t xml:space="preserve"> </w:t>
            </w:r>
            <w:r>
              <w:rPr>
                <w:b/>
                <w:i/>
              </w:rPr>
              <w:t>призовава Комисията да приложи това определение в бъдещата директива;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5б.</w:t>
            </w:r>
            <w:r>
              <w:tab/>
            </w:r>
            <w:r>
              <w:rPr>
                <w:b/>
                <w:i/>
              </w:rPr>
              <w:t>призовава Комисията и държавите членки да гарантират, че във високорискови сектори като строителството, селското стопанство и транспорта насърчаването на пряката заетост е придружено от ясни изисквания за устойчиви производствени методи и благоприятни за климата практики, включително използването на енергийно ефективни материали, намалени емисии и отговорно управление на отпадъците;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5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5в.</w:t>
            </w:r>
            <w:r>
              <w:tab/>
            </w:r>
            <w:r>
              <w:rPr>
                <w:b/>
                <w:i/>
              </w:rPr>
              <w:t>подчертава, че жените и групите в уязвимо положение са непропорционално представени в дейностите, възлагани на подизпълнители и чрез посредничество, особено в секторите на грижите, почистването и хотелиерството;</w:t>
            </w:r>
            <w:r>
              <w:t xml:space="preserve"> </w:t>
            </w:r>
            <w:r>
              <w:rPr>
                <w:b/>
                <w:i/>
              </w:rPr>
              <w:t>призовава Комисията и държавите членки да включат във всяка нова рамка разпоредби, отчитащи аспектите на пола;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призовава Комисията, в съответствие с доклада Лета, да направи преглед на предизвикателствата, свързани с правоприлагането, и да предприеме подходяща инициатива за отстраняване на установените </w:t>
            </w:r>
            <w:r>
              <w:rPr>
                <w:b/>
                <w:i/>
              </w:rPr>
              <w:t>законодателни</w:t>
            </w:r>
            <w:r>
              <w:t xml:space="preserve"> пропуски;</w:t>
            </w:r>
          </w:p>
        </w:tc>
        <w:tc>
          <w:tcPr>
            <w:tcW w:w="4876" w:type="dxa"/>
            <w:tcBorders>
              <w:top w:val="nil"/>
              <w:left w:val="nil"/>
              <w:bottom w:val="nil"/>
              <w:right w:val="nil"/>
            </w:tcBorders>
          </w:tcPr>
          <w:p>
            <w:pPr>
              <w:pStyle w:val="Normal6a"/>
            </w:pPr>
            <w:r>
              <w:t>6.</w:t>
            </w:r>
            <w:r>
              <w:tab/>
            </w:r>
            <w:r>
              <w:t xml:space="preserve">изразява загриженост относно </w:t>
            </w:r>
            <w:r>
              <w:rPr>
                <w:b/>
                <w:i/>
              </w:rPr>
              <w:t>злоупотребите и</w:t>
            </w:r>
            <w:r>
              <w:t xml:space="preserve"> липсата на правна яснота по отношение на разграничението между действително и измамно командироване на граждани на трети държави</w:t>
            </w:r>
            <w:r>
              <w:rPr>
                <w:b/>
                <w:i/>
              </w:rPr>
              <w:t>, тъй като правилата на ЕС относно предоставянето на услуги все повече се използват за заобикаляне на националните правила в областта на труда и миграцията в държавите членки, приемащи командировани работници</w:t>
            </w:r>
            <w:r>
              <w:t xml:space="preserve">; призовава Комисията, в съответствие с доклада Лета, да направи преглед на предизвикателствата, свързани с правоприлагането, и да предприеме подходяща инициатива за отстраняване на установените пропуски </w:t>
            </w:r>
            <w:r>
              <w:rPr>
                <w:b/>
                <w:i/>
              </w:rPr>
              <w:t>в трансграничното сътрудничество и прилагане на законодателството, така че да се гарантира равното третиране на командированите работници - граждани на трети държави, и да се предотвратят незаконните командировки без реална връзка с изпращащата държава членка</w:t>
            </w:r>
            <w:r>
              <w:t xml:space="preserve">; </w:t>
            </w:r>
            <w:r>
              <w:rPr>
                <w:b/>
                <w:i/>
              </w:rPr>
              <w:t>призовава Комисията да разгледа трансграничните злоупотреби с Директивата относно работа чрез агенции за временна заетост (2008/104), по-специално в контекста на командироването;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изразява загриженост относно липсата на правна яснота по отношение на разграничението между </w:t>
            </w:r>
            <w:r>
              <w:rPr>
                <w:b/>
                <w:i/>
              </w:rPr>
              <w:t>действително и измамно</w:t>
            </w:r>
            <w:r>
              <w:t xml:space="preserve"> командироване на граждани на трети държави; призовава Комисията, в съответствие с доклада Лета, да направи преглед на </w:t>
            </w:r>
            <w:r>
              <w:rPr>
                <w:b/>
                <w:i/>
              </w:rPr>
              <w:t>предизвикателствата, свързани с правоприлагането,</w:t>
            </w:r>
            <w:r>
              <w:t xml:space="preserve"> и да предприеме </w:t>
            </w:r>
            <w:r>
              <w:rPr>
                <w:b/>
                <w:i/>
              </w:rPr>
              <w:t>подходяща инициатива за отстраняване на установените законодателни пропуски</w:t>
            </w:r>
            <w:r>
              <w:t>;</w:t>
            </w:r>
          </w:p>
        </w:tc>
        <w:tc>
          <w:tcPr>
            <w:tcW w:w="4876" w:type="dxa"/>
            <w:tcBorders>
              <w:top w:val="nil"/>
              <w:left w:val="nil"/>
              <w:bottom w:val="nil"/>
              <w:right w:val="nil"/>
            </w:tcBorders>
          </w:tcPr>
          <w:p>
            <w:pPr>
              <w:pStyle w:val="Normal6a"/>
            </w:pPr>
            <w:r>
              <w:t>6.</w:t>
            </w:r>
            <w:r>
              <w:tab/>
            </w:r>
            <w:r>
              <w:t xml:space="preserve">изразява загриженост относно липсата на правна яснота по отношение на разграничението между </w:t>
            </w:r>
            <w:r>
              <w:rPr>
                <w:b/>
                <w:i/>
              </w:rPr>
              <w:t>действителни и измамни ситуации на</w:t>
            </w:r>
            <w:r>
              <w:t xml:space="preserve"> командироване на граждани на трети държави </w:t>
            </w:r>
            <w:r>
              <w:rPr>
                <w:b/>
                <w:i/>
              </w:rPr>
              <w:t>в резултат на неадекватно прилагане и прозрачност</w:t>
            </w:r>
            <w:r>
              <w:t xml:space="preserve">; призовава Комисията, в съответствие с доклада Лета, да направи преглед на </w:t>
            </w:r>
            <w:r>
              <w:rPr>
                <w:b/>
                <w:i/>
              </w:rPr>
              <w:t>свързаните с това предизвикателства</w:t>
            </w:r>
            <w:r>
              <w:t xml:space="preserve"> и да предприеме </w:t>
            </w:r>
            <w:r>
              <w:rPr>
                <w:b/>
                <w:i/>
              </w:rPr>
              <w:t>подходящи мерки, като например засилване на сътрудничеството между държавите членки и Европол в борбата с престъпните организации, които използват правилата за командироване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Евелин Регнер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призовава Комисията, в съответствие с доклада Лета, да направи преглед на предизвикателствата, свързани с правоприлагането, и да предприеме подходяща инициатива за отстраняване на установените законодателни пропуски;</w:t>
            </w:r>
          </w:p>
        </w:tc>
        <w:tc>
          <w:tcPr>
            <w:tcW w:w="4876" w:type="dxa"/>
            <w:tcBorders>
              <w:top w:val="nil"/>
              <w:left w:val="nil"/>
              <w:bottom w:val="nil"/>
              <w:right w:val="nil"/>
            </w:tcBorders>
          </w:tcPr>
          <w:p>
            <w:pPr>
              <w:pStyle w:val="Normal6a"/>
            </w:pPr>
            <w:r>
              <w:t>6.</w:t>
            </w:r>
            <w:r>
              <w:tab/>
            </w:r>
            <w:r>
              <w:t>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призовава Комисията, в съответствие с доклада Лета, да направи преглед на предизвикателствата, свързани с правоприлагането, и да предприеме подходяща инициатива за отстраняване на установените законодателни пропуски</w:t>
            </w:r>
            <w:r>
              <w:rPr>
                <w:b/>
                <w:i/>
              </w:rPr>
              <w:t>, като, наред с другото, изключи „избелването“ в случай на повече от две нарушения на социалното и трудовото право, допълнено от давностен срок от три години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призовава Комисията, в съответствие с доклада Лета, да направи преглед на предизвикателствата, свързани с правоприлагането, и да предприеме подходяща инициатива за отстраняване на установените законодателни пропуски;</w:t>
            </w:r>
          </w:p>
        </w:tc>
        <w:tc>
          <w:tcPr>
            <w:tcW w:w="4876" w:type="dxa"/>
            <w:tcBorders>
              <w:top w:val="nil"/>
              <w:left w:val="nil"/>
              <w:bottom w:val="nil"/>
              <w:right w:val="nil"/>
            </w:tcBorders>
          </w:tcPr>
          <w:p>
            <w:pPr>
              <w:pStyle w:val="Normal6a"/>
            </w:pPr>
            <w:r>
              <w:t>6.</w:t>
            </w:r>
            <w:r>
              <w:tab/>
            </w:r>
            <w:r>
              <w:t>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w:t>
            </w:r>
            <w:r>
              <w:rPr>
                <w:b/>
                <w:i/>
              </w:rPr>
              <w:t>;</w:t>
            </w:r>
            <w:r>
              <w:t xml:space="preserve"> </w:t>
            </w:r>
            <w:r>
              <w:rPr>
                <w:b/>
                <w:i/>
              </w:rPr>
              <w:t>подчертава, че измамните командировки подкопават социалната структура на единния пазар и използват положението на най-уязвимите</w:t>
            </w:r>
            <w:r>
              <w:t>; призовава Комисията, в съответствие с доклада Лета, да направи преглед на предизвикателствата, свързани с правоприлагането, и да предприеме подходяща инициатива за отстраняване на установените законодателни пропуски;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призовава Комисията, в съответствие с доклада Лета, да направи преглед на предизвикателствата, свързани с правоприлагането, и да </w:t>
            </w:r>
            <w:r>
              <w:rPr>
                <w:b/>
                <w:i/>
              </w:rPr>
              <w:t>предприеме подходяща инициатива</w:t>
            </w:r>
            <w:r>
              <w:t xml:space="preserve"> за отстраняване на установените законодателни пропуски;</w:t>
            </w:r>
          </w:p>
        </w:tc>
        <w:tc>
          <w:tcPr>
            <w:tcW w:w="4876" w:type="dxa"/>
            <w:tcBorders>
              <w:top w:val="nil"/>
              <w:left w:val="nil"/>
              <w:bottom w:val="nil"/>
              <w:right w:val="nil"/>
            </w:tcBorders>
          </w:tcPr>
          <w:p>
            <w:pPr>
              <w:pStyle w:val="Normal6a"/>
            </w:pPr>
            <w:r>
              <w:t>6.</w:t>
            </w:r>
            <w:r>
              <w:tab/>
            </w:r>
            <w:r>
              <w:t xml:space="preserve">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призовава Комисията, в съответствие с доклада Лета, да направи преглед на предизвикателствата, свързани с правоприлагането, и да </w:t>
            </w:r>
            <w:r>
              <w:rPr>
                <w:b/>
                <w:i/>
              </w:rPr>
              <w:t>представи своите заключения на държавите членки, така че те да могат да предприемат необходимите инициативи</w:t>
            </w:r>
            <w:r>
              <w:t xml:space="preserve"> за отстраняване на установените законодателни пропуски </w:t>
            </w:r>
            <w:r>
              <w:rPr>
                <w:b/>
                <w:i/>
              </w:rPr>
              <w:t>в своето съответно национално законодателство</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изразява загриженост относно </w:t>
            </w:r>
            <w:r>
              <w:rPr>
                <w:b/>
                <w:i/>
              </w:rPr>
              <w:t>липсата на правна яснота по отношение на</w:t>
            </w:r>
            <w:r>
              <w:t xml:space="preserve"> разграничението между действително и измамно командироване на граждани на трети държави; </w:t>
            </w:r>
            <w:r>
              <w:rPr>
                <w:b/>
                <w:i/>
              </w:rPr>
              <w:t>призовава Комисията, в съответствие с доклада Лета, да направи преглед на предизвикателствата, свързани с правоприлагането, и да предприеме подходяща инициатива за отстраняване на установените законодателни пропуски</w:t>
            </w:r>
            <w:r>
              <w:t>;</w:t>
            </w:r>
          </w:p>
        </w:tc>
        <w:tc>
          <w:tcPr>
            <w:tcW w:w="4876" w:type="dxa"/>
            <w:tcBorders>
              <w:top w:val="nil"/>
              <w:left w:val="nil"/>
              <w:bottom w:val="nil"/>
              <w:right w:val="nil"/>
            </w:tcBorders>
          </w:tcPr>
          <w:p>
            <w:pPr>
              <w:pStyle w:val="Normal6a"/>
            </w:pPr>
            <w:r>
              <w:t>6.</w:t>
            </w:r>
            <w:r>
              <w:tab/>
            </w:r>
            <w:r>
              <w:t xml:space="preserve">изразява загриженост относно разграничението между действително и измамно командироване на граждани на трети държави; </w:t>
            </w:r>
            <w:r>
              <w:rPr>
                <w:b/>
                <w:i/>
              </w:rPr>
              <w:t>подчертава, че решенията по отношение на тази диференциация трябва да зачитат националните компетентности в областта на миграцията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призовава Комисията, в съответствие с доклада Лета, да направи преглед на предизвикателствата, свързани с правоприлагането, </w:t>
            </w:r>
            <w:r>
              <w:rPr>
                <w:b/>
                <w:i/>
              </w:rPr>
              <w:t>и да предприеме подходяща инициатива за отстраняване на установените законодателни пропуски</w:t>
            </w:r>
            <w:r>
              <w:t>;</w:t>
            </w:r>
          </w:p>
        </w:tc>
        <w:tc>
          <w:tcPr>
            <w:tcW w:w="4876" w:type="dxa"/>
            <w:tcBorders>
              <w:top w:val="nil"/>
              <w:left w:val="nil"/>
              <w:bottom w:val="nil"/>
              <w:right w:val="nil"/>
            </w:tcBorders>
          </w:tcPr>
          <w:p>
            <w:pPr>
              <w:pStyle w:val="Normal6a"/>
            </w:pPr>
            <w:r>
              <w:t>6.</w:t>
            </w:r>
            <w:r>
              <w:tab/>
            </w:r>
            <w:r>
              <w:t xml:space="preserve">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призовава Комисията, в съответствие с доклада Лета, да направи преглед на предизвикателствата, свързани с правоприлагането, </w:t>
            </w:r>
            <w:r>
              <w:rPr>
                <w:b/>
                <w:i/>
              </w:rPr>
              <w:t>като същевременно зачита общото заключение на доклада Лета за повишаване на конкурентоспособността на единния пазар</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Елена Донацан, Киара Гема, Мариятереза Вивалдини, Франческо Торсели, Марлена Малонг, Косма Злотовски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призовава Комисията, в съответствие с доклада Лета, да направи преглед на предизвикателствата, свързани с правоприлагането, и да предприеме подходяща </w:t>
            </w:r>
            <w:r>
              <w:rPr>
                <w:b/>
                <w:i/>
              </w:rPr>
              <w:t>инициатива за отстраняване на установените законодателни пропуски</w:t>
            </w:r>
            <w:r>
              <w:t>;</w:t>
            </w:r>
          </w:p>
        </w:tc>
        <w:tc>
          <w:tcPr>
            <w:tcW w:w="4876" w:type="dxa"/>
            <w:tcBorders>
              <w:top w:val="nil"/>
              <w:left w:val="nil"/>
              <w:bottom w:val="nil"/>
              <w:right w:val="nil"/>
            </w:tcBorders>
          </w:tcPr>
          <w:p>
            <w:pPr>
              <w:pStyle w:val="Normal6a"/>
            </w:pPr>
            <w:r>
              <w:t>6.</w:t>
            </w:r>
            <w:r>
              <w:tab/>
            </w:r>
            <w:r>
              <w:t xml:space="preserve">изразява загриженост относно липсата на правна яснота по отношение на разграничението между действително и измамно командироване на граждани на трети държави </w:t>
            </w:r>
            <w:r>
              <w:rPr>
                <w:b/>
                <w:i/>
              </w:rPr>
              <w:t>в резултат на неадекватно прилагане и липса на прозрачност</w:t>
            </w:r>
            <w:r>
              <w:t xml:space="preserve">; призовава Комисията, в съответствие с доклада Лета, да направи преглед на предизвикателствата, свързани с правоприлагането, и да предприеме подходяща </w:t>
            </w:r>
            <w:r>
              <w:rPr>
                <w:b/>
                <w:i/>
              </w:rPr>
              <w:t>мерки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6а.</w:t>
            </w:r>
            <w:r>
              <w:tab/>
            </w:r>
            <w:r>
              <w:rPr>
                <w:b/>
                <w:i/>
              </w:rPr>
              <w:t>подчертава, че в случай че на работник се предоставя настаняване от работодател, включително подизпълнител, от посредник на пазара на труда или от друго лице, условията за настаняване трябва да отговарят на настоящите стандарти за качество и на принципите на недискриминация и пропорционалност, особено по отношение на разходите за работника;</w:t>
            </w:r>
            <w:r>
              <w:t xml:space="preserve"> </w:t>
            </w:r>
            <w:r>
              <w:rPr>
                <w:b/>
                <w:i/>
              </w:rPr>
              <w:t>подчертава освен това, че договорните разпоредби, уреждащи жилищното настаняване на работниците, трябва да бъдат правно отделени от трудовия договор, за да се ограничи зависимостта и да се гарантира, че прекратяването на единия договор не води незабавно до прекратяване на другия договор;</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6а.</w:t>
            </w:r>
            <w:r>
              <w:tab/>
            </w:r>
            <w:r>
              <w:rPr>
                <w:b/>
                <w:i/>
              </w:rPr>
              <w:t>отбелязва, че съществува специално законодателство, уреждащо възлагането на подизпълнители в гражданското въздухоплаване, включително наемането на въздухоплавателни средства, екипажи, поддръжка и застраховане, известно също като „мокър лизинг“;</w:t>
            </w:r>
            <w:r>
              <w:t xml:space="preserve"> </w:t>
            </w:r>
            <w:r>
              <w:rPr>
                <w:b/>
                <w:i/>
              </w:rPr>
              <w:t>отбелязва, че използването на „мокър лизинг“ се е увеличило, включително извън предвидената му употреба за запълване на капацитета по време на пикове;</w:t>
            </w:r>
            <w:r>
              <w:t xml:space="preserve"> </w:t>
            </w:r>
            <w:r>
              <w:rPr>
                <w:b/>
                <w:i/>
              </w:rPr>
              <w:t>призовава Комисията да разгледа проблемите, свързани с „мокрия лизинг“, при предстоящото преразглеждане на Регламента за въздухоплавателните услуги (1008/2008);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Паскал Аримон, Мириам Лексман, Ангелика Винциг, Раул Де Ла Ос Кинтано, Реджина Дохърти, Йорген Варборн, Арба Кокалари,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6а.</w:t>
            </w:r>
            <w:r>
              <w:tab/>
            </w:r>
            <w:r>
              <w:rPr>
                <w:b/>
                <w:i/>
              </w:rPr>
              <w:t>подчертава, че вече съществуват силни механизми за регулиране и осигуряване на изпълнението в областта на командироването, и подчертава необходимостта от ангажиране на държавите членки, за да се гарантира ефективно прилагане и изпълнение;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6а.</w:t>
            </w:r>
            <w:r>
              <w:tab/>
            </w:r>
            <w:r>
              <w:rPr>
                <w:b/>
                <w:i/>
              </w:rPr>
              <w:t>подчертава необходимостта да се гарантира, че подизпълнителите и посредниците на пазара на труда зачитат и гарантират правата на информиране и консултиране на работниците;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подчертава необходимостта от по-добро регулиране на посредниците на пазара на труда; призовава Комисията да гарантира, че трудовите посредници, извършващи дейност в ЕС, са обхванати от схеми за регистрация и лицензиране, и да забрани, в съответствие с Конвенция № 181 на МОТ, на трудовите посредници да начисляват пряко или непряко, изцяло или частично каквито и да било такси или разходи за работниците;</w:t>
            </w:r>
          </w:p>
        </w:tc>
        <w:tc>
          <w:tcPr>
            <w:tcW w:w="4876" w:type="dxa"/>
            <w:tcBorders>
              <w:top w:val="nil"/>
              <w:left w:val="nil"/>
              <w:bottom w:val="nil"/>
              <w:right w:val="nil"/>
            </w:tcBorders>
          </w:tcPr>
          <w:p>
            <w:pPr>
              <w:pStyle w:val="Normal6a"/>
            </w:pPr>
            <w:r>
              <w:t>7.</w:t>
            </w:r>
            <w:r>
              <w:tab/>
            </w:r>
            <w:r>
              <w:t xml:space="preserve">подчертава необходимостта от по-добро регулиране на посредниците на пазара на труда; призовава Комисията да гарантира, че трудовите посредници, извършващи дейност в ЕС, са обхванати от схеми за регистрация и лицензиране, и да забрани, в съответствие с Конвенция № 181 на МОТ, на трудовите посредници да начисляват пряко или непряко, изцяло или частично каквито и да било такси или разходи за работниците; </w:t>
            </w:r>
            <w:r>
              <w:rPr>
                <w:b/>
                <w:i/>
              </w:rPr>
              <w:t>подчертава, че одобрението следва да бъде обвързано с минимални критерии за почтеност, включително посредникът или неговите директори да не са били осъждани за тежки или повтарящи се нарушения на трудовите стандарти или за престъпления, свързани с експлоататорски условия на труд;</w:t>
            </w:r>
            <w:r>
              <w:t xml:space="preserve"> </w:t>
            </w:r>
            <w:r>
              <w:rPr>
                <w:b/>
                <w:i/>
              </w:rPr>
              <w:t>освен това призовава за трансграничен достъп до националните регистри на одобрените трудови посредници и за минимални критерии за почтеност за предоставяне на одобрение;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подчертава необходимостта от по-добро регулиране на посредниците на пазара на труда; призовава Комисията да гарантира, че трудовите посредници</w:t>
            </w:r>
            <w:r>
              <w:rPr>
                <w:b/>
                <w:i/>
              </w:rPr>
              <w:t>, извършващи дейност в ЕС, са обхванати от схеми за регистрация и лицензиране</w:t>
            </w:r>
            <w:r>
              <w:t xml:space="preserve">, и да забрани, в съответствие с Конвенция </w:t>
            </w:r>
            <w:r>
              <w:rPr>
                <w:b/>
                <w:i/>
              </w:rPr>
              <w:t>№ 181 на МОТ</w:t>
            </w:r>
            <w:r>
              <w:t>, на трудовите посредници да начисляват пряко или непряко, изцяло или частично каквито и да било такси или разходи за работниците;</w:t>
            </w:r>
          </w:p>
        </w:tc>
        <w:tc>
          <w:tcPr>
            <w:tcW w:w="4876" w:type="dxa"/>
            <w:tcBorders>
              <w:top w:val="nil"/>
              <w:left w:val="nil"/>
              <w:bottom w:val="nil"/>
              <w:right w:val="nil"/>
            </w:tcBorders>
          </w:tcPr>
          <w:p>
            <w:pPr>
              <w:pStyle w:val="Normal6a"/>
            </w:pPr>
            <w:r>
              <w:t>7.</w:t>
            </w:r>
            <w:r>
              <w:tab/>
            </w:r>
            <w:r>
              <w:t>подчертава необходимостта от по-добро регулиране на посредниците на пазара на труда</w:t>
            </w:r>
            <w:r>
              <w:rPr>
                <w:b/>
                <w:i/>
              </w:rPr>
              <w:t>, включително чрез определяне на различни категории</w:t>
            </w:r>
            <w:r>
              <w:t xml:space="preserve">; призовава Комисията да гарантира </w:t>
            </w:r>
            <w:r>
              <w:rPr>
                <w:b/>
                <w:i/>
              </w:rPr>
              <w:t>в бъдещата директива</w:t>
            </w:r>
            <w:r>
              <w:t xml:space="preserve">, че трудовите посредници </w:t>
            </w:r>
            <w:r>
              <w:rPr>
                <w:b/>
                <w:i/>
              </w:rPr>
              <w:t>се определят като частни агенции за заетост, агенции за временна заетост или подизпълнители и следователно от тях се изисква да спазват съответните разпоредби, включително Конвенция № 181 на МОТ</w:t>
            </w:r>
            <w:r>
              <w:t xml:space="preserve">, и да забрани, в съответствие с </w:t>
            </w:r>
            <w:r>
              <w:rPr>
                <w:b/>
                <w:i/>
              </w:rPr>
              <w:t>тази</w:t>
            </w:r>
            <w:r>
              <w:t xml:space="preserve"> конвенция, на трудовите посредници да начисляват пряко или непряко, изцяло или частично каквито и да било такси или разходи за работниците</w:t>
            </w:r>
            <w:r>
              <w:rPr>
                <w:b/>
                <w:i/>
              </w:rPr>
              <w:t>, независимо от тяхната категория</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подчертава необходимостта от по-добро регулиране на посредниците на пазара на труда; призовава Комисията да гарантира, че трудовите посредници, извършващи дейност в ЕС, са обхванати от схеми за регистрация и лицензиране, и да забрани, в съответствие с Конвенция № 181 на МОТ, на трудовите посредници да начисляват пряко или непряко, изцяло или частично каквито и да било такси или разходи за работниците;</w:t>
            </w:r>
          </w:p>
        </w:tc>
        <w:tc>
          <w:tcPr>
            <w:tcW w:w="4876" w:type="dxa"/>
            <w:tcBorders>
              <w:top w:val="nil"/>
              <w:left w:val="nil"/>
              <w:bottom w:val="nil"/>
              <w:right w:val="nil"/>
            </w:tcBorders>
          </w:tcPr>
          <w:p>
            <w:pPr>
              <w:pStyle w:val="Normal6a"/>
            </w:pPr>
            <w:r>
              <w:t>7.</w:t>
            </w:r>
            <w:r>
              <w:tab/>
            </w:r>
            <w:r>
              <w:t xml:space="preserve">подчертава необходимостта от по-добро регулиране на посредниците на пазара на </w:t>
            </w:r>
            <w:r>
              <w:rPr>
                <w:b/>
                <w:i/>
              </w:rPr>
              <w:t>труда, за да се засилят тяхната отчетност, задълженията им за прозрачност и спазването на минималните изисквания и стандартите за качество в съответствие с Конвенция № 181 на МОТ относно частните агенции по</w:t>
            </w:r>
            <w:r>
              <w:t xml:space="preserve"> труда; призовава Комисията да гарантира, че трудовите посредници, извършващи дейност в ЕС, са обхванати от схеми за регистрация и лицензиране, и да забрани, в съответствие с Конвенция № 181 на МОТ, на трудовите посредници да начисляват пряко или непряко, изцяло или частично каквито и да било такси или разходи за работниците;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подчертава необходимостта от по-добро регулиране на посредниците на пазара на труда</w:t>
            </w:r>
            <w:r>
              <w:rPr>
                <w:b/>
                <w:i/>
              </w:rPr>
              <w:t>;</w:t>
            </w:r>
            <w:r>
              <w:t xml:space="preserve"> </w:t>
            </w:r>
            <w:r>
              <w:rPr>
                <w:b/>
                <w:i/>
              </w:rPr>
              <w:t>призовава Комисията да гарантира, че трудовите посредници, извършващи дейност в ЕС, са обхванати от схеми</w:t>
            </w:r>
            <w:r>
              <w:t xml:space="preserve"> за регистрация и лицензиране, </w:t>
            </w:r>
            <w:r>
              <w:rPr>
                <w:b/>
                <w:i/>
              </w:rPr>
              <w:t>и да забрани, в съответствие с Конвенция № 181 на МОТ, на трудовите посредници да начисляват пряко или непряко, изцяло или частично каквито и да било такси или разходи за</w:t>
            </w:r>
            <w:r>
              <w:t xml:space="preserve"> работниците;</w:t>
            </w:r>
          </w:p>
        </w:tc>
        <w:tc>
          <w:tcPr>
            <w:tcW w:w="4876" w:type="dxa"/>
            <w:tcBorders>
              <w:top w:val="nil"/>
              <w:left w:val="nil"/>
              <w:bottom w:val="nil"/>
              <w:right w:val="nil"/>
            </w:tcBorders>
          </w:tcPr>
          <w:p>
            <w:pPr>
              <w:pStyle w:val="Normal6a"/>
            </w:pPr>
            <w:r>
              <w:t>7.</w:t>
            </w:r>
            <w:r>
              <w:tab/>
            </w:r>
            <w:r>
              <w:t>подчертава необходимостта от по-добро регулиране на посредниците на пазара на труда</w:t>
            </w:r>
            <w:r>
              <w:rPr>
                <w:b/>
                <w:i/>
              </w:rPr>
              <w:t>, включително схемите</w:t>
            </w:r>
            <w:r>
              <w:t xml:space="preserve"> за регистрация и лицензиране, </w:t>
            </w:r>
            <w:r>
              <w:rPr>
                <w:b/>
                <w:i/>
              </w:rPr>
              <w:t>както и таксите или разходите, поемани от</w:t>
            </w:r>
            <w:r>
              <w:t xml:space="preserve"> работниците;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Ангелика Винциг, Раул Де Ла Ос Кинтано, Реджина Дохърти, Йорген Варборн, Арба Кокалари,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подчертава необходимостта от по-добро регулиране на посредниците на пазара на труда;</w:t>
            </w:r>
            <w:r>
              <w:t xml:space="preserve"> призовава Комисията да </w:t>
            </w:r>
            <w:r>
              <w:rPr>
                <w:b/>
                <w:i/>
              </w:rPr>
              <w:t>гарантира, че</w:t>
            </w:r>
            <w:r>
              <w:t xml:space="preserve"> трудовите посредници, извършващи дейност в ЕС, </w:t>
            </w:r>
            <w:r>
              <w:rPr>
                <w:b/>
                <w:i/>
              </w:rPr>
              <w:t>са обхванати от схеми за регистрация и</w:t>
            </w:r>
            <w:r>
              <w:t xml:space="preserve"> лицензиране</w:t>
            </w:r>
            <w:r>
              <w:rPr>
                <w:b/>
                <w:i/>
              </w:rPr>
              <w:t>, и да забрани, в съответствие с Конвенция № 181 на МОТ, на трудовите посредници да начисляват пряко или непряко, изцяло или частично каквито и да било такси или разходи за работниците</w:t>
            </w:r>
            <w:r>
              <w:t>;</w:t>
            </w:r>
          </w:p>
        </w:tc>
        <w:tc>
          <w:tcPr>
            <w:tcW w:w="4876" w:type="dxa"/>
            <w:tcBorders>
              <w:top w:val="nil"/>
              <w:left w:val="nil"/>
              <w:bottom w:val="nil"/>
              <w:right w:val="nil"/>
            </w:tcBorders>
          </w:tcPr>
          <w:p>
            <w:pPr>
              <w:pStyle w:val="Normal6a"/>
            </w:pPr>
            <w:r>
              <w:t>7.</w:t>
            </w:r>
            <w:r>
              <w:tab/>
            </w:r>
            <w:r>
              <w:t xml:space="preserve">призовава Комисията да </w:t>
            </w:r>
            <w:r>
              <w:rPr>
                <w:b/>
                <w:i/>
              </w:rPr>
              <w:t>проучи дали съществуват национални практики или законодателство относно функционирането на</w:t>
            </w:r>
            <w:r>
              <w:t xml:space="preserve"> трудовите посредници, извършващи дейност в ЕС, </w:t>
            </w:r>
            <w:r>
              <w:rPr>
                <w:b/>
                <w:i/>
              </w:rPr>
              <w:t>и въздействието на тези практики по отношение на схемите за</w:t>
            </w:r>
            <w:r>
              <w:t xml:space="preserve"> лицензиране;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подчертава необходимостта от </w:t>
            </w:r>
            <w:r>
              <w:rPr>
                <w:b/>
                <w:i/>
              </w:rPr>
              <w:t>по-добро регулиране на</w:t>
            </w:r>
            <w:r>
              <w:t xml:space="preserve"> посредниците на пазара на труда; призовава Комисията да гарантира, че трудовите посредници, извършващи дейност в ЕС, са обхванати от схеми за регистрация и лицензиране, и да забрани, в съответствие с Конвенция № 181 на МОТ, на трудовите посредници да начисляват пряко или непряко, изцяло или частично каквито и да било такси или разходи за работниците;</w:t>
            </w:r>
          </w:p>
        </w:tc>
        <w:tc>
          <w:tcPr>
            <w:tcW w:w="4876" w:type="dxa"/>
            <w:tcBorders>
              <w:top w:val="nil"/>
              <w:left w:val="nil"/>
              <w:bottom w:val="nil"/>
              <w:right w:val="nil"/>
            </w:tcBorders>
          </w:tcPr>
          <w:p>
            <w:pPr>
              <w:pStyle w:val="Normal6a"/>
            </w:pPr>
            <w:r>
              <w:t>7.</w:t>
            </w:r>
            <w:r>
              <w:tab/>
            </w:r>
            <w:r>
              <w:t xml:space="preserve">подчертава необходимостта от </w:t>
            </w:r>
            <w:r>
              <w:rPr>
                <w:b/>
                <w:i/>
              </w:rPr>
              <w:t>подобряване на правната рамка, в която действат</w:t>
            </w:r>
            <w:r>
              <w:t xml:space="preserve"> посредниците на пазара на труда; призовава Комисията да гарантира, че трудовите посредници, извършващи дейност в ЕС, са обхванати от схеми за регистрация и лицензиране, и да забрани, в съответствие с Конвенция № 181 на МОТ, на трудовите посредници да начисляват пряко или непряко, изцяло или частично каквито и да било такси или разходи за работниците;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7а.</w:t>
            </w:r>
            <w:r>
              <w:tab/>
            </w:r>
            <w:r>
              <w:rPr>
                <w:b/>
                <w:i/>
              </w:rPr>
              <w:t>подчертава, че наетите от подизпълнители и командированите работници са изложени на непропорционални рискове за здравословните и безопасни условия на труд поради фрагментираните вериги на отговорност и неясната координация, особено в строителния сектор;</w:t>
            </w:r>
            <w:r>
              <w:t xml:space="preserve"> </w:t>
            </w:r>
            <w:r>
              <w:rPr>
                <w:b/>
                <w:i/>
              </w:rPr>
              <w:t>припомня Конвенцията на МОТ за безопасни и здравословни условия на труд в строителството;</w:t>
            </w:r>
            <w:r>
              <w:t xml:space="preserve"> </w:t>
            </w:r>
            <w:r>
              <w:rPr>
                <w:b/>
                <w:i/>
              </w:rPr>
              <w:t>призовава Комисията незабавно да издаде насоки и да стартира производства за установяване на неизпълнение на задължения, когато задълженията не се изпълняват;</w:t>
            </w:r>
            <w:r>
              <w:t xml:space="preserve"> </w:t>
            </w:r>
            <w:r>
              <w:rPr>
                <w:b/>
                <w:i/>
              </w:rPr>
              <w:t>призовава също така Комисията да оцени дали Директива 92/57/ЕИО обхваща по подходящ начин координацията в областта на здравословните и безопасни условия на труд по цялата верига при многостепенното възлагане на подизпълнители и ако това не е така, да предложи целенасочени корекции;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Лисбет Сомен, Паскал Аримон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7а.</w:t>
            </w:r>
            <w:r>
              <w:tab/>
            </w:r>
            <w:r>
              <w:rPr>
                <w:b/>
                <w:i/>
              </w:rPr>
              <w:t>подчертава необходимостта работниците да получават подходяща информация относно своите права и задължения и да засилят ролята на социалните партньори в разработването на инструменти и обучение за информиране на тези работници;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7а.</w:t>
            </w:r>
            <w:r>
              <w:tab/>
            </w:r>
            <w:r>
              <w:rPr>
                <w:b/>
                <w:i/>
              </w:rPr>
              <w:t>призовава Комисията да въведе създаването на национални регистри, в които всички посредници на пазара на труда да се регистрират в три ясно определени категории;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7а.</w:t>
            </w:r>
            <w:r>
              <w:tab/>
            </w:r>
            <w:r>
              <w:rPr>
                <w:b/>
                <w:i/>
              </w:rPr>
              <w:t>държавите членки създават публичен, оперативно съвместим регистър на лицензираните посредници, както и задължителното изключване на нарушителите от обществени поръчки/субсидии, с конфискация на незаконни печалби.</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7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7б.</w:t>
            </w:r>
            <w:r>
              <w:tab/>
            </w:r>
            <w:r>
              <w:rPr>
                <w:b/>
                <w:i/>
              </w:rPr>
              <w:t>призовава Комисията да гарантира, че индивидуалните и колективните данни на лицата, наети чрез верига от подизпълнители и чрез посредник на пазара на труда, са защитени, включително по време на проверките за идентифициране от страна на инспекциите по труда;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подчертава необходимостта от ефективни и добре обезпечени с ресурси системи за правоприлагане и контрол с цел борба с трудовата експлоатация;</w:t>
            </w:r>
            <w:r>
              <w:t xml:space="preserve"> </w:t>
            </w:r>
            <w:r>
              <w:rPr>
                <w:b/>
                <w:i/>
              </w:rPr>
              <w:t>приветства доклада на Комисията за оценка на ЕОТ и отново призовава</w:t>
            </w:r>
            <w:r>
              <w:rPr>
                <w:b/>
                <w:i/>
                <w:vertAlign w:val="superscript"/>
              </w:rPr>
              <w:t>12</w:t>
            </w:r>
            <w:r>
              <w:rPr>
                <w:b/>
                <w:i/>
              </w:rPr>
              <w:t>Комисията да укрепи мандата на ЕОТ;</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12</w:t>
            </w:r>
            <w:r>
              <w:t xml:space="preserve"> </w:t>
            </w:r>
            <w:r>
              <w:rPr>
                <w:b/>
                <w:i/>
              </w:rPr>
              <w:t>Резолюция от 18 януари 2024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подчертава необходимостта от ефективни и добре обезпечени с ресурси системи за правоприлагане и контрол с цел борба с трудовата експлоатация; приветства доклада на Комисията за оценка на ЕОТ и отново призовава</w:t>
            </w:r>
            <w:r>
              <w:rPr>
                <w:vertAlign w:val="superscript"/>
              </w:rPr>
              <w:t>12</w:t>
            </w:r>
            <w:r>
              <w:t>Комисията да укрепи мандата на ЕОТ;</w:t>
            </w:r>
          </w:p>
        </w:tc>
        <w:tc>
          <w:tcPr>
            <w:tcW w:w="4876" w:type="dxa"/>
            <w:tcBorders>
              <w:top w:val="nil"/>
              <w:left w:val="nil"/>
              <w:bottom w:val="nil"/>
              <w:right w:val="nil"/>
            </w:tcBorders>
          </w:tcPr>
          <w:p>
            <w:pPr>
              <w:pStyle w:val="Normal6a"/>
            </w:pPr>
            <w:r>
              <w:t>8.</w:t>
            </w:r>
            <w:r>
              <w:tab/>
            </w:r>
            <w:r>
              <w:t>подчертава необходимостта от ефективни и добре обезпечени с ресурси системи за правоприлагане и контрол с цел борба с трудовата експлоатация</w:t>
            </w:r>
            <w:r>
              <w:rPr>
                <w:b/>
                <w:i/>
              </w:rPr>
              <w:t>, при която е налице трансграничен контекст</w:t>
            </w:r>
            <w:r>
              <w:t>; приветства доклада на Комисията за оценка на ЕОТ и отново призовава</w:t>
            </w:r>
            <w:r>
              <w:rPr>
                <w:vertAlign w:val="superscript"/>
              </w:rPr>
              <w:t>12</w:t>
            </w:r>
            <w:r>
              <w:t xml:space="preserve"> Комисията да укрепи </w:t>
            </w:r>
            <w:r>
              <w:rPr>
                <w:b/>
                <w:i/>
              </w:rPr>
              <w:t>значително</w:t>
            </w:r>
            <w:r>
              <w:t xml:space="preserve"> мандата на ЕОТ</w:t>
            </w:r>
            <w:r>
              <w:rPr>
                <w:b/>
                <w:i/>
              </w:rPr>
              <w:t>, като му даде възможност да разследва предполагаеми нарушения или неприлагане на правото на ЕС и да започва и провежда разследвания и инспекции на трансгранични случаи по собствена инициатива, както и да разширява обхвата на мандата на Агенцията, така че да включва трудовата мобилност на граждани на трети държави</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12</w:t>
            </w:r>
            <w:r>
              <w:t xml:space="preserve"> </w:t>
            </w:r>
            <w:r>
              <w:t>Резолюция от 18 януари 2024 г.</w:t>
            </w:r>
          </w:p>
        </w:tc>
        <w:tc>
          <w:tcPr>
            <w:tcW w:w="4876" w:type="dxa"/>
            <w:tcBorders>
              <w:top w:val="nil"/>
              <w:left w:val="nil"/>
              <w:bottom w:val="nil"/>
              <w:right w:val="nil"/>
            </w:tcBorders>
          </w:tcPr>
          <w:p>
            <w:pPr>
              <w:pStyle w:val="Normal6a"/>
            </w:pPr>
            <w:r>
              <w:rPr>
                <w:vertAlign w:val="superscript"/>
              </w:rPr>
              <w:t>12</w:t>
            </w:r>
            <w:r>
              <w:t xml:space="preserve"> </w:t>
            </w:r>
            <w:r>
              <w:t>Резолюция от 18 януари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подчертава необходимостта от ефективни и добре обезпечени с ресурси системи за правоприлагане и контрол с цел борба с трудовата експлоатация; приветства доклада на Комисията за оценка на ЕОТ и отново призовава</w:t>
            </w:r>
            <w:r>
              <w:rPr>
                <w:b/>
                <w:i/>
                <w:vertAlign w:val="superscript"/>
              </w:rPr>
              <w:t>12</w:t>
            </w:r>
            <w:r>
              <w:t>Комисията да укрепи мандата на ЕОТ;</w:t>
            </w:r>
          </w:p>
        </w:tc>
        <w:tc>
          <w:tcPr>
            <w:tcW w:w="4876" w:type="dxa"/>
            <w:tcBorders>
              <w:top w:val="nil"/>
              <w:left w:val="nil"/>
              <w:bottom w:val="nil"/>
              <w:right w:val="nil"/>
            </w:tcBorders>
          </w:tcPr>
          <w:p>
            <w:pPr>
              <w:pStyle w:val="Normal6a"/>
            </w:pPr>
            <w:r>
              <w:t>8.</w:t>
            </w:r>
            <w:r>
              <w:tab/>
            </w:r>
            <w:r>
              <w:t xml:space="preserve">подчертава необходимостта от ефективни и добре обезпечени с ресурси системи за правоприлагане и контрол с цел борба с трудовата експлоатация; </w:t>
            </w:r>
            <w:r>
              <w:rPr>
                <w:b/>
                <w:i/>
              </w:rPr>
              <w:t>освен това подчертава, че системите за инспекция на труда следва да бъдат оборудвани за проверка на съответствието не само със социалните стандарти и стандартите в областта на заетостта, но и със стандартите в областта на околната среда и здравето на работното място, като се има предвид тяхното взаимосвързано въздействие върху благополучието на работниците;</w:t>
            </w:r>
            <w:r>
              <w:t xml:space="preserve"> приветства доклада на Комисията за оценка на ЕОТ и отново призовава Комисията да укрепи мандата на ЕОТ;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12</w:t>
            </w:r>
            <w:r>
              <w:t xml:space="preserve"> </w:t>
            </w:r>
            <w:r>
              <w:rPr>
                <w:b/>
                <w:i/>
              </w:rPr>
              <w:t>Резолюция от 18 януари 2024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подчертава необходимостта от ефективни и добре обезпечени с ресурси системи за правоприлагане и контрол с цел борба с трудовата експлоатация; приветства доклада на Комисията за оценка на ЕОТ и отново призовава</w:t>
            </w:r>
            <w:r>
              <w:rPr>
                <w:b/>
                <w:i/>
                <w:vertAlign w:val="superscript"/>
              </w:rPr>
              <w:t>12</w:t>
            </w:r>
            <w:r>
              <w:t>Комисията да укрепи мандата на ЕОТ;</w:t>
            </w:r>
          </w:p>
        </w:tc>
        <w:tc>
          <w:tcPr>
            <w:tcW w:w="4876" w:type="dxa"/>
            <w:tcBorders>
              <w:top w:val="nil"/>
              <w:left w:val="nil"/>
              <w:bottom w:val="nil"/>
              <w:right w:val="nil"/>
            </w:tcBorders>
          </w:tcPr>
          <w:p>
            <w:pPr>
              <w:pStyle w:val="Normal6a"/>
            </w:pPr>
            <w:r>
              <w:t>8.</w:t>
            </w:r>
            <w:r>
              <w:tab/>
            </w:r>
            <w:r>
              <w:t xml:space="preserve">подчертава необходимостта от ефективни и добре обезпечени с ресурси системи за правоприлагане и контрол с цел борба с трудовата експлоатация </w:t>
            </w:r>
            <w:r>
              <w:rPr>
                <w:b/>
                <w:i/>
              </w:rPr>
              <w:t>и насърчаване на лоялната конкуренция в рамките на единния пазар</w:t>
            </w:r>
            <w:r>
              <w:t xml:space="preserve">; приветства доклада на Комисията за оценка на ЕОТ и отново призовава Комисията да укрепи мандата на ЕОТ; </w:t>
            </w:r>
            <w:r>
              <w:rPr>
                <w:b/>
                <w:i/>
              </w:rPr>
              <w:t>призовава също така Комисията да засили мандата на Европол в това отношение;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12</w:t>
            </w:r>
            <w:r>
              <w:t xml:space="preserve"> </w:t>
            </w:r>
            <w:r>
              <w:rPr>
                <w:b/>
                <w:i/>
              </w:rPr>
              <w:t>Резолюция от 18 януари 2024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Лисбет Сомен, Паскал Аримон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подчертава необходимостта от ефективни и добре обезпечени с ресурси системи за правоприлагане и контрол с цел борба с трудовата експлоатация; приветства доклада на Комисията за оценка на ЕОТ и отново призовава</w:t>
            </w:r>
            <w:r>
              <w:rPr>
                <w:vertAlign w:val="superscript"/>
              </w:rPr>
              <w:t>12</w:t>
            </w:r>
            <w:r>
              <w:t>Комисията да укрепи мандата на ЕОТ;</w:t>
            </w:r>
          </w:p>
        </w:tc>
        <w:tc>
          <w:tcPr>
            <w:tcW w:w="4876" w:type="dxa"/>
            <w:tcBorders>
              <w:top w:val="nil"/>
              <w:left w:val="nil"/>
              <w:bottom w:val="nil"/>
              <w:right w:val="nil"/>
            </w:tcBorders>
          </w:tcPr>
          <w:p>
            <w:pPr>
              <w:pStyle w:val="Normal6a"/>
            </w:pPr>
            <w:r>
              <w:t>8.</w:t>
            </w:r>
            <w:r>
              <w:tab/>
            </w:r>
            <w:r>
              <w:t>подчертава необходимостта от ефективни и добре обезпечени с ресурси системи за правоприлагане и контрол с цел борба с трудовата експлоатация; приветства доклада на Комисията за оценка на ЕОТ и отново призовава</w:t>
            </w:r>
            <w:r>
              <w:rPr>
                <w:vertAlign w:val="superscript"/>
              </w:rPr>
              <w:t>12</w:t>
            </w:r>
            <w:r>
              <w:t xml:space="preserve"> Комисията да укрепи мандата на ЕОТ </w:t>
            </w:r>
            <w:r>
              <w:rPr>
                <w:b/>
                <w:i/>
              </w:rPr>
              <w:t>и да предостави на ЕОТ достатъчно ресурси за изпълнение на неговите задачи, по-специално проверки на място за откриване на нарушения на трудовото право</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12</w:t>
            </w:r>
            <w:r>
              <w:t xml:space="preserve"> </w:t>
            </w:r>
            <w:r>
              <w:t>Резолюция от 18 януари 2024 г.</w:t>
            </w:r>
          </w:p>
        </w:tc>
        <w:tc>
          <w:tcPr>
            <w:tcW w:w="4876" w:type="dxa"/>
            <w:tcBorders>
              <w:top w:val="nil"/>
              <w:left w:val="nil"/>
              <w:bottom w:val="nil"/>
              <w:right w:val="nil"/>
            </w:tcBorders>
          </w:tcPr>
          <w:p>
            <w:pPr>
              <w:pStyle w:val="Normal6a"/>
            </w:pPr>
            <w:r>
              <w:rPr>
                <w:vertAlign w:val="superscript"/>
              </w:rPr>
              <w:t>12</w:t>
            </w:r>
            <w:r>
              <w:t xml:space="preserve"> </w:t>
            </w:r>
            <w:r>
              <w:t>Резолюция от 18 януари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подчертава необходимостта от ефективни </w:t>
            </w:r>
            <w:r>
              <w:rPr>
                <w:b/>
                <w:i/>
              </w:rPr>
              <w:t>и добре обезпечени с ресурси</w:t>
            </w:r>
            <w:r>
              <w:t xml:space="preserve"> системи за правоприлагане и контрол с цел борба с трудовата експлоатация; </w:t>
            </w:r>
            <w:r>
              <w:rPr>
                <w:b/>
                <w:i/>
              </w:rPr>
              <w:t>приветства доклада на Комисията за оценка на ЕОТ и отново</w:t>
            </w:r>
            <w:r>
              <w:t xml:space="preserve"> призовава</w:t>
            </w:r>
            <w:r>
              <w:rPr>
                <w:b/>
                <w:i/>
                <w:vertAlign w:val="superscript"/>
              </w:rPr>
              <w:t>12</w:t>
            </w:r>
            <w:r>
              <w:t xml:space="preserve">Комисията да </w:t>
            </w:r>
            <w:r>
              <w:rPr>
                <w:b/>
                <w:i/>
              </w:rPr>
              <w:t>укрепи</w:t>
            </w:r>
            <w:r>
              <w:t xml:space="preserve"> мандата на ЕОТ;</w:t>
            </w:r>
          </w:p>
        </w:tc>
        <w:tc>
          <w:tcPr>
            <w:tcW w:w="4876" w:type="dxa"/>
            <w:tcBorders>
              <w:top w:val="nil"/>
              <w:left w:val="nil"/>
              <w:bottom w:val="nil"/>
              <w:right w:val="nil"/>
            </w:tcBorders>
          </w:tcPr>
          <w:p>
            <w:pPr>
              <w:pStyle w:val="Normal6a"/>
            </w:pPr>
            <w:r>
              <w:t>8.</w:t>
            </w:r>
            <w:r>
              <w:tab/>
            </w:r>
            <w:r>
              <w:t xml:space="preserve">подчертава необходимостта от ефективни системи за правоприлагане и контрол с цел борба с трудовата експлоатация; призовава Комисията да </w:t>
            </w:r>
            <w:r>
              <w:rPr>
                <w:b/>
                <w:i/>
              </w:rPr>
              <w:t>не укрепва</w:t>
            </w:r>
            <w:r>
              <w:t xml:space="preserve"> мандата на ЕОТ;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12</w:t>
            </w:r>
            <w:r>
              <w:t xml:space="preserve"> </w:t>
            </w:r>
            <w:r>
              <w:rPr>
                <w:b/>
                <w:i/>
              </w:rPr>
              <w:t>Резолюция от 18 януари 2024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Елена Донацан, Киара Гема, Мариятереза Вивалдини, Франческо Торсели, Марлена Малонг, Косма Злотовски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подчертава необходимостта от ефективни и добре обезпечени с ресурси системи за правоприлагане и контрол с цел борба с трудовата експлоатация; приветства доклада на Комисията за оценка на ЕОТ и отново призовава</w:t>
            </w:r>
            <w:r>
              <w:rPr>
                <w:vertAlign w:val="superscript"/>
              </w:rPr>
              <w:t>12</w:t>
            </w:r>
            <w:r>
              <w:t>Комисията да укрепи мандата на ЕОТ;</w:t>
            </w:r>
          </w:p>
        </w:tc>
        <w:tc>
          <w:tcPr>
            <w:tcW w:w="4876" w:type="dxa"/>
            <w:tcBorders>
              <w:top w:val="nil"/>
              <w:left w:val="nil"/>
              <w:bottom w:val="nil"/>
              <w:right w:val="nil"/>
            </w:tcBorders>
          </w:tcPr>
          <w:p>
            <w:pPr>
              <w:pStyle w:val="Normal6a"/>
            </w:pPr>
            <w:r>
              <w:t>8.</w:t>
            </w:r>
            <w:r>
              <w:tab/>
            </w:r>
            <w:r>
              <w:t xml:space="preserve">подчертава необходимостта от ефективни и добре обезпечени с ресурси системи за правоприлагане и контрол с цел борба с трудовата експлоатация </w:t>
            </w:r>
            <w:r>
              <w:rPr>
                <w:b/>
                <w:i/>
              </w:rPr>
              <w:t>и насърчаване на лоялната конкуренция в рамките на единния пазар</w:t>
            </w:r>
            <w:r>
              <w:t>; приветства доклада на Комисията за оценка на ЕОТ и отново призовава</w:t>
            </w:r>
            <w:r>
              <w:rPr>
                <w:vertAlign w:val="superscript"/>
              </w:rPr>
              <w:t>12</w:t>
            </w:r>
            <w:r>
              <w:t xml:space="preserve"> Комисията да укрепи мандата на ЕОТ;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12</w:t>
            </w:r>
            <w:r>
              <w:t xml:space="preserve"> </w:t>
            </w:r>
            <w:r>
              <w:t>Резолюция от 18 януари 2024 г.</w:t>
            </w:r>
          </w:p>
        </w:tc>
        <w:tc>
          <w:tcPr>
            <w:tcW w:w="4876" w:type="dxa"/>
            <w:tcBorders>
              <w:top w:val="nil"/>
              <w:left w:val="nil"/>
              <w:bottom w:val="nil"/>
              <w:right w:val="nil"/>
            </w:tcBorders>
          </w:tcPr>
          <w:p>
            <w:pPr>
              <w:pStyle w:val="Normal6a"/>
            </w:pPr>
            <w:r>
              <w:rPr>
                <w:vertAlign w:val="superscript"/>
              </w:rPr>
              <w:t>12</w:t>
            </w:r>
            <w:r>
              <w:t xml:space="preserve"> </w:t>
            </w:r>
            <w:r>
              <w:t>Резолюция от 18 януари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Ангелика Винциг, Раул Де Ла Ос Кинтано, Реджина Дохърти,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подчертава необходимостта от ефективни и добре обезпечени с ресурси системи за правоприлагане и контрол с цел борба с трудовата експлоатация; </w:t>
            </w:r>
            <w:r>
              <w:rPr>
                <w:b/>
                <w:i/>
              </w:rPr>
              <w:t>приветства</w:t>
            </w:r>
            <w:r>
              <w:t xml:space="preserve"> доклада на Комисията за оценка на ЕОТ и отново </w:t>
            </w:r>
            <w:r>
              <w:rPr>
                <w:b/>
                <w:i/>
              </w:rPr>
              <w:t>призовава</w:t>
            </w:r>
            <w:r>
              <w:rPr>
                <w:vertAlign w:val="superscript"/>
              </w:rPr>
              <w:t>12</w:t>
            </w:r>
            <w:r>
              <w:rPr>
                <w:b/>
                <w:i/>
              </w:rPr>
              <w:t>Комисията да укрепи мандата на ЕОТ</w:t>
            </w:r>
            <w:r>
              <w:t>;</w:t>
            </w:r>
          </w:p>
        </w:tc>
        <w:tc>
          <w:tcPr>
            <w:tcW w:w="4876" w:type="dxa"/>
            <w:tcBorders>
              <w:top w:val="nil"/>
              <w:left w:val="nil"/>
              <w:bottom w:val="nil"/>
              <w:right w:val="nil"/>
            </w:tcBorders>
          </w:tcPr>
          <w:p>
            <w:pPr>
              <w:pStyle w:val="Normal6a"/>
            </w:pPr>
            <w:r>
              <w:t>8.</w:t>
            </w:r>
            <w:r>
              <w:tab/>
            </w:r>
            <w:r>
              <w:t xml:space="preserve">подчертава необходимостта от ефективни и добре обезпечени с ресурси системи за правоприлагане и контрол с цел борба с трудовата експлоатация; </w:t>
            </w:r>
            <w:r>
              <w:rPr>
                <w:b/>
                <w:i/>
              </w:rPr>
              <w:t>поради това подчертава необходимостта от по-добро използване на ресурсите в ЕОТ в съответствие с</w:t>
            </w:r>
            <w:r>
              <w:t xml:space="preserve"> доклада на Комисията за оценка на ЕОТ и отново </w:t>
            </w:r>
            <w:r>
              <w:rPr>
                <w:b/>
                <w:i/>
              </w:rPr>
              <w:t>отправя своя призив</w:t>
            </w:r>
            <w:r>
              <w:rPr>
                <w:vertAlign w:val="superscript"/>
              </w:rPr>
              <w:t>12</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12</w:t>
            </w:r>
            <w:r>
              <w:t xml:space="preserve"> </w:t>
            </w:r>
            <w:r>
              <w:t>Резолюция от 18 януари 2024 г.</w:t>
            </w:r>
          </w:p>
        </w:tc>
        <w:tc>
          <w:tcPr>
            <w:tcW w:w="4876" w:type="dxa"/>
            <w:tcBorders>
              <w:top w:val="nil"/>
              <w:left w:val="nil"/>
              <w:bottom w:val="nil"/>
              <w:right w:val="nil"/>
            </w:tcBorders>
          </w:tcPr>
          <w:p>
            <w:pPr>
              <w:pStyle w:val="Normal6a"/>
            </w:pPr>
            <w:r>
              <w:rPr>
                <w:vertAlign w:val="superscript"/>
              </w:rPr>
              <w:t>12</w:t>
            </w:r>
            <w:r>
              <w:t xml:space="preserve"> </w:t>
            </w:r>
            <w:r>
              <w:t>Резолюция от 18 януари 2024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подчертава </w:t>
            </w:r>
            <w:r>
              <w:rPr>
                <w:b/>
                <w:i/>
              </w:rPr>
              <w:t>необходимостта от ефективни и добре обезпечени с ресурси системи за правоприлагане и контрол с цел борба с трудовата експлоатация;</w:t>
            </w:r>
            <w:r>
              <w:t xml:space="preserve"> </w:t>
            </w:r>
            <w:r>
              <w:rPr>
                <w:b/>
                <w:i/>
              </w:rPr>
              <w:t>приветства доклада на Комисията за оценка на ЕОТ и отново призовава</w:t>
            </w:r>
            <w:r>
              <w:rPr>
                <w:b/>
                <w:i/>
                <w:vertAlign w:val="superscript"/>
              </w:rPr>
              <w:t>12</w:t>
            </w:r>
            <w:r>
              <w:rPr>
                <w:b/>
                <w:i/>
              </w:rPr>
              <w:t>Комисията да укрепи мандата на ЕОТ;</w:t>
            </w:r>
          </w:p>
        </w:tc>
        <w:tc>
          <w:tcPr>
            <w:tcW w:w="4876" w:type="dxa"/>
            <w:tcBorders>
              <w:top w:val="nil"/>
              <w:left w:val="nil"/>
              <w:bottom w:val="nil"/>
              <w:right w:val="nil"/>
            </w:tcBorders>
          </w:tcPr>
          <w:p>
            <w:pPr>
              <w:pStyle w:val="Normal6a"/>
            </w:pPr>
            <w:r>
              <w:t>8.</w:t>
            </w:r>
            <w:r>
              <w:tab/>
            </w:r>
            <w:r>
              <w:t>подчертава</w:t>
            </w:r>
            <w:r>
              <w:rPr>
                <w:b/>
                <w:i/>
              </w:rPr>
              <w:t>, че ефективното осигуряване на изпълнението изисква национални инспекции с достатъчно персонал и координация на трансграничните проверки; ЕОТ следва да се съсредоточи върху координацията/подкрепата и обмена на информация, без нови изпълнителни правомощия, със засилено сътрудничество с Европол/Евроюст.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12</w:t>
            </w:r>
            <w:r>
              <w:t xml:space="preserve"> </w:t>
            </w:r>
            <w:r>
              <w:rPr>
                <w:b/>
                <w:i/>
              </w:rPr>
              <w:t>Резолюция от 18 януари 2024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подчертава, че ЕС е приел редица правни актове, насочени към борба с експлоатацията на труда и незаконния труд, чието прилагане на национално равнище трябва да бъде подобрено;</w:t>
            </w:r>
            <w:r>
              <w:t xml:space="preserve"> </w:t>
            </w:r>
            <w:r>
              <w:rPr>
                <w:b/>
                <w:i/>
              </w:rPr>
              <w:t>призовава Комисията да направи преглед на прилагането на действащите правила, не на последно място във високорисковите сектори, и да предприеме конкретни мерки за засилване на правомощията си за осигуряване на изпълнението по отношение на държавите членки, които не успяват да се справят с проблема;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призовава Европейската комисия и държавите членки да прилагат по-добре членове 9 и 12 от Директива 2014/67/ЕС за осигуряване на изпълнението, която даде възможност на държавите членки да контролират и прилагат правилата по отношение на командированите работници чрез националната система за уведомяване, като същевременно позволи на държавите членки да предприемат допълнителни мерки, за да разполагат със система за отговорност на пряк подизпълнител;</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приветства работата на Европейския орган по труда и призовава за засилване на неговата роля и капацитет за оперативен анализ на риска, за да може той да действа като обсерватория на ЕС за социалния дъмпинг и свързаните с труда престъпления;</w:t>
            </w:r>
            <w:r>
              <w:t xml:space="preserve"> </w:t>
            </w:r>
            <w:r>
              <w:rPr>
                <w:b/>
                <w:i/>
              </w:rPr>
              <w:t>призовава за създаването на специфични за сектора звена за правоприлагане, особено за строителния сектор, за да се задълбочи сътрудничеството със секторните социални партньори в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подчертава, че равнището на информация относно състава на веригите от подизпълнители се различава в различните държави в Европа и че това представлява предизвикателство както за осигуряването на изпълнението, така и за изготвянето на политики;</w:t>
            </w:r>
            <w:r>
              <w:t xml:space="preserve"> </w:t>
            </w:r>
            <w:r>
              <w:rPr>
                <w:b/>
                <w:i/>
              </w:rPr>
              <w:t>призовава Комисията да подобри събирането на данни относно възлагането на подизпълнители;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Лисбет Сомен, Паскал Аримон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подчертава необходимостта от по-нататъшно привеждане в съответствие и опростяване на разпоредбите относно трудовата мобилност и процедурите за контрол, включително единни стандарти за контрол, съвместни инспекции и обмен на информация, съгласно указанията на ЕОТ;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Джорджиана Теодореску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8б.</w:t>
            </w:r>
            <w:r>
              <w:tab/>
            </w:r>
            <w:r>
              <w:rPr>
                <w:b/>
                <w:i/>
              </w:rPr>
              <w:t>припомня, че член 14 от Директивата за санкциите изисква от държавите членки да гарантират, че на тяхна територия се извършват ефективни и подходящи инспекции с цел контрол на наемането на работа на незаконно пребиваващи граждани на трети държави, и призовава Европейската комисия и компетентните национални органи на държавите членки да прилагат по-добре съществуващата уредба;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8б.</w:t>
            </w:r>
            <w:r>
              <w:tab/>
            </w:r>
            <w:r>
              <w:rPr>
                <w:b/>
                <w:i/>
              </w:rPr>
              <w:t>призовава за укрепване на оперативния капацитет на ЕОТ за анализ на риска и за създаване на специфични за секторите звена за осигуряване на изпълнението, особено в областта на строителството, с цел задълбочаване на сътрудничеството със секторните социални партньори и съвместните инспекции;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Лисбет Сомен, Паскал Аримон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8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8б.</w:t>
            </w:r>
            <w:r>
              <w:tab/>
            </w:r>
            <w:r>
              <w:rPr>
                <w:b/>
                <w:i/>
              </w:rPr>
              <w:t>подчертава необходимостта от справяне със злоупотребите при възлагането на подизпълнители, които използват изкуствени договорености, като например дружества „пощенски кутии“ и фиктивно наемане на работа чрез агенции за временна заетост;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припомня, че Директива 2006/22/ЕО</w:t>
            </w:r>
            <w:r>
              <w:rPr>
                <w:b/>
                <w:i/>
                <w:vertAlign w:val="superscript"/>
              </w:rPr>
              <w:t>13</w:t>
            </w:r>
            <w:r>
              <w:rPr>
                <w:b/>
                <w:i/>
              </w:rPr>
              <w:t>вече определя минимални правила за проверка на спазването на социалното законодателство в сектора на автомобилния транспорт, и призовава Комисията да представи законодателна инициатива, която да изисква от държавите членки да гарантират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10 000 работници;</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13</w:t>
            </w:r>
            <w:r>
              <w:t xml:space="preserve"> </w:t>
            </w:r>
            <w:r>
              <w:rPr>
                <w:b/>
                <w:i/>
              </w:rPr>
              <w:t>Директива 2006/22/ЕО на Европейския парламент и на Съвета от 15 март 2006 г.</w:t>
            </w:r>
            <w:r>
              <w:t xml:space="preserve"> </w:t>
            </w:r>
            <w:r>
              <w:rPr>
                <w:b/>
                <w:i/>
              </w:rPr>
              <w:t>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w:t>
            </w:r>
            <w:r>
              <w:t xml:space="preserve"> </w:t>
            </w:r>
            <w:r>
              <w:rPr>
                <w:b/>
                <w:i/>
              </w:rPr>
              <w:t>35). http://data.europa.eu/eli/dir/2006/22/oj).</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Маравиляс Абадия Ховер, Мириам Лексман, Ангелика Винциг, Раул Де Ла Ос Кинтано, Реджина Дохърти,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припомня, че Директива 2006/22/ЕО</w:t>
            </w:r>
            <w:r>
              <w:rPr>
                <w:b/>
                <w:i/>
                <w:vertAlign w:val="superscript"/>
              </w:rPr>
              <w:t>13</w:t>
            </w:r>
            <w:r>
              <w:rPr>
                <w:b/>
                <w:i/>
              </w:rPr>
              <w:t>вече определя минимални правила за проверка на спазването на социалното законодателство в сектора на автомобилния транспорт, и призовава Комисията да представи законодателна инициатива, която да изисква от държавите членки да гарантират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10 000 работници;</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13</w:t>
            </w:r>
            <w:r>
              <w:t xml:space="preserve"> </w:t>
            </w:r>
            <w:r>
              <w:rPr>
                <w:b/>
                <w:i/>
              </w:rPr>
              <w:t>Директива 2006/22/ЕО на Европейския парламент и на Съвета от 15 март 2006 г.</w:t>
            </w:r>
            <w:r>
              <w:t xml:space="preserve"> </w:t>
            </w:r>
            <w:r>
              <w:rPr>
                <w:b/>
                <w:i/>
              </w:rPr>
              <w:t>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w:t>
            </w:r>
            <w:r>
              <w:t xml:space="preserve"> </w:t>
            </w:r>
            <w:r>
              <w:rPr>
                <w:b/>
                <w:i/>
              </w:rPr>
              <w:t>35). http://data.europa.eu/eli/dir/2006/22/oj).</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вече определя минимални правила за проверка на спазването на социалното законодателство в </w:t>
            </w:r>
            <w:r>
              <w:rPr>
                <w:b/>
                <w:i/>
              </w:rPr>
              <w:t>сектора</w:t>
            </w:r>
            <w:r>
              <w:t xml:space="preserve"> на автомобилния транспорт</w:t>
            </w:r>
            <w:r>
              <w:rPr>
                <w:b/>
                <w:i/>
              </w:rPr>
              <w:t>, и</w:t>
            </w:r>
            <w:r>
              <w:t xml:space="preserve"> призовава Комисията да </w:t>
            </w:r>
            <w:r>
              <w:rPr>
                <w:b/>
                <w:i/>
              </w:rPr>
              <w:t>представи законодателна инициатива, която да изисква от</w:t>
            </w:r>
            <w:r>
              <w:t xml:space="preserve"> държавите членки </w:t>
            </w:r>
            <w:r>
              <w:rPr>
                <w:b/>
                <w:i/>
              </w:rPr>
              <w:t>да гарантират</w:t>
            </w:r>
            <w:r>
              <w:t xml:space="preserve">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w:t>
            </w:r>
            <w:r>
              <w:rPr>
                <w:b/>
                <w:i/>
              </w:rPr>
              <w:t>10 000</w:t>
            </w:r>
            <w:r>
              <w:t xml:space="preserve"> работници;</w:t>
            </w:r>
          </w:p>
        </w:tc>
        <w:tc>
          <w:tcPr>
            <w:tcW w:w="4876" w:type="dxa"/>
            <w:tcBorders>
              <w:top w:val="nil"/>
              <w:left w:val="nil"/>
              <w:bottom w:val="nil"/>
              <w:right w:val="nil"/>
            </w:tcBorders>
          </w:tcPr>
          <w:p>
            <w:pPr>
              <w:pStyle w:val="Normal6a"/>
            </w:pPr>
            <w:r>
              <w:t>9.</w:t>
            </w:r>
            <w:r>
              <w:tab/>
            </w:r>
            <w:r>
              <w:rPr>
                <w:b/>
                <w:i/>
              </w:rPr>
              <w:t>подчертава жизненоважната роля на инспекциите по труда както за откриването и предотвратяването на трудова експлоатация, така и за цялостното спазване на трудовото законодателство;</w:t>
            </w:r>
            <w:r>
              <w:t xml:space="preserve"> </w:t>
            </w:r>
            <w:r>
              <w:rPr>
                <w:b/>
                <w:i/>
              </w:rPr>
              <w:t>настоятелно призовава държавите членки да увеличат броя на инспекторите по труда и тяхната подкрепа за инспекциите по труда;</w:t>
            </w:r>
            <w:r>
              <w:t xml:space="preserve"> припомня, че Директива 2006/22/ЕО</w:t>
            </w:r>
            <w:r>
              <w:rPr>
                <w:vertAlign w:val="superscript"/>
              </w:rPr>
              <w:t>13</w:t>
            </w:r>
            <w:r>
              <w:t xml:space="preserve"> вече определя минимални правила за проверка на спазването на социалното законодателство в </w:t>
            </w:r>
            <w:r>
              <w:rPr>
                <w:b/>
                <w:i/>
              </w:rPr>
              <w:t>областта</w:t>
            </w:r>
            <w:r>
              <w:t xml:space="preserve"> на автомобилния транспорт</w:t>
            </w:r>
            <w:r>
              <w:rPr>
                <w:b/>
                <w:i/>
              </w:rPr>
              <w:t>;</w:t>
            </w:r>
            <w:r>
              <w:t xml:space="preserve"> призовава Комисията да </w:t>
            </w:r>
            <w:r>
              <w:rPr>
                <w:b/>
                <w:i/>
              </w:rPr>
              <w:t>включи в своята директива мерки, които могат да гарантират, че</w:t>
            </w:r>
            <w:r>
              <w:t xml:space="preserve"> държавите членки </w:t>
            </w:r>
            <w:r>
              <w:rPr>
                <w:b/>
                <w:i/>
              </w:rPr>
              <w:t>разполагат с</w:t>
            </w:r>
            <w:r>
              <w:t xml:space="preserve">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w:t>
            </w:r>
            <w:r>
              <w:rPr>
                <w:b/>
                <w:i/>
              </w:rPr>
              <w:t>10 000</w:t>
            </w:r>
            <w:r>
              <w:t xml:space="preserve"> работници;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w:t>
            </w:r>
            <w:r>
              <w:t xml:space="preserve"> http://data.europa.eu/eli/dir/2006/22/oj).</w:t>
            </w:r>
          </w:p>
        </w:tc>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 ELI:</w:t>
            </w:r>
            <w:r>
              <w:t> http://data.europa.eu/eli/dir/2006/22/oj).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вече определя минимални правила за проверка на спазването на социалното законодателство в сектора на автомобилния транспорт, </w:t>
            </w:r>
            <w:r>
              <w:rPr>
                <w:b/>
                <w:i/>
              </w:rPr>
              <w:t>и призовава Комисията да представи законодателна инициатива, която да изисква</w:t>
            </w:r>
            <w:r>
              <w:t xml:space="preserve"> от държавите членки </w:t>
            </w:r>
            <w:r>
              <w:rPr>
                <w:b/>
                <w:i/>
              </w:rPr>
              <w:t>да гарантират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10 000 работници</w:t>
            </w:r>
            <w:r>
              <w:t>;</w:t>
            </w:r>
          </w:p>
        </w:tc>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rPr>
                <w:b/>
                <w:i/>
              </w:rPr>
              <w:t> </w:t>
            </w:r>
            <w:r>
              <w:t xml:space="preserve">вече определя минимални правила за проверка на спазването на социалното законодателство в сектора на автомобилния транспорт, </w:t>
            </w:r>
            <w:r>
              <w:rPr>
                <w:b/>
                <w:i/>
              </w:rPr>
              <w:t>включително трудовите инспекции</w:t>
            </w:r>
            <w:r>
              <w:t> от държавите членки;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w:t>
            </w:r>
            <w:r>
              <w:t xml:space="preserve"> http://data.europa.eu/eli/dir/2006/22/oj).</w:t>
            </w:r>
          </w:p>
        </w:tc>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 ELI:</w:t>
            </w:r>
            <w:r>
              <w:t> http://data.europa.eu/eli/dir/2006/22/oj).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Лисбет Сомен, Паскал Аримон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вече определя минимални правила за проверка на спазването на социалното законодателство в сектора на автомобилния транспорт, и призовава Комисията да представи законодателна инициатива, която да изисква от държавите членки да гарантират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w:t>
            </w:r>
            <w:r>
              <w:rPr>
                <w:b/>
                <w:i/>
              </w:rPr>
              <w:t>10 000</w:t>
            </w:r>
            <w:r>
              <w:t xml:space="preserve"> работници;</w:t>
            </w:r>
          </w:p>
        </w:tc>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 вече определя минимални правила за проверка на спазването на социалното законодателство в сектора на автомобилния транспорт, и призовава Комисията да представи законодателна инициатива, която да изисква от държавите членки да </w:t>
            </w:r>
            <w:r>
              <w:rPr>
                <w:b/>
                <w:i/>
              </w:rPr>
              <w:t>подобрят качеството и честотата на трудовите инспекции и да</w:t>
            </w:r>
            <w:r>
              <w:t xml:space="preserve"> гарантират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w:t>
            </w:r>
            <w:r>
              <w:rPr>
                <w:b/>
                <w:i/>
              </w:rPr>
              <w:t>10 000</w:t>
            </w:r>
            <w:r>
              <w:t xml:space="preserve"> работници;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w:t>
            </w:r>
            <w:r>
              <w:t xml:space="preserve"> http://data.europa.eu/eli/dir/2006/22/oj).</w:t>
            </w:r>
          </w:p>
        </w:tc>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 ELI:</w:t>
            </w:r>
            <w:r>
              <w:t> http://data.europa.eu/eli/dir/2006/22/oj).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вече определя минимални правила за проверка на спазването на социалното законодателство в сектора на автомобилния транспорт, и призовава Комисията да представи законодателна инициатива, която да изисква от държавите членки да гарантират адекватен минимален капацитет за инспекция на труда </w:t>
            </w:r>
            <w:r>
              <w:rPr>
                <w:b/>
                <w:i/>
              </w:rPr>
              <w:t>за всички високорискови сектори</w:t>
            </w:r>
            <w:r>
              <w:t xml:space="preserve">, в съответствие с референтната стойност на МОТ за най-малко един инспектор по труда на </w:t>
            </w:r>
            <w:r>
              <w:rPr>
                <w:b/>
                <w:i/>
              </w:rPr>
              <w:t>10 000</w:t>
            </w:r>
            <w:r>
              <w:t xml:space="preserve"> работници;</w:t>
            </w:r>
          </w:p>
        </w:tc>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 вече определя минимални правила за проверка на спазването на социалното законодателство в сектора на автомобилния транспорт, и призовава Комисията да представи законодателна инициатива, която да изисква от държавите членки да гарантират адекватен минимален капацитет за инспекция на труда, в съответствие с референтната стойност на МОТ за най-малко един инспектор по труда на </w:t>
            </w:r>
            <w:r>
              <w:rPr>
                <w:b/>
                <w:i/>
              </w:rPr>
              <w:t>10 000 работници, и да се стремят да я надхвърлят, като разполагат с 1 инспектор на 5 000</w:t>
            </w:r>
            <w:r>
              <w:t xml:space="preserve"> работници;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w:t>
            </w:r>
            <w:r>
              <w:t xml:space="preserve"> http://data.europa.eu/eli/dir/2006/22/oj).</w:t>
            </w:r>
          </w:p>
        </w:tc>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 ELI:</w:t>
            </w:r>
            <w:r>
              <w:t xml:space="preserve"> http://data.europa.eu/eli/dir/2006/22/oj).</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вече определя минимални правила за проверка на спазването на социалното законодателство в сектора на автомобилния транспорт, и призовава </w:t>
            </w:r>
            <w:r>
              <w:rPr>
                <w:b/>
                <w:i/>
              </w:rPr>
              <w:t>Комисията да представи законодателна инициатива, която да изисква от</w:t>
            </w:r>
            <w:r>
              <w:t xml:space="preserve"> държавите членки да гарантират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w:t>
            </w:r>
            <w:r>
              <w:rPr>
                <w:b/>
                <w:i/>
              </w:rPr>
              <w:t>10 000</w:t>
            </w:r>
            <w:r>
              <w:t xml:space="preserve"> работници;</w:t>
            </w:r>
          </w:p>
        </w:tc>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 вече определя минимални правила за проверка на спазването на социалното законодателство в сектора на автомобилния транспорт, и призовава държавите членки да гарантират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w:t>
            </w:r>
            <w:r>
              <w:rPr>
                <w:b/>
                <w:i/>
              </w:rPr>
              <w:t>10 000</w:t>
            </w:r>
            <w:r>
              <w:t xml:space="preserve"> работници;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w:t>
            </w:r>
            <w:r>
              <w:t xml:space="preserve"> http://data.europa.eu/eli/dir/2006/22/oj).</w:t>
            </w:r>
          </w:p>
        </w:tc>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 ELI:</w:t>
            </w:r>
            <w:r>
              <w:t> http://data.europa.eu/eli/dir/2006/22/oj).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Ангелика Винциг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вече определя минимални правила за проверка на спазването на социалното законодателство в сектора на автомобилния транспорт, и призовава Комисията да представи </w:t>
            </w:r>
            <w:r>
              <w:rPr>
                <w:b/>
                <w:i/>
              </w:rPr>
              <w:t>законодателна инициатива, която да изисква</w:t>
            </w:r>
            <w:r>
              <w:t xml:space="preserve"> от държавите членки да гарантират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w:t>
            </w:r>
            <w:r>
              <w:rPr>
                <w:b/>
                <w:i/>
              </w:rPr>
              <w:t>10 000</w:t>
            </w:r>
            <w:r>
              <w:t xml:space="preserve"> работници;</w:t>
            </w:r>
          </w:p>
        </w:tc>
        <w:tc>
          <w:tcPr>
            <w:tcW w:w="4876" w:type="dxa"/>
            <w:tcBorders>
              <w:top w:val="nil"/>
              <w:left w:val="nil"/>
              <w:bottom w:val="nil"/>
              <w:right w:val="nil"/>
            </w:tcBorders>
          </w:tcPr>
          <w:p>
            <w:pPr>
              <w:pStyle w:val="Normal6a"/>
            </w:pPr>
            <w:r>
              <w:t>9.</w:t>
            </w:r>
            <w:r>
              <w:tab/>
            </w:r>
            <w:r>
              <w:t>припомня, че Директива 2006/22/ЕО</w:t>
            </w:r>
            <w:r>
              <w:rPr>
                <w:vertAlign w:val="superscript"/>
              </w:rPr>
              <w:t>13</w:t>
            </w:r>
            <w:r>
              <w:t xml:space="preserve"> вече определя минимални правила за проверка на спазването на социалното законодателство в сектора на автомобилния транспорт, и призовава Комисията да представи </w:t>
            </w:r>
            <w:r>
              <w:rPr>
                <w:b/>
                <w:i/>
              </w:rPr>
              <w:t>препоръка, призоваваща</w:t>
            </w:r>
            <w:r>
              <w:t xml:space="preserve"> от държавите членки да гарантират адекватен минимален капацитет за инспекция на труда за всички високорискови сектори, в съответствие с референтната стойност на МОТ за най-малко един инспектор по труда на </w:t>
            </w:r>
            <w:r>
              <w:rPr>
                <w:b/>
                <w:i/>
              </w:rPr>
              <w:t>10 000</w:t>
            </w:r>
            <w:r>
              <w:t xml:space="preserve"> работници;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w:t>
            </w:r>
            <w:r>
              <w:t xml:space="preserve"> http://data.europa.eu/eli/dir/2006/22/oj).</w:t>
            </w:r>
          </w:p>
        </w:tc>
        <w:tc>
          <w:tcPr>
            <w:tcW w:w="4876" w:type="dxa"/>
            <w:tcBorders>
              <w:top w:val="nil"/>
              <w:left w:val="nil"/>
              <w:bottom w:val="nil"/>
              <w:right w:val="nil"/>
            </w:tcBorders>
          </w:tcPr>
          <w:p>
            <w:pPr>
              <w:pStyle w:val="Normal6a"/>
            </w:pPr>
            <w:r>
              <w:rPr>
                <w:vertAlign w:val="superscript"/>
              </w:rPr>
              <w:t>13</w:t>
            </w:r>
            <w:r>
              <w:t xml:space="preserve"> </w:t>
            </w:r>
            <w:r>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r>
              <w:rPr>
                <w:b/>
                <w:i/>
              </w:rPr>
              <w:t>, ELI:</w:t>
            </w:r>
            <w:r>
              <w:t> http://data.europa.eu/eli/dir/2006/22/oj).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9а.</w:t>
            </w:r>
            <w:r>
              <w:tab/>
            </w:r>
            <w:r>
              <w:rPr>
                <w:b/>
                <w:i/>
              </w:rPr>
              <w:t>призовава Комисията да установи и разгледа случаите на стратегически фалити и изчезвания на предприятия, особено в трансгранични случаи, успоредно със злоупотребата с фалити от страна на ползващи измама субекти, която им позволява да избегнат плащането на заплати и социални осигуровки, данъци и всякакви санкции;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9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9б.</w:t>
            </w:r>
            <w:r>
              <w:tab/>
            </w:r>
            <w:r>
              <w:rPr>
                <w:b/>
                <w:i/>
              </w:rPr>
              <w:t>призовава Комисията да разработи система от финансови санкции срещу дружествата нарушители за нарушения на правата на работниците, като предвиди двоен механизъм, съчетаващ минимална фиксирана сума и компонент, пропорционален на оборота на нарушителя, който би могъл да достигне 10% от общия годишен оборот, 20% за повторни нарушители, в допълнение към възстановяването на публична помощ, предоставена на въпросното дружество, включително до забрана за извършване на дейност в рамките на Европейския съюз;</w:t>
            </w:r>
            <w:r>
              <w:t xml:space="preserve"> </w:t>
            </w:r>
            <w:r>
              <w:rPr>
                <w:b/>
                <w:i/>
              </w:rPr>
              <w:t>подчертава освен това необходимостта от подобряване на приложимостта и събирането на глоби, обезщетения за вреди и неизплатени заплати и социалноосигурителни вноски при трансгранични случаи;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отново призовава</w:t>
            </w:r>
            <w:r>
              <w:rPr>
                <w:b/>
                <w:i/>
                <w:vertAlign w:val="superscript"/>
              </w:rPr>
              <w:t>14</w:t>
            </w:r>
            <w:r>
              <w:rPr>
                <w:b/>
                <w:i/>
              </w:rPr>
              <w:t>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w:t>
            </w:r>
          </w:p>
        </w:tc>
        <w:tc>
          <w:tcPr>
            <w:tcW w:w="4876" w:type="dxa"/>
            <w:tcBorders>
              <w:top w:val="nil"/>
              <w:left w:val="nil"/>
              <w:bottom w:val="nil"/>
              <w:right w:val="nil"/>
            </w:tcBorders>
          </w:tcPr>
          <w:p>
            <w:pPr>
              <w:pStyle w:val="Normal6a"/>
            </w:pPr>
            <w:r>
              <w:rPr>
                <w:b/>
                <w:i/>
              </w:rPr>
              <w:t>заличава се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14</w:t>
            </w:r>
            <w:r>
              <w:t xml:space="preserve"> </w:t>
            </w:r>
            <w:r>
              <w:rPr>
                <w:b/>
                <w:i/>
              </w:rPr>
              <w:t>Резолюция от 25 ноември 2021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Лейла Шайби, Естреля Галан, Марина Мьозюр, Антони Смит, Пер Клаусен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отново призовава</w:t>
            </w:r>
            <w:r>
              <w:rPr>
                <w:vertAlign w:val="superscript"/>
              </w:rPr>
              <w:t>14</w:t>
            </w:r>
            <w:r>
              <w:t>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w:t>
            </w:r>
          </w:p>
        </w:tc>
        <w:tc>
          <w:tcPr>
            <w:tcW w:w="4876" w:type="dxa"/>
            <w:tcBorders>
              <w:top w:val="nil"/>
              <w:left w:val="nil"/>
              <w:bottom w:val="nil"/>
              <w:right w:val="nil"/>
            </w:tcBorders>
          </w:tcPr>
          <w:p>
            <w:pPr>
              <w:pStyle w:val="Normal6a"/>
            </w:pPr>
            <w:r>
              <w:t>10.</w:t>
            </w:r>
            <w:r>
              <w:tab/>
            </w:r>
            <w:r>
              <w:t>отново призовава</w:t>
            </w:r>
            <w:r>
              <w:rPr>
                <w:vertAlign w:val="superscript"/>
              </w:rPr>
              <w:t>14</w:t>
            </w:r>
            <w:r>
              <w:t xml:space="preserve"> 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 </w:t>
            </w:r>
            <w:r>
              <w:rPr>
                <w:b/>
                <w:i/>
              </w:rPr>
              <w:t>призовава за взаимно признаване и европейско законодателство за свързване на секторните системи за лични осигурителни карти, като ги приведе в съответствие със схемата за европейски паспорт за социална сигурност;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отново призовава</w:t>
            </w:r>
            <w:r>
              <w:rPr>
                <w:vertAlign w:val="superscript"/>
              </w:rPr>
              <w:t>14</w:t>
            </w:r>
            <w:r>
              <w:t>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w:t>
            </w:r>
          </w:p>
        </w:tc>
        <w:tc>
          <w:tcPr>
            <w:tcW w:w="4876" w:type="dxa"/>
            <w:tcBorders>
              <w:top w:val="nil"/>
              <w:left w:val="nil"/>
              <w:bottom w:val="nil"/>
              <w:right w:val="nil"/>
            </w:tcBorders>
          </w:tcPr>
          <w:p>
            <w:pPr>
              <w:pStyle w:val="Normal6a"/>
            </w:pPr>
            <w:r>
              <w:t>10.</w:t>
            </w:r>
            <w:r>
              <w:tab/>
            </w:r>
            <w:r>
              <w:t>отново призовава</w:t>
            </w:r>
            <w:r>
              <w:rPr>
                <w:vertAlign w:val="superscript"/>
              </w:rPr>
              <w:t>14</w:t>
            </w:r>
            <w:r>
              <w:t xml:space="preserve"> 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 </w:t>
            </w:r>
            <w:r>
              <w:rPr>
                <w:b/>
                <w:i/>
              </w:rPr>
              <w:t>подчертава, че тези инструменти трябва да бъдат разработени така, че да се намали административната тежест, да се опрости спазването от страна на предприятията и да се подкрепят националните органи в борбата срещу престъпните злоупотреби;</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отново призовава</w:t>
            </w:r>
            <w:r>
              <w:rPr>
                <w:vertAlign w:val="superscript"/>
              </w:rPr>
              <w:t>14</w:t>
            </w:r>
            <w:r>
              <w:t>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w:t>
            </w:r>
          </w:p>
        </w:tc>
        <w:tc>
          <w:tcPr>
            <w:tcW w:w="4876" w:type="dxa"/>
            <w:tcBorders>
              <w:top w:val="nil"/>
              <w:left w:val="nil"/>
              <w:bottom w:val="nil"/>
              <w:right w:val="nil"/>
            </w:tcBorders>
          </w:tcPr>
          <w:p>
            <w:pPr>
              <w:pStyle w:val="Normal6a"/>
            </w:pPr>
            <w:r>
              <w:t>10.</w:t>
            </w:r>
            <w:r>
              <w:tab/>
            </w:r>
            <w:r>
              <w:t>отново призовава</w:t>
            </w:r>
            <w:r>
              <w:rPr>
                <w:vertAlign w:val="superscript"/>
              </w:rPr>
              <w:t>14</w:t>
            </w:r>
            <w:r>
              <w:t xml:space="preserve"> 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 </w:t>
            </w:r>
            <w:r>
              <w:rPr>
                <w:b/>
                <w:i/>
              </w:rPr>
              <w:t>гарантиране на силна защита на данните и на това да не се централизиран регистър на служителите в ЕС, използване на съществуващите оперативно съвместими системи (ИСВП/EESSI) и минимални разходи за привеждане в съответствие за МСП.</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Лисбет Сомен, Паскал Аримон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отново призовава</w:t>
            </w:r>
            <w:r>
              <w:rPr>
                <w:vertAlign w:val="superscript"/>
              </w:rPr>
              <w:t>14</w:t>
            </w:r>
            <w:r>
              <w:t>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w:t>
            </w:r>
          </w:p>
        </w:tc>
        <w:tc>
          <w:tcPr>
            <w:tcW w:w="4876" w:type="dxa"/>
            <w:tcBorders>
              <w:top w:val="nil"/>
              <w:left w:val="nil"/>
              <w:bottom w:val="nil"/>
              <w:right w:val="nil"/>
            </w:tcBorders>
          </w:tcPr>
          <w:p>
            <w:pPr>
              <w:pStyle w:val="Normal6a"/>
            </w:pPr>
            <w:r>
              <w:t>10.</w:t>
            </w:r>
            <w:r>
              <w:tab/>
            </w:r>
            <w:r>
              <w:t>отново призовава</w:t>
            </w:r>
            <w:r>
              <w:rPr>
                <w:vertAlign w:val="superscript"/>
              </w:rPr>
              <w:t>14</w:t>
            </w:r>
            <w:r>
              <w:t xml:space="preserve"> 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 </w:t>
            </w:r>
            <w:r>
              <w:rPr>
                <w:b/>
                <w:i/>
              </w:rPr>
              <w:t>счита, че това трябва да спомогне за повишаване на трансграничната защита на социалноосигурителните права и за подобряване на капацитета за прилагане на Европейския орган по труда;</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отново призовава</w:t>
            </w:r>
            <w:r>
              <w:rPr>
                <w:b/>
                <w:i/>
                <w:vertAlign w:val="superscript"/>
              </w:rPr>
              <w:t>14</w:t>
            </w:r>
            <w:r>
              <w:rPr>
                <w:b/>
                <w:i/>
              </w:rPr>
              <w:t>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w:t>
            </w:r>
            <w:r>
              <w:t xml:space="preserve"> в реално време и </w:t>
            </w:r>
            <w:r>
              <w:rPr>
                <w:b/>
                <w:i/>
              </w:rPr>
              <w:t>обмен</w:t>
            </w:r>
            <w:r>
              <w:t xml:space="preserve"> на информация между </w:t>
            </w:r>
            <w:r>
              <w:rPr>
                <w:b/>
                <w:i/>
              </w:rPr>
              <w:t>правоприлагащите</w:t>
            </w:r>
            <w:r>
              <w:t xml:space="preserve"> органи</w:t>
            </w:r>
            <w:r>
              <w:rPr>
                <w:b/>
                <w:i/>
              </w:rPr>
              <w:t>, както и интегриране на ESSPASS със съществуващите национални системи за трудови карти</w:t>
            </w:r>
            <w:r>
              <w:t>;</w:t>
            </w:r>
          </w:p>
        </w:tc>
        <w:tc>
          <w:tcPr>
            <w:tcW w:w="4876" w:type="dxa"/>
            <w:tcBorders>
              <w:top w:val="nil"/>
              <w:left w:val="nil"/>
              <w:bottom w:val="nil"/>
              <w:right w:val="nil"/>
            </w:tcBorders>
          </w:tcPr>
          <w:p>
            <w:pPr>
              <w:pStyle w:val="Normal6a"/>
            </w:pPr>
            <w:r>
              <w:t>10.</w:t>
            </w:r>
            <w:r>
              <w:tab/>
            </w:r>
            <w:r>
              <w:rPr>
                <w:b/>
                <w:i/>
              </w:rPr>
              <w:t>подчертава значението на проверката</w:t>
            </w:r>
            <w:r>
              <w:t xml:space="preserve"> в реално време и </w:t>
            </w:r>
            <w:r>
              <w:rPr>
                <w:b/>
                <w:i/>
              </w:rPr>
              <w:t>обмена</w:t>
            </w:r>
            <w:r>
              <w:t xml:space="preserve"> на информация между </w:t>
            </w:r>
            <w:r>
              <w:rPr>
                <w:b/>
                <w:i/>
              </w:rPr>
              <w:t>националните правоприлагащи</w:t>
            </w:r>
            <w:r>
              <w:t xml:space="preserve"> органи </w:t>
            </w:r>
            <w:r>
              <w:rPr>
                <w:b/>
                <w:i/>
              </w:rPr>
              <w:t>в областта на социалната сигурност и разрешенията за работа</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14</w:t>
            </w:r>
            <w:r>
              <w:t xml:space="preserve"> </w:t>
            </w:r>
            <w:r>
              <w:rPr>
                <w:b/>
                <w:i/>
              </w:rPr>
              <w:t>Резолюция от 25 ноември 2021 г.</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Елена Донацан, Киара Гема, Мариятереза Вивалдини, Франческо Торсели, Марлена Малонг, Косма Злотовски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отново призовава</w:t>
            </w:r>
            <w:r>
              <w:rPr>
                <w:vertAlign w:val="superscript"/>
              </w:rPr>
              <w:t>14</w:t>
            </w:r>
            <w:r>
              <w:t>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на ESSPASS със съществуващите национални системи за трудови карти;</w:t>
            </w:r>
          </w:p>
        </w:tc>
        <w:tc>
          <w:tcPr>
            <w:tcW w:w="4876" w:type="dxa"/>
            <w:tcBorders>
              <w:top w:val="nil"/>
              <w:left w:val="nil"/>
              <w:bottom w:val="nil"/>
              <w:right w:val="nil"/>
            </w:tcBorders>
          </w:tcPr>
          <w:p>
            <w:pPr>
              <w:pStyle w:val="Normal6a"/>
            </w:pPr>
            <w:r>
              <w:t>10.</w:t>
            </w:r>
            <w:r>
              <w:tab/>
            </w:r>
            <w:r>
              <w:t>отново призовава</w:t>
            </w:r>
            <w:r>
              <w:rPr>
                <w:vertAlign w:val="superscript"/>
              </w:rPr>
              <w:t>14</w:t>
            </w:r>
            <w:r>
              <w:t xml:space="preserve"> за бързо въвеждане на системата на Европейския паспорт за социална сигурност (ESSPASS) и за по-добро цифрово прилагане на социалноосигурителните права и справедлива мобилност, включително проверка в реално време и обмен на информация между правоприлагащите органи, както и интегриране </w:t>
            </w:r>
            <w:r>
              <w:rPr>
                <w:b/>
                <w:i/>
              </w:rPr>
              <w:t>във всеки отделен случай</w:t>
            </w:r>
            <w:r>
              <w:t xml:space="preserve"> на ESSPASS със съществуващите национални системи за трудови карти</w:t>
            </w:r>
            <w:r>
              <w:rPr>
                <w:b/>
                <w:i/>
              </w:rPr>
              <w:t>, като се отчитат техните специфични характеристики и в тясно сътрудничество със съответните национални социални партньори</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c>
          <w:tcPr>
            <w:tcW w:w="4876" w:type="dxa"/>
            <w:tcBorders>
              <w:top w:val="nil"/>
              <w:left w:val="nil"/>
              <w:bottom w:val="nil"/>
              <w:right w:val="nil"/>
            </w:tcBorders>
          </w:tcPr>
          <w:p>
            <w:pPr>
              <w:pStyle w:val="Normal6a"/>
            </w:pPr>
            <w:r>
              <w:rPr>
                <w:vertAlign w:val="superscript"/>
              </w:rPr>
              <w:t>14</w:t>
            </w:r>
            <w:r>
              <w:t xml:space="preserve"> </w:t>
            </w:r>
            <w:r>
              <w:t>Резолюция от 25 ноември 2021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Анжел,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отбелязва стойността на националните търговски регистри и Европейската система за взаимно свързване на търговските регистри (BRIS) за предприятията, търсещи информация относно подизпълнителите, за синдикалните организации, които се стремят да участват в колективно договаряне, както и за правоприлагащите органи;</w:t>
            </w:r>
            <w:r>
              <w:t xml:space="preserve"> </w:t>
            </w:r>
            <w:r>
              <w:rPr>
                <w:b/>
                <w:i/>
              </w:rPr>
              <w:t>изразява съжаление, че равнището на информацията, достъпна в националните търговски регистри, варира значително;</w:t>
            </w:r>
            <w:r>
              <w:t xml:space="preserve"> </w:t>
            </w:r>
            <w:r>
              <w:rPr>
                <w:b/>
                <w:i/>
              </w:rPr>
              <w:t>призовава Комисията да преразгледа начините, по които може да се подобри равнището на публично достъпна информация, като се основава на най-добрите практики в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отбелязва успеха на инициативите на национално и секторно равнище с прилагането на лични осигурителни карти за идентифициране на работните места;</w:t>
            </w:r>
            <w:r>
              <w:t xml:space="preserve"> </w:t>
            </w:r>
            <w:r>
              <w:rPr>
                <w:b/>
                <w:i/>
              </w:rPr>
              <w:t>призовава Комисията да представи законодателно предложение за създаване на европейска рамка, която да се основава на съществуващите схеми с цел напълно оперативно съвместима система;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призовава за интегриране на инспекциите на жилищното настаняване в инспекциите по труда в секторите с висок дял на работници мигранти и командировани работници, за да се предотвратят ситуации, при които работниците се настаняват в унизителни, опасни или пренаселени жилища, предоставяни от работодатели или посредници;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10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10б.</w:t>
            </w:r>
            <w:r>
              <w:tab/>
            </w:r>
            <w:r>
              <w:rPr>
                <w:b/>
                <w:i/>
              </w:rPr>
              <w:t>отбелязва със загриженост рисковете, свързани с командироването, когато са съчетани с форми на злоупотреба с подизпълнители и посредничество в областта на труда;</w:t>
            </w:r>
            <w:r>
              <w:t xml:space="preserve"> </w:t>
            </w:r>
            <w:r>
              <w:rPr>
                <w:b/>
                <w:i/>
              </w:rPr>
              <w:t>призовава Комисията да проучи използването на трудови посредници и агенции за временна заетост при командироването, включително риска тези договорености да бъдат използвани за избягване на задължения, заобикаляне на задълженията в областта на социалната сигурност и подкопаване на стандартите за здраве и безопасност, и да предприеме необходимите инициативи за ограничаване на ролята на тези участници в командироването;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Хенрик Дал, Андреа Векслер, Мириам Лексман, Ангелика Винциг, Раул Де Ла Ос Кинтано, Реджина Дохърти, 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единният пазар; </w:t>
            </w:r>
            <w:r>
              <w:rPr>
                <w:b/>
                <w:i/>
              </w:rPr>
              <w:t>призовава Комисията да гарантира автоматично взаимно признаване на забраните за дейност във всички държави членки, както и своевременен и сигурен обмен на съответната информация между държавите членки;</w:t>
            </w:r>
          </w:p>
        </w:tc>
        <w:tc>
          <w:tcPr>
            <w:tcW w:w="4876" w:type="dxa"/>
            <w:tcBorders>
              <w:top w:val="nil"/>
              <w:left w:val="nil"/>
              <w:bottom w:val="nil"/>
              <w:right w:val="nil"/>
            </w:tcBorders>
          </w:tcPr>
          <w:p>
            <w:pPr>
              <w:pStyle w:val="Normal6a"/>
            </w:pPr>
            <w:r>
              <w:t>11.</w:t>
            </w:r>
            <w:r>
              <w:tab/>
            </w:r>
            <w:r>
              <w:t>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единният пазар;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единният пазар; призовава Комисията да гарантира автоматично взаимно признаване на забраните за дейност във всички държави членки, както и своевременен и сигурен обмен на съответната информация между държавите членки;</w:t>
            </w:r>
          </w:p>
        </w:tc>
        <w:tc>
          <w:tcPr>
            <w:tcW w:w="4876" w:type="dxa"/>
            <w:tcBorders>
              <w:top w:val="nil"/>
              <w:left w:val="nil"/>
              <w:bottom w:val="nil"/>
              <w:right w:val="nil"/>
            </w:tcBorders>
          </w:tcPr>
          <w:p>
            <w:pPr>
              <w:pStyle w:val="Normal6a"/>
            </w:pPr>
            <w:r>
              <w:t>11.</w:t>
            </w:r>
            <w:r>
              <w:tab/>
            </w:r>
            <w:r>
              <w:t xml:space="preserve">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единният пазар; призовава Комисията да гарантира автоматично взаимно признаване на забраните за дейност във всички държави членки, както и своевременен и сигурен обмен на съответната информация между държавите членки; </w:t>
            </w:r>
            <w:r>
              <w:rPr>
                <w:b/>
                <w:i/>
              </w:rPr>
              <w:t>с автоматично взаимно признаване чрез ИСВП, гаранции за справедлив съдебен процес и ясни срокове за обмен на информация.</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Яна Том</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единният пазар; призовава Комисията да гарантира автоматично взаимно признаване на забраните за дейност във всички държави членки, както и своевременен и сигурен обмен на съответната информация между държавите членки;</w:t>
            </w:r>
          </w:p>
        </w:tc>
        <w:tc>
          <w:tcPr>
            <w:tcW w:w="4876" w:type="dxa"/>
            <w:tcBorders>
              <w:top w:val="nil"/>
              <w:left w:val="nil"/>
              <w:bottom w:val="nil"/>
              <w:right w:val="nil"/>
            </w:tcBorders>
          </w:tcPr>
          <w:p>
            <w:pPr>
              <w:pStyle w:val="Normal6a"/>
            </w:pPr>
            <w:r>
              <w:t>11.</w:t>
            </w:r>
            <w:r>
              <w:tab/>
            </w:r>
            <w:r>
              <w:t xml:space="preserve">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w:t>
            </w:r>
            <w:r>
              <w:rPr>
                <w:b/>
                <w:i/>
              </w:rPr>
              <w:t>борбата срещу експлоатацията на труда в рамките на</w:t>
            </w:r>
            <w:r>
              <w:t xml:space="preserve"> единният пазар; призовава Комисията да гарантира автоматично взаимно признаване на забраните за дейност във всички държави членки, както и своевременен и сигурен обмен на съответната информация между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w:t>
            </w:r>
            <w:r>
              <w:rPr>
                <w:b/>
                <w:i/>
              </w:rPr>
              <w:t>единният</w:t>
            </w:r>
            <w:r>
              <w:t xml:space="preserve"> пазар; призовава Комисията да гарантира </w:t>
            </w:r>
            <w:r>
              <w:rPr>
                <w:b/>
                <w:i/>
              </w:rPr>
              <w:t>автоматично взаимно признаване на забраните за дейност във всички държави членки, както и своевременен и сигурен</w:t>
            </w:r>
            <w:r>
              <w:t xml:space="preserve"> обмен на </w:t>
            </w:r>
            <w:r>
              <w:rPr>
                <w:b/>
                <w:i/>
              </w:rPr>
              <w:t>съответната</w:t>
            </w:r>
            <w:r>
              <w:t xml:space="preserve"> информация между държавите членки;</w:t>
            </w:r>
          </w:p>
        </w:tc>
        <w:tc>
          <w:tcPr>
            <w:tcW w:w="4876" w:type="dxa"/>
            <w:tcBorders>
              <w:top w:val="nil"/>
              <w:left w:val="nil"/>
              <w:bottom w:val="nil"/>
              <w:right w:val="nil"/>
            </w:tcBorders>
          </w:tcPr>
          <w:p>
            <w:pPr>
              <w:pStyle w:val="Normal6a"/>
            </w:pPr>
            <w:r>
              <w:t>11.</w:t>
            </w:r>
            <w:r>
              <w:tab/>
            </w:r>
            <w:r>
              <w:t xml:space="preserve">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w:t>
            </w:r>
            <w:r>
              <w:rPr>
                <w:b/>
                <w:i/>
              </w:rPr>
              <w:t>европейският единен</w:t>
            </w:r>
            <w:r>
              <w:t xml:space="preserve"> пазар; призовава Комисията да гарантира </w:t>
            </w:r>
            <w:r>
              <w:rPr>
                <w:b/>
                <w:i/>
              </w:rPr>
              <w:t>по-ефективен</w:t>
            </w:r>
            <w:r>
              <w:t xml:space="preserve"> обмен на информация </w:t>
            </w:r>
            <w:r>
              <w:rPr>
                <w:b/>
                <w:i/>
              </w:rPr>
              <w:t>и сътрудничество</w:t>
            </w:r>
            <w:r>
              <w:t xml:space="preserve"> между държавите членки</w:t>
            </w:r>
            <w:r>
              <w:rPr>
                <w:b/>
                <w:i/>
              </w:rPr>
              <w:t>, за да бъдат спрени престъпните участници, с фокус върху трансграничната организирана престъпност, а не върху допълнителната тежест за дружествата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единният пазар; призовава Комисията да </w:t>
            </w:r>
            <w:r>
              <w:rPr>
                <w:b/>
                <w:i/>
              </w:rPr>
              <w:t>гарантира автоматично взаимно</w:t>
            </w:r>
            <w:r>
              <w:t xml:space="preserve"> признаване на забраните за дейност във всички държави членки, както и </w:t>
            </w:r>
            <w:r>
              <w:rPr>
                <w:b/>
                <w:i/>
              </w:rPr>
              <w:t>своевременен</w:t>
            </w:r>
            <w:r>
              <w:t xml:space="preserve"> и сигурен обмен на съответната информация между държавите членки;</w:t>
            </w:r>
          </w:p>
        </w:tc>
        <w:tc>
          <w:tcPr>
            <w:tcW w:w="4876" w:type="dxa"/>
            <w:tcBorders>
              <w:top w:val="nil"/>
              <w:left w:val="nil"/>
              <w:bottom w:val="nil"/>
              <w:right w:val="nil"/>
            </w:tcBorders>
          </w:tcPr>
          <w:p>
            <w:pPr>
              <w:pStyle w:val="Normal6a"/>
            </w:pPr>
            <w:r>
              <w:t>11.</w:t>
            </w:r>
            <w:r>
              <w:tab/>
            </w:r>
            <w:r>
              <w:t xml:space="preserve">отбелязва със загриженост, че физическите лица, на които е наложена забрана за дейност в една държава членка, могат да заобикалят националните ограничения, като регистрират и извършват стопанска дейност в друга държава членка, като по този начин се подкопава единният пазар; призовава Комисията да </w:t>
            </w:r>
            <w:r>
              <w:rPr>
                <w:b/>
                <w:i/>
              </w:rPr>
              <w:t>насърчава взаимното</w:t>
            </w:r>
            <w:r>
              <w:t xml:space="preserve"> признаване на забраните за дейност във всички държави членки, както и </w:t>
            </w:r>
            <w:r>
              <w:rPr>
                <w:b/>
                <w:i/>
              </w:rPr>
              <w:t>принципа на реципрочност и своевременния</w:t>
            </w:r>
            <w:r>
              <w:t xml:space="preserve"> и сигурен обмен на съответната информация между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11а.</w:t>
            </w:r>
            <w:r>
              <w:tab/>
            </w:r>
            <w:r>
              <w:rPr>
                <w:b/>
                <w:i/>
              </w:rPr>
              <w:t>подчертава проблема с използващите измама и престъпните участници на пазара на труда, които използват фалити, за да избегнат отговорността за неизплатени заплати, данъци, социалноосигурителни вноски, както и административни санкции;</w:t>
            </w:r>
            <w:r>
              <w:t xml:space="preserve"> </w:t>
            </w:r>
            <w:r>
              <w:rPr>
                <w:b/>
                <w:i/>
              </w:rPr>
              <w:t>призовава Комисията да анализира въпросите, свързани със стратегическите фалити и изчезващите дружества, особено при трансгранични случаи, и да предприеме необходимите инициативи за намаляване на разпространението им;</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11а.</w:t>
            </w:r>
            <w:r>
              <w:tab/>
            </w:r>
            <w:r>
              <w:rPr>
                <w:b/>
                <w:i/>
              </w:rPr>
              <w:t>подчертава, че механизмите за подаване на жалби са важен инструмент за гарантиране на целенасочени проверки и търсене на отговорност от работодателите, но те остават недостатъчно използвани и недостъпни, особено в случая на мобилните работници и работниците мигранти;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11б.</w:t>
            </w:r>
            <w:r>
              <w:tab/>
            </w:r>
            <w:r>
              <w:rPr>
                <w:b/>
                <w:i/>
              </w:rPr>
              <w:t>изразява загриженост относно злоупотребата с фалити от страна на ползващи измама субекти с цел избягване на заплати, данъци, социална сигурност и санкции, подкопаващи правоприлагането и нанасящи вреди на работниците, публичните финанси, клиентите и подизпълнителите;</w:t>
            </w:r>
            <w:r>
              <w:t xml:space="preserve"> </w:t>
            </w:r>
            <w:r>
              <w:rPr>
                <w:b/>
                <w:i/>
              </w:rPr>
              <w:t>призовава Комисията да картографира и да предприеме действия по отношение на стратегическите фалити и изчезващите дружества, особено при трансгранични случаи;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11б.</w:t>
            </w:r>
            <w:r>
              <w:tab/>
            </w:r>
            <w:r>
              <w:rPr>
                <w:b/>
                <w:i/>
              </w:rPr>
              <w:t>предлага създаването на общ за целия ЕС списък за изключване, достъпен за компетентните национални органи, а чрез Информационната система за вътрешния пазар (ИСВП) и за физическите лица и дружествата, които подлежат на забрана за търговия или наказателни санкции, за да се предотврати заобикалянето на ограниченията;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11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11в.</w:t>
            </w:r>
            <w:r>
              <w:tab/>
            </w:r>
            <w:r>
              <w:rPr>
                <w:b/>
                <w:i/>
              </w:rPr>
              <w:t>подчертава, че санкциите за правата на работниците са по-слабо развити, отколкото санкциите в други области на правото на ЕС, и призовава Комисията да направи оценка на обвързването им с размера или оборота на дружествата, за да се подобри тяхната ефективност;</w:t>
            </w:r>
            <w:r>
              <w:t xml:space="preserve"> </w:t>
            </w:r>
            <w:r>
              <w:rPr>
                <w:b/>
                <w:i/>
              </w:rPr>
              <w:t>подчертава необходимостта от подобряване на приложимостта и събирането на глоби, обезщетения за вреди и неизплатени заплати и социалноосигурителни вноски при трансгранични случаи;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приветства използването на обвързаност със социални условия в националните и европейските схеми и програми за финансиране, които обвързват плащанията с условието за зачитане на правата на работниците;</w:t>
            </w:r>
            <w:r>
              <w:t xml:space="preserve"> </w:t>
            </w:r>
            <w:r>
              <w:rPr>
                <w:b/>
                <w:i/>
              </w:rPr>
              <w:t>призовава Комисията да използва опита от включването на обвързаността със социални условия в общата селскостопанска политика, за да гарантира, че програмите на ЕС за финансиране включват обвързаност с условия по отношение на европейските трудови стандарти;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приветства използването на обвързаност със социални условия в националните и европейските схеми и програми за финансиране</w:t>
            </w:r>
            <w:r>
              <w:rPr>
                <w:b/>
                <w:i/>
              </w:rPr>
              <w:t>, които обвързват</w:t>
            </w:r>
            <w:r>
              <w:t xml:space="preserve"> плащанията </w:t>
            </w:r>
            <w:r>
              <w:rPr>
                <w:b/>
                <w:i/>
              </w:rPr>
              <w:t>с условието за зачитане</w:t>
            </w:r>
            <w:r>
              <w:t xml:space="preserve"> на правата на работниците; призовава Комисията да използва опита от включването на обвързаността със социални условия в общата селскостопанска политика, за да гарантира, че програмите на ЕС за финансиране включват обвързаност с условия по отношение на европейските трудови стандарти;</w:t>
            </w:r>
          </w:p>
        </w:tc>
        <w:tc>
          <w:tcPr>
            <w:tcW w:w="4876" w:type="dxa"/>
            <w:tcBorders>
              <w:top w:val="nil"/>
              <w:left w:val="nil"/>
              <w:bottom w:val="nil"/>
              <w:right w:val="nil"/>
            </w:tcBorders>
          </w:tcPr>
          <w:p>
            <w:pPr>
              <w:pStyle w:val="Normal6a"/>
            </w:pPr>
            <w:r>
              <w:t>12.</w:t>
            </w:r>
            <w:r>
              <w:tab/>
            </w:r>
            <w:r>
              <w:t xml:space="preserve">приветства използването на обвързаност със социални условия в националните и европейските схеми и програми за финансиране </w:t>
            </w:r>
            <w:r>
              <w:rPr>
                <w:b/>
                <w:i/>
              </w:rPr>
              <w:t>и призовава за разширяване на тези условия, за да се включат екологичните, свързаните с пола и жилищните стандарти, като</w:t>
            </w:r>
            <w:r>
              <w:t xml:space="preserve"> плащанията </w:t>
            </w:r>
            <w:r>
              <w:rPr>
                <w:b/>
                <w:i/>
              </w:rPr>
              <w:t>се обвързват не само със зачитането</w:t>
            </w:r>
            <w:r>
              <w:t xml:space="preserve"> на правата на работниците</w:t>
            </w:r>
            <w:r>
              <w:rPr>
                <w:b/>
                <w:i/>
              </w:rPr>
              <w:t>, но и с осигуряването на подходящо жилищно настаняване за работниците, мерките за равенство между половете и изпълнението на критериите за устойчивост по веригите от подизпълнители</w:t>
            </w:r>
            <w:r>
              <w:t>; призовава Комисията да използва опита от включването на обвързаността със социални условия в общата селскостопанска политика, за да гарантира, че програмите на ЕС за финансиране включват обвързаност с условия по отношение на европейските трудови стандарти;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Никола Бартушек, 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rPr>
                <w:b/>
                <w:i/>
              </w:rPr>
              <w:t>приветства използването на обвързаност със социални условия в националните и европейските схеми и програми за финансиране, които обвързват плащанията с условието за зачитане на правата на работниците;</w:t>
            </w:r>
            <w:r>
              <w:t xml:space="preserve"> </w:t>
            </w:r>
            <w:r>
              <w:rPr>
                <w:b/>
                <w:i/>
              </w:rPr>
              <w:t>призовава Комисията да използва опита от включването на обвързаността със социални условия в общата селскостопанска политика, за да гарантира, че програмите на ЕС за</w:t>
            </w:r>
            <w:r>
              <w:t xml:space="preserve"> финансиране </w:t>
            </w:r>
            <w:r>
              <w:rPr>
                <w:b/>
                <w:i/>
              </w:rPr>
              <w:t>включват обвързаност с условия по отношение на европейските трудови стандарти</w:t>
            </w:r>
            <w:r>
              <w:t>;</w:t>
            </w:r>
          </w:p>
        </w:tc>
        <w:tc>
          <w:tcPr>
            <w:tcW w:w="4876" w:type="dxa"/>
            <w:tcBorders>
              <w:top w:val="nil"/>
              <w:left w:val="nil"/>
              <w:bottom w:val="nil"/>
              <w:right w:val="nil"/>
            </w:tcBorders>
          </w:tcPr>
          <w:p>
            <w:pPr>
              <w:pStyle w:val="Normal6a"/>
            </w:pPr>
            <w:r>
              <w:t>12.</w:t>
            </w:r>
            <w:r>
              <w:tab/>
            </w:r>
            <w:r>
              <w:rPr>
                <w:b/>
                <w:i/>
              </w:rPr>
              <w:t>припомня, че схемите за публично</w:t>
            </w:r>
            <w:r>
              <w:t xml:space="preserve"> финансиране </w:t>
            </w:r>
            <w:r>
              <w:rPr>
                <w:b/>
                <w:i/>
              </w:rPr>
              <w:t>не следва да бъдат достъпни в случай на злоупотреба срещу работници чрез възлагане на подизпълнители</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Галато Александраки, Емануил Франгос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rPr>
                <w:b/>
                <w:i/>
              </w:rPr>
              <w:t>приветства използването на</w:t>
            </w:r>
            <w:r>
              <w:t xml:space="preserve"> обвързаност със социални условия в </w:t>
            </w:r>
            <w:r>
              <w:rPr>
                <w:b/>
                <w:i/>
              </w:rPr>
              <w:t>националните и европейските схеми и програми за финансиране, които обвързват плащанията с условието за зачитане на правата на работниците;</w:t>
            </w:r>
            <w:r>
              <w:t xml:space="preserve"> </w:t>
            </w:r>
            <w:r>
              <w:rPr>
                <w:b/>
                <w:i/>
              </w:rPr>
              <w:t>призовава Комисията да използва опита от включването на обвързаността със социални условия в общата селскостопанска политика, за да гарантира, че</w:t>
            </w:r>
            <w:r>
              <w:t xml:space="preserve"> програмите на ЕС </w:t>
            </w:r>
            <w:r>
              <w:rPr>
                <w:b/>
                <w:i/>
              </w:rPr>
              <w:t>за финансиране включват обвързаност с условия по отношение на европейските трудови стандарти;</w:t>
            </w:r>
          </w:p>
        </w:tc>
        <w:tc>
          <w:tcPr>
            <w:tcW w:w="4876" w:type="dxa"/>
            <w:tcBorders>
              <w:top w:val="nil"/>
              <w:left w:val="nil"/>
              <w:bottom w:val="nil"/>
              <w:right w:val="nil"/>
            </w:tcBorders>
          </w:tcPr>
          <w:p>
            <w:pPr>
              <w:pStyle w:val="Normal6a"/>
            </w:pPr>
            <w:r>
              <w:t>12.</w:t>
            </w:r>
            <w:r>
              <w:tab/>
            </w:r>
            <w:r>
              <w:rPr>
                <w:b/>
                <w:i/>
              </w:rPr>
              <w:t>подкрепя целенасочената</w:t>
            </w:r>
            <w:r>
              <w:t xml:space="preserve"> обвързаност със социални условия в програмите на ЕС</w:t>
            </w:r>
            <w:r>
              <w:rPr>
                <w:b/>
                <w:i/>
              </w:rPr>
              <w:t>/националните програми, с фокус върху тежките нарушения (трафик на хора, недеклариран труд, системни нарушения на ЗБУТ), ясни и пропорционални критерии и бързо премахване за спазващите изискванията МСП.</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Арба Кокалари, Йорген Варборн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rPr>
                <w:b/>
                <w:i/>
              </w:rPr>
              <w:t>приветства</w:t>
            </w:r>
            <w:r>
              <w:t xml:space="preserve"> използването на обвързаност със социални условия в националните и европейските схеми и програми за финансиране</w:t>
            </w:r>
            <w:r>
              <w:rPr>
                <w:b/>
                <w:i/>
              </w:rPr>
              <w:t>, които обвързват плащанията с условието за зачитане на правата на работниците;</w:t>
            </w:r>
            <w:r>
              <w:t xml:space="preserve"> </w:t>
            </w:r>
            <w:r>
              <w:rPr>
                <w:b/>
                <w:i/>
              </w:rPr>
              <w:t>призовава Комисията да използва опита от включването на обвързаността със социални условия в</w:t>
            </w:r>
            <w:r>
              <w:t xml:space="preserve"> общата селскостопанска политика</w:t>
            </w:r>
            <w:r>
              <w:rPr>
                <w:b/>
                <w:i/>
              </w:rPr>
              <w:t>, за да гарантира, че програмите</w:t>
            </w:r>
            <w:r>
              <w:t xml:space="preserve"> на ЕС </w:t>
            </w:r>
            <w:r>
              <w:rPr>
                <w:b/>
                <w:i/>
              </w:rPr>
              <w:t>за финансиране включват обвързаност с условия</w:t>
            </w:r>
            <w:r>
              <w:t xml:space="preserve"> по отношение на </w:t>
            </w:r>
            <w:r>
              <w:rPr>
                <w:b/>
                <w:i/>
              </w:rPr>
              <w:t>европейските трудови стандарти</w:t>
            </w:r>
            <w:r>
              <w:t>;</w:t>
            </w:r>
          </w:p>
        </w:tc>
        <w:tc>
          <w:tcPr>
            <w:tcW w:w="4876" w:type="dxa"/>
            <w:tcBorders>
              <w:top w:val="nil"/>
              <w:left w:val="nil"/>
              <w:bottom w:val="nil"/>
              <w:right w:val="nil"/>
            </w:tcBorders>
          </w:tcPr>
          <w:p>
            <w:pPr>
              <w:pStyle w:val="Normal6a"/>
            </w:pPr>
            <w:r>
              <w:t>12.</w:t>
            </w:r>
            <w:r>
              <w:tab/>
            </w:r>
            <w:r>
              <w:rPr>
                <w:b/>
                <w:i/>
              </w:rPr>
              <w:t>отбелязва, че</w:t>
            </w:r>
            <w:r>
              <w:t xml:space="preserve"> използването на обвързаност със социални условия в националните и европейските схеми и програми за финансиране </w:t>
            </w:r>
            <w:r>
              <w:rPr>
                <w:b/>
                <w:i/>
              </w:rPr>
              <w:t>в рамките на</w:t>
            </w:r>
            <w:r>
              <w:t xml:space="preserve"> общата селскостопанска политика </w:t>
            </w:r>
            <w:r>
              <w:rPr>
                <w:b/>
                <w:i/>
              </w:rPr>
              <w:t>не е осъществимо, тъй като селскостопанският сектор се различава значително от стопанския сектор</w:t>
            </w:r>
            <w:r>
              <w:t xml:space="preserve"> на ЕС по отношение на </w:t>
            </w:r>
            <w:r>
              <w:rPr>
                <w:b/>
                <w:i/>
              </w:rPr>
              <w:t>мащаба, структурата на заетостта и икономическата зависимост, като селското стопанство има по-малък принос за БВП, докато стопанският сектор е по-голям и включва милиони микро- и малки предприятия, генериращи много по-голяма добавена стойност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Бенедета Скудери</w:t>
      </w:r>
      <w:r>
        <w:rPr>
          <w:rStyle w:val="HideTWBExt"/>
          <w:b w:val="0"/>
        </w:rPr>
        <w:t>&lt;/Members&gt;</w:t>
      </w:r>
    </w:p>
    <w:p>
      <w:r>
        <w:rPr>
          <w:rStyle w:val="HideTWBExt"/>
          <w:b w:val="0"/>
        </w:rPr>
        <w:t>&lt;AuNomDe&gt;</w:t>
      </w:r>
      <w:r>
        <w:rPr>
          <w:rStyle w:val="HideTWBInt"/>
        </w:rPr>
        <w:t>{Verts/ALE}</w:t>
      </w:r>
      <w:r>
        <w:t>от името на групата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12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призовава Комисията и държавите членки да насърчават включването на клаузи за ползи за общността в обществените поръчки и финансираните от ЕС проекти, които изискват от подизпълнителите да допринасят за развитието на умения на местно равнище, инициативите за социална интеграция и екологично устойчивите практики, като по този начин се гарантира, че положителните ефекти от публичните инвестиции се простират отвъд непосредственото работно място;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Йоан Даниелсон, Естел Кьолеманс, Мариане Винд, Марит Май, Габриеле Бишоф, Вилия Блинкевичуте, Евелин Регнер, Марк Ангел, Пиерфранческо Маран, Рафаеле Топо, Романа Йеркович</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резолюция</w:t>
      </w:r>
      <w:r>
        <w:rPr>
          <w:rStyle w:val="HideTWBExt"/>
        </w:rPr>
        <w:t>&lt;/DocAmend&gt;</w:t>
      </w:r>
    </w:p>
    <w:p>
      <w:pPr>
        <w:pStyle w:val="NormalBold"/>
      </w:pPr>
      <w:r>
        <w:rPr>
          <w:rStyle w:val="HideTWBExt"/>
        </w:rPr>
        <w:t>&lt;Article&gt;</w:t>
      </w:r>
      <w:r>
        <w:t>Параграф 13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13а.</w:t>
            </w:r>
            <w:r>
              <w:tab/>
            </w:r>
            <w:r>
              <w:rPr>
                <w:b/>
                <w:i/>
              </w:rPr>
              <w:t>отбелязва различията в режимите на санкции в различните области на политиката и отбелязва, че в някои сектори равнищата на санкциите са свързани с размера или оборота на дружествата, за да се гарантира пропорционалност и възпиране;</w:t>
            </w:r>
            <w:r>
              <w:t xml:space="preserve"> </w:t>
            </w:r>
            <w:r>
              <w:rPr>
                <w:b/>
                <w:i/>
              </w:rPr>
              <w:t>насърчава Комисията да преразгледа дали подобни подходи биха могли да засилят осигуряването на изпълнението и да насърчат еднакви условия на конкуренция в областта на здравословните и безопасни условия на труд;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776.975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146</w:t>
    </w:r>
    <w:r>
      <w:fldChar w:fldCharType="end"/>
    </w:r>
    <w:r>
      <w:t>/</w:t>
    </w:r>
    <w:r>
      <w:fldChar w:fldCharType="begin"/>
    </w:r>
    <w:r>
      <w:instrText xml:space="preserve"> NUMPAGES </w:instrText>
    </w:r>
    <w:r>
      <w:fldChar w:fldCharType="separate"/>
    </w:r>
    <w:r>
      <w:t>147</w:t>
    </w:r>
    <w:r>
      <w:fldChar w:fldCharType="end"/>
    </w:r>
    <w:r>
      <w:tab/>
    </w:r>
    <w:r>
      <w:rPr>
        <w:rStyle w:val="HideTWBExt"/>
      </w:rPr>
      <w:t>&lt;PathFdR&gt;</w:t>
    </w:r>
    <w:r>
      <w:t>AM\1327607BG.docx</w:t>
    </w:r>
    <w:r>
      <w:rPr>
        <w:rStyle w:val="HideTWBExt"/>
      </w:rPr>
      <w:t>&lt;/PathFdR&gt;</w:t>
    </w:r>
  </w:p>
  <w:p>
    <w:pPr>
      <w:pStyle w:val="EPFooter2"/>
    </w:pPr>
    <w:r>
      <w:t>BG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AM\1327607BG.docx</w:t>
    </w:r>
    <w:r>
      <w:rPr>
        <w:rStyle w:val="HideTWBExt"/>
      </w:rPr>
      <w:t>&lt;/PathFdR&gt;</w:t>
    </w:r>
    <w:r>
      <w:tab/>
    </w:r>
    <w:r>
      <w:fldChar w:fldCharType="begin"/>
    </w:r>
    <w:r>
      <w:instrText xml:space="preserve"> PAGE </w:instrText>
    </w:r>
    <w:r>
      <w:fldChar w:fldCharType="separate"/>
    </w:r>
    <w:r>
      <w:t>147</w:t>
    </w:r>
    <w:r>
      <w:fldChar w:fldCharType="end"/>
    </w:r>
    <w:r>
      <w:t>/</w:t>
    </w:r>
    <w:r>
      <w:fldChar w:fldCharType="begin"/>
    </w:r>
    <w:r>
      <w:instrText xml:space="preserve"> NUMPAGES </w:instrText>
    </w:r>
    <w:r>
      <w:fldChar w:fldCharType="separate"/>
    </w:r>
    <w:r>
      <w:t>147</w:t>
    </w:r>
    <w:r>
      <w:fldChar w:fldCharType="end"/>
    </w:r>
    <w:r>
      <w:tab/>
    </w:r>
    <w:r>
      <w:t>PE</w:t>
    </w:r>
    <w:r>
      <w:rPr>
        <w:rStyle w:val="HideTWBExt"/>
      </w:rPr>
      <w:t>&lt;NoPE&gt;</w:t>
    </w:r>
    <w:r>
      <w:t>776.975</w:t>
    </w:r>
    <w:r>
      <w:rPr>
        <w:rStyle w:val="HideTWBExt"/>
      </w:rPr>
      <w:t>&lt;/NoPE&gt;</w:t>
    </w:r>
    <w:r>
      <w:rPr>
        <w:rStyle w:val="HideTWBExt"/>
      </w:rPr>
      <w:t>&lt;Version&gt;</w:t>
    </w:r>
    <w:r>
      <w:t>v01-00</w:t>
    </w:r>
    <w:r>
      <w:rPr>
        <w:rStyle w:val="HideTWBExt"/>
      </w:rPr>
      <w:t>&lt;/Version&gt;</w:t>
    </w:r>
  </w:p>
  <w:p>
    <w:pPr>
      <w:pStyle w:val="EPFooter2"/>
    </w:pPr>
    <w:r>
      <w:tab/>
    </w:r>
    <w:r>
      <w:tab/>
    </w:r>
    <w:r>
      <w:t>BG</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AM\1327607BG.docx</w:t>
    </w:r>
    <w:r>
      <w:rPr>
        <w:rStyle w:val="HideTWBExt"/>
      </w:rPr>
      <w:t>&lt;/PathFdR&gt;</w:t>
    </w:r>
    <w:r>
      <w:tab/>
    </w:r>
    <w:r>
      <w:tab/>
    </w:r>
    <w:r>
      <w:t>PE</w:t>
    </w:r>
    <w:r>
      <w:rPr>
        <w:rStyle w:val="HideTWBExt"/>
      </w:rPr>
      <w:t>&lt;NoPE&gt;</w:t>
    </w:r>
    <w:r>
      <w:t>776.975</w:t>
    </w:r>
    <w:r>
      <w:rPr>
        <w:rStyle w:val="HideTWBExt"/>
      </w:rPr>
      <w:t>&lt;/NoPE&gt;</w:t>
    </w:r>
    <w:r>
      <w:rPr>
        <w:rStyle w:val="HideTWBExt"/>
      </w:rPr>
      <w:t>&lt;Version&gt;</w:t>
    </w:r>
    <w:r>
      <w:t>v01-00</w:t>
    </w:r>
    <w:r>
      <w:rPr>
        <w:rStyle w:val="HideTWBExt"/>
      </w:rPr>
      <w:t>&lt;/Version&gt;</w:t>
    </w:r>
  </w:p>
  <w:p>
    <w:pPr>
      <w:pStyle w:val="EPFooter2"/>
    </w:pPr>
    <w:r>
      <w:t>BG</w:t>
    </w:r>
    <w:r>
      <w:tab/>
    </w:r>
    <w:r>
      <w:rPr>
        <w:rStyle w:val="EPFooter2Motto"/>
      </w:rPr>
      <w:t>Единство в многообразието</w:t>
    </w:r>
    <w:r>
      <w:tab/>
    </w:r>
    <w:r>
      <w:t>BG</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val="0"/>
      <w:jc w:val="right"/>
    </w:p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147</Pages>
  <Words>28687</Words>
  <Characters>178976</Characters>
  <Application>Microsoft Office Word</Application>
  <DocSecurity>0</DocSecurity>
  <Lines>1</Lines>
  <Paragraphs>2343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1327607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248024</vt:lpwstr>
  </property>
  <property fmtid="{D5CDD505-2E9C-101B-9397-08002B2CF9AE}" pid="7" name="dmxml.render.traceId">
    <vt:lpwstr>68da6c5b33e15b6698efdcde55245105</vt:lpwstr>
  </property>
  <property fmtid="{D5CDD505-2E9C-101B-9397-08002B2CF9AE}" pid="8" name="FooterPath">
    <vt:lpwstr>AM\1327607BG.docx</vt:lpwstr>
  </property>
  <property fmtid="{D5CDD505-2E9C-101B-9397-08002B2CF9AE}" pid="9" name="PE Number">
    <vt:lpwstr>776.975</vt:lpwstr>
  </property>
  <property fmtid="{D5CDD505-2E9C-101B-9397-08002B2CF9AE}" pid="10" name="UID">
    <vt:lpwstr>eu.europa.europarl-DIN1-2025-0000170531_02.00-bg-01.00_text-xml</vt:lpwstr>
  </property>
</Properties>
</file>