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pro zaměstnanost a sociální věci</w:t>
      </w:r>
      <w:r>
        <w:rPr>
          <w:rStyle w:val="HideTWBExt"/>
        </w:rPr>
        <w:t>&lt;/Commission&gt;</w:t>
      </w:r>
    </w:p>
    <w:p>
      <w:pPr>
        <w:pStyle w:val="LineBottom"/>
      </w:pPr>
      <w:r>
        <w:t xml:space="preserve"> </w:t>
      </w:r>
    </w:p>
    <w:p>
      <w:pPr>
        <w:pStyle w:val="CoverReference"/>
      </w:pPr>
      <w:r>
        <w:rPr>
          <w:rStyle w:val="HideTWBExt"/>
        </w:rPr>
        <w:t>&lt;RefProc&gt;</w:t>
      </w:r>
      <w:r>
        <w:t>2025/2133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{16/09/2025}</w:t>
      </w:r>
      <w:r>
        <w:t>16. 9. 2025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252</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Johan Danielsson</w:t>
      </w:r>
      <w:r>
        <w:rPr>
          <w:rStyle w:val="HideTWBExt"/>
        </w:rPr>
        <w:t>&lt;/Rapporteur&gt;</w:t>
      </w:r>
    </w:p>
    <w:p>
      <w:pPr>
        <w:pStyle w:val="CoverNormal24a"/>
      </w:pPr>
      <w:r>
        <w:rPr>
          <w:rStyle w:val="HideTWBExt"/>
        </w:rPr>
        <w:t>&lt;DocRefPE&gt;</w:t>
      </w:r>
      <w:r>
        <w:t>(PE775.631v01-00)</w:t>
      </w:r>
      <w:r>
        <w:rPr>
          <w:rStyle w:val="HideTWBExt"/>
        </w:rPr>
        <w:t>&lt;/DocRefPE&gt;</w:t>
      </w:r>
    </w:p>
    <w:p>
      <w:pPr>
        <w:pStyle w:val="CoverNormal"/>
      </w:pPr>
      <w:r>
        <w:rPr>
          <w:rStyle w:val="HideTWBExt"/>
        </w:rPr>
        <w:t>&lt;Titre&gt;</w:t>
      </w:r>
      <w:r>
        <w:t>Řešení subdodavatelských řetězců a role zprostředkovatelů za účelem ochrany práv pracovníků</w:t>
      </w:r>
      <w:r>
        <w:rPr>
          <w:rStyle w:val="HideTWBExt"/>
        </w:rPr>
        <w:t>&lt;/Titre&gt;</w:t>
      </w:r>
    </w:p>
    <w:p>
      <w:pPr>
        <w:pStyle w:val="CoverNormal24a"/>
      </w:pPr>
      <w:r>
        <w:rPr>
          <w:rStyle w:val="HideTWBExt"/>
        </w:rPr>
        <w:t>&lt;DocRef&gt;</w:t>
      </w:r>
      <w:r>
        <w:t>(2025/2133(INI))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směrnici Evropského parlamentu a Rady 2011/36/EU ze dne 5. dubna 2011 o prevenci obchodování s lidmi, boji proti němu a o ochraně obětí, kterou se nahrazuje rámcové rozhodnutí Rady 2002/629/SVV, ve znění směrnice (EU) 2024/1712</w:t>
            </w:r>
            <w:r>
              <w:rPr>
                <w:b/>
                <w:i/>
                <w:vertAlign w:val="superscript"/>
              </w:rPr>
              <w:t>3</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Úř. věst. L 101, 15.4.2011, s.</w:t>
            </w:r>
            <w:r>
              <w:t xml:space="preserve"> </w:t>
            </w:r>
            <w:r>
              <w:rPr>
                <w:b/>
                <w:i/>
              </w:rPr>
              <w:t>1, ELI:</w:t>
            </w:r>
            <w:r>
              <w:t xml:space="preserve"> </w:t>
            </w:r>
            <w:r>
              <w:rPr>
                <w:b/>
                <w:i/>
              </w:rPr>
              <w:t>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směrnici Evropského parlamentu a Rady 2014/67/EU ze dne 15. května 2014 o prosazování směrnice 96/71/ES o vysílání pracovníků v rámci poskytování služeb a o změně nařízení (EU) č. 1024/2012 o správní spolupráci prostřednictvím systému pro výměnu informací o vnitřním trhu („nařízení o systému 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směrnici 2009/52/ES Evropského parlamentu a Rady ze dne 18. června 2009 o minimálních normách pro sankce a opatření vůči zaměstnavatelům neoprávněně pobývajících státních příslušníků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ohledem na zprávu Komise ze dne 26. května 2025 nazvanou „Hodnocení Evropského orgánu pro pracovní záležitosti (ELA)“ (COM(2025)0256),</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sdělení Komise ze dne 3. prosince 2020 nazvané „Strategický rámec EU pro bezpečnost a ochranu zdraví při práci na období 2021–2027 Bezpečnost a ochrana zdraví při práci v měnícím se světě práce“ (COM(2021)0323), včetně přístupu „vize nula“ k úmrtím souvisejícím s prací v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Evropského orgánu pro pracovní záležitosti nazvanou „Odvětví stavebnictví:</w:t>
            </w:r>
            <w:r>
              <w:t xml:space="preserve"> </w:t>
            </w:r>
            <w:r>
              <w:rPr>
                <w:b/>
                <w:i/>
              </w:rPr>
              <w:t>Otázky týkající se poskytování informací, prosazování práva v oblasti mobility pracovních sil, nařízení o koordinaci sociálního zabezpečení a spolupráce mezi členskými státy“</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https://www.ela.europa.eu/en/publications/construction-sector-issues-information-provision-enforcement-labour-mobility-law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Úmluvu MOP o soukromých agenturách práce (úmluva č. 181 </w:t>
            </w:r>
            <w:r>
              <w:rPr>
                <w:b/>
                <w:i/>
              </w:rPr>
              <w:t>z roku</w:t>
            </w:r>
            <w:r>
              <w:t xml:space="preserve"> 1997),</w:t>
            </w:r>
          </w:p>
        </w:tc>
        <w:tc>
          <w:tcPr>
            <w:tcW w:w="4876" w:type="dxa"/>
            <w:tcBorders>
              <w:top w:val="nil"/>
              <w:left w:val="nil"/>
              <w:bottom w:val="nil"/>
              <w:right w:val="nil"/>
            </w:tcBorders>
          </w:tcPr>
          <w:p>
            <w:pPr>
              <w:pStyle w:val="Normal6a"/>
            </w:pPr>
            <w:r>
              <w:rPr>
                <w:b/>
                <w:i/>
              </w:rPr>
              <w:t>–</w:t>
            </w:r>
            <w:r>
              <w:tab/>
            </w:r>
            <w:r>
              <w:t>s ohledem na Úmluvu MOP o soukromých agenturách práce (úmluva č. 181</w:t>
            </w:r>
            <w:r>
              <w:rPr>
                <w:b/>
                <w:i/>
              </w:rPr>
              <w:t>,</w:t>
            </w:r>
            <w:r>
              <w:t xml:space="preserve"> 1997), </w:t>
            </w:r>
            <w:r>
              <w:rPr>
                <w:b/>
                <w:i/>
              </w:rPr>
              <w:t>kterou ratifikovalo pouze 13 členských států (BE, BG, CZ, FI, FR, HU, IT, LT, NL, PL, PT, SK a 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Úmluvu MOP o bezpečnosti a ochraně zdraví ve stavebnictví (úmluva č. 167 </w:t>
            </w:r>
            <w:r>
              <w:rPr>
                <w:b/>
                <w:i/>
              </w:rPr>
              <w:t>z roku</w:t>
            </w:r>
            <w:r>
              <w:t xml:space="preserve"> 1988),</w:t>
            </w:r>
          </w:p>
        </w:tc>
        <w:tc>
          <w:tcPr>
            <w:tcW w:w="4876" w:type="dxa"/>
            <w:tcBorders>
              <w:top w:val="nil"/>
              <w:left w:val="nil"/>
              <w:bottom w:val="nil"/>
              <w:right w:val="nil"/>
            </w:tcBorders>
          </w:tcPr>
          <w:p>
            <w:pPr>
              <w:pStyle w:val="Normal6a"/>
            </w:pPr>
            <w:r>
              <w:rPr>
                <w:b/>
                <w:i/>
              </w:rPr>
              <w:t>–</w:t>
            </w:r>
            <w:r>
              <w:tab/>
            </w:r>
            <w:r>
              <w:t>s ohledem na Úmluvu MOP o bezpečnosti a ochraně zdraví ve stavebnictví (úmluva č. 167</w:t>
            </w:r>
            <w:r>
              <w:rPr>
                <w:b/>
                <w:i/>
              </w:rPr>
              <w:t>,</w:t>
            </w:r>
            <w:r>
              <w:t xml:space="preserve"> 1988), </w:t>
            </w:r>
            <w:r>
              <w:rPr>
                <w:b/>
                <w:i/>
              </w:rPr>
              <w:t>kterou ratifikovalo pouze 11 členských států (BE, CZ, DK, FI, DEBG, CZ, FI, FR, HU, IT, LU, SK, ES a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Erika Sinandera, docenta Stockholmské univerzity, ze září 2025 nazvanou „Může EU omezit subdodávky?</w:t>
            </w:r>
            <w:r>
              <w:t xml:space="preserve"> </w:t>
            </w:r>
            <w:r>
              <w:rPr>
                <w:b/>
                <w:i/>
              </w:rPr>
              <w:t>Právní perspektiva“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https://su.diva-portal.org/smash/get/diva2:1994767/FULLTEXT01.pdf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trojstrannou deklaraci ze summitu sociálních partnerů ve Val Duchesse ze dne 31. ledna 2024 o intenzivním evropském sociálním dialogu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https://ec.europa.eu/social/BlobServlet?docId=27309⟨Id=en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29.</w:t>
            </w:r>
            <w:r>
              <w:t xml:space="preserve"> </w:t>
            </w:r>
            <w:r>
              <w:rPr>
                <w:b/>
                <w:i/>
              </w:rPr>
              <w:t>ledna 2025 „Kompas konkurenceschopnosti pro EU (COM(2025) 30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ze dne 9. září 2024, kterou vypracoval Mario Draghi pod názvem „Budoucnost evropské konkurenceschopnosti“ (Draghiho zpráva),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hlavního ekonoma Swedish Enterprise Larsa Jagréna ze dne [xx] září 2025 nazvanou „Účinky omezení počtu úrovní subdodavatelů na dvě“ [připravuje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vnitrostátní strategie boje proti pracovnímu vykořisťování, nucené práci a nehlášené práci</w:t>
            </w:r>
            <w:r>
              <w:rPr>
                <w:vertAlign w:val="superscript"/>
              </w:rPr>
              <w:t>10</w:t>
            </w:r>
            <w:r>
              <w:t>,</w:t>
            </w:r>
          </w:p>
        </w:tc>
        <w:tc>
          <w:tcPr>
            <w:tcW w:w="4876" w:type="dxa"/>
            <w:tcBorders>
              <w:top w:val="nil"/>
              <w:left w:val="nil"/>
              <w:bottom w:val="nil"/>
              <w:right w:val="nil"/>
            </w:tcBorders>
          </w:tcPr>
          <w:p>
            <w:pPr>
              <w:pStyle w:val="Normal6a"/>
            </w:pPr>
            <w:r>
              <w:rPr>
                <w:b/>
                <w:i/>
              </w:rPr>
              <w:t>–</w:t>
            </w:r>
            <w:r>
              <w:tab/>
            </w:r>
            <w:r>
              <w:t>s ohledem na vnitrostátní strategie boje proti pracovnímu vykořisťování, nucené práci a nehlášené práci</w:t>
            </w:r>
            <w:r>
              <w:rPr>
                <w:vertAlign w:val="superscript"/>
              </w:rPr>
              <w:t>10</w:t>
            </w:r>
            <w:r>
              <w:t xml:space="preserve"> </w:t>
            </w:r>
            <w:r>
              <w:rPr>
                <w:b/>
                <w:i/>
              </w:rPr>
              <w:t>a podle globální zprávy Úřadu OSN pro drogy a kriminalitu (UNODC) o pašování z roku 2018 se jen v roce 2016 stalo obětí pašování 2,5 milionu lidí</w:t>
            </w:r>
            <w:r>
              <w:t xml:space="preserve">, </w:t>
            </w:r>
            <w:r>
              <w:rPr>
                <w:b/>
                <w:i/>
              </w:rPr>
              <w:t>což vedlo k hospodářské návratnosti ve výši přibližně 5,5–7 miliardy USD z poplatků zaplacených převaděčům,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Viz například: „Nationaler Aktionsplan gegen Arbeitsausbeutung und Zwangsarbeit“ („Národní akční plán proti pracovnímu vykořisťování a nucené práci“) (2025) německého Spolkového ministerstva práce a sociálních věcí, „Piano nazionale per la lotta al lavoro sommerso“ („Národní plán boje proti nehlášené práci“) (2022) italského Ministerstva práce a sociální politiky, „Plan de Acción contra el Trabajo Forzoso“ španělského Ministerstva pro začleňování, sociální zabezpečení a migraci (2021), „Nationell strategi mot arbetslivskriminalitet“ švédské vlády (2022) a dále: „Strategi mot arbeidslivskriminalitet“ norské vlády (2021).</w:t>
            </w:r>
          </w:p>
        </w:tc>
        <w:tc>
          <w:tcPr>
            <w:tcW w:w="4876" w:type="dxa"/>
            <w:tcBorders>
              <w:top w:val="nil"/>
              <w:left w:val="nil"/>
              <w:bottom w:val="nil"/>
              <w:right w:val="nil"/>
            </w:tcBorders>
          </w:tcPr>
          <w:p>
            <w:pPr>
              <w:pStyle w:val="Normal6a"/>
            </w:pPr>
            <w:r>
              <w:rPr>
                <w:vertAlign w:val="superscript"/>
              </w:rPr>
              <w:t>10</w:t>
            </w:r>
            <w:r>
              <w:t xml:space="preserve"> </w:t>
            </w:r>
            <w:r>
              <w:t>Viz například: „Nationaler Aktionsplan gegen Arbeitsausbeutung und Zwangsarbeit“ („Národní akční plán proti pracovnímu vykořisťování a nucené práci“) (2025) německého Spolkového ministerstva práce a sociálních věcí, „Piano nazionale per la lotta al lavoro sommerso“ („Národní plán boje proti nehlášené práci“) (2022) italského Ministerstva práce a sociální politiky, „Plan de Acción contra el Trabajo Forzoso“ španělského Ministerstva pro začleňování, sociální zabezpečení a migraci (2021), „Nationell strategi mot arbetslivskriminalitet“ švédské vlády (2022) a dále: „Strategi mot arbeidslivskriminalitet“ norské vlády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směrnici 2009/52/ES Evropského parlamentu a Rady ze dne 18. června 2009 o minimálních normách pro sankce a opatření vůči zaměstnavatelům neoprávněně pobývajících státních příslušníků třetích zemí (směrnice o sankcích vůči zaměstnavatelům),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rozsudek Soudního dvora Borta UAB, C-298/15, EU:C:2017:266, týkající se zadávání veřejných zakázek,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vzhledem k tomu, že pracovní vykořisťování a zneužívání na trhu práce v EU představuje rozsáhlý a naléhavý problém, který se projevuje pod různými názvy, mimo jiné jako trestná činnost související s prací, nehlášená práce, šedá ekonomika, sociální dumping, pracovní vykořisťování a moderní otroctví;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pracovní vykořisťování a zneužívání </w:t>
            </w:r>
            <w:r>
              <w:rPr>
                <w:b/>
                <w:i/>
              </w:rPr>
              <w:t>na</w:t>
            </w:r>
            <w:r>
              <w:t xml:space="preserve"> trhu práce v EU představuje rozsáhlý a naléhavý problém, který se projevuje pod různými názvy, mimo jiné jako trestná činnost související s prací, nehlášená práce, šedá ekonomika, sociální dumping, pracovní vykořisťování a moderní otroctví;</w:t>
            </w:r>
          </w:p>
        </w:tc>
        <w:tc>
          <w:tcPr>
            <w:tcW w:w="4876" w:type="dxa"/>
            <w:tcBorders>
              <w:top w:val="nil"/>
              <w:left w:val="nil"/>
              <w:bottom w:val="nil"/>
              <w:right w:val="nil"/>
            </w:tcBorders>
          </w:tcPr>
          <w:p>
            <w:pPr>
              <w:pStyle w:val="Normal6a"/>
            </w:pPr>
            <w:r>
              <w:t>A.</w:t>
            </w:r>
            <w:r>
              <w:tab/>
            </w:r>
            <w:r>
              <w:t xml:space="preserve">vzhledem k tomu, že pracovní vykořisťování a zneužívání </w:t>
            </w:r>
            <w:r>
              <w:rPr>
                <w:b/>
                <w:i/>
              </w:rPr>
              <w:t>v některých rizikových odvětvích</w:t>
            </w:r>
            <w:r>
              <w:t xml:space="preserve"> trhu práce v EU představuje rozsáhlý a naléhavý problém, který se projevuje pod různými názvy, mimo jiné jako trestná činnost související s prací, nehlášená práce, šedá ekonomika, sociální dumping, pracovní vykořisťování a moderní otroctví; </w:t>
            </w:r>
            <w:r>
              <w:rPr>
                <w:b/>
                <w:i/>
              </w:rPr>
              <w:t>vzhledem k tomu, že na tyto nezákonné praktiky se již vztahují stávající právní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pracovní vykořisťování a zneužívání </w:t>
            </w:r>
            <w:r>
              <w:rPr>
                <w:b/>
                <w:i/>
              </w:rPr>
              <w:t>na</w:t>
            </w:r>
            <w:r>
              <w:t xml:space="preserve"> trhu práce v EU představuje rozsáhlý a naléhavý problém, který se projevuje pod různými názvy, mimo jiné jako trestná činnost související s prací, nehlášená práce, šedá ekonomika, sociální dumping, pracovní vykořisťování a moderní otroctví;</w:t>
            </w:r>
          </w:p>
        </w:tc>
        <w:tc>
          <w:tcPr>
            <w:tcW w:w="4876" w:type="dxa"/>
            <w:tcBorders>
              <w:top w:val="nil"/>
              <w:left w:val="nil"/>
              <w:bottom w:val="nil"/>
              <w:right w:val="nil"/>
            </w:tcBorders>
          </w:tcPr>
          <w:p>
            <w:pPr>
              <w:pStyle w:val="Normal6a"/>
            </w:pPr>
            <w:r>
              <w:t>A.</w:t>
            </w:r>
            <w:r>
              <w:tab/>
            </w:r>
            <w:r>
              <w:t xml:space="preserve">vzhledem k tomu, že pracovní vykořisťování a zneužívání </w:t>
            </w:r>
            <w:r>
              <w:rPr>
                <w:b/>
                <w:i/>
              </w:rPr>
              <w:t>v některých specifických případech a rizikových odvětvích</w:t>
            </w:r>
            <w:r>
              <w:t xml:space="preserve"> trhu práce v EU představuje rozsáhlý a naléhavý problém</w:t>
            </w:r>
            <w:r>
              <w:rPr>
                <w:b/>
                <w:i/>
              </w:rPr>
              <w:t>, známý jako nezákonné zaměstnávání</w:t>
            </w:r>
            <w:r>
              <w:t>, který se projevuje pod různými názvy, mimo jiné jako trestná činnost související s prací, nehlášená práce, šedá ekonomika, sociální dumping, pracovní vykořisťování a moderní otroctví;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pracovní vykořisťování a zneužívání na trhu práce v EU představuje rozsáhlý a naléhavý problém, který se projevuje pod různými názvy, mimo jiné jako trestná činnost související s prací, nehlášená práce, šedá ekonomika, sociální dumping, pracovní vykořisťování a moderní otroctví;</w:t>
            </w:r>
          </w:p>
        </w:tc>
        <w:tc>
          <w:tcPr>
            <w:tcW w:w="4876" w:type="dxa"/>
            <w:tcBorders>
              <w:top w:val="nil"/>
              <w:left w:val="nil"/>
              <w:bottom w:val="nil"/>
              <w:right w:val="nil"/>
            </w:tcBorders>
          </w:tcPr>
          <w:p>
            <w:pPr>
              <w:pStyle w:val="Normal6a"/>
            </w:pPr>
            <w:r>
              <w:t>A.</w:t>
            </w:r>
            <w:r>
              <w:tab/>
            </w:r>
            <w:r>
              <w:t xml:space="preserve">vzhledem k tomu, že pracovní vykořisťování a zneužívání na trhu práce v EU představuje rozsáhlý a naléhavý problém, který se projevuje pod různými názvy, mimo jiné jako trestná činnost související s prací, nehlášená práce, šedá ekonomika, sociální dumping </w:t>
            </w:r>
            <w:r>
              <w:rPr>
                <w:b/>
                <w:i/>
              </w:rPr>
              <w:t>a nezákonná migrace</w:t>
            </w:r>
            <w:r>
              <w:t>, pracovní vykořisťování a moderní otroctví;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pracovní vykořisťování a zneužívání na trhu práce v EU </w:t>
            </w:r>
            <w:r>
              <w:rPr>
                <w:b/>
                <w:i/>
              </w:rPr>
              <w:t>představuje rozsáhlý a naléhavý</w:t>
            </w:r>
            <w:r>
              <w:t xml:space="preserve"> problém, který se projevuje pod různými názvy, mimo jiné jako trestná činnost související s prací, nehlášená práce, šedá ekonomika, sociální dumping, pracovní vykořisťování a moderní otroctví;</w:t>
            </w:r>
          </w:p>
        </w:tc>
        <w:tc>
          <w:tcPr>
            <w:tcW w:w="4876" w:type="dxa"/>
            <w:tcBorders>
              <w:top w:val="nil"/>
              <w:left w:val="nil"/>
              <w:bottom w:val="nil"/>
              <w:right w:val="nil"/>
            </w:tcBorders>
          </w:tcPr>
          <w:p>
            <w:pPr>
              <w:pStyle w:val="Normal6a"/>
            </w:pPr>
            <w:r>
              <w:t>A.</w:t>
            </w:r>
            <w:r>
              <w:tab/>
            </w:r>
            <w:r>
              <w:t xml:space="preserve">vzhledem k tomu, že pracovní vykořisťování a zneužívání na trhu práce v EU </w:t>
            </w:r>
            <w:r>
              <w:rPr>
                <w:b/>
                <w:i/>
              </w:rPr>
              <w:t>je</w:t>
            </w:r>
            <w:r>
              <w:t xml:space="preserve"> problém, který se </w:t>
            </w:r>
            <w:r>
              <w:rPr>
                <w:b/>
                <w:i/>
              </w:rPr>
              <w:t>častěji vyskytuje v určitých odvětvích a členských státech,</w:t>
            </w:r>
            <w:r>
              <w:t xml:space="preserve"> projevuje </w:t>
            </w:r>
            <w:r>
              <w:rPr>
                <w:b/>
                <w:i/>
              </w:rPr>
              <w:t>se různými formami a</w:t>
            </w:r>
            <w:r>
              <w:t xml:space="preserve"> pod různými názvy, mimo jiné jako trestná činnost související s prací, nehlášená práce, šedá ekonomika, sociální dumping, pracovní vykořisťování a moderní otroctví;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pracovní vykořisťování a zneužívání na trhu práce v EU představuje </w:t>
            </w:r>
            <w:r>
              <w:rPr>
                <w:b/>
                <w:i/>
              </w:rPr>
              <w:t>rozsáhlý a naléhavý</w:t>
            </w:r>
            <w:r>
              <w:t xml:space="preserve"> problém, který se projevuje pod různými názvy, mimo jiné jako trestná činnost související s prací, nehlášená práce, šedá ekonomika, sociální dumping</w:t>
            </w:r>
            <w:r>
              <w:rPr>
                <w:b/>
                <w:i/>
              </w:rPr>
              <w:t>,</w:t>
            </w:r>
            <w:r>
              <w:t xml:space="preserve"> pracovní vykořisťování </w:t>
            </w:r>
            <w:r>
              <w:rPr>
                <w:b/>
                <w:i/>
              </w:rPr>
              <w:t>a moderní otroctví</w:t>
            </w:r>
            <w:r>
              <w:t>;</w:t>
            </w:r>
          </w:p>
        </w:tc>
        <w:tc>
          <w:tcPr>
            <w:tcW w:w="4876" w:type="dxa"/>
            <w:tcBorders>
              <w:top w:val="nil"/>
              <w:left w:val="nil"/>
              <w:bottom w:val="nil"/>
              <w:right w:val="nil"/>
            </w:tcBorders>
          </w:tcPr>
          <w:p>
            <w:pPr>
              <w:pStyle w:val="Normal6a"/>
            </w:pPr>
            <w:r>
              <w:t>A.</w:t>
            </w:r>
            <w:r>
              <w:tab/>
            </w:r>
            <w:r>
              <w:t xml:space="preserve">vzhledem k tomu, že pracovní vykořisťování a zneužívání na trhu práce v EU představuje problém, který se projevuje pod různými názvy, mimo jiné jako trestná činnost související s prací, nehlášená práce, šedá ekonomika, sociální dumping </w:t>
            </w:r>
            <w:r>
              <w:rPr>
                <w:b/>
                <w:i/>
              </w:rPr>
              <w:t>a</w:t>
            </w:r>
            <w:r>
              <w:t xml:space="preserve"> pracovní vykořisťování;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pracovní vykořisťování a zneužívání na trhu práce v EU představuje </w:t>
            </w:r>
            <w:r>
              <w:rPr>
                <w:b/>
                <w:i/>
              </w:rPr>
              <w:t>rozsáhlý a naléhavý</w:t>
            </w:r>
            <w:r>
              <w:t xml:space="preserve"> problém, který se projevuje pod různými názvy, mimo jiné jako trestná činnost související s prací, nehlášená práce, šedá ekonomika, sociální dumping, pracovní vykořisťování a moderní otroctví;</w:t>
            </w:r>
          </w:p>
        </w:tc>
        <w:tc>
          <w:tcPr>
            <w:tcW w:w="4876" w:type="dxa"/>
            <w:tcBorders>
              <w:top w:val="nil"/>
              <w:left w:val="nil"/>
              <w:bottom w:val="nil"/>
              <w:right w:val="nil"/>
            </w:tcBorders>
          </w:tcPr>
          <w:p>
            <w:pPr>
              <w:pStyle w:val="Normal6a"/>
            </w:pPr>
            <w:r>
              <w:t>A.</w:t>
            </w:r>
            <w:r>
              <w:tab/>
            </w:r>
            <w:r>
              <w:t>vzhledem k tomu, že pracovní vykořisťování a zneužívání na trhu práce v EU představuje problém, který se projevuje pod různými názvy, mimo jiné jako trestná činnost související s prací, nehlášená práce, šedá ekonomika, sociální dumping, pracovní vykořisťování a moderní otroctví;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mezi odvětví, která jsou ve všech členských státech trvale vysoce ohrožena, patří stavebnictví, zemědělství, pohostinství, domácí práce, doprava a logistika, zpracování masa a potravin, úklid a péče;</w:t>
            </w:r>
            <w:r>
              <w:t xml:space="preserve"> </w:t>
            </w:r>
            <w:r>
              <w:rPr>
                <w:b/>
                <w:i/>
              </w:rPr>
              <w:t>vzhledem k tomu, že zejména stavebnictví čelí rostoucímu nedostatku pracovních sil, který je umocněn nekalými subdodavatelskými praktikami;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důsledky pracovního vykořisťování a zneužívání přesahují rámec pracovníků, kteří jsou vystaveni nespravedlivým a nebezpečným pracovním podmínkám, nedostatečným mzdám, špatnému ubytování a nejistému zaměstnání, neboť mají dopad i na podniky, zejména malé a střední podniky, které jsou vystaveny nekalé hospodářské soutěži a narušování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velká část tohoto zneužívání a nedostatků zahrnuje a konkrétně se zaměřuje na pracovníky, kteří se nacházejí v členských státech nezákonně;</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Europol zdůrazňuje, že 86 % nejnebezpečnějších zločineckých sítí využívá ke své trestné činnosti struktury legálního podnikání;</w:t>
            </w:r>
          </w:p>
        </w:tc>
        <w:tc>
          <w:tcPr>
            <w:tcW w:w="4876" w:type="dxa"/>
            <w:tcBorders>
              <w:top w:val="nil"/>
              <w:left w:val="nil"/>
              <w:bottom w:val="nil"/>
              <w:right w:val="nil"/>
            </w:tcBorders>
          </w:tcPr>
          <w:p>
            <w:pPr>
              <w:pStyle w:val="Normal6a"/>
            </w:pPr>
            <w:r>
              <w:t>B.</w:t>
            </w:r>
            <w:r>
              <w:tab/>
            </w:r>
            <w:r>
              <w:t xml:space="preserve">vzhledem k tomu, že Europol zdůrazňuje, že 86 % nejnebezpečnějších zločineckých sítí využívá ke své trestné činnosti struktury legálního podnikání; </w:t>
            </w:r>
            <w:r>
              <w:rPr>
                <w:b/>
                <w:i/>
              </w:rPr>
              <w:t>vzhledem k tomu, že analýza a provozní činnosti Evropského orgánu pro pracovní záležitosti poukazují na zvýšené riziko pracovního vykořisťování a zneužívání spojené s dlouhými a složitými subdodavatelskými řetězci, jakož i na podvodné formy zprostředkování práce, které se projevují například neplacením mezd a příspěvků na sociální zabezpečení, zhoršujícími se pracovními podmínkami a bezpečnostními normami, závislostí a nejistotou, roztříštěností pracovišť, nedostatkem informací a konzultací, vyhýbáním se povinnostem zaměstnavatele atd.;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Europol zdůrazňuje, že 86 % nejnebezpečnějších zločineckých sítí využívá ke své trestné činnosti struktury legálního podnikání;</w:t>
            </w:r>
          </w:p>
        </w:tc>
        <w:tc>
          <w:tcPr>
            <w:tcW w:w="4876" w:type="dxa"/>
            <w:tcBorders>
              <w:top w:val="nil"/>
              <w:left w:val="nil"/>
              <w:bottom w:val="nil"/>
              <w:right w:val="nil"/>
            </w:tcBorders>
          </w:tcPr>
          <w:p>
            <w:pPr>
              <w:pStyle w:val="Normal6a"/>
            </w:pPr>
            <w:r>
              <w:t>B.</w:t>
            </w:r>
            <w:r>
              <w:tab/>
            </w:r>
            <w:r>
              <w:t>vzhledem k tomu, že Europol zdůrazňuje, že 86 % nejnebezpečnějších zločineckých sítí využívá ke své trestné činnosti struktury legálního podnikání</w:t>
            </w:r>
            <w:r>
              <w:rPr>
                <w:b/>
                <w:i/>
              </w:rPr>
              <w:t>, což představuje vážnou hrozbu pro spravedlivou hospodářskou soutěž na jednotném evropském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vzhledem k tomu, že většinu odvětví s vysokým rizikem pracovního vykořisťování spojuje vysoká intenzita práce v kombinaci se závislostí na dlouhých a složitých subdodavatelských řetězcích, přítomnost zprostředkovatelů na trhu práce, kteří porušují právo, a také značná závislost na vyslaných pracovnících, mobilních pracovnících z EU a státních příslušnících třetích zemí;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většinu odvětví s vysokým rizikem pracovního vykořisťování spojuje vysoká intenzita práce v kombinaci se závislostí na dlouhých a složitých subdodavatelských řetězcích, přítomnost zprostředkovatelů na trhu práce, kteří porušují právo, a také značná závislost na vyslaných pracovnících, mobilních pracovnících z EU a státních příslušnících třetích zemí;</w:t>
            </w:r>
          </w:p>
        </w:tc>
        <w:tc>
          <w:tcPr>
            <w:tcW w:w="4876" w:type="dxa"/>
            <w:tcBorders>
              <w:top w:val="nil"/>
              <w:left w:val="nil"/>
              <w:bottom w:val="nil"/>
              <w:right w:val="nil"/>
            </w:tcBorders>
          </w:tcPr>
          <w:p>
            <w:pPr>
              <w:pStyle w:val="Normal6a"/>
            </w:pPr>
            <w:r>
              <w:t>C.</w:t>
            </w:r>
            <w:r>
              <w:tab/>
            </w:r>
            <w:r>
              <w:t xml:space="preserve">vzhledem k tomu, že většinu odvětví s vysokým rizikem pracovního vykořisťování spojuje vysoká intenzita práce v kombinaci se závislostí na dlouhých a složitých </w:t>
            </w:r>
            <w:r>
              <w:rPr>
                <w:b/>
                <w:i/>
              </w:rPr>
              <w:t>vertikálních a horizontálních</w:t>
            </w:r>
            <w:r>
              <w:t xml:space="preserve"> subdodavatelských řetězcích, přítomnost zprostředkovatelů na trhu práce, kteří porušují právo, a také značná závislost na vyslaných pracovnících, mobilních pracovnících z EU a státních příslušnících třetích zemí; </w:t>
            </w:r>
            <w:r>
              <w:rPr>
                <w:b/>
                <w:i/>
              </w:rPr>
              <w:t>vzhledem k tomu, že závislost na nestandardních formách zaměstnání a složitých přeshraničních ujednáních oslabuje práva pracovníků a povinnosti zaměstnavatelů a dále komplikuje informovanost, monitorování a prosazování pracovního práva a platných kolektivních smluv;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většinu odvětví s vysokým rizikem pracovního vykořisťování spojuje vysoká intenzita práce v kombinaci se závislostí na dlouhých a složitých subdodavatelských řetězcích, přítomnost zprostředkovatelů na trhu práce, kteří porušují právo, a také značná závislost na vyslaných </w:t>
            </w:r>
            <w:r>
              <w:rPr>
                <w:b/>
                <w:i/>
              </w:rPr>
              <w:t>pracovnících,</w:t>
            </w:r>
            <w:r>
              <w:t xml:space="preserve"> mobilních </w:t>
            </w:r>
            <w:r>
              <w:rPr>
                <w:b/>
                <w:i/>
              </w:rPr>
              <w:t>pracovnících z EU a</w:t>
            </w:r>
            <w:r>
              <w:t xml:space="preserve"> státních </w:t>
            </w:r>
            <w:r>
              <w:rPr>
                <w:b/>
                <w:i/>
              </w:rPr>
              <w:t>příslušnících</w:t>
            </w:r>
            <w:r>
              <w:t xml:space="preserve"> třetích </w:t>
            </w:r>
            <w:r>
              <w:rPr>
                <w:b/>
                <w:i/>
              </w:rPr>
              <w:t>zemí</w:t>
            </w:r>
            <w:r>
              <w:t>;</w:t>
            </w:r>
          </w:p>
        </w:tc>
        <w:tc>
          <w:tcPr>
            <w:tcW w:w="4876" w:type="dxa"/>
            <w:tcBorders>
              <w:top w:val="nil"/>
              <w:left w:val="nil"/>
              <w:bottom w:val="nil"/>
              <w:right w:val="nil"/>
            </w:tcBorders>
          </w:tcPr>
          <w:p>
            <w:pPr>
              <w:pStyle w:val="Normal6a"/>
            </w:pPr>
            <w:r>
              <w:t>C.</w:t>
            </w:r>
            <w:r>
              <w:tab/>
            </w:r>
            <w:r>
              <w:t xml:space="preserve">vzhledem k tomu, že většinu odvětví s vysokým rizikem pracovního vykořisťování spojuje vysoká intenzita práce v kombinaci se závislostí na dlouhých a složitých subdodavatelských řetězcích, přítomnost zprostředkovatelů na trhu práce, kteří porušují právo, a také značná závislost na </w:t>
            </w:r>
            <w:r>
              <w:rPr>
                <w:b/>
                <w:i/>
              </w:rPr>
              <w:t>malém počtu</w:t>
            </w:r>
            <w:r>
              <w:t xml:space="preserve"> vyslaných </w:t>
            </w:r>
            <w:r>
              <w:rPr>
                <w:b/>
                <w:i/>
              </w:rPr>
              <w:t>pracovníků a</w:t>
            </w:r>
            <w:r>
              <w:t xml:space="preserve"> mobilních </w:t>
            </w:r>
            <w:r>
              <w:rPr>
                <w:b/>
                <w:i/>
              </w:rPr>
              <w:t>pracovníků z EU, jakož i velká část</w:t>
            </w:r>
            <w:r>
              <w:t xml:space="preserve"> státních </w:t>
            </w:r>
            <w:r>
              <w:rPr>
                <w:b/>
                <w:i/>
              </w:rPr>
              <w:t>příslušníků</w:t>
            </w:r>
            <w:r>
              <w:t xml:space="preserve"> třetích </w:t>
            </w:r>
            <w:r>
              <w:rPr>
                <w:b/>
                <w:i/>
              </w:rPr>
              <w:t>zemích a nelegálních migrantů vystavených riziku otroctví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většinu odvětví s vysokým rizikem pracovního vykořisťování spojuje </w:t>
            </w:r>
            <w:r>
              <w:rPr>
                <w:b/>
                <w:i/>
              </w:rPr>
              <w:t>vysoká intenzita práce v kombinaci se závislostí na dlouhých a složitých subdodavatelských řetězcích, přítomnost zprostředkovatelů na trhu práce, kteří porušují právo, a také značná závislost na</w:t>
            </w:r>
            <w:r>
              <w:t xml:space="preserve"> vyslaných </w:t>
            </w:r>
            <w:r>
              <w:rPr>
                <w:b/>
                <w:i/>
              </w:rPr>
              <w:t>pracovnících</w:t>
            </w:r>
            <w:r>
              <w:t xml:space="preserve">, mobilních </w:t>
            </w:r>
            <w:r>
              <w:rPr>
                <w:b/>
                <w:i/>
              </w:rPr>
              <w:t>pracovnících</w:t>
            </w:r>
            <w:r>
              <w:t xml:space="preserve"> z EU a státních </w:t>
            </w:r>
            <w:r>
              <w:rPr>
                <w:b/>
                <w:i/>
              </w:rPr>
              <w:t>příslušnících</w:t>
            </w:r>
            <w:r>
              <w:t xml:space="preserve"> třetích zemí;</w:t>
            </w:r>
          </w:p>
        </w:tc>
        <w:tc>
          <w:tcPr>
            <w:tcW w:w="4876" w:type="dxa"/>
            <w:tcBorders>
              <w:top w:val="nil"/>
              <w:left w:val="nil"/>
              <w:bottom w:val="nil"/>
              <w:right w:val="nil"/>
            </w:tcBorders>
          </w:tcPr>
          <w:p>
            <w:pPr>
              <w:pStyle w:val="Normal6a"/>
            </w:pPr>
            <w:r>
              <w:t>C.</w:t>
            </w:r>
            <w:r>
              <w:tab/>
            </w:r>
            <w:r>
              <w:t xml:space="preserve">vzhledem k tomu, že většinu odvětví s vysokým rizikem pracovního vykořisťování spojuje </w:t>
            </w:r>
            <w:r>
              <w:rPr>
                <w:b/>
                <w:i/>
              </w:rPr>
              <w:t>nedostatečná transparentnost a řádné vymáhání, zejména pokud jde o povolení, daně a totožnost</w:t>
            </w:r>
            <w:r>
              <w:t xml:space="preserve"> vyslaných </w:t>
            </w:r>
            <w:r>
              <w:rPr>
                <w:b/>
                <w:i/>
              </w:rPr>
              <w:t>pracovníků</w:t>
            </w:r>
            <w:r>
              <w:t xml:space="preserve">, mobilních </w:t>
            </w:r>
            <w:r>
              <w:rPr>
                <w:b/>
                <w:i/>
              </w:rPr>
              <w:t>pracovníků</w:t>
            </w:r>
            <w:r>
              <w:t xml:space="preserve"> z EU a státních </w:t>
            </w:r>
            <w:r>
              <w:rPr>
                <w:b/>
                <w:i/>
              </w:rPr>
              <w:t>příslušníků</w:t>
            </w:r>
            <w:r>
              <w:t xml:space="preserve">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přítomnost podvodných a zločineckých aktérů na evropských pracovištích rovněž představuje bezpečnostní rizika, zejména pokud ovlivňuje odvětví kritické infrastruktury, jako je doprava a logistika, stavebnictví, energetika a zdravotní péče, nebo činnosti poskytující přístup k pracovištím citlivým z hlediska bezpečnosti, zejména úklid a údržba;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subdodávky by měly sloužit k obdržení specializovaných odborných znalostí nebo k externímu zadávání vedlejších úkolů, které nespadají do hlavní činnosti společnosti, nikoli však k tomu, aby pracovníci zaměstnávaní dodavateli nebo subdodavateli prováděli hlavní činnost společnosti za méně příznivých podmínek;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vysílání pracovníků v rámci EU bylo vždy oblastí, kde dochází ke značnému počtu případů zneužívání a selhání, pokud jde o pracovní právo a spravedlivou soutěž mezi pracovníky;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nedílnou součástí pracovního vykořisťování je nedodržování právních předpisů v oblasti bezpečnosti a ochrany zdraví při práci je, což oslabuje přístup „vize nula“, který se týká úmrtí souvisejících s prací, jak je stanoven ve strategickém rámci EU pro bezpečnost a ochranu zdraví při práci na období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podle orgánu ELA počet vyslaných </w:t>
            </w:r>
            <w:r>
              <w:rPr>
                <w:b/>
                <w:i/>
              </w:rPr>
              <w:t>státních příslušníků</w:t>
            </w:r>
            <w:r>
              <w:t xml:space="preserve"> třetích zemí narůstá, přičemž v roce 2022 byl každý čtvrtý vyslaný pracovník státním příslušníkem třetí země;</w:t>
            </w:r>
          </w:p>
        </w:tc>
        <w:tc>
          <w:tcPr>
            <w:tcW w:w="4876" w:type="dxa"/>
            <w:tcBorders>
              <w:top w:val="nil"/>
              <w:left w:val="nil"/>
              <w:bottom w:val="nil"/>
              <w:right w:val="nil"/>
            </w:tcBorders>
          </w:tcPr>
          <w:p>
            <w:pPr>
              <w:pStyle w:val="Normal6a"/>
            </w:pPr>
            <w:r>
              <w:t>D.</w:t>
            </w:r>
            <w:r>
              <w:tab/>
            </w:r>
            <w:r>
              <w:t xml:space="preserve">vzhledem k tomu, že podle orgánu ELA počet vyslaných </w:t>
            </w:r>
            <w:r>
              <w:rPr>
                <w:b/>
                <w:i/>
              </w:rPr>
              <w:t>pracovníků ze</w:t>
            </w:r>
            <w:r>
              <w:t xml:space="preserve"> třetích zemí narůstá, přičemž v roce 2022 byl každý čtvrtý vyslaný pracovník státním příslušníkem třetí země; </w:t>
            </w:r>
            <w:r>
              <w:rPr>
                <w:b/>
                <w:i/>
              </w:rPr>
              <w:t>vzhledem k tomu, že mobilní a migrující pracovníci jsou obzvláště vystaveni bezohledným zprostředkovatelům, kteří jsou usazeni v zemích původu pracovníků nebo v cílových zemích, a dostávají pracovníky do spirály závislosti na vízech, nadměrných poplatcích za nábor, cestování a ubytování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podle orgánu ELA počet vyslaných státních příslušníků třetích zemí narůstá, přičemž v roce 2022 byl každý čtvrtý vyslaný pracovník státním příslušníkem třetí země;</w:t>
            </w:r>
          </w:p>
        </w:tc>
        <w:tc>
          <w:tcPr>
            <w:tcW w:w="4876" w:type="dxa"/>
            <w:tcBorders>
              <w:top w:val="nil"/>
              <w:left w:val="nil"/>
              <w:bottom w:val="nil"/>
              <w:right w:val="nil"/>
            </w:tcBorders>
          </w:tcPr>
          <w:p>
            <w:pPr>
              <w:pStyle w:val="Normal6a"/>
            </w:pPr>
            <w:r>
              <w:t>D.</w:t>
            </w:r>
            <w:r>
              <w:tab/>
            </w:r>
            <w:r>
              <w:t xml:space="preserve">vzhledem k tomu, že podle </w:t>
            </w:r>
            <w:r>
              <w:rPr>
                <w:b/>
                <w:i/>
              </w:rPr>
              <w:t>neúplné studie</w:t>
            </w:r>
            <w:r>
              <w:t xml:space="preserve"> orgánu ELA</w:t>
            </w:r>
            <w:r>
              <w:rPr>
                <w:b/>
                <w:i/>
              </w:rPr>
              <w:t>, která se zaměřuje pouze na velmi omezený výběr odvětví,</w:t>
            </w:r>
            <w:r>
              <w:t xml:space="preserve"> počet vyslaných státních příslušníků třetích zemí narůstá, přičemž v roce 2022 byl každý čtvrtý vyslaný pracovník státním příslušníkem třetí země; </w:t>
            </w:r>
            <w:r>
              <w:rPr>
                <w:b/>
                <w:i/>
              </w:rPr>
              <w:t>vzhledem k tomu, že vyslaní pracovníci jsou chráněni právními předpisy o vysílání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podle orgánu ELA počet vyslaných státních příslušníků třetích zemí narůstá, přičemž v roce 2022 byl každý čtvrtý vyslaný pracovník státním příslušníkem třetí země;</w:t>
            </w:r>
          </w:p>
        </w:tc>
        <w:tc>
          <w:tcPr>
            <w:tcW w:w="4876" w:type="dxa"/>
            <w:tcBorders>
              <w:top w:val="nil"/>
              <w:left w:val="nil"/>
              <w:bottom w:val="nil"/>
              <w:right w:val="nil"/>
            </w:tcBorders>
          </w:tcPr>
          <w:p>
            <w:pPr>
              <w:pStyle w:val="Normal6a"/>
            </w:pPr>
            <w:r>
              <w:t>D.</w:t>
            </w:r>
            <w:r>
              <w:tab/>
            </w:r>
            <w:r>
              <w:t>vzhledem k tomu, že podle orgánu ELA počet vyslaných státních příslušníků třetích zemí narůstá, přičemž v roce 2022 byl každý čtvrtý vyslaný pracovník státním příslušníkem třetí země</w:t>
            </w:r>
            <w:r>
              <w:rPr>
                <w:b/>
                <w:i/>
              </w:rPr>
              <w:t>, přičemž je třeba zohlednit metodiku studie, která se zaměřovala pouze na stavebnictví a domácí odvětví v určitém počtu zemí zařazených do případové studie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podle orgánu ELA počet vyslaných státních příslušníků třetích zemí narůstá, přičemž v roce 2022 byl každý čtvrtý vyslaný pracovník státním příslušníkem třetí země;</w:t>
            </w:r>
          </w:p>
        </w:tc>
        <w:tc>
          <w:tcPr>
            <w:tcW w:w="4876" w:type="dxa"/>
            <w:tcBorders>
              <w:top w:val="nil"/>
              <w:left w:val="nil"/>
              <w:bottom w:val="nil"/>
              <w:right w:val="nil"/>
            </w:tcBorders>
          </w:tcPr>
          <w:p>
            <w:pPr>
              <w:pStyle w:val="Normal6a"/>
            </w:pPr>
            <w:r>
              <w:t>D.</w:t>
            </w:r>
            <w:r>
              <w:tab/>
            </w:r>
            <w:r>
              <w:t xml:space="preserve">vzhledem k tomu, že podle orgánu ELA počet vyslaných státních příslušníků třetích zemí narůstá, přičemž v roce 2022 byl každý čtvrtý vyslaný pracovník státním příslušníkem třetí země; </w:t>
            </w:r>
            <w:r>
              <w:rPr>
                <w:b/>
                <w:i/>
              </w:rPr>
              <w:t>vzhledem k tomu, že státní příslušníci třetích zemí jsou obvykle méně zastoupeni odbory a mají větší obtíže při obraně svých práv a přístupu ke spravedlnosti;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podle orgánu ELA počet vyslaných </w:t>
            </w:r>
            <w:r>
              <w:rPr>
                <w:b/>
                <w:i/>
              </w:rPr>
              <w:t>státních příslušníků</w:t>
            </w:r>
            <w:r>
              <w:t xml:space="preserve"> třetích zemí narůstá, přičemž v roce 2022 byl každý čtvrtý vyslaný pracovník státním příslušníkem třetí země;</w:t>
            </w:r>
          </w:p>
        </w:tc>
        <w:tc>
          <w:tcPr>
            <w:tcW w:w="4876" w:type="dxa"/>
            <w:tcBorders>
              <w:top w:val="nil"/>
              <w:left w:val="nil"/>
              <w:bottom w:val="nil"/>
              <w:right w:val="nil"/>
            </w:tcBorders>
          </w:tcPr>
          <w:p>
            <w:pPr>
              <w:pStyle w:val="Normal6a"/>
            </w:pPr>
            <w:r>
              <w:t>D.</w:t>
            </w:r>
            <w:r>
              <w:tab/>
            </w:r>
            <w:r>
              <w:t xml:space="preserve">vzhledem k tomu, že podle orgánu ELA počet vyslaných </w:t>
            </w:r>
            <w:r>
              <w:rPr>
                <w:b/>
                <w:i/>
              </w:rPr>
              <w:t>pracovníků ze</w:t>
            </w:r>
            <w:r>
              <w:t xml:space="preserve"> třetích zemí</w:t>
            </w:r>
            <w:r>
              <w:rPr>
                <w:b/>
                <w:i/>
              </w:rPr>
              <w:t>, kteří představují obzvláště zranitelnou skupinu pracovníků,</w:t>
            </w:r>
            <w:r>
              <w:t xml:space="preserve"> narůstá, přičemž v roce 2022 byl každý čtvrtý vyslaný pracovník státním příslušníkem třetí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podle orgánu ELA </w:t>
            </w:r>
            <w:r>
              <w:rPr>
                <w:b/>
                <w:i/>
              </w:rPr>
              <w:t>počet vyslaných státních příslušníků třetích zemí narůstá, přičemž</w:t>
            </w:r>
            <w:r>
              <w:t xml:space="preserve"> v roce 2022 </w:t>
            </w:r>
            <w:r>
              <w:rPr>
                <w:b/>
                <w:i/>
              </w:rPr>
              <w:t>byl</w:t>
            </w:r>
            <w:r>
              <w:t xml:space="preserve"> každý čtvrtý vyslaný pracovník státním příslušníkem třetí země;</w:t>
            </w:r>
          </w:p>
        </w:tc>
        <w:tc>
          <w:tcPr>
            <w:tcW w:w="4876" w:type="dxa"/>
            <w:tcBorders>
              <w:top w:val="nil"/>
              <w:left w:val="nil"/>
              <w:bottom w:val="nil"/>
              <w:right w:val="nil"/>
            </w:tcBorders>
          </w:tcPr>
          <w:p>
            <w:pPr>
              <w:pStyle w:val="Normal6a"/>
            </w:pPr>
            <w:r>
              <w:t>D.</w:t>
            </w:r>
            <w:r>
              <w:tab/>
            </w:r>
            <w:r>
              <w:t xml:space="preserve">vzhledem k tomu, že </w:t>
            </w:r>
            <w:r>
              <w:rPr>
                <w:b/>
                <w:i/>
              </w:rPr>
              <w:t>vyslaní státní příslušníci ze třetích zemí jsou stále častěji zaměstnáni v odvětvích s nízkým rizikem a</w:t>
            </w:r>
            <w:r>
              <w:t xml:space="preserve"> podle orgánu ELA </w:t>
            </w:r>
            <w:r>
              <w:rPr>
                <w:b/>
                <w:i/>
              </w:rPr>
              <w:t>byl</w:t>
            </w:r>
            <w:r>
              <w:t xml:space="preserve"> v roce 2022 každý čtvrtý vyslaný pracovník státním příslušníkem třetí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podle orgánu </w:t>
            </w:r>
            <w:r>
              <w:rPr>
                <w:b/>
                <w:i/>
              </w:rPr>
              <w:t>ELA</w:t>
            </w:r>
            <w:r>
              <w:t xml:space="preserve"> počet vyslaných státních příslušníků třetích zemí narůstá, přičemž v roce 2022 byl každý čtvrtý vyslaný pracovník státním příslušníkem třetí země;</w:t>
            </w:r>
          </w:p>
        </w:tc>
        <w:tc>
          <w:tcPr>
            <w:tcW w:w="4876" w:type="dxa"/>
            <w:tcBorders>
              <w:top w:val="nil"/>
              <w:left w:val="nil"/>
              <w:bottom w:val="nil"/>
              <w:right w:val="nil"/>
            </w:tcBorders>
          </w:tcPr>
          <w:p>
            <w:pPr>
              <w:pStyle w:val="Normal6a"/>
            </w:pPr>
            <w:r>
              <w:t>D.</w:t>
            </w:r>
            <w:r>
              <w:tab/>
            </w:r>
            <w:r>
              <w:t xml:space="preserve">vzhledem k tomu, že podle </w:t>
            </w:r>
            <w:r>
              <w:rPr>
                <w:b/>
                <w:i/>
              </w:rPr>
              <w:t>Evropského</w:t>
            </w:r>
            <w:r>
              <w:t xml:space="preserve"> orgánu </w:t>
            </w:r>
            <w:r>
              <w:rPr>
                <w:b/>
                <w:i/>
              </w:rPr>
              <w:t>pro pracovní záležitosti (ELA)</w:t>
            </w:r>
            <w:r>
              <w:t xml:space="preserve"> počet vyslaných státních příslušníků třetích zemí narůstá, přičemž v roce 2022 byl každý čtvrtý vyslaný pracovník státním příslušníkem třetí země</w:t>
            </w:r>
            <w:r>
              <w:rPr>
                <w:b/>
                <w:i/>
              </w:rPr>
              <w:t>, což vyplývá z chronického nedostatku dovedností a pracovních sil v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subdodávky hrají v hospodářství zásadní úlohu;</w:t>
            </w:r>
            <w:r>
              <w:t xml:space="preserve"> </w:t>
            </w:r>
            <w:r>
              <w:rPr>
                <w:b/>
                <w:i/>
              </w:rPr>
              <w:t>vzhledem k tomu, že mezi odvětvími a společnostmi existují značné rozdíly ve využívání subdodávek;</w:t>
            </w:r>
            <w:r>
              <w:t xml:space="preserve"> </w:t>
            </w:r>
            <w:r>
              <w:rPr>
                <w:b/>
                <w:i/>
              </w:rPr>
              <w:t>vzhledem k tomu, že většina společností využívá jednu nebo více forem subdodávek pro určité činnosti, které nejsou hlavní činností jejich vlastní společnosti;</w:t>
            </w:r>
            <w:r>
              <w:t xml:space="preserve"> </w:t>
            </w:r>
            <w:r>
              <w:rPr>
                <w:b/>
                <w:i/>
              </w:rPr>
              <w:t>vzhledem k tomu, že možnost nabídnout velkým společnostem v rámci subdodávek odborné znalosti přináší malým a středním podnikům mnoho příležitostí;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je stále častěji pozorována podvodná praxe „přijímání za účelem vyslání“, kdy jsou státní příslušníci třetích zemí přijímáni nikoli za účelem práce ve vysílajícím členském státě, ale výhradně za účelem toho, aby byli vysláni do jiného členského státu;</w:t>
            </w:r>
            <w:r>
              <w:t xml:space="preserve"> </w:t>
            </w:r>
            <w:r>
              <w:rPr>
                <w:b/>
                <w:i/>
              </w:rPr>
              <w:t>vzhledem k tomu, že Evropský orgán pro pracovní záležitosti uvedl, že se jedná stále větší problém spojený s prosazováním právních předpisů, a to zejména ve stavebnictví, péči, dopravě a logistice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Zpráva Evropského orgánu pro pracovní záležitosti „Posting of third-country nationals:</w:t>
            </w:r>
            <w:r>
              <w:t xml:space="preserve"> </w:t>
            </w:r>
            <w:r>
              <w:rPr>
                <w:b/>
                <w:i/>
              </w:rPr>
              <w:t>Contracting chains, recruitment patterns, and enforcement issues“ (Vysílání státních příslušníků třetích zemí: řetězení pracovněprávních smluv, časté způsoby náboru a problémy s prosazováním práva),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pátá zásada evropského pilíře sociálních práv zdůrazňuje, že bez ohledu na typ a dobu trvání pracovního poměru by se pracovníkům mělo dostávat spravedlivého a rovného zacházení, pokud jde o pracovní podmínky a přístup k sociální ochraně a odborné přípravě;</w:t>
            </w:r>
            <w:r>
              <w:t xml:space="preserve"> </w:t>
            </w:r>
            <w:r>
              <w:rPr>
                <w:b/>
                <w:i/>
              </w:rPr>
              <w:t>vzhledem k tomu, že je třeba předcházet pracovním poměrům vedoucím k nejistým pracovním podmínkám.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volný pohyb služeb v EU je jednou ze čtyř svobod a jako takový je základním kamenem vnitřního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subdodavatelské postupy fungují dobře a jsou důležitou praxí v mnoha odvětvích, která usnadňuje přístup ke specializovaným odborným znalostem; vzhledem k tomu, že dlouhé a složité subdodavatelské řetězce však mohou zvyšovat rizika spojená s podvody, pronikáním trestné činnosti, bezpečností a ochranou zdraví pracovníků a nekalou konkurencí pro podniky, zejména malé a střední podniky (MSP);</w:t>
            </w:r>
          </w:p>
        </w:tc>
        <w:tc>
          <w:tcPr>
            <w:tcW w:w="4876" w:type="dxa"/>
            <w:tcBorders>
              <w:top w:val="nil"/>
              <w:left w:val="nil"/>
              <w:bottom w:val="nil"/>
              <w:right w:val="nil"/>
            </w:tcBorders>
          </w:tcPr>
          <w:p>
            <w:pPr>
              <w:pStyle w:val="Normal6a"/>
            </w:pPr>
            <w:r>
              <w:t>E.</w:t>
            </w:r>
            <w:r>
              <w:tab/>
            </w:r>
            <w:r>
              <w:t xml:space="preserve">vzhledem k tomu, že subdodavatelské postupy fungují dobře a jsou důležitou praxí v mnoha odvětvích, která usnadňuje přístup ke specializovaným odborným znalostem; vzhledem k tomu, že dlouhé a složité subdodavatelské řetězce však mohou </w:t>
            </w:r>
            <w:r>
              <w:rPr>
                <w:b/>
                <w:i/>
              </w:rPr>
              <w:t>narušit spravedlivou hospodářskou soutěž, zastínit odpovědnost,</w:t>
            </w:r>
            <w:r>
              <w:t xml:space="preserve"> zvyšovat rizika spojená s podvody</w:t>
            </w:r>
            <w:r>
              <w:rPr>
                <w:b/>
                <w:i/>
              </w:rPr>
              <w:t>, pracovním vykořisťováním a podvodnými praktikami, zejména ve vysoce rizikových odvětvích a přeshraniční práci</w:t>
            </w:r>
            <w:r>
              <w:t xml:space="preserve">, pronikáním trestné činnosti, bezpečností a ochranou zdraví pracovníků a nekalou konkurencí pro podniky, zejména malé a střední podniky (MSP); </w:t>
            </w:r>
            <w:r>
              <w:rPr>
                <w:b/>
                <w:i/>
              </w:rPr>
              <w:t>vzhledem k tomu, že nedostatek transparentnosti a dohledu v rozsáhlých subdodavatelských ujednáních ztěžuje zaměstnavatelům zajišťování souladu s platnými právními předpisy EU a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subdodavatelské postupy fungují dobře a jsou důležitou praxí v mnoha odvětvích, která usnadňuje přístup ke specializovaným odborným znalostem; vzhledem k tomu, že dlouhé a složité subdodavatelské řetězce </w:t>
            </w:r>
            <w:r>
              <w:rPr>
                <w:b/>
                <w:i/>
              </w:rPr>
              <w:t>však</w:t>
            </w:r>
            <w:r>
              <w:t xml:space="preserve"> mohou zvyšovat rizika spojená s podvody, pronikáním trestné činnosti, bezpečností a ochranou zdraví pracovníků a nekalou konkurencí pro podniky, zejména malé a střední podniky (MSP);</w:t>
            </w:r>
          </w:p>
        </w:tc>
        <w:tc>
          <w:tcPr>
            <w:tcW w:w="4876" w:type="dxa"/>
            <w:tcBorders>
              <w:top w:val="nil"/>
              <w:left w:val="nil"/>
              <w:bottom w:val="nil"/>
              <w:right w:val="nil"/>
            </w:tcBorders>
          </w:tcPr>
          <w:p>
            <w:pPr>
              <w:pStyle w:val="Normal6a"/>
            </w:pPr>
            <w:r>
              <w:t>E.</w:t>
            </w:r>
            <w:r>
              <w:tab/>
            </w:r>
            <w:r>
              <w:t>vzhledem k tomu, že subdodavatelské postupy fungují dobře a jsou důležitou praxí v mnoha odvětvích, která usnadňuje přístup ke specializovaným odborným znalostem</w:t>
            </w:r>
            <w:r>
              <w:rPr>
                <w:b/>
                <w:i/>
              </w:rPr>
              <w:t>, takže hrají významnou úlohu v hospodářství</w:t>
            </w:r>
            <w:r>
              <w:t xml:space="preserve">; vzhledem k tomu, že dlouhé a složité subdodavatelské řetězce mohou </w:t>
            </w:r>
            <w:r>
              <w:rPr>
                <w:b/>
                <w:i/>
              </w:rPr>
              <w:t>v některých rizikových odvětvích za určitých okolností</w:t>
            </w:r>
            <w:r>
              <w:t xml:space="preserve"> zvyšovat rizika spojená s podvody, pronikáním trestné činnosti, bezpečností a ochranou zdraví pracovníků a nekalou konkurencí pro podniky, zejména malé a střední podniky (MSP); </w:t>
            </w:r>
            <w:r>
              <w:rPr>
                <w:b/>
                <w:i/>
              </w:rPr>
              <w:t>vzhledem k tomu, že právě malé a střední podniky obvykle nabízejí odborné znalosti větším společnostem;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subdodavatelské postupy fungují dobře a jsou důležitou praxí v mnoha odvětvích, která </w:t>
            </w:r>
            <w:r>
              <w:rPr>
                <w:b/>
                <w:i/>
              </w:rPr>
              <w:t>usnadňuje přístup ke specializovaným odborným znalostem</w:t>
            </w:r>
            <w:r>
              <w:t>; vzhledem k tomu, že dlouhé a složité subdodavatelské řetězce však mohou zvyšovat rizika spojená s podvody, pronikáním trestné činnosti, bezpečností a ochranou zdraví pracovníků a nekalou konkurencí pro podniky, zejména malé a střední podniky (MSP);</w:t>
            </w:r>
          </w:p>
        </w:tc>
        <w:tc>
          <w:tcPr>
            <w:tcW w:w="4876" w:type="dxa"/>
            <w:tcBorders>
              <w:top w:val="nil"/>
              <w:left w:val="nil"/>
              <w:bottom w:val="nil"/>
              <w:right w:val="nil"/>
            </w:tcBorders>
          </w:tcPr>
          <w:p>
            <w:pPr>
              <w:pStyle w:val="Normal6a"/>
            </w:pPr>
            <w:r>
              <w:t>E.</w:t>
            </w:r>
            <w:r>
              <w:tab/>
            </w:r>
            <w:r>
              <w:t xml:space="preserve">vzhledem k tomu, že subdodavatelské postupy fungují dobře a jsou důležitou praxí v mnoha odvětvích, která </w:t>
            </w:r>
            <w:r>
              <w:rPr>
                <w:b/>
                <w:i/>
              </w:rPr>
              <w:t>umožňuje uspokojit specializované, kapacitní nebo strategické potřeby</w:t>
            </w:r>
            <w:r>
              <w:t>; vzhledem k tomu, že dlouhé a složité subdodavatelské řetězce však mohou zvyšovat rizika spojená s podvody, pronikáním trestné činnosti, bezpečností a ochranou zdraví pracovníků a nekalou konkurencí pro podniky, zejména malé a střední podniky (MSP);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subdodavatelské postupy fungují dobře a jsou důležitou praxí v mnoha odvětvích, která usnadňuje přístup ke specializovaným odborným znalostem; vzhledem k tomu, že dlouhé a složité subdodavatelské řetězce však mohou zvyšovat rizika spojená s podvody, pronikáním trestné činnosti, bezpečností a ochranou zdraví pracovníků a nekalou konkurencí pro podniky</w:t>
            </w:r>
            <w:r>
              <w:rPr>
                <w:b/>
                <w:i/>
              </w:rPr>
              <w:t>, zejména malé a střední podniky (MSP)</w:t>
            </w:r>
            <w:r>
              <w:t>;</w:t>
            </w:r>
          </w:p>
        </w:tc>
        <w:tc>
          <w:tcPr>
            <w:tcW w:w="4876" w:type="dxa"/>
            <w:tcBorders>
              <w:top w:val="nil"/>
              <w:left w:val="nil"/>
              <w:bottom w:val="nil"/>
              <w:right w:val="nil"/>
            </w:tcBorders>
          </w:tcPr>
          <w:p>
            <w:pPr>
              <w:pStyle w:val="Normal6a"/>
            </w:pPr>
            <w:r>
              <w:t>E.</w:t>
            </w:r>
            <w:r>
              <w:tab/>
            </w:r>
            <w:r>
              <w:t xml:space="preserve">vzhledem k tomu, že subdodavatelské postupy fungují dobře a jsou důležitou praxí v mnoha odvětvích, která usnadňuje přístup ke specializovaným odborným znalostem </w:t>
            </w:r>
            <w:r>
              <w:rPr>
                <w:b/>
                <w:i/>
              </w:rPr>
              <w:t>a je obzvláště důležitá pro prosperitu malých a středních podniků</w:t>
            </w:r>
            <w:r>
              <w:t>; vzhledem k tomu, že dlouhé a složité subdodavatelské řetězce však mohou zvyšovat rizika spojená s podvody, pronikáním trestné činnosti, bezpečností a ochranou zdraví pracovníků a nekalou konkurencí pro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subdodavatelské postupy </w:t>
            </w:r>
            <w:r>
              <w:rPr>
                <w:b/>
                <w:i/>
              </w:rPr>
              <w:t>fungují dobře a jsou důležitou praxí v mnoha odvětvích, která usnadňuje přístup ke specializovaným odborným znalostem</w:t>
            </w:r>
            <w:r>
              <w:t xml:space="preserve">; vzhledem k tomu, že </w:t>
            </w:r>
            <w:r>
              <w:rPr>
                <w:b/>
                <w:i/>
              </w:rPr>
              <w:t>dlouhé a složité subdodavatelské řetězce však mohou zvyšovat rizika spojená s podvody, pronikáním trestné</w:t>
            </w:r>
            <w:r>
              <w:t xml:space="preserve"> činnosti</w:t>
            </w:r>
            <w:r>
              <w:rPr>
                <w:b/>
                <w:i/>
              </w:rPr>
              <w:t>, bezpečností a ochranou zdraví pracovníků a nekalou konkurencí pro podniky, zejména malé a střední podniky (MSP)</w:t>
            </w:r>
            <w:r>
              <w:t>;</w:t>
            </w:r>
          </w:p>
        </w:tc>
        <w:tc>
          <w:tcPr>
            <w:tcW w:w="4876" w:type="dxa"/>
            <w:tcBorders>
              <w:top w:val="nil"/>
              <w:left w:val="nil"/>
              <w:bottom w:val="nil"/>
              <w:right w:val="nil"/>
            </w:tcBorders>
          </w:tcPr>
          <w:p>
            <w:pPr>
              <w:pStyle w:val="Normal6a"/>
            </w:pPr>
            <w:r>
              <w:t>E.</w:t>
            </w:r>
            <w:r>
              <w:tab/>
            </w:r>
            <w:r>
              <w:t xml:space="preserve">vzhledem k tomu, že subdodavatelské postupy </w:t>
            </w:r>
            <w:r>
              <w:rPr>
                <w:b/>
                <w:i/>
              </w:rPr>
              <w:t>by měly být omezeny a podněcovány potřebou specializovaných odborných znalostí nebo technických dovedností, které nejsou v podniku k dispozici, nebo nutností delegovat jiné než podstatné úkoly, které nespadají do hlavní oblasti činnosti dané společnosti</w:t>
            </w:r>
            <w:r>
              <w:t xml:space="preserve">; vzhledem k tomu, že </w:t>
            </w:r>
            <w:r>
              <w:rPr>
                <w:b/>
                <w:i/>
              </w:rPr>
              <w:t>hlavní</w:t>
            </w:r>
            <w:r>
              <w:t xml:space="preserve"> činnosti </w:t>
            </w:r>
            <w:r>
              <w:rPr>
                <w:b/>
                <w:i/>
              </w:rPr>
              <w:t>společnosti by měli vykonávat výhradně pracovníci, kteří podléhají přímo hlavní společnosti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v posledních třech desetiletích integrace vnitřního trhu EU se subdodavatelské spostupy vyvinuly v obchodní model, který se stále více používá k výkonu hlavních činností společností a jehož jediným cílem je oddělit moc a zisk od rizik a odpovědnosti na úkor důstojné práce a spravedlivé hospodářské soutěže;</w:t>
            </w:r>
            <w:r>
              <w:t xml:space="preserve"> </w:t>
            </w:r>
            <w:r>
              <w:rPr>
                <w:b/>
                <w:i/>
              </w:rPr>
              <w:t>vzhledem k tomu, že složité subdodavatelské řetězce zhoršují vystavení pracovníků zdravotním a bezpečnostním rizikům v důsledku nejasné odpovědnosti a úmluva MOP č. 167 hlavním dodavatelům ukládá povinnost koordinovat opatření v oblasti bezpečnosti a ochrany zdraví při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v mnoha odvětvích se outsourcing běžně používá jako obchodní model, který vede ke mzdové soutěži, jež má za následek závody o co nejnižší mzdy, zhoršení pracovních podmínek, ztrátu postavení hlavních dodavatelů, zvýšenou kontrolu velkých podniků nad malými podniky a falešnou samostatně výdělečnou činnost;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k pracovnímu vykořisťování a zneužívání dochází na pracovištích v celé Evropě, ale některá odvětví trhu práce jsou více ohrožena než jiná, a to včetně stavebnictví, zemědělství, pohostinství, práce v domácnosti, dopravy a logistiky, zpracování masa a potravin, úklidových služeb a pečovatelské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nekalé obchodní praktiky (UTP) v delších a složitých subdodavatelských řetězcích zůstávají bez povšimnutí, a tudíž neřešeny, prohlubují nerovnosti a usnadňují nezákonné praktiky pro pracovníky a menší subdodavatelské společnosti, zejména v zemědělsko-potravinářském odvětví;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subdodávky mezi společnostmi a hospodářskými odvětvími se značně liší;</w:t>
            </w:r>
            <w:r>
              <w:t xml:space="preserve"> </w:t>
            </w:r>
            <w:r>
              <w:rPr>
                <w:b/>
                <w:i/>
              </w:rPr>
              <w:t>vzhledem k tomu, že neexistuje žádná inherentní souvislost mezi subdodávkami a nelegálním zaměstnáváním a že subdodávky nelze automaticky vnímat jako problematické;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subdodávky jsou užitečnou obchodní praxí, která společnostem umožňuje přístup ke specializovaným odborným znalostem a nákladově efektivní reakci na poptávku;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omezení subdodavatelských řetězců v odvětvích, kde je nelegální zaměstnávání extrémně vzácné nebo neexistuje, by mohlo podnikům, zejména malým a středním, způsobit větší újmu;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některé členské státy přijaly právní předpisy</w:t>
            </w:r>
            <w:r>
              <w:rPr>
                <w:b/>
                <w:i/>
              </w:rPr>
              <w:t>, které omezují</w:t>
            </w:r>
            <w:r>
              <w:t xml:space="preserve"> délku subdodavatelských řetězců v </w:t>
            </w:r>
            <w:r>
              <w:rPr>
                <w:b/>
                <w:i/>
              </w:rPr>
              <w:t>určitých</w:t>
            </w:r>
            <w:r>
              <w:t xml:space="preserve"> odvětvích; vzhledem k tomu, že Komise </w:t>
            </w:r>
            <w:r>
              <w:rPr>
                <w:b/>
                <w:i/>
              </w:rPr>
              <w:t>uvažuje o</w:t>
            </w:r>
            <w:r>
              <w:t xml:space="preserve"> omezení počtu </w:t>
            </w:r>
            <w:r>
              <w:rPr>
                <w:b/>
                <w:i/>
              </w:rPr>
              <w:t>úrovní subdodávek a zavedení rozšíření odpovědnosti za subdodávky na celý řetězec jako osvědčeného postup pro členské státy</w:t>
            </w:r>
            <w:r>
              <w:t>; vzhledem k tomu, že některé podniky dobrovolně omezují délku svých subdodavatelských řetězců;</w:t>
            </w:r>
          </w:p>
        </w:tc>
        <w:tc>
          <w:tcPr>
            <w:tcW w:w="4876" w:type="dxa"/>
            <w:tcBorders>
              <w:top w:val="nil"/>
              <w:left w:val="nil"/>
              <w:bottom w:val="nil"/>
              <w:right w:val="nil"/>
            </w:tcBorders>
          </w:tcPr>
          <w:p>
            <w:pPr>
              <w:pStyle w:val="Normal6a"/>
            </w:pPr>
            <w:r>
              <w:t>F.</w:t>
            </w:r>
            <w:r>
              <w:tab/>
            </w:r>
            <w:r>
              <w:t xml:space="preserve">vzhledem k tomu, že některé členské státy přijaly právní předpisy </w:t>
            </w:r>
            <w:r>
              <w:rPr>
                <w:b/>
                <w:i/>
              </w:rPr>
              <w:t>omezující</w:t>
            </w:r>
            <w:r>
              <w:t xml:space="preserve"> délku subdodavatelských řetězců v </w:t>
            </w:r>
            <w:r>
              <w:rPr>
                <w:b/>
                <w:i/>
              </w:rPr>
              <w:t>některých</w:t>
            </w:r>
            <w:r>
              <w:t xml:space="preserve"> odvětvích</w:t>
            </w:r>
            <w:r>
              <w:rPr>
                <w:b/>
                <w:i/>
              </w:rPr>
              <w:t>, i když s různou mírou úspěšnosti a provádění</w:t>
            </w:r>
            <w:r>
              <w:t xml:space="preserve">; vzhledem k tomu, že Komise </w:t>
            </w:r>
            <w:r>
              <w:rPr>
                <w:b/>
                <w:i/>
              </w:rPr>
              <w:t>zvažuje negativní a pozitivní důsledky</w:t>
            </w:r>
            <w:r>
              <w:t xml:space="preserve"> omezení počtu </w:t>
            </w:r>
            <w:r>
              <w:rPr>
                <w:b/>
                <w:i/>
              </w:rPr>
              <w:t>zprostředkovatelů a zda v tomto ohledu existují osvědčené postupy</w:t>
            </w:r>
            <w:r>
              <w:t>; vzhledem k tomu, že některé podniky dobrovolně omezují délku svých subdodavatelských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některé členské státy přijaly právní předpisy, které omezují délku subdodavatelských řetězců v určitých odvětvích; vzhledem k tomu, že Komise uvažuje o omezení počtu úrovní subdodávek a zavedení rozšíření odpovědnosti za subdodávky na celý řetězec jako osvědčeného postup pro členské státy; vzhledem k tomu, že některé podniky dobrovolně omezují délku svých subdodavatelských řetězců;</w:t>
            </w:r>
          </w:p>
        </w:tc>
        <w:tc>
          <w:tcPr>
            <w:tcW w:w="4876" w:type="dxa"/>
            <w:tcBorders>
              <w:top w:val="nil"/>
              <w:left w:val="nil"/>
              <w:bottom w:val="nil"/>
              <w:right w:val="nil"/>
            </w:tcBorders>
          </w:tcPr>
          <w:p>
            <w:pPr>
              <w:pStyle w:val="Normal6a"/>
            </w:pPr>
            <w:r>
              <w:t>F.</w:t>
            </w:r>
            <w:r>
              <w:tab/>
            </w:r>
            <w:r>
              <w:t xml:space="preserve">vzhledem k tomu, že některé členské státy přijaly právní předpisy, které omezují délku subdodavatelských řetězců </w:t>
            </w:r>
            <w:r>
              <w:rPr>
                <w:b/>
                <w:i/>
              </w:rPr>
              <w:t>obecně či</w:t>
            </w:r>
            <w:r>
              <w:t xml:space="preserve"> v určitých odvětvích; vzhledem k tomu, že Komise uvažuje o omezení počtu úrovní subdodávek a zavedení rozšíření odpovědnosti za subdodávky na celý řetězec jako osvědčeného postup pro členské státy; vzhledem k tomu, že některé podniky dobrovolně omezují délku svých subdodavatelských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některé členské státy přijaly právní předpisy zakazující subdodávky v určitých odvětvích, umožňujíc přímé zaměstnávání velkého počtu osob, boj proti sociálnímu dumpingu a zvýšení úrovně záruk pro pracovníky, aniž by to mělo nepříznivý dopad na konkurenceschopnost podniků, na něž se tyto změny vztahují;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Lettova zpráva zdůrazňuje, že je třeba regulovat subdodavatelské postupy, aby se zabránilo vykořisťování a zneužívání;</w:t>
            </w:r>
            <w:r>
              <w:t xml:space="preserve"> </w:t>
            </w:r>
            <w:r>
              <w:rPr>
                <w:b/>
                <w:i/>
              </w:rPr>
              <w:t>vzhledem k tomu, že orgán ELA a Komise varují, že dlouhé a složité subdodavatelské řetězce jsou často zneužívány k oslabení odpovědnosti a práv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vzhledem k tomu, že praxe zprostředkování práce není právně definována a může mít mnoho podob, od větších zavedených společností až po jednotlivé náboráře, neformální zprostředkovatele, a dokonce i vedoucí gangů;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praxe zprostředkování práce není právně definována a může mít mnoho podob, od větších zavedených společností až po jednotlivé náboráře, neformální </w:t>
            </w:r>
            <w:r>
              <w:rPr>
                <w:b/>
                <w:i/>
              </w:rPr>
              <w:t>zprostředkovatele</w:t>
            </w:r>
            <w:r>
              <w:t xml:space="preserve">, a dokonce i </w:t>
            </w:r>
            <w:r>
              <w:rPr>
                <w:b/>
                <w:i/>
              </w:rPr>
              <w:t>vedoucí</w:t>
            </w:r>
            <w:r>
              <w:t xml:space="preserve"> gangů;</w:t>
            </w:r>
          </w:p>
        </w:tc>
        <w:tc>
          <w:tcPr>
            <w:tcW w:w="4876" w:type="dxa"/>
            <w:tcBorders>
              <w:top w:val="nil"/>
              <w:left w:val="nil"/>
              <w:bottom w:val="nil"/>
              <w:right w:val="nil"/>
            </w:tcBorders>
          </w:tcPr>
          <w:p>
            <w:pPr>
              <w:pStyle w:val="Normal6a"/>
            </w:pPr>
            <w:r>
              <w:t>G.</w:t>
            </w:r>
            <w:r>
              <w:tab/>
            </w:r>
            <w:r>
              <w:t>vzhledem k tomu, že praxe zprostředkování práce není právně definována a může mít mnoho podob, od větších zavedených společností až po jednotlivé náboráře</w:t>
            </w:r>
            <w:r>
              <w:rPr>
                <w:b/>
                <w:i/>
              </w:rPr>
              <w:t>;</w:t>
            </w:r>
            <w:r>
              <w:t xml:space="preserve"> </w:t>
            </w:r>
            <w:r>
              <w:rPr>
                <w:b/>
                <w:i/>
              </w:rPr>
              <w:t>vzhledem k tomu</w:t>
            </w:r>
            <w:r>
              <w:t xml:space="preserve">, </w:t>
            </w:r>
            <w:r>
              <w:rPr>
                <w:b/>
                <w:i/>
              </w:rPr>
              <w:t>že</w:t>
            </w:r>
            <w:r>
              <w:t xml:space="preserve"> neformální </w:t>
            </w:r>
            <w:r>
              <w:rPr>
                <w:b/>
                <w:i/>
              </w:rPr>
              <w:t>zprostředkovatelé</w:t>
            </w:r>
            <w:r>
              <w:t xml:space="preserve">, a dokonce i </w:t>
            </w:r>
            <w:r>
              <w:rPr>
                <w:b/>
                <w:i/>
              </w:rPr>
              <w:t>vůdci</w:t>
            </w:r>
            <w:r>
              <w:t xml:space="preserve"> gangů</w:t>
            </w:r>
            <w:r>
              <w:rPr>
                <w:b/>
                <w:i/>
              </w:rPr>
              <w:t>, nemohou být nazýváni zprostředkovateli trhu práce, neboť jejich cíl je vzdálen od vytváření mostu mezi uchazečem o zaměstnání a zaměstnavatelem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praxe zprostředkování práce není právně definována a může mít mnoho podob, od větších zavedených společností až po jednotlivé náboráře, neformální zprostředkovatele, a dokonce i vedoucí gangů;</w:t>
            </w:r>
          </w:p>
        </w:tc>
        <w:tc>
          <w:tcPr>
            <w:tcW w:w="4876" w:type="dxa"/>
            <w:tcBorders>
              <w:top w:val="nil"/>
              <w:left w:val="nil"/>
              <w:bottom w:val="nil"/>
              <w:right w:val="nil"/>
            </w:tcBorders>
          </w:tcPr>
          <w:p>
            <w:pPr>
              <w:pStyle w:val="Normal6a"/>
            </w:pPr>
            <w:r>
              <w:t>G.</w:t>
            </w:r>
            <w:r>
              <w:tab/>
            </w:r>
            <w:r>
              <w:t xml:space="preserve">vzhledem k tomu, že praxe zprostředkování práce není právně definována a může mít mnoho podob, od větších zavedených společností až po jednotlivé náboráře, neformální zprostředkovatele, a dokonce i vedoucí gangů; </w:t>
            </w:r>
            <w:r>
              <w:rPr>
                <w:b/>
                <w:i/>
              </w:rPr>
              <w:t>vzhledem k tomu, že v důsledku směrnice o agenturním zaměstnávání existují vnitrostátní právní předpisy o umísťování pracovníků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praxe zprostředkování práce není právně definována a může mít mnoho podob, od větších zavedených společností až po jednotlivé náboráře, neformální zprostředkovatele, a dokonce i vedoucí gangů;</w:t>
            </w:r>
          </w:p>
        </w:tc>
        <w:tc>
          <w:tcPr>
            <w:tcW w:w="4876" w:type="dxa"/>
            <w:tcBorders>
              <w:top w:val="nil"/>
              <w:left w:val="nil"/>
              <w:bottom w:val="nil"/>
              <w:right w:val="nil"/>
            </w:tcBorders>
          </w:tcPr>
          <w:p>
            <w:pPr>
              <w:pStyle w:val="Normal6a"/>
            </w:pPr>
            <w:r>
              <w:t>G.</w:t>
            </w:r>
            <w:r>
              <w:tab/>
            </w:r>
            <w:r>
              <w:t xml:space="preserve">vzhledem k tomu, že praxe zprostředkování práce není právně definována a může mít mnoho podob, od větších zavedených společností až po jednotlivé náboráře, neformální zprostředkovatele, a dokonce i vedoucí gangů </w:t>
            </w:r>
            <w:r>
              <w:rPr>
                <w:b/>
                <w:i/>
              </w:rPr>
              <w:t>a moderní obchodníky s otroky - převaděče ve Středomoří</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praxe zprostředkování práce není právně definována a může mít mnoho podob, od větších zavedených společností až po jednotlivé náboráře, neformální zprostředkovatele</w:t>
            </w:r>
            <w:r>
              <w:rPr>
                <w:b/>
                <w:i/>
              </w:rPr>
              <w:t>, a dokonce i vedoucí gangů</w:t>
            </w:r>
            <w:r>
              <w:t>;</w:t>
            </w:r>
          </w:p>
        </w:tc>
        <w:tc>
          <w:tcPr>
            <w:tcW w:w="4876" w:type="dxa"/>
            <w:tcBorders>
              <w:top w:val="nil"/>
              <w:left w:val="nil"/>
              <w:bottom w:val="nil"/>
              <w:right w:val="nil"/>
            </w:tcBorders>
          </w:tcPr>
          <w:p>
            <w:pPr>
              <w:pStyle w:val="Normal6a"/>
            </w:pPr>
            <w:r>
              <w:t>G.</w:t>
            </w:r>
            <w:r>
              <w:tab/>
            </w:r>
            <w:r>
              <w:t>vzhledem k tomu, že praxe zprostředkování práce není právně definována a může mít mnoho podob, od větších zavedených společností až po jednotlivé náboráře</w:t>
            </w:r>
            <w:r>
              <w:rPr>
                <w:b/>
                <w:i/>
              </w:rPr>
              <w:t>;</w:t>
            </w:r>
            <w:r>
              <w:t xml:space="preserve"> </w:t>
            </w:r>
            <w:r>
              <w:rPr>
                <w:b/>
                <w:i/>
              </w:rPr>
              <w:t>vzhledem k tomu</w:t>
            </w:r>
            <w:r>
              <w:t xml:space="preserve">, </w:t>
            </w:r>
            <w:r>
              <w:rPr>
                <w:b/>
                <w:i/>
              </w:rPr>
              <w:t>že</w:t>
            </w:r>
            <w:r>
              <w:t xml:space="preserve"> neformální </w:t>
            </w:r>
            <w:r>
              <w:rPr>
                <w:b/>
                <w:i/>
              </w:rPr>
              <w:t>zprostředkovatelé, a dokonce i vůdci gangů, se mohou vydávat za</w:t>
            </w:r>
            <w:r>
              <w:t xml:space="preserve"> zprostředkovatele </w:t>
            </w:r>
            <w:r>
              <w:rPr>
                <w:b/>
                <w:i/>
              </w:rPr>
              <w:t>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w:t>
            </w:r>
            <w:r>
              <w:rPr>
                <w:b/>
                <w:i/>
              </w:rPr>
              <w:t>zprostředkovatelé na trhu</w:t>
            </w:r>
            <w:r>
              <w:t xml:space="preserve"> práce, kteří nejsou </w:t>
            </w:r>
            <w:r>
              <w:rPr>
                <w:b/>
                <w:i/>
              </w:rPr>
              <w:t>registrovaní, licencovaní ani certifikovaní, jsou</w:t>
            </w:r>
            <w:r>
              <w:t xml:space="preserve"> často </w:t>
            </w:r>
            <w:r>
              <w:rPr>
                <w:b/>
                <w:i/>
              </w:rPr>
              <w:t>využíváni</w:t>
            </w:r>
            <w:r>
              <w:t xml:space="preserve"> k zastírání a obcházení pracovního práva a odpovědnosti </w:t>
            </w:r>
            <w:r>
              <w:rPr>
                <w:b/>
                <w:i/>
              </w:rPr>
              <w:t>zaměstnavatele</w:t>
            </w:r>
            <w:r>
              <w:t>;</w:t>
            </w:r>
          </w:p>
        </w:tc>
        <w:tc>
          <w:tcPr>
            <w:tcW w:w="4876" w:type="dxa"/>
            <w:tcBorders>
              <w:top w:val="nil"/>
              <w:left w:val="nil"/>
              <w:bottom w:val="nil"/>
              <w:right w:val="nil"/>
            </w:tcBorders>
          </w:tcPr>
          <w:p>
            <w:pPr>
              <w:pStyle w:val="Normal6a"/>
            </w:pPr>
            <w:r>
              <w:t>H.</w:t>
            </w:r>
            <w:r>
              <w:tab/>
            </w:r>
            <w:r>
              <w:t xml:space="preserve">vzhledem k tomu, že </w:t>
            </w:r>
            <w:r>
              <w:rPr>
                <w:b/>
                <w:i/>
              </w:rPr>
              <w:t>neformální náborový proces prováděný zprostředkovateli</w:t>
            </w:r>
            <w:r>
              <w:t xml:space="preserve"> práce, kteří nejsou </w:t>
            </w:r>
            <w:r>
              <w:rPr>
                <w:b/>
                <w:i/>
              </w:rPr>
              <w:t>regulováni, registrováni, nemají licenci ani certifikaci, se</w:t>
            </w:r>
            <w:r>
              <w:t xml:space="preserve"> často </w:t>
            </w:r>
            <w:r>
              <w:rPr>
                <w:b/>
                <w:i/>
              </w:rPr>
              <w:t>používá</w:t>
            </w:r>
            <w:r>
              <w:t xml:space="preserve"> k zastírání a obcházení pracovního práva a odpovědnosti </w:t>
            </w:r>
            <w:r>
              <w:rPr>
                <w:b/>
                <w:i/>
              </w:rPr>
              <w:t>zaměstnavatelů, čímž se rovněž výrazně zvyšuje závislost pracovníků a riziko pracovního vykořisťování, podvodů a zneužívání</w:t>
            </w:r>
            <w:r>
              <w:t xml:space="preserve">; </w:t>
            </w:r>
            <w:r>
              <w:rPr>
                <w:b/>
                <w:i/>
              </w:rPr>
              <w:t>vzhledem k tomu, že nekalé náborové a zprostředkovatelské praktiky mohou zahrnovat zadržování nebo falšování informací, neposkytnutí písemných smluv, ukládání podvodných náborových poplatků, odečtení nadměrných nákladů na ubytování ze mzdy, účtování poplatků pracovníkům za dopravu, odbornou přípravu, vybavení nebo pracovní povolení, konfiskaci cestovních pasů nebo zapojení do tzv. vázaných pracovních sil nebo odborů;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zprostředkovatelé </w:t>
            </w:r>
            <w:r>
              <w:rPr>
                <w:b/>
                <w:i/>
              </w:rPr>
              <w:t>na trhu práce, kteří nejsou registrovaní, licencovaní ani certifikovaní, jsou často</w:t>
            </w:r>
            <w:r>
              <w:t xml:space="preserve"> využíváni k zastírání a obcházení pracovního práva a odpovědnosti </w:t>
            </w:r>
            <w:r>
              <w:rPr>
                <w:b/>
                <w:i/>
              </w:rPr>
              <w:t>zaměstnavatele</w:t>
            </w:r>
            <w:r>
              <w:t>;</w:t>
            </w:r>
          </w:p>
        </w:tc>
        <w:tc>
          <w:tcPr>
            <w:tcW w:w="4876" w:type="dxa"/>
            <w:tcBorders>
              <w:top w:val="nil"/>
              <w:left w:val="nil"/>
              <w:bottom w:val="nil"/>
              <w:right w:val="nil"/>
            </w:tcBorders>
          </w:tcPr>
          <w:p>
            <w:pPr>
              <w:pStyle w:val="Normal6a"/>
            </w:pPr>
            <w:r>
              <w:t>H.</w:t>
            </w:r>
            <w:r>
              <w:tab/>
            </w:r>
            <w:r>
              <w:t xml:space="preserve">vzhledem k tomu, že </w:t>
            </w:r>
            <w:r>
              <w:rPr>
                <w:b/>
                <w:i/>
              </w:rPr>
              <w:t>tito neformální</w:t>
            </w:r>
            <w:r>
              <w:t xml:space="preserve"> zprostředkovatelé </w:t>
            </w:r>
            <w:r>
              <w:rPr>
                <w:b/>
                <w:i/>
              </w:rPr>
              <w:t>a vůdci gangů jsou někdy v některých rizikových odvětvích</w:t>
            </w:r>
            <w:r>
              <w:t xml:space="preserve"> využíváni k zastírání a obcházení pracovního práva a odpovědnosti </w:t>
            </w:r>
            <w:r>
              <w:rPr>
                <w:b/>
                <w:i/>
              </w:rPr>
              <w:t>zaměstnavatelů</w:t>
            </w:r>
            <w:r>
              <w:t xml:space="preserve">; </w:t>
            </w:r>
            <w:r>
              <w:rPr>
                <w:b/>
                <w:i/>
              </w:rPr>
              <w:t>vzhledem k tomu, že lepší prosazování stávajících pravidel a cílené inspekce by mohly pomoci v boji proti nelegálnímu zaměstnávání;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zprostředkovatelé na trhu práce, kteří nejsou registrovaní, licencovaní </w:t>
            </w:r>
            <w:r>
              <w:rPr>
                <w:b/>
                <w:i/>
              </w:rPr>
              <w:t>ani certifikovaní, jsou často</w:t>
            </w:r>
            <w:r>
              <w:t xml:space="preserve"> využíváni k zastírání a obcházení pracovního práva a odpovědnosti zaměstnavatele;</w:t>
            </w:r>
          </w:p>
        </w:tc>
        <w:tc>
          <w:tcPr>
            <w:tcW w:w="4876" w:type="dxa"/>
            <w:tcBorders>
              <w:top w:val="nil"/>
              <w:left w:val="nil"/>
              <w:bottom w:val="nil"/>
              <w:right w:val="nil"/>
            </w:tcBorders>
          </w:tcPr>
          <w:p>
            <w:pPr>
              <w:pStyle w:val="Normal6a"/>
            </w:pPr>
            <w:r>
              <w:t>H.</w:t>
            </w:r>
            <w:r>
              <w:tab/>
            </w:r>
            <w:r>
              <w:t xml:space="preserve">vzhledem k tomu, že zprostředkovatelé na trhu práce, kteří nejsou registrovaní, </w:t>
            </w:r>
            <w:r>
              <w:rPr>
                <w:b/>
                <w:i/>
              </w:rPr>
              <w:t>ani</w:t>
            </w:r>
            <w:r>
              <w:t xml:space="preserve"> licencovaní</w:t>
            </w:r>
            <w:r>
              <w:rPr>
                <w:b/>
                <w:i/>
              </w:rPr>
              <w:t>, je-li to vyžadováno, mohou být</w:t>
            </w:r>
            <w:r>
              <w:t xml:space="preserve"> využíváni k zastírání a obcházení pracovního práva a odpovědnosti zaměstnavatele;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zprostředkovatelé </w:t>
            </w:r>
            <w:r>
              <w:rPr>
                <w:b/>
                <w:i/>
              </w:rPr>
              <w:t>na</w:t>
            </w:r>
            <w:r>
              <w:t xml:space="preserve"> trhu práce, kteří nejsou registrovaní, licencovaní ani certifikovaní, jsou často využíváni k zastírání a obcházení pracovního práva a odpovědnosti zaměstnavatele;</w:t>
            </w:r>
          </w:p>
        </w:tc>
        <w:tc>
          <w:tcPr>
            <w:tcW w:w="4876" w:type="dxa"/>
            <w:tcBorders>
              <w:top w:val="nil"/>
              <w:left w:val="nil"/>
              <w:bottom w:val="nil"/>
              <w:right w:val="nil"/>
            </w:tcBorders>
          </w:tcPr>
          <w:p>
            <w:pPr>
              <w:pStyle w:val="Normal6a"/>
            </w:pPr>
            <w:r>
              <w:t>H.</w:t>
            </w:r>
            <w:r>
              <w:tab/>
            </w:r>
            <w:r>
              <w:t xml:space="preserve">vzhledem k tomu, že zprostředkovatelé </w:t>
            </w:r>
            <w:r>
              <w:rPr>
                <w:b/>
                <w:i/>
              </w:rPr>
              <w:t>"naoko"na</w:t>
            </w:r>
            <w:r>
              <w:t xml:space="preserve"> trhu práce , kteří nejsou registrovaní, licencovaní ani certifikovaní, </w:t>
            </w:r>
            <w:r>
              <w:rPr>
                <w:b/>
                <w:i/>
              </w:rPr>
              <w:t>jsou v nezákonném postavení a</w:t>
            </w:r>
            <w:r>
              <w:t xml:space="preserve"> jsou často využíváni k zastírání a obcházení pracovního práva a odpovědnosti zaměstnavatele;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zprostředkovatelé na trhu práce, kteří nejsou registrovaní, licencovaní ani certifikovaní, jsou často využíváni k zastírání a obcházení pracovního práva a odpovědnosti zaměstnavatele;</w:t>
            </w:r>
          </w:p>
        </w:tc>
        <w:tc>
          <w:tcPr>
            <w:tcW w:w="4876" w:type="dxa"/>
            <w:tcBorders>
              <w:top w:val="nil"/>
              <w:left w:val="nil"/>
              <w:bottom w:val="nil"/>
              <w:right w:val="nil"/>
            </w:tcBorders>
          </w:tcPr>
          <w:p>
            <w:pPr>
              <w:pStyle w:val="Normal6a"/>
            </w:pPr>
            <w:r>
              <w:t>H.</w:t>
            </w:r>
            <w:r>
              <w:tab/>
            </w:r>
            <w:r>
              <w:t xml:space="preserve">vzhledem k tomu, že zprostředkovatelé na trhu práce, kteří nejsou registrovaní, licencovaní ani certifikovaní, jsou často využíváni k zastírání a obcházení pracovního práva a odpovědnosti zaměstnavatele </w:t>
            </w:r>
            <w:r>
              <w:rPr>
                <w:b/>
                <w:i/>
              </w:rPr>
              <w:t>s cílem snížit náklady prostřednictví využití importované pracovní síly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mobilní a migrující pracovníci, a to i ti ze třetích zemí, jsou obzvláště vystaveni bezohledným zprostředkovatelům, kteří jsou usazeni v zemích původu pracovníků nebo v cílových zemích, a dostávají pracovníky do spirály závislosti na vízech, pracovních povoleních a ujednáních, co se týče ubytování i cestování;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vzhledem k tomu, že v reakci na tyto výzvy přijalo několik evropských zemí národní akční plány a politiky zaměřené na boj proti pracovnímu vykořisťování, včetně opatření k řešení zneužívání v subdodavatelských řetězcích a ze strany zprostředkovatelů práce;</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Švédsko:</w:t>
            </w:r>
            <w:r>
              <w:t xml:space="preserve"> </w:t>
            </w:r>
            <w:r>
              <w:rPr>
                <w:b/>
                <w:i/>
              </w:rPr>
              <w:t>https://www.regeringen.se/contentassets/f6f461b310984b598ee4f7a2d83350d0/nationell-strategi-mot-arbetslivskriminalitet.pdf, Finsko:</w:t>
            </w:r>
            <w:r>
              <w:t xml:space="preserve"> </w:t>
            </w:r>
            <w:r>
              <w:rPr>
                <w:b/>
                <w:i/>
              </w:rPr>
              <w:t>https://julkaisut.valtioneuvosto.fi/bitstream/handle/10024/165395/TEM_2024_5.pdf, Itálie:</w:t>
            </w:r>
            <w:r>
              <w:t xml:space="preserve"> </w:t>
            </w:r>
            <w:r>
              <w:rPr>
                <w:b/>
                <w:i/>
              </w:rPr>
              <w:t>https://www.lavoro.gov.it/strumenti-e-servizi/Attuazione-Interventi-PNRR/Documents/DM-58-del-06042023-Aggiornamento-Piano-Lavoro-Sommerso.pdf?utm, Německo:</w:t>
            </w:r>
            <w:r>
              <w:t xml:space="preserve"> </w:t>
            </w:r>
            <w:r>
              <w:rPr>
                <w:b/>
                <w:i/>
              </w:rPr>
              <w:t>https://www.bmas.de/DE/Service/Presse/Meldungen/2025/nationaler-aktionsplan-gegen-arbeitsausbeutung-und-zwangsarbeit-beschlossen.html, Španělsko:</w:t>
            </w:r>
            <w:r>
              <w:t xml:space="preserve"> </w:t>
            </w:r>
            <w:r>
              <w:rPr>
                <w:b/>
                <w:i/>
              </w:rPr>
              <w:t>https://www.mites.gob.es/itss/ITSS/ITSS_Descargas/Atencion_ciudadano/Normativa_documentacion/Docum_ITSS/Plan_accion_TF_ingl.pdf, Norsko:</w:t>
            </w:r>
            <w:r>
              <w:t xml:space="preserve"> </w:t>
            </w:r>
            <w:r>
              <w:rPr>
                <w:b/>
                <w:i/>
              </w:rPr>
              <w:t>https://www.regjeringen.no/no/dokumenter/strategi-mot-arbeidslivskriminalitet-2021/id2831867/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vzhledem k tomu, že v reakci na tyto výzvy sociální partneři na evropské, vnitrostátní a místní úrovni, jakož i na odvětvové a meziodvětvové úrovni přijali opatření k řešení otázek souvisejících se zneužíváním subdodávek a zprostředkováním práce, mimo jiné prostřednictvím kolektivního vyjednávání a dalších společných iniciativ na ochranu pracovních míst a ochranu seriózních podniků a práv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vzhledem k tomu, že zpráva Komise „Zajištění fungování sociálně odpovědného zadávání veřejných zakázek:</w:t>
            </w:r>
            <w:r>
              <w:t xml:space="preserve"> </w:t>
            </w:r>
            <w:r>
              <w:rPr>
                <w:b/>
                <w:i/>
              </w:rPr>
              <w:t>71 případů osvědčených postupů“ zdůrazňuje norský Skienský model, který společně vyvinuly město Skien, odborové svazy a organizace zaměstnavatelů a který zahrnuje přísná omezení týkající se dlouhých sekvencí subdodávek, povinné využívání kvalifikovaných pracovníků a učňů a předběžné schválení dočasné pracovní síly s cílem zajistit odpovědnost a důstojné pracovní podmínky ve vysoce rizikových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vzhledem k tomu, že Lettova zpráva "Much more than a market" (Mnohem více než jen trh) zdůrazňuje, že je naléhavě třeba regulovat subdodavatelské postupy, aby se zabránilo vykořisťování a zneužívání;</w:t>
            </w:r>
            <w:r>
              <w:t xml:space="preserve"> </w:t>
            </w:r>
            <w:r>
              <w:rPr>
                <w:b/>
                <w:i/>
              </w:rPr>
              <w:t>vzhledem k tomu, že varuje, že nekontrolované subdodavatelské řetězce mohou vést k oslabování pracovních norem, sociálnímu dumpingu a oslabování spravedlivé hospodářské soutěže, jakož i k porušování povinností v oblasti zdraví a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vzhledem k tomu, že článek 12 směrnice 2014/67/EU vyžaduje, aby členské státy zavedly subdodavatelskou odpovědnost v odvětví stavebnictví s možností jejího rozšíření na další odvětví a aby zavedly přísnější pravidla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vzhledem k tomu, že společná a nerozdílná odpovědnost v subdodavatelských řetězcích plní dvojí úlohu spočívající v poskytování pomoci pracovníkům, kteří jsou či byli vykořisťováni, a v pobídkách dodavatelům v celém řetězci, aby se zapojili do samoregulace;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vzhledem k tomu, že členské státy, Komise a sociální partneři se v prohlášení z La Hulpe zavázali věnovat zvláštní pozornost opatřením v oblasti subdodávek a agenturní práce, přičemž uznávají společné výzvy, které tyto dva jevy představují pro evropské trhy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vzhledem k tomu, že proces regulace subdodavatelských řetězců a zprostředkovatelů na trhu práce na vnitrostátní úrovni může být pro členské státy zdlouhavý a obtížný, mimo jiné i kvůli právní nejednoznačnosti pravidel vnitřního trhu;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proces regulace subdodavatelských řetězců a zprostředkovatelů </w:t>
            </w:r>
            <w:r>
              <w:rPr>
                <w:b/>
                <w:i/>
              </w:rPr>
              <w:t>na trhu</w:t>
            </w:r>
            <w:r>
              <w:t xml:space="preserve"> práce na vnitrostátní úrovni </w:t>
            </w:r>
            <w:r>
              <w:rPr>
                <w:b/>
                <w:i/>
              </w:rPr>
              <w:t>může být pro členské</w:t>
            </w:r>
            <w:r>
              <w:t xml:space="preserve"> státy </w:t>
            </w:r>
            <w:r>
              <w:rPr>
                <w:b/>
                <w:i/>
              </w:rPr>
              <w:t>zdlouhavý a obtížný, mimo jiné i kvůli právní nejednoznačnosti pravidel vnitřního trhu</w:t>
            </w:r>
            <w:r>
              <w:t>;</w:t>
            </w:r>
          </w:p>
        </w:tc>
        <w:tc>
          <w:tcPr>
            <w:tcW w:w="4876" w:type="dxa"/>
            <w:tcBorders>
              <w:top w:val="nil"/>
              <w:left w:val="nil"/>
              <w:bottom w:val="nil"/>
              <w:right w:val="nil"/>
            </w:tcBorders>
          </w:tcPr>
          <w:p>
            <w:pPr>
              <w:pStyle w:val="Normal6a"/>
            </w:pPr>
            <w:r>
              <w:t>I.</w:t>
            </w:r>
            <w:r>
              <w:tab/>
            </w:r>
            <w:r>
              <w:t xml:space="preserve">vzhledem k tomu, že proces regulace subdodavatelských řetězců a zprostředkovatelů práce </w:t>
            </w:r>
            <w:r>
              <w:rPr>
                <w:b/>
                <w:i/>
              </w:rPr>
              <w:t>je nejlépe prováděn</w:t>
            </w:r>
            <w:r>
              <w:t xml:space="preserve"> na vnitrostátní úrovni </w:t>
            </w:r>
            <w:r>
              <w:rPr>
                <w:b/>
                <w:i/>
              </w:rPr>
              <w:t>členskými</w:t>
            </w:r>
            <w:r>
              <w:t xml:space="preserve"> státy </w:t>
            </w:r>
            <w:r>
              <w:rPr>
                <w:b/>
                <w:i/>
              </w:rPr>
              <w:t>s nejlepší možností přizpůsobit se vnitrostátním podmínkám a zvláštnostem, jakož i prosazování této regulace, což je v pravomoci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proces regulace subdodavatelských řetězců a zprostředkovatelů na trhu práce na vnitrostátní úrovni může být pro členské státy zdlouhavý a obtížný, mimo jiné i kvůli právní nejednoznačnosti pravidel vnitřního trhu;</w:t>
            </w:r>
          </w:p>
        </w:tc>
        <w:tc>
          <w:tcPr>
            <w:tcW w:w="4876" w:type="dxa"/>
            <w:tcBorders>
              <w:top w:val="nil"/>
              <w:left w:val="nil"/>
              <w:bottom w:val="nil"/>
              <w:right w:val="nil"/>
            </w:tcBorders>
          </w:tcPr>
          <w:p>
            <w:pPr>
              <w:pStyle w:val="Normal6a"/>
            </w:pPr>
            <w:r>
              <w:t>I.</w:t>
            </w:r>
            <w:r>
              <w:tab/>
            </w:r>
            <w:r>
              <w:t>vzhledem k tomu, že proces regulace subdodavatelských řetězců a zprostředkovatelů na trhu práce na vnitrostátní úrovni může být pro členské státy zdlouhavý a obtížný, mimo jiné i kvůli právní nejednoznačnosti pravidel vnitřního trhu</w:t>
            </w:r>
            <w:r>
              <w:rPr>
                <w:b/>
                <w:i/>
              </w:rPr>
              <w:t>, jakož i křehosti a nestabilitě vlád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w:t>
            </w:r>
            <w:r>
              <w:rPr>
                <w:b/>
                <w:i/>
              </w:rPr>
              <w:t>proces regulace</w:t>
            </w:r>
            <w:r>
              <w:t xml:space="preserve"> subdodavatelských řetězců a zprostředkovatelů </w:t>
            </w:r>
            <w:r>
              <w:rPr>
                <w:b/>
                <w:i/>
              </w:rPr>
              <w:t>na trhu</w:t>
            </w:r>
            <w:r>
              <w:t xml:space="preserve"> práce na vnitrostátní úrovni </w:t>
            </w:r>
            <w:r>
              <w:rPr>
                <w:b/>
                <w:i/>
              </w:rPr>
              <w:t>může být pro členské státy zdlouhavý a obtížný, mimo jiné i kvůli právní nejednoznačnosti pravidel vnitřního trhu</w:t>
            </w:r>
            <w:r>
              <w:t>;</w:t>
            </w:r>
          </w:p>
        </w:tc>
        <w:tc>
          <w:tcPr>
            <w:tcW w:w="4876" w:type="dxa"/>
            <w:tcBorders>
              <w:top w:val="nil"/>
              <w:left w:val="nil"/>
              <w:bottom w:val="nil"/>
              <w:right w:val="nil"/>
            </w:tcBorders>
          </w:tcPr>
          <w:p>
            <w:pPr>
              <w:pStyle w:val="Normal6a"/>
            </w:pPr>
            <w:r>
              <w:t>I.</w:t>
            </w:r>
            <w:r>
              <w:tab/>
            </w:r>
            <w:r>
              <w:t xml:space="preserve">vzhledem k tomu, že </w:t>
            </w:r>
            <w:r>
              <w:rPr>
                <w:b/>
                <w:i/>
              </w:rPr>
              <w:t>většina členských států má pravidla týkající se</w:t>
            </w:r>
            <w:r>
              <w:t xml:space="preserve"> subdodavatelských řetězců a zprostředkovatelů práce na vnitrostátní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proces regulace subdodavatelských řetězců a zprostředkovatelů </w:t>
            </w:r>
            <w:r>
              <w:rPr>
                <w:b/>
                <w:i/>
              </w:rPr>
              <w:t>na trhu</w:t>
            </w:r>
            <w:r>
              <w:t xml:space="preserve"> práce na vnitrostátní úrovni </w:t>
            </w:r>
            <w:r>
              <w:rPr>
                <w:b/>
                <w:i/>
              </w:rPr>
              <w:t>může být pro členské státy zdlouhavý a obtížný, mimo jiné i kvůli právní nejednoznačnosti pravidel vnitřního</w:t>
            </w:r>
            <w:r>
              <w:t xml:space="preserve"> trhu;</w:t>
            </w:r>
          </w:p>
        </w:tc>
        <w:tc>
          <w:tcPr>
            <w:tcW w:w="4876" w:type="dxa"/>
            <w:tcBorders>
              <w:top w:val="nil"/>
              <w:left w:val="nil"/>
              <w:bottom w:val="nil"/>
              <w:right w:val="nil"/>
            </w:tcBorders>
          </w:tcPr>
          <w:p>
            <w:pPr>
              <w:pStyle w:val="Normal6a"/>
            </w:pPr>
            <w:r>
              <w:t>I.</w:t>
            </w:r>
            <w:r>
              <w:tab/>
            </w:r>
            <w:r>
              <w:t xml:space="preserve">vzhledem k tomu, že proces regulace subdodavatelských řetězců a zprostředkovatelů práce na vnitrostátní úrovni </w:t>
            </w:r>
            <w:r>
              <w:rPr>
                <w:b/>
                <w:i/>
              </w:rPr>
              <w:t>se v jednotlivých členských státech značně liší, což vede k roztříštěnosti jednotného</w:t>
            </w:r>
            <w:r>
              <w:t xml:space="preserve">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w:t>
            </w:r>
            <w:r>
              <w:rPr>
                <w:b/>
                <w:i/>
              </w:rPr>
              <w:t>proces regulace subdodavatelských řetězců a zprostředkovatelů na trhu</w:t>
            </w:r>
            <w:r>
              <w:t xml:space="preserve"> práce na vnitrostátní úrovni </w:t>
            </w:r>
            <w:r>
              <w:rPr>
                <w:b/>
                <w:i/>
              </w:rPr>
              <w:t>může být pro členské státy zdlouhavý a obtížný, mimo jiné i kvůli právní nejednoznačnosti pravidel vnitřního trhu</w:t>
            </w:r>
            <w:r>
              <w:t>;</w:t>
            </w:r>
          </w:p>
        </w:tc>
        <w:tc>
          <w:tcPr>
            <w:tcW w:w="4876" w:type="dxa"/>
            <w:tcBorders>
              <w:top w:val="nil"/>
              <w:left w:val="nil"/>
              <w:bottom w:val="nil"/>
              <w:right w:val="nil"/>
            </w:tcBorders>
          </w:tcPr>
          <w:p>
            <w:pPr>
              <w:pStyle w:val="Normal6a"/>
            </w:pPr>
            <w:r>
              <w:t>I.</w:t>
            </w:r>
            <w:r>
              <w:tab/>
            </w:r>
            <w:r>
              <w:t xml:space="preserve">vzhledem k tomu, že </w:t>
            </w:r>
            <w:r>
              <w:rPr>
                <w:b/>
                <w:i/>
              </w:rPr>
              <w:t>subdodavatelské řetězce a zprostředkovatelé</w:t>
            </w:r>
            <w:r>
              <w:t xml:space="preserve"> práce </w:t>
            </w:r>
            <w:r>
              <w:rPr>
                <w:b/>
                <w:i/>
              </w:rPr>
              <w:t>by měli být nejprve regulováni</w:t>
            </w:r>
            <w:r>
              <w:t xml:space="preserve"> na vnitrostátní úrovni</w:t>
            </w:r>
            <w:r>
              <w:rPr>
                <w:b/>
                <w:i/>
              </w:rPr>
              <w:t>, ačkoli by mohla existovat určitá regulace Unie pro případy, které se týkají dvou nebo více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boj proti nehlášené práci, obchodování s lidmi a pracovnímu vykořisťování vyžaduje důkladné vnitrostátní inspekce, přeshraniční kontroly a přísné udělování licencí/registrací zprostředkovatelům, se zvláštním ohledem na malé a střední podniky;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proces subdodávek by neměl být využíván k oslabení úlohy sociálních partnerů a měl by respektovat platné kolektivní smlouvy a demokracii na pracovišti;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EU musí zachovat a posílit svou konkurenceschopnost jako prostor, v němž mohou podniky prosperovat jak v Evropě, tak v celosvětovém měřítku;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poskytování služeb je základním pilířem EU a jejího vnitřního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vzhledem k tomu, že pravidla omezující subdodávky by mohla oslabit schopnost společností organizovat účinné a inovativní hodnotové řetězce, zejména v odvětvích vystavených celosvětové konkurenci;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vzhledem k tomu, že složité dodavatelské a subdodavatelské struktury jsou nezbytné pro rozsáhlé přeshraniční projekty a pro umožnění účasti malých a středních podniků na evropských a mezinárodních trzích;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vzhledem k tomu, že prosazování stávajících pravidel, lepší spolupráce mezi členskými státy a cílená podpora inspektorátů práce mohou řešit mnohé obavy spojené s dlouhými subdodavatelskými řetězci, aniž by se uchýlily k přísným omezením;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vzhledem k tomu, že EU by měla pokročit ve zlepšování právní úpravy s cílem vytvořit jasná, přiměřená a fakticky podložená pravidla, která sníží zbytečnou zátěž, posílí prosazování a podpoří konkurenceschopnost a účast malých a středních podniků na jednotném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potřebu komplexního evropského přístupu k pracovnímu vykořisťování, zejména </w:t>
            </w:r>
            <w:r>
              <w:rPr>
                <w:b/>
                <w:i/>
              </w:rPr>
              <w:t>ke škodlivým</w:t>
            </w:r>
            <w:r>
              <w:t xml:space="preserve"> formám </w:t>
            </w:r>
            <w:r>
              <w:rPr>
                <w:b/>
                <w:i/>
              </w:rPr>
              <w:t>subdodavatelství</w:t>
            </w:r>
            <w:r>
              <w:t xml:space="preserve"> a zprostředkování práce, a vyzývá proto k vypracování evropské strategie </w:t>
            </w:r>
            <w:r>
              <w:rPr>
                <w:b/>
                <w:i/>
              </w:rPr>
              <w:t>boje</w:t>
            </w:r>
            <w:r>
              <w:t xml:space="preserve"> proti pracovnímu vykořisťování;</w:t>
            </w:r>
          </w:p>
        </w:tc>
        <w:tc>
          <w:tcPr>
            <w:tcW w:w="4876" w:type="dxa"/>
            <w:tcBorders>
              <w:top w:val="nil"/>
              <w:left w:val="nil"/>
              <w:bottom w:val="nil"/>
              <w:right w:val="nil"/>
            </w:tcBorders>
          </w:tcPr>
          <w:p>
            <w:pPr>
              <w:pStyle w:val="Normal6a"/>
            </w:pPr>
            <w:r>
              <w:t>1.</w:t>
            </w:r>
            <w:r>
              <w:tab/>
            </w:r>
            <w:r>
              <w:rPr>
                <w:b/>
                <w:i/>
              </w:rPr>
              <w:t>Vítá závazek Komise obsažený ve strategii pro jednotný trh ze dne 21. května 2025 předložit v roce 2026 balíček opatření v oblasti spravedlivé mobility;</w:t>
            </w:r>
            <w:r>
              <w:t xml:space="preserve"> </w:t>
            </w:r>
            <w:r>
              <w:rPr>
                <w:b/>
                <w:i/>
              </w:rPr>
              <w:t>zdůrazňuje, že celkové cíle zjednodušení a snížení administrativní zátěže odstraněním neopodstatněných překážek v rámci jednotného trhu nesmí vést k menší ochraně občanů/pracovníků a spotřebitelů ani k ní vést;</w:t>
            </w:r>
            <w:r>
              <w:t xml:space="preserve"> zdůrazňuje potřebu komplexního evropského přístupu k pracovnímu vykořisťování </w:t>
            </w:r>
            <w:r>
              <w:rPr>
                <w:b/>
                <w:i/>
              </w:rPr>
              <w:t>obecně</w:t>
            </w:r>
            <w:r>
              <w:t xml:space="preserve">, </w:t>
            </w:r>
            <w:r>
              <w:rPr>
                <w:b/>
                <w:i/>
              </w:rPr>
              <w:t>a</w:t>
            </w:r>
            <w:r>
              <w:t xml:space="preserve"> zejména </w:t>
            </w:r>
            <w:r>
              <w:rPr>
                <w:b/>
                <w:i/>
              </w:rPr>
              <w:t>k nekalým</w:t>
            </w:r>
            <w:r>
              <w:t xml:space="preserve"> formám </w:t>
            </w:r>
            <w:r>
              <w:rPr>
                <w:b/>
                <w:i/>
              </w:rPr>
              <w:t>subdodávek</w:t>
            </w:r>
            <w:r>
              <w:t xml:space="preserve"> a zprostředkování práce, a vyzývá proto k vypracování evropské strategie </w:t>
            </w:r>
            <w:r>
              <w:rPr>
                <w:b/>
                <w:i/>
              </w:rPr>
              <w:t>pro boj</w:t>
            </w:r>
            <w:r>
              <w:t xml:space="preserve"> proti pracovnímu vykořisťování </w:t>
            </w:r>
            <w:r>
              <w:rPr>
                <w:b/>
                <w:i/>
              </w:rPr>
              <w:t>a na podporu přímých vztahů v rámci zaměstnávání, a to jako součást nadcházejícího plánu Komise pro kvalitní pracovní místa</w:t>
            </w:r>
            <w:r>
              <w:t xml:space="preserve">; </w:t>
            </w:r>
            <w:r>
              <w:rPr>
                <w:b/>
                <w:i/>
              </w:rPr>
              <w:t>zdůrazňuje, že tato strategie by měla rovněž zahrnovat environmentální aspekty a uznat, že vykořisťující pracovní modely se překrývají s postupy nebezpečnými pro životní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potřebu komplexního evropského přístupu k </w:t>
            </w:r>
            <w:r>
              <w:rPr>
                <w:b/>
                <w:i/>
              </w:rPr>
              <w:t>pracovnímu vykořisťování, zejména ke škodlivým formám subdodavatelství</w:t>
            </w:r>
            <w:r>
              <w:t xml:space="preserve"> a zprostředkování práce, </w:t>
            </w:r>
            <w:r>
              <w:rPr>
                <w:b/>
                <w:i/>
              </w:rPr>
              <w:t>a vyzývá proto k vypracování evropské strategie boje</w:t>
            </w:r>
            <w:r>
              <w:t xml:space="preserve"> proti pracovnímu vykořisťování;</w:t>
            </w:r>
          </w:p>
        </w:tc>
        <w:tc>
          <w:tcPr>
            <w:tcW w:w="4876" w:type="dxa"/>
            <w:tcBorders>
              <w:top w:val="nil"/>
              <w:left w:val="nil"/>
              <w:bottom w:val="nil"/>
              <w:right w:val="nil"/>
            </w:tcBorders>
          </w:tcPr>
          <w:p>
            <w:pPr>
              <w:pStyle w:val="Normal6a"/>
            </w:pPr>
            <w:r>
              <w:t>1.</w:t>
            </w:r>
            <w:r>
              <w:tab/>
            </w:r>
            <w:r>
              <w:t xml:space="preserve">zdůrazňuje potřebu komplexního evropského přístupu k </w:t>
            </w:r>
            <w:r>
              <w:rPr>
                <w:b/>
                <w:i/>
              </w:rPr>
              <w:t>boji proti přeshraniční organizované trestné činnosti související s pracovním vykořisťováním a zneužíváním obchodních praktik;</w:t>
            </w:r>
            <w:r>
              <w:t xml:space="preserve"> </w:t>
            </w:r>
            <w:r>
              <w:rPr>
                <w:b/>
                <w:i/>
              </w:rPr>
              <w:t>zdůrazňuje, že subdodávky</w:t>
            </w:r>
            <w:r>
              <w:t xml:space="preserve"> a zprostředkování práce </w:t>
            </w:r>
            <w:r>
              <w:rPr>
                <w:b/>
                <w:i/>
              </w:rPr>
              <w:t>by měly zůstat odpovědností členských států</w:t>
            </w:r>
            <w:r>
              <w:t xml:space="preserve">, </w:t>
            </w:r>
            <w:r>
              <w:rPr>
                <w:b/>
                <w:i/>
              </w:rPr>
              <w:t>aby byla zajištěna účinná, flexibilní a kontextově specifická řešení přizpůsobená každému členskému státu s cílem bojovat</w:t>
            </w:r>
            <w:r>
              <w:t xml:space="preserve"> proti pracovnímu vykořisťování </w:t>
            </w:r>
            <w:r>
              <w:rPr>
                <w:b/>
                <w:i/>
              </w:rPr>
              <w:t>a nekalým formám obchodních praktik</w:t>
            </w:r>
            <w:r>
              <w:t xml:space="preserve">; </w:t>
            </w:r>
            <w:r>
              <w:rPr>
                <w:b/>
                <w:i/>
              </w:rPr>
              <w:t>zdůrazňuje, že EU by se měla zaměřit na ochranu konkurenceschopnosti evropských společností, podporu přeshraniční spolupráce v oblasti prosazování práva a výměnu informací, a nikoli na ukládání podrobných právních předpisů týkajících se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potřebu komplexního evropského přístupu k pracovnímu vykořisťování, zejména ke škodlivým formám subdodavatelství a zprostředkování práce, a vyzývá proto k vypracování evropské strategie boje proti pracovnímu vykořisťování;</w:t>
            </w:r>
          </w:p>
        </w:tc>
        <w:tc>
          <w:tcPr>
            <w:tcW w:w="4876" w:type="dxa"/>
            <w:tcBorders>
              <w:top w:val="nil"/>
              <w:left w:val="nil"/>
              <w:bottom w:val="nil"/>
              <w:right w:val="nil"/>
            </w:tcBorders>
          </w:tcPr>
          <w:p>
            <w:pPr>
              <w:pStyle w:val="Normal6a"/>
            </w:pPr>
            <w:r>
              <w:t>1.</w:t>
            </w:r>
            <w:r>
              <w:tab/>
            </w:r>
            <w:r>
              <w:t xml:space="preserve">zdůrazňuje potřebu komplexního evropského přístupu k pracovnímu vykořisťování, zejména ke škodlivým formám subdodavatelství a zprostředkování práce, a vyzývá proto k vypracování evropské strategie boje proti pracovnímu vykořisťování </w:t>
            </w:r>
            <w:r>
              <w:rPr>
                <w:b/>
                <w:i/>
              </w:rPr>
              <w:t>a nezákonné práci</w:t>
            </w:r>
            <w:r>
              <w:t xml:space="preserve">; </w:t>
            </w:r>
            <w:r>
              <w:rPr>
                <w:b/>
                <w:i/>
              </w:rPr>
              <w:t>zdůrazňuje, že pracovní vykořisťování je nejen porušením práv pracovníků a lidských práv, ale také podkopává spravedlivou hospodářskou soutěž pro podniky;</w:t>
            </w:r>
            <w:r>
              <w:t xml:space="preserve"> </w:t>
            </w:r>
            <w:r>
              <w:rPr>
                <w:b/>
                <w:i/>
              </w:rPr>
              <w:t>zdůrazňuje v této souvislosti potřebu důslednějšího prosazování stávajících pracovněprávních předpisů s cílem zajistit účinnou ochranu práv pracovníků a rovné podmínky;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w:t>
            </w:r>
            <w:r>
              <w:rPr>
                <w:b/>
                <w:i/>
              </w:rPr>
              <w:t>potřebu komplexního evropského přístupu</w:t>
            </w:r>
            <w:r>
              <w:t xml:space="preserve"> k pracovnímu vykořisťování, zejména </w:t>
            </w:r>
            <w:r>
              <w:rPr>
                <w:b/>
                <w:i/>
              </w:rPr>
              <w:t>ke škodlivým formám subdodavatelství</w:t>
            </w:r>
            <w:r>
              <w:t xml:space="preserve"> a zprostředkování práce</w:t>
            </w:r>
            <w:r>
              <w:rPr>
                <w:b/>
                <w:i/>
              </w:rPr>
              <w:t>, a vyzývá proto k vypracování evropské strategie boje proti pracovnímu vykořisťování</w:t>
            </w:r>
            <w:r>
              <w:t>;</w:t>
            </w:r>
          </w:p>
        </w:tc>
        <w:tc>
          <w:tcPr>
            <w:tcW w:w="4876" w:type="dxa"/>
            <w:tcBorders>
              <w:top w:val="nil"/>
              <w:left w:val="nil"/>
              <w:bottom w:val="nil"/>
              <w:right w:val="nil"/>
            </w:tcBorders>
          </w:tcPr>
          <w:p>
            <w:pPr>
              <w:pStyle w:val="Normal6a"/>
            </w:pPr>
            <w:r>
              <w:t>1.</w:t>
            </w:r>
            <w:r>
              <w:tab/>
            </w:r>
            <w:r>
              <w:t>zdůrazňuje</w:t>
            </w:r>
            <w:r>
              <w:rPr>
                <w:b/>
                <w:i/>
              </w:rPr>
              <w:t>, že je třeba podporovat vnitrostátní přístupy</w:t>
            </w:r>
            <w:r>
              <w:t xml:space="preserve"> k pracovnímu vykořisťování </w:t>
            </w:r>
            <w:r>
              <w:rPr>
                <w:b/>
                <w:i/>
              </w:rPr>
              <w:t>obecně</w:t>
            </w:r>
            <w:r>
              <w:t xml:space="preserve">, </w:t>
            </w:r>
            <w:r>
              <w:rPr>
                <w:b/>
                <w:i/>
              </w:rPr>
              <w:t>které se mohou v různých členských státech a odvětvích lišit;</w:t>
            </w:r>
            <w:r>
              <w:t xml:space="preserve"> </w:t>
            </w:r>
            <w:r>
              <w:rPr>
                <w:b/>
                <w:i/>
              </w:rPr>
              <w:t>vyzývá rovněž k vytvoření evropské strategie, která by členským státům pomohla koordinovat a posilovat jejich úsilí, a to</w:t>
            </w:r>
            <w:r>
              <w:t xml:space="preserve"> zejména </w:t>
            </w:r>
            <w:r>
              <w:rPr>
                <w:b/>
                <w:i/>
              </w:rPr>
              <w:t>pokud jde o nepatřičné formy subdodávek</w:t>
            </w:r>
            <w:r>
              <w:t xml:space="preserve"> a zprostředkování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potřebu komplexního evropského přístupu k pracovnímu vykořisťování, zejména ke škodlivým formám subdodavatelství a zprostředkování práce, a vyzývá proto k vypracování evropské strategie boje proti pracovnímu vykořisťování;</w:t>
            </w:r>
          </w:p>
        </w:tc>
        <w:tc>
          <w:tcPr>
            <w:tcW w:w="4876" w:type="dxa"/>
            <w:tcBorders>
              <w:top w:val="nil"/>
              <w:left w:val="nil"/>
              <w:bottom w:val="nil"/>
              <w:right w:val="nil"/>
            </w:tcBorders>
          </w:tcPr>
          <w:p>
            <w:pPr>
              <w:pStyle w:val="Normal6a"/>
            </w:pPr>
            <w:r>
              <w:t>1.</w:t>
            </w:r>
            <w:r>
              <w:tab/>
            </w:r>
            <w:r>
              <w:rPr>
                <w:b/>
                <w:i/>
              </w:rPr>
              <w:t>vítá nadcházející předložení balíčku opatření v oblasti spravedlivé mobility Komisí v roce 2026;</w:t>
            </w:r>
            <w:r>
              <w:t xml:space="preserve"> </w:t>
            </w:r>
            <w:r>
              <w:rPr>
                <w:b/>
                <w:i/>
              </w:rPr>
              <w:t>vyzývá Komisi, aby předložila návrh směrnice EU o regulaci subdodávek a zprostředkování práce;</w:t>
            </w:r>
            <w:r>
              <w:t xml:space="preserve"> zdůrazňuje potřebu komplexního evropského přístupu k pracovnímu vykořisťování, zejména ke škodlivým formám subdodavatelství a zprostředkování práce, a vyzývá proto k vypracování evropské strategie boje proti pracovnímu vykořisťování;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potřebu komplexního evropského přístupu k pracovnímu vykořisťování, zejména ke škodlivým formám subdodavatelství a zprostředkování práce, a vyzývá proto k vypracování evropské </w:t>
            </w:r>
            <w:r>
              <w:rPr>
                <w:b/>
                <w:i/>
              </w:rPr>
              <w:t>strategie</w:t>
            </w:r>
            <w:r>
              <w:t xml:space="preserve"> boje proti pracovnímu vykořisťování;</w:t>
            </w:r>
          </w:p>
        </w:tc>
        <w:tc>
          <w:tcPr>
            <w:tcW w:w="4876" w:type="dxa"/>
            <w:tcBorders>
              <w:top w:val="nil"/>
              <w:left w:val="nil"/>
              <w:bottom w:val="nil"/>
              <w:right w:val="nil"/>
            </w:tcBorders>
          </w:tcPr>
          <w:p>
            <w:pPr>
              <w:pStyle w:val="Normal6a"/>
            </w:pPr>
            <w:r>
              <w:t>1.</w:t>
            </w:r>
            <w:r>
              <w:tab/>
            </w:r>
            <w:r>
              <w:t>zdůrazňuje potřebu komplexního evropského přístupu</w:t>
            </w:r>
            <w:r>
              <w:rPr>
                <w:b/>
                <w:i/>
              </w:rPr>
              <w:t>, společně s členskými státy,</w:t>
            </w:r>
            <w:r>
              <w:t xml:space="preserve"> k pracovnímu vykořisťování, zejména ke škodlivým formám subdodavatelství a zprostředkování práce, a vyzývá proto k vypracování evropské </w:t>
            </w:r>
            <w:r>
              <w:rPr>
                <w:b/>
                <w:i/>
              </w:rPr>
              <w:t>spolupráce</w:t>
            </w:r>
            <w:r>
              <w:t xml:space="preserve"> boje proti pracovnímu vykořisťování;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w:t>
            </w:r>
            <w:r>
              <w:rPr>
                <w:b/>
                <w:i/>
              </w:rPr>
              <w:t>potřebu komplexního evropského přístupu k pracovnímu</w:t>
            </w:r>
            <w:r>
              <w:t xml:space="preserve"> vykořisťování, zejména </w:t>
            </w:r>
            <w:r>
              <w:rPr>
                <w:b/>
                <w:i/>
              </w:rPr>
              <w:t>ke škodlivým formám subdodavatelství</w:t>
            </w:r>
            <w:r>
              <w:t xml:space="preserve"> a zprostředkování práce</w:t>
            </w:r>
            <w:r>
              <w:rPr>
                <w:b/>
                <w:i/>
              </w:rPr>
              <w:t>, a vyzývá proto k vypracování evropské strategie boje proti pracovnímu vykořisťování</w:t>
            </w:r>
            <w:r>
              <w:t>;</w:t>
            </w:r>
          </w:p>
        </w:tc>
        <w:tc>
          <w:tcPr>
            <w:tcW w:w="4876" w:type="dxa"/>
            <w:tcBorders>
              <w:top w:val="nil"/>
              <w:left w:val="nil"/>
              <w:bottom w:val="nil"/>
              <w:right w:val="nil"/>
            </w:tcBorders>
          </w:tcPr>
          <w:p>
            <w:pPr>
              <w:pStyle w:val="Normal6a"/>
            </w:pPr>
            <w:r>
              <w:t>1.</w:t>
            </w:r>
            <w:r>
              <w:tab/>
            </w:r>
            <w:r>
              <w:t>zdůrazňuje</w:t>
            </w:r>
            <w:r>
              <w:rPr>
                <w:b/>
                <w:i/>
              </w:rPr>
              <w:t>, že je třeba zdokonalit evropské mapování pracovního</w:t>
            </w:r>
            <w:r>
              <w:t xml:space="preserve"> vykořisťování </w:t>
            </w:r>
            <w:r>
              <w:rPr>
                <w:b/>
                <w:i/>
              </w:rPr>
              <w:t>obecně</w:t>
            </w:r>
            <w:r>
              <w:t xml:space="preserve">, </w:t>
            </w:r>
            <w:r>
              <w:rPr>
                <w:b/>
                <w:i/>
              </w:rPr>
              <w:t>a</w:t>
            </w:r>
            <w:r>
              <w:t xml:space="preserve"> zejména </w:t>
            </w:r>
            <w:r>
              <w:rPr>
                <w:b/>
                <w:i/>
              </w:rPr>
              <w:t>zneužívání forem subdodávek</w:t>
            </w:r>
            <w:r>
              <w:t xml:space="preserve"> a zprostředkování </w:t>
            </w:r>
            <w:r>
              <w:rPr>
                <w:b/>
                <w:i/>
              </w:rPr>
              <w:t>na trhu</w:t>
            </w:r>
            <w:r>
              <w:t xml:space="preserve">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zdůrazňuje potřebu komplexního evropského přístupu k pracovnímu vykořisťování, zejména ke škodlivým formám subdodavatelství a zprostředkování práce, a vyzývá proto k vypracování evropské strategie boje proti pracovnímu vykořisťování;</w:t>
            </w:r>
          </w:p>
        </w:tc>
        <w:tc>
          <w:tcPr>
            <w:tcW w:w="4876" w:type="dxa"/>
            <w:tcBorders>
              <w:top w:val="nil"/>
              <w:left w:val="nil"/>
              <w:bottom w:val="nil"/>
              <w:right w:val="nil"/>
            </w:tcBorders>
          </w:tcPr>
          <w:p>
            <w:pPr>
              <w:pStyle w:val="Normal6a"/>
            </w:pPr>
            <w:r>
              <w:t>1.</w:t>
            </w:r>
            <w:r>
              <w:tab/>
            </w:r>
            <w:r>
              <w:t>zdůrazňuje potřebu komplexního evropského přístupu k pracovnímu vykořisťování, zejména ke škodlivým formám subdodavatelství a zprostředkování práce, a vyzývá proto k vypracování evropské strategie boje proti pracovnímu vykořisťování</w:t>
            </w:r>
            <w:r>
              <w:rPr>
                <w:b/>
                <w:i/>
              </w:rPr>
              <w:t>, přičemž bude současně ochráněna konkurenceschopnost evropských společností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potřebu </w:t>
            </w:r>
            <w:r>
              <w:rPr>
                <w:b/>
                <w:i/>
              </w:rPr>
              <w:t>komplexního evropského</w:t>
            </w:r>
            <w:r>
              <w:t xml:space="preserve"> přístupu k </w:t>
            </w:r>
            <w:r>
              <w:rPr>
                <w:b/>
                <w:i/>
              </w:rPr>
              <w:t>pracovnímu vykořisťování,</w:t>
            </w:r>
            <w:r>
              <w:t xml:space="preserve"> zejména ke </w:t>
            </w:r>
            <w:r>
              <w:rPr>
                <w:b/>
                <w:i/>
              </w:rPr>
              <w:t>škodlivým formám subdodavatelství a</w:t>
            </w:r>
            <w:r>
              <w:t xml:space="preserve"> zprostředkování práce, a vyzývá </w:t>
            </w:r>
            <w:r>
              <w:rPr>
                <w:b/>
                <w:i/>
              </w:rPr>
              <w:t>proto k vypracování</w:t>
            </w:r>
            <w:r>
              <w:t xml:space="preserve"> evropské </w:t>
            </w:r>
            <w:r>
              <w:rPr>
                <w:b/>
                <w:i/>
              </w:rPr>
              <w:t>strategie boje proti pracovnímu vykořisťování</w:t>
            </w:r>
            <w:r>
              <w:t>;</w:t>
            </w:r>
          </w:p>
        </w:tc>
        <w:tc>
          <w:tcPr>
            <w:tcW w:w="4876" w:type="dxa"/>
            <w:tcBorders>
              <w:top w:val="nil"/>
              <w:left w:val="nil"/>
              <w:bottom w:val="nil"/>
              <w:right w:val="nil"/>
            </w:tcBorders>
          </w:tcPr>
          <w:p>
            <w:pPr>
              <w:pStyle w:val="Normal6a"/>
            </w:pPr>
            <w:r>
              <w:t>1.</w:t>
            </w:r>
            <w:r>
              <w:tab/>
            </w:r>
            <w:r>
              <w:t xml:space="preserve">Zdůrazňuje potřebu </w:t>
            </w:r>
            <w:r>
              <w:rPr>
                <w:b/>
                <w:i/>
              </w:rPr>
              <w:t>trvalého vnitrostátního</w:t>
            </w:r>
            <w:r>
              <w:t xml:space="preserve"> přístupu k </w:t>
            </w:r>
            <w:r>
              <w:rPr>
                <w:b/>
                <w:i/>
              </w:rPr>
              <w:t>nekalým formám subdodávek a</w:t>
            </w:r>
            <w:r>
              <w:t xml:space="preserve"> zejména ke zprostředkování práce, a vyzývá </w:t>
            </w:r>
            <w:r>
              <w:rPr>
                <w:b/>
                <w:i/>
              </w:rPr>
              <w:t>k</w:t>
            </w:r>
            <w:r>
              <w:t xml:space="preserve"> evropské </w:t>
            </w:r>
            <w:r>
              <w:rPr>
                <w:b/>
                <w:i/>
              </w:rPr>
              <w:t>podpoře členských států při sdílení osvědčených postupů a informací o vhodných vnitrostátních opatřeních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zdůrazňuje </w:t>
            </w:r>
            <w:r>
              <w:rPr>
                <w:b/>
                <w:i/>
              </w:rPr>
              <w:t>potřebu komplexního</w:t>
            </w:r>
            <w:r>
              <w:t xml:space="preserve"> evropského přístupu k pracovnímu vykořisťování</w:t>
            </w:r>
            <w:r>
              <w:rPr>
                <w:b/>
                <w:i/>
              </w:rPr>
              <w:t>, zejména ke škodlivým formám subdodavatelství</w:t>
            </w:r>
            <w:r>
              <w:t xml:space="preserve"> a zprostředkování práce</w:t>
            </w:r>
            <w:r>
              <w:rPr>
                <w:b/>
                <w:i/>
              </w:rPr>
              <w:t>, a vyzývá proto k vypracování evropské strategie boje proti pracovnímu vykořisťování</w:t>
            </w:r>
            <w:r>
              <w:t>;</w:t>
            </w:r>
          </w:p>
        </w:tc>
        <w:tc>
          <w:tcPr>
            <w:tcW w:w="4876" w:type="dxa"/>
            <w:tcBorders>
              <w:top w:val="nil"/>
              <w:left w:val="nil"/>
              <w:bottom w:val="nil"/>
              <w:right w:val="nil"/>
            </w:tcBorders>
          </w:tcPr>
          <w:p>
            <w:pPr>
              <w:pStyle w:val="Normal6a"/>
            </w:pPr>
            <w:r>
              <w:t>1.</w:t>
            </w:r>
            <w:r>
              <w:tab/>
            </w:r>
            <w:r>
              <w:t>Zdůrazňuje</w:t>
            </w:r>
            <w:r>
              <w:rPr>
                <w:b/>
                <w:i/>
              </w:rPr>
              <w:t>, že je vhodné analyzovat možnost</w:t>
            </w:r>
            <w:r>
              <w:t xml:space="preserve"> evropského přístupu k pracovnímu vykořisťování </w:t>
            </w:r>
            <w:r>
              <w:rPr>
                <w:b/>
                <w:i/>
              </w:rPr>
              <w:t>prostřednictvím nekalých forem subdodávek</w:t>
            </w:r>
            <w:r>
              <w:t xml:space="preserve"> a zprostředkování práce </w:t>
            </w:r>
            <w:r>
              <w:rPr>
                <w:b/>
                <w:i/>
              </w:rPr>
              <w:t>v případech, kdy zasahují dva nebo více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subdodávky jsou běžným a zásadním způsobem podnikání;</w:t>
            </w:r>
            <w:r>
              <w:t xml:space="preserve"> </w:t>
            </w:r>
            <w:r>
              <w:rPr>
                <w:b/>
                <w:i/>
              </w:rPr>
              <w:t>zdůrazňuje, že je zásadní pro dobře fungující konkurenceschopnost v Evropské unii a součást svobody podnikání a usazování;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veškeré iniciativy zaměřené na řešení pracovního vykořisťování a omezení složitých subdodavatelských řetězců by měly být rozvíjeny v úzké spolupráci se sociálními partnery a měly by být přizpůsobeny konkrétní situaci v jednotlivých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vyzývá Komisi, aby v příštím strategickém rámci EU pro bezpečnost a ochranu zdraví při práci řešila potřebu bezpečných a zdravých pracovních podmínek pro všechny pracovníky;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zdůrazňuje, že evropská strategie proti pracovnímu vykořisťování by se měla stát součástí balíčku spravedlivé mobility, který oznámila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lituje, že není právně dostatečně vyjasněna</w:t>
            </w:r>
            <w:r>
              <w:t xml:space="preserve"> možnost </w:t>
            </w:r>
            <w:r>
              <w:rPr>
                <w:b/>
                <w:i/>
              </w:rPr>
              <w:t>členských států</w:t>
            </w:r>
            <w:r>
              <w:t xml:space="preserve"> regulovat </w:t>
            </w:r>
            <w:r>
              <w:rPr>
                <w:b/>
                <w:i/>
              </w:rPr>
              <w:t>dlouhé a složité subdodavatelské řetězce;</w:t>
            </w:r>
            <w:r>
              <w:t xml:space="preserve"> </w:t>
            </w:r>
            <w:r>
              <w:rPr>
                <w:b/>
                <w:i/>
              </w:rPr>
              <w:t>vyzývá Komisi, aby vyjasnila, že pravidla vnitřního trhu EU nebrání členským státům přijmout právní předpisy za účelem řešení dlouhých a složitých subdodavatelských řetězců, včetně požadavku na bezprostřední pracovněprávní vztahy ve</w:t>
            </w:r>
            <w:r>
              <w:t xml:space="preserve"> vysoce </w:t>
            </w:r>
            <w:r>
              <w:rPr>
                <w:b/>
                <w:i/>
              </w:rPr>
              <w:t>rizikových odvětvích</w:t>
            </w:r>
            <w:r>
              <w:t>, pokud je to opodstatněné a odůvodněno důkazy;</w:t>
            </w:r>
          </w:p>
        </w:tc>
        <w:tc>
          <w:tcPr>
            <w:tcW w:w="4876" w:type="dxa"/>
            <w:tcBorders>
              <w:top w:val="nil"/>
              <w:left w:val="nil"/>
              <w:bottom w:val="nil"/>
              <w:right w:val="nil"/>
            </w:tcBorders>
          </w:tcPr>
          <w:p>
            <w:pPr>
              <w:pStyle w:val="Normal6a"/>
            </w:pPr>
            <w:r>
              <w:t>2.</w:t>
            </w:r>
            <w:r>
              <w:tab/>
            </w:r>
            <w:r>
              <w:rPr>
                <w:b/>
                <w:i/>
              </w:rPr>
              <w:t>konstatuje, že členské státy mají</w:t>
            </w:r>
            <w:r>
              <w:t xml:space="preserve"> možnost regulovat vysoce </w:t>
            </w:r>
            <w:r>
              <w:rPr>
                <w:b/>
                <w:i/>
              </w:rPr>
              <w:t>riziková odvětví</w:t>
            </w:r>
            <w:r>
              <w:t>, pokud je to opodstatněné a odůvodněno důkazy;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lituje, že není právně dostatečně vyjasněna možnost členských států regulovat dlouhé a složité subdodavatelské řetězce; vyzývá Komisi, aby </w:t>
            </w:r>
            <w:r>
              <w:rPr>
                <w:b/>
                <w:i/>
              </w:rPr>
              <w:t>vyjasnila, že pravidla vnitřního trhu EU nebrání členským státům přijmout právní předpisy za účelem řešení</w:t>
            </w:r>
            <w:r>
              <w:t xml:space="preserve"> dlouhých a složitých subdodavatelských řetězců, včetně požadavku </w:t>
            </w:r>
            <w:r>
              <w:rPr>
                <w:b/>
                <w:i/>
              </w:rPr>
              <w:t>na bezprostřední pracovněprávní vztahy</w:t>
            </w:r>
            <w:r>
              <w:t xml:space="preserve"> ve vysoce rizikových odvětvích</w:t>
            </w:r>
            <w:r>
              <w:rPr>
                <w:b/>
                <w:i/>
              </w:rPr>
              <w:t>, pokud je to opodstatněné a odůvodněno důkazy</w:t>
            </w:r>
            <w:r>
              <w:t>;</w:t>
            </w:r>
          </w:p>
        </w:tc>
        <w:tc>
          <w:tcPr>
            <w:tcW w:w="4876" w:type="dxa"/>
            <w:tcBorders>
              <w:top w:val="nil"/>
              <w:left w:val="nil"/>
              <w:bottom w:val="nil"/>
              <w:right w:val="nil"/>
            </w:tcBorders>
          </w:tcPr>
          <w:p>
            <w:pPr>
              <w:pStyle w:val="Normal6a"/>
            </w:pPr>
            <w:r>
              <w:t>2.</w:t>
            </w:r>
            <w:r>
              <w:tab/>
            </w:r>
            <w:r>
              <w:t xml:space="preserve">lituje, že není právně dostatečně vyjasněna možnost členských států regulovat dlouhé a složité subdodavatelské řetězce; </w:t>
            </w:r>
            <w:r>
              <w:rPr>
                <w:b/>
                <w:i/>
              </w:rPr>
              <w:t>zdůrazňuje, že nedostatečná regulace se promítla do trhů práce, kde společnosti nejsou schopny účinně prosazovat pracovní práva a bezpečná pracoviště pro pracovníky;</w:t>
            </w:r>
            <w:r>
              <w:t xml:space="preserve"> vyzývá Komisi, aby </w:t>
            </w:r>
            <w:r>
              <w:rPr>
                <w:b/>
                <w:i/>
              </w:rPr>
              <w:t>vybízela členské státy k tomu, aby řešily problémy vyplývající z</w:t>
            </w:r>
            <w:r>
              <w:t xml:space="preserve"> dlouhých a složitých subdodavatelských řetězců </w:t>
            </w:r>
            <w:r>
              <w:rPr>
                <w:b/>
                <w:i/>
              </w:rPr>
              <w:t>prostřednictvím právních předpisů</w:t>
            </w:r>
            <w:r>
              <w:t xml:space="preserve">, včetně požadavku </w:t>
            </w:r>
            <w:r>
              <w:rPr>
                <w:b/>
                <w:i/>
              </w:rPr>
              <w:t>přímých pracovních poměrů</w:t>
            </w:r>
            <w:r>
              <w:t xml:space="preserve"> ve vysoce rizikových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lituje, že není právně dostatečně vyjasněna možnost členských států regulovat dlouhé a složité subdodavatelské řetězce;</w:t>
            </w:r>
            <w:r>
              <w:t xml:space="preserve"> vyzývá Komisi, aby </w:t>
            </w:r>
            <w:r>
              <w:rPr>
                <w:b/>
                <w:i/>
              </w:rPr>
              <w:t>vyjasnila</w:t>
            </w:r>
            <w:r>
              <w:t xml:space="preserve">, že pravidla vnitřního trhu </w:t>
            </w:r>
            <w:r>
              <w:rPr>
                <w:b/>
                <w:i/>
              </w:rPr>
              <w:t>EU</w:t>
            </w:r>
            <w:r>
              <w:t xml:space="preserve"> nebrání členským státům </w:t>
            </w:r>
            <w:r>
              <w:rPr>
                <w:b/>
                <w:i/>
              </w:rPr>
              <w:t>přijmout právní předpisy za účelem řešení dlouhých a složitých subdodavatelských řetězců, včetně požadavku</w:t>
            </w:r>
            <w:r>
              <w:t xml:space="preserve"> na bezprostřední pracovněprávní vztahy </w:t>
            </w:r>
            <w:r>
              <w:rPr>
                <w:b/>
                <w:i/>
              </w:rPr>
              <w:t>ve vysoce rizikových odvětvích</w:t>
            </w:r>
            <w:r>
              <w:t xml:space="preserve">, pokud </w:t>
            </w:r>
            <w:r>
              <w:rPr>
                <w:b/>
                <w:i/>
              </w:rPr>
              <w:t>je to opodstatněné a odůvodněno důkazy;</w:t>
            </w:r>
          </w:p>
        </w:tc>
        <w:tc>
          <w:tcPr>
            <w:tcW w:w="4876" w:type="dxa"/>
            <w:tcBorders>
              <w:top w:val="nil"/>
              <w:left w:val="nil"/>
              <w:bottom w:val="nil"/>
              <w:right w:val="nil"/>
            </w:tcBorders>
          </w:tcPr>
          <w:p>
            <w:pPr>
              <w:pStyle w:val="Normal6a"/>
            </w:pPr>
            <w:r>
              <w:t>2.</w:t>
            </w:r>
            <w:r>
              <w:tab/>
            </w:r>
            <w:r>
              <w:t xml:space="preserve">vyzývá Komisi, aby </w:t>
            </w:r>
            <w:r>
              <w:rPr>
                <w:b/>
                <w:i/>
              </w:rPr>
              <w:t>vydala interpretační sdělení o tom</w:t>
            </w:r>
            <w:r>
              <w:t xml:space="preserve">, že pravidla vnitřního trhu nebrání členským státům </w:t>
            </w:r>
            <w:r>
              <w:rPr>
                <w:b/>
                <w:i/>
              </w:rPr>
              <w:t>zavádět ve vysoce rizikových odvětvích a) maximální úrovně subdodávek, b) požadavek</w:t>
            </w:r>
            <w:r>
              <w:t xml:space="preserve"> na bezprostřední pracovněprávní vztahy, pokud </w:t>
            </w:r>
            <w:r>
              <w:rPr>
                <w:b/>
                <w:i/>
              </w:rPr>
              <w:t>jsou odůvodněny, a c) společnou a nerozdílnou odpovědnost v celém řetězci.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lituje, že není právně dostatečně vyjasněna možnost členských států regulovat dlouhé a složité subdodavatelské řetězce;</w:t>
            </w:r>
            <w:r>
              <w:t xml:space="preserve"> vyzývá Komisi, aby vyjasnila, </w:t>
            </w:r>
            <w:r>
              <w:rPr>
                <w:b/>
                <w:i/>
              </w:rPr>
              <w:t>že</w:t>
            </w:r>
            <w:r>
              <w:t xml:space="preserve"> pravidla vnitřního trhu EU nebrání členským státům přijmout právní předpisy za účelem řešení dlouhých a složitých subdodavatelských řetězců, </w:t>
            </w:r>
            <w:r>
              <w:rPr>
                <w:b/>
                <w:i/>
              </w:rPr>
              <w:t>včetně požadavku na bezprostřední pracovněprávní vztahy ve vysoce rizikových odvětvích,</w:t>
            </w:r>
            <w:r>
              <w:t xml:space="preserve"> pokud je to opodstatněné a odůvodněno důkazy;</w:t>
            </w:r>
          </w:p>
        </w:tc>
        <w:tc>
          <w:tcPr>
            <w:tcW w:w="4876" w:type="dxa"/>
            <w:tcBorders>
              <w:top w:val="nil"/>
              <w:left w:val="nil"/>
              <w:bottom w:val="nil"/>
              <w:right w:val="nil"/>
            </w:tcBorders>
          </w:tcPr>
          <w:p>
            <w:pPr>
              <w:pStyle w:val="Normal6a"/>
            </w:pPr>
            <w:r>
              <w:t>2.</w:t>
            </w:r>
            <w:r>
              <w:tab/>
            </w:r>
            <w:r>
              <w:t xml:space="preserve">vyzývá Komisi, aby vyjasnila, </w:t>
            </w:r>
            <w:r>
              <w:rPr>
                <w:b/>
                <w:i/>
              </w:rPr>
              <w:t>zda</w:t>
            </w:r>
            <w:r>
              <w:t xml:space="preserve"> pravidla vnitřního trhu EU nebrání členským státům přijmout právní předpisy za účelem řešení dlouhých a složitých subdodavatelských řetězců, pokud je to </w:t>
            </w:r>
            <w:r>
              <w:rPr>
                <w:b/>
                <w:i/>
              </w:rPr>
              <w:t>přiměřené,</w:t>
            </w:r>
            <w:r>
              <w:t xml:space="preserve"> opodstatněné a odůvodněno důkazy;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lituje, že není právně dostatečně vyjasněna možnost členských států regulovat dlouhé a složité subdodavatelské řetězce; vyzývá Komisi, aby vyjasnila</w:t>
            </w:r>
            <w:r>
              <w:rPr>
                <w:b/>
                <w:i/>
              </w:rPr>
              <w:t>, že pravidla vnitřního trhu EU nebrání členským státům</w:t>
            </w:r>
            <w:r>
              <w:t xml:space="preserve"> přijmout právní předpisy </w:t>
            </w:r>
            <w:r>
              <w:rPr>
                <w:b/>
                <w:i/>
              </w:rPr>
              <w:t>za účelem</w:t>
            </w:r>
            <w:r>
              <w:t xml:space="preserve"> řešení dlouhých a složitých subdodavatelských řetězců, včetně požadavku na bezprostřední pracovněprávní vztahy </w:t>
            </w:r>
            <w:r>
              <w:rPr>
                <w:b/>
                <w:i/>
              </w:rPr>
              <w:t>ve vysoce rizikových odvětvích</w:t>
            </w:r>
            <w:r>
              <w:t xml:space="preserve">, pokud </w:t>
            </w:r>
            <w:r>
              <w:rPr>
                <w:b/>
                <w:i/>
              </w:rPr>
              <w:t>je to opodstatněné a odůvodněno důkazy</w:t>
            </w:r>
            <w:r>
              <w:t>;</w:t>
            </w:r>
          </w:p>
        </w:tc>
        <w:tc>
          <w:tcPr>
            <w:tcW w:w="4876" w:type="dxa"/>
            <w:tcBorders>
              <w:top w:val="nil"/>
              <w:left w:val="nil"/>
              <w:bottom w:val="nil"/>
              <w:right w:val="nil"/>
            </w:tcBorders>
          </w:tcPr>
          <w:p>
            <w:pPr>
              <w:pStyle w:val="Normal6a"/>
            </w:pPr>
            <w:r>
              <w:t>2.</w:t>
            </w:r>
            <w:r>
              <w:tab/>
            </w:r>
            <w:r>
              <w:t xml:space="preserve">lituje, že není právně dostatečně vyjasněna možnost členských států regulovat dlouhé a složité subdodavatelské řetězce; vyzývá Komisi, aby </w:t>
            </w:r>
            <w:r>
              <w:rPr>
                <w:b/>
                <w:i/>
              </w:rPr>
              <w:t>právně</w:t>
            </w:r>
            <w:r>
              <w:t xml:space="preserve"> vyjasnila </w:t>
            </w:r>
            <w:r>
              <w:rPr>
                <w:b/>
                <w:i/>
              </w:rPr>
              <w:t>možnost, zda mohou členské státy</w:t>
            </w:r>
            <w:r>
              <w:t xml:space="preserve"> přijmout právní předpisy </w:t>
            </w:r>
            <w:r>
              <w:rPr>
                <w:b/>
                <w:i/>
              </w:rPr>
              <w:t>k</w:t>
            </w:r>
            <w:r>
              <w:t xml:space="preserve"> řešení dlouhých a složitých subdodavatelských řetězců</w:t>
            </w:r>
            <w:r>
              <w:rPr>
                <w:b/>
                <w:i/>
              </w:rPr>
              <w:t>, aniž by jim v tom bránila pravidla vnitřního trhu EU</w:t>
            </w:r>
            <w:r>
              <w:t xml:space="preserve">, včetně požadavku na bezprostřední pracovněprávní vztahy, pokud </w:t>
            </w:r>
            <w:r>
              <w:rPr>
                <w:b/>
                <w:i/>
              </w:rPr>
              <w:t>jde o hlavní činnost společnosti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lituje, že není právně dostatečně vyjasněna možnost</w:t>
            </w:r>
            <w:r>
              <w:t xml:space="preserve"> členských států </w:t>
            </w:r>
            <w:r>
              <w:rPr>
                <w:b/>
                <w:i/>
              </w:rPr>
              <w:t>regulovat dlouhé a složité subdodavatelské řetězce</w:t>
            </w:r>
            <w:r>
              <w:t>; vyzývá Komisi, aby vyjasnila, že pravidla vnitřního trhu EU nebrání členským státům přijmout právní předpisy za účelem řešení dlouhých a složitých subdodavatelských řetězců</w:t>
            </w:r>
            <w:r>
              <w:rPr>
                <w:b/>
                <w:i/>
              </w:rPr>
              <w:t>, včetně požadavku na bezprostřední pracovněprávní vztahy ve vysoce rizikových odvětvích, pokud je to opodstatněné a odůvodněno důkazy</w:t>
            </w:r>
            <w:r>
              <w:t>;</w:t>
            </w:r>
          </w:p>
        </w:tc>
        <w:tc>
          <w:tcPr>
            <w:tcW w:w="4876" w:type="dxa"/>
            <w:tcBorders>
              <w:top w:val="nil"/>
              <w:left w:val="nil"/>
              <w:bottom w:val="nil"/>
              <w:right w:val="nil"/>
            </w:tcBorders>
          </w:tcPr>
          <w:p>
            <w:pPr>
              <w:pStyle w:val="Normal6a"/>
            </w:pPr>
            <w:r>
              <w:t>2.</w:t>
            </w:r>
            <w:r>
              <w:tab/>
            </w:r>
            <w:r>
              <w:rPr>
                <w:b/>
                <w:i/>
              </w:rPr>
              <w:t>zdůrazňuje příležitost k přístupu Unie v případě dlouhých a složitých subdodavatelských řetězců, kdy zasahují dva nebo více</w:t>
            </w:r>
            <w:r>
              <w:t xml:space="preserve"> členských států; vyzývá Komisi, aby vyjasnila, že pravidla vnitřního trhu EU nebrání členským státům přijmout právní předpisy za účelem řešení dlouhých a složitých subdodavatelských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lituje, že není právně dostatečně vyjasněna možnost členských států regulovat dlouhé a složité subdodavatelské řetězce; vyzývá Komisi, aby </w:t>
            </w:r>
            <w:r>
              <w:rPr>
                <w:b/>
                <w:i/>
              </w:rPr>
              <w:t>vyjasnila</w:t>
            </w:r>
            <w:r>
              <w:t>, že pravidla vnitřního trhu EU nebrání členským státům přijmout právní předpisy za účelem řešení dlouhých a složitých subdodavatelských řetězců, včetně požadavku na bezprostřední pracovněprávní vztahy ve vysoce rizikových odvětvích, pokud je to opodstatněné a odůvodněno důkazy;</w:t>
            </w:r>
          </w:p>
        </w:tc>
        <w:tc>
          <w:tcPr>
            <w:tcW w:w="4876" w:type="dxa"/>
            <w:tcBorders>
              <w:top w:val="nil"/>
              <w:left w:val="nil"/>
              <w:bottom w:val="nil"/>
              <w:right w:val="nil"/>
            </w:tcBorders>
          </w:tcPr>
          <w:p>
            <w:pPr>
              <w:pStyle w:val="Normal6a"/>
            </w:pPr>
            <w:r>
              <w:t>2.</w:t>
            </w:r>
            <w:r>
              <w:tab/>
            </w:r>
            <w:r>
              <w:t xml:space="preserve">lituje, že není právně dostatečně vyjasněna možnost členských států regulovat dlouhé a složité subdodavatelské řetězce; vyzývá Komisi, aby </w:t>
            </w:r>
            <w:r>
              <w:rPr>
                <w:b/>
                <w:i/>
              </w:rPr>
              <w:t>přijala nezbytná opatření, aby se zajistilo</w:t>
            </w:r>
            <w:r>
              <w:t>, že pravidla vnitřního trhu EU nebrání členským státům přijmout právní předpisy za účelem řešení dlouhých a složitých subdodavatelských řetězců, včetně požadavku na bezprostřední pracovněprávní vztahy ve vysoce rizikových odvětvích, pokud je to opodstatněné a odůvodněno důkazy;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lituje, že není právně dostatečně vyjasněna možnost</w:t>
            </w:r>
            <w:r>
              <w:t xml:space="preserve"> členských států </w:t>
            </w:r>
            <w:r>
              <w:rPr>
                <w:b/>
                <w:i/>
              </w:rPr>
              <w:t>regulovat dlouhé a složité subdodavatelské řetězce</w:t>
            </w:r>
            <w:r>
              <w:t>; vyzývá Komisi, aby vyjasnila</w:t>
            </w:r>
            <w:r>
              <w:rPr>
                <w:b/>
                <w:i/>
              </w:rPr>
              <w:t>, že pravidla vnitřního trhu EU nebrání členským státům přijmout právní předpisy za účelem řešení</w:t>
            </w:r>
            <w:r>
              <w:t xml:space="preserve"> dlouhých a složitých subdodavatelských řetězců</w:t>
            </w:r>
            <w:r>
              <w:rPr>
                <w:b/>
                <w:i/>
              </w:rPr>
              <w:t>, včetně požadavku na bezprostřední pracovněprávní vztahy</w:t>
            </w:r>
            <w:r>
              <w:t xml:space="preserve"> ve vysoce rizikových odvětvích</w:t>
            </w:r>
            <w:r>
              <w:rPr>
                <w:b/>
                <w:i/>
              </w:rPr>
              <w:t>, pokud je to opodstatněné a odůvodněno důkazy</w:t>
            </w:r>
            <w:r>
              <w:t>;</w:t>
            </w:r>
          </w:p>
        </w:tc>
        <w:tc>
          <w:tcPr>
            <w:tcW w:w="4876" w:type="dxa"/>
            <w:tcBorders>
              <w:top w:val="nil"/>
              <w:left w:val="nil"/>
              <w:bottom w:val="nil"/>
              <w:right w:val="nil"/>
            </w:tcBorders>
          </w:tcPr>
          <w:p>
            <w:pPr>
              <w:pStyle w:val="Normal6a"/>
            </w:pPr>
            <w:r>
              <w:t>2.</w:t>
            </w:r>
            <w:r>
              <w:tab/>
            </w:r>
            <w:r>
              <w:rPr>
                <w:b/>
                <w:i/>
              </w:rPr>
              <w:t>připomíná výzvy, jimž čelí některé iniciativy</w:t>
            </w:r>
            <w:r>
              <w:t xml:space="preserve"> členských států </w:t>
            </w:r>
            <w:r>
              <w:rPr>
                <w:b/>
                <w:i/>
              </w:rPr>
              <w:t>s cílem stanovit omezení délky subdodavatelských řetězců</w:t>
            </w:r>
            <w:r>
              <w:t xml:space="preserve">; vyzývá Komisi, aby vyjasnila </w:t>
            </w:r>
            <w:r>
              <w:rPr>
                <w:b/>
                <w:i/>
              </w:rPr>
              <w:t>a vydala pokyny k možnostem přijetí vnitrostátních právních předpisů s cílem řešit rizika vyplývající z</w:t>
            </w:r>
            <w:r>
              <w:t xml:space="preserve"> dlouhých a složitých subdodavatelských řetězců </w:t>
            </w:r>
            <w:r>
              <w:rPr>
                <w:b/>
                <w:i/>
              </w:rPr>
              <w:t>a aby předložila legislativní a nelegislativní návrhy pro boj proti pracovnímu vykořisťování, v neposlední řadě</w:t>
            </w:r>
            <w:r>
              <w:t xml:space="preserve"> ve vysoce rizikových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ydůrazňuje, že veškerá vnitrostátní opatření musí plně respektovat vnitřní trh EU, který je základním pilířem Unie;</w:t>
            </w:r>
            <w:r>
              <w:t xml:space="preserve"> </w:t>
            </w:r>
            <w:r>
              <w:rPr>
                <w:b/>
                <w:i/>
              </w:rPr>
              <w:t>vyzývá členské státy, aby zajistily, že jejich právní předpisy týkající se subdodávek a pracovněprávních vztahů budou slučitelné se zásadami volného pohybu služeb a pracovníků, jakož i se svobodou usazování, a aby nevytvářely zbytečné překážky přeshraniční podnikatelské činnosti, které by bránily inovacím a konkurenceschopnosti;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vyjadřuje politování nad nedostatečnou spoluprací a koordinací mezi členskými státy a mezi vnitrostátními orgány v boji proti trestné činnosti, ať už je organizovaná či nikoli;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opakuje svou výzvu</w:t>
            </w:r>
            <w:r>
              <w:rPr>
                <w:b/>
                <w:i/>
                <w:vertAlign w:val="superscript"/>
              </w:rPr>
              <w:t>11</w:t>
            </w:r>
            <w:r>
              <w:rPr>
                <w:b/>
                <w:i/>
              </w:rPr>
              <w:t>Komisi, aby zvážila přijetí rámcové směrnice, která by řešila problémy spojené se škodlivými formami subdodavatelství a zprostředkování 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Usnesení ze dne 13. března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opakuje svou výzvu</w:t>
            </w:r>
            <w:r>
              <w:rPr>
                <w:b/>
                <w:i/>
                <w:vertAlign w:val="superscript"/>
              </w:rPr>
              <w:t>11</w:t>
            </w:r>
            <w:r>
              <w:rPr>
                <w:b/>
                <w:i/>
              </w:rPr>
              <w:t>Komisi, aby zvážila přijetí rámcové směrnice, která by řešila problémy spojené se škodlivými formami subdodavatelství a zprostředkování 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Usnesení ze dne 13. března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opakuje svou výzvu</w:t>
            </w:r>
            <w:r>
              <w:rPr>
                <w:b/>
                <w:i/>
                <w:vertAlign w:val="superscript"/>
              </w:rPr>
              <w:t>11</w:t>
            </w:r>
            <w:r>
              <w:rPr>
                <w:b/>
                <w:i/>
              </w:rPr>
              <w:t>Komisi, aby zvážila přijetí rámcové směrnice, která by řešila problémy spojené se škodlivými formami subdodavatelství a zprostředkování 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Usnesení ze dne 13. března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opakuje svou výzvu</w:t>
            </w:r>
            <w:r>
              <w:rPr>
                <w:b/>
                <w:i/>
                <w:vertAlign w:val="superscript"/>
              </w:rPr>
              <w:t>11</w:t>
            </w:r>
            <w:r>
              <w:t xml:space="preserve">Komisi, aby </w:t>
            </w:r>
            <w:r>
              <w:rPr>
                <w:b/>
                <w:i/>
              </w:rPr>
              <w:t>zvážila přijetí rámcové směrnice</w:t>
            </w:r>
            <w:r>
              <w:t xml:space="preserve">, která by řešila problémy spojené se škodlivými formami </w:t>
            </w:r>
            <w:r>
              <w:rPr>
                <w:b/>
                <w:i/>
              </w:rPr>
              <w:t>subdodavatelství</w:t>
            </w:r>
            <w:r>
              <w:t xml:space="preserve"> a zprostředkování práce v Evropě, a aby tato rámcová směrnice zavedla obecný právní rámec, který </w:t>
            </w:r>
            <w:r>
              <w:rPr>
                <w:b/>
                <w:i/>
              </w:rPr>
              <w:t>by omezil subdodavatelství a zajistil</w:t>
            </w:r>
            <w:r>
              <w:t xml:space="preserve">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t>3.</w:t>
            </w:r>
            <w:r>
              <w:tab/>
            </w:r>
            <w:r>
              <w:rPr>
                <w:b/>
                <w:i/>
              </w:rPr>
              <w:t>uznává, že dobře regulované subdodávky mají zásadní význam pro zajištění spravedlivé hospodářské soutěže pro malé a střední podniky a pro možnost opírat se o specializované odborníky;</w:t>
            </w:r>
            <w:r>
              <w:t xml:space="preserve"> </w:t>
            </w:r>
            <w:r>
              <w:rPr>
                <w:b/>
                <w:i/>
              </w:rPr>
              <w:t>uznává však, že víceúrovňová struktura subdodavatelského řetězce může oslabovat odpovědnost, zvyšovat riziko porušování pracovněprávních podmínek, vytvářet tlak vedoucí ke zhoršování pracovních podmínek pracovníků v subdodavatelském řetězci a bránit účinnému prosazování;</w:t>
            </w:r>
            <w:r>
              <w:t xml:space="preserve"> </w:t>
            </w:r>
            <w:r>
              <w:rPr>
                <w:b/>
                <w:i/>
              </w:rPr>
              <w:t>zdůrazňuje, že pravidla pro zadávání veřejných zakázek by měla podporovat přímá pracovní místa;</w:t>
            </w:r>
            <w:r>
              <w:t xml:space="preserve"> </w:t>
            </w:r>
            <w:r>
              <w:rPr>
                <w:b/>
                <w:i/>
              </w:rPr>
              <w:t>vyzývá</w:t>
            </w:r>
            <w:r>
              <w:t xml:space="preserve"> Komisi, aby </w:t>
            </w:r>
            <w:r>
              <w:rPr>
                <w:b/>
                <w:i/>
              </w:rPr>
              <w:t>v zájmu ukončení zneužívání subdodávek a ochrany práv pracovníků a zvýšení transparentnosti a odpovědnosti v celém dodavatelském řetězci navrhla rámcovou směrnici</w:t>
            </w:r>
            <w:r>
              <w:t xml:space="preserve">, která by řešila problémy spojené se škodlivými formami </w:t>
            </w:r>
            <w:r>
              <w:rPr>
                <w:b/>
                <w:i/>
              </w:rPr>
              <w:t>subdododavatelství</w:t>
            </w:r>
            <w:r>
              <w:t xml:space="preserve"> a zprostředkování práce v Evropě, a aby tato rámcová směrnice zavedla obecný právní rámec, který </w:t>
            </w:r>
            <w:r>
              <w:rPr>
                <w:b/>
                <w:i/>
              </w:rPr>
              <w:t>omezí úroveň subdodávek;</w:t>
            </w:r>
            <w:r>
              <w:t xml:space="preserve"> </w:t>
            </w:r>
            <w:r>
              <w:rPr>
                <w:b/>
                <w:i/>
              </w:rPr>
              <w:t>vyzývá rovněž k zavedení dobře definovaného režimu společné a nerozdílné odpovědnosti hospodářských subjektů a subdodavatelů, který zajistí</w:t>
            </w:r>
            <w:r>
              <w:t xml:space="preserve"> společnou a nerozdílnou odpovědnost v celém subdodavatelském řetězci</w:t>
            </w:r>
            <w:r>
              <w:rPr>
                <w:b/>
                <w:i/>
              </w:rPr>
              <w:t>, včetně všech možných právních forem outsourcingu</w:t>
            </w:r>
            <w:r>
              <w:t xml:space="preserve">, a rovněž zavedla opatření upravující úlohu a odpovědnost zprostředkovatelů práce jiných než agentur práce; </w:t>
            </w:r>
            <w:r>
              <w:rPr>
                <w:b/>
                <w:i/>
              </w:rPr>
              <w:t>dále vyzývá k tomu, aby v případě zadávání veřejných zakázek byla zajištěna transparentnost, pokud jde o zapojené subdodavatele a podíl zakázky, který dodavatel hodlá zadat subdodavatelům;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Usnesení ze dne 13. března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opakuje svou výzvu</w:t>
            </w:r>
            <w:r>
              <w:rPr>
                <w:b/>
                <w:i/>
                <w:vertAlign w:val="superscript"/>
              </w:rPr>
              <w:t>11</w:t>
            </w:r>
            <w:r>
              <w:t xml:space="preserve">Komisi, aby </w:t>
            </w:r>
            <w:r>
              <w:rPr>
                <w:b/>
                <w:i/>
              </w:rPr>
              <w:t>zvážila přijetí rámcové směrnice, která by řešila problémy spojené se škodlivými formami</w:t>
            </w:r>
            <w:r>
              <w:t xml:space="preserve"> subdodavatelství </w:t>
            </w:r>
            <w:r>
              <w:rPr>
                <w:b/>
                <w:i/>
              </w:rPr>
              <w:t>a</w:t>
            </w:r>
            <w:r>
              <w:t xml:space="preserve"> zprostředkování </w:t>
            </w:r>
            <w:r>
              <w:rPr>
                <w:b/>
                <w:i/>
              </w:rPr>
              <w:t>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t>3.</w:t>
            </w:r>
            <w:r>
              <w:tab/>
            </w:r>
            <w:r>
              <w:rPr>
                <w:b/>
                <w:i/>
              </w:rPr>
              <w:t>vyzývá</w:t>
            </w:r>
            <w:r>
              <w:t xml:space="preserve"> Komisi, aby </w:t>
            </w:r>
            <w:r>
              <w:rPr>
                <w:b/>
                <w:i/>
              </w:rPr>
              <w:t>namísto nových horizontálních právních předpisů předložila doporučení a „soubor nástrojů pro vymáhání“ pro škodlivé formy</w:t>
            </w:r>
            <w:r>
              <w:t xml:space="preserve"> subdodavatelství</w:t>
            </w:r>
            <w:r>
              <w:rPr>
                <w:b/>
                <w:i/>
              </w:rPr>
              <w:t>/</w:t>
            </w:r>
            <w:r>
              <w:t>zprostředkování</w:t>
            </w:r>
            <w:r>
              <w:rPr>
                <w:b/>
                <w:i/>
              </w:rPr>
              <w:t>, a to s plným využitím stávajícího acquis (96/71/ES, 2014/67/EU, 2011/36/EU).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Usnesení ze dne 13. března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opakuje svou výzvu</w:t>
            </w:r>
            <w:r>
              <w:rPr>
                <w:vertAlign w:val="superscript"/>
              </w:rPr>
              <w:t>11</w:t>
            </w:r>
            <w:r>
              <w:t xml:space="preserve">Komisi, aby zvážila přijetí </w:t>
            </w:r>
            <w:r>
              <w:rPr>
                <w:b/>
                <w:i/>
              </w:rPr>
              <w:t>rámcové směrnice, která by řešila</w:t>
            </w:r>
            <w:r>
              <w:t xml:space="preserve"> problémy spojené se škodlivými formami subdodavatelství a zprostředkování práce v Evropě</w:t>
            </w:r>
            <w:r>
              <w:rPr>
                <w:b/>
                <w:i/>
              </w:rPr>
              <w:t>,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r>
              <w:t>;</w:t>
            </w:r>
          </w:p>
        </w:tc>
        <w:tc>
          <w:tcPr>
            <w:tcW w:w="4876" w:type="dxa"/>
            <w:tcBorders>
              <w:top w:val="nil"/>
              <w:left w:val="nil"/>
              <w:bottom w:val="nil"/>
              <w:right w:val="nil"/>
            </w:tcBorders>
          </w:tcPr>
          <w:p>
            <w:pPr>
              <w:pStyle w:val="Normal6a"/>
            </w:pPr>
            <w:r>
              <w:t>3.</w:t>
            </w:r>
            <w:r>
              <w:tab/>
            </w:r>
            <w:r>
              <w:t>opakuje svou výzvu</w:t>
            </w:r>
            <w:r>
              <w:rPr>
                <w:vertAlign w:val="superscript"/>
              </w:rPr>
              <w:t>11</w:t>
            </w:r>
            <w:r>
              <w:t xml:space="preserve"> Komisi, aby zvážila přijetí </w:t>
            </w:r>
            <w:r>
              <w:rPr>
                <w:b/>
                <w:i/>
              </w:rPr>
              <w:t>doporučení, které by řešilo</w:t>
            </w:r>
            <w:r>
              <w:t xml:space="preserve"> problémy spojené se škodlivými formami subdodavatelství a zprostředkování práce v Evropě;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opakuje svou výzvu</w:t>
            </w:r>
            <w:r>
              <w:rPr>
                <w:vertAlign w:val="superscript"/>
              </w:rPr>
              <w:t>11</w:t>
            </w:r>
            <w:r>
              <w:t xml:space="preserve">Komisi, aby zvážila přijetí </w:t>
            </w:r>
            <w:r>
              <w:rPr>
                <w:b/>
                <w:i/>
              </w:rPr>
              <w:t>rámcové směrnice, která by řešila</w:t>
            </w:r>
            <w:r>
              <w:t xml:space="preserve"> problémy spojené se škodlivými formami subdodavatelství a zprostředkování práce v Evropě</w:t>
            </w:r>
            <w:r>
              <w:rPr>
                <w:b/>
                <w:i/>
              </w:rPr>
              <w:t>,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r>
              <w:t>;</w:t>
            </w:r>
          </w:p>
        </w:tc>
        <w:tc>
          <w:tcPr>
            <w:tcW w:w="4876" w:type="dxa"/>
            <w:tcBorders>
              <w:top w:val="nil"/>
              <w:left w:val="nil"/>
              <w:bottom w:val="nil"/>
              <w:right w:val="nil"/>
            </w:tcBorders>
          </w:tcPr>
          <w:p>
            <w:pPr>
              <w:pStyle w:val="Normal6a"/>
            </w:pPr>
            <w:r>
              <w:t>3.</w:t>
            </w:r>
            <w:r>
              <w:tab/>
            </w:r>
            <w:r>
              <w:t>opakuje svou výzvu</w:t>
            </w:r>
            <w:r>
              <w:rPr>
                <w:vertAlign w:val="superscript"/>
              </w:rPr>
              <w:t>11</w:t>
            </w:r>
            <w:r>
              <w:t xml:space="preserve"> Komisi, aby zvážila přijetí </w:t>
            </w:r>
            <w:r>
              <w:rPr>
                <w:b/>
                <w:i/>
              </w:rPr>
              <w:t>doporučení, které by řešilo</w:t>
            </w:r>
            <w:r>
              <w:t xml:space="preserve"> problémy spojené se škodlivými formami subdodavatelství a zprostředkování práce v Evropě;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opakuje svou výzvu</w:t>
            </w:r>
            <w:r>
              <w:rPr>
                <w:vertAlign w:val="superscript"/>
              </w:rPr>
              <w:t>11</w:t>
            </w:r>
            <w:r>
              <w:t xml:space="preserve">Komisi, aby zvážila přijetí </w:t>
            </w:r>
            <w:r>
              <w:rPr>
                <w:b/>
                <w:i/>
              </w:rPr>
              <w:t>rámcové směrnice</w:t>
            </w:r>
            <w:r>
              <w:t xml:space="preserve">, která by řešila problémy spojené se škodlivými formami subdodavatelství a zprostředkování práce v </w:t>
            </w:r>
            <w:r>
              <w:rPr>
                <w:b/>
                <w:i/>
              </w:rPr>
              <w:t>Evropě, a</w:t>
            </w:r>
            <w:r>
              <w:t xml:space="preserve"> aby tato </w:t>
            </w:r>
            <w:r>
              <w:rPr>
                <w:b/>
                <w:i/>
              </w:rPr>
              <w:t>rámcová</w:t>
            </w:r>
            <w:r>
              <w:t xml:space="preserve"> směrnice </w:t>
            </w:r>
            <w:r>
              <w:rPr>
                <w:b/>
                <w:i/>
              </w:rPr>
              <w:t>zavedla obecný právní rámec, který by omezil subdodavatelství a zajistil</w:t>
            </w:r>
            <w:r>
              <w:t xml:space="preserve"> společnou a nerozdílnou odpovědnost v celém subdodavatelském řetězci, </w:t>
            </w:r>
            <w:r>
              <w:rPr>
                <w:b/>
                <w:i/>
              </w:rPr>
              <w:t>a rovněž</w:t>
            </w:r>
            <w:r>
              <w:t xml:space="preserve"> zavedla opatření upravující úlohu a </w:t>
            </w:r>
            <w:r>
              <w:rPr>
                <w:b/>
                <w:i/>
              </w:rPr>
              <w:t>odpovědnost</w:t>
            </w:r>
            <w:r>
              <w:t xml:space="preserve"> zprostředkovatelů práce jiných než agentur práce;</w:t>
            </w:r>
          </w:p>
        </w:tc>
        <w:tc>
          <w:tcPr>
            <w:tcW w:w="4876" w:type="dxa"/>
            <w:tcBorders>
              <w:top w:val="nil"/>
              <w:left w:val="nil"/>
              <w:bottom w:val="nil"/>
              <w:right w:val="nil"/>
            </w:tcBorders>
          </w:tcPr>
          <w:p>
            <w:pPr>
              <w:pStyle w:val="Normal6a"/>
            </w:pPr>
            <w:r>
              <w:t>3.</w:t>
            </w:r>
            <w:r>
              <w:tab/>
            </w:r>
            <w:r>
              <w:t>opakuje svou výzvu</w:t>
            </w:r>
            <w:r>
              <w:rPr>
                <w:vertAlign w:val="superscript"/>
              </w:rPr>
              <w:t>11</w:t>
            </w:r>
            <w:r>
              <w:t xml:space="preserve"> Komisi, aby zvážila přijetí </w:t>
            </w:r>
            <w:r>
              <w:rPr>
                <w:b/>
                <w:i/>
              </w:rPr>
              <w:t>rámcovou směrnici</w:t>
            </w:r>
            <w:r>
              <w:t xml:space="preserve">, která by řešila problémy spojené se škodlivými formami subdodavatelství a zprostředkování práce v </w:t>
            </w:r>
            <w:r>
              <w:rPr>
                <w:b/>
                <w:i/>
              </w:rPr>
              <w:t>EU;</w:t>
            </w:r>
            <w:r>
              <w:t xml:space="preserve"> </w:t>
            </w:r>
            <w:r>
              <w:rPr>
                <w:b/>
                <w:i/>
              </w:rPr>
              <w:t>vyzývá k tomu,</w:t>
            </w:r>
            <w:r>
              <w:t xml:space="preserve"> aby tato směrnice </w:t>
            </w:r>
            <w:r>
              <w:rPr>
                <w:b/>
                <w:i/>
              </w:rPr>
              <w:t>rozšířila</w:t>
            </w:r>
            <w:r>
              <w:t xml:space="preserve"> společnou a nerozdílnou odpovědnost v celém subdodavatelském řetězci, </w:t>
            </w:r>
            <w:r>
              <w:rPr>
                <w:b/>
                <w:i/>
              </w:rPr>
              <w:t>zajistila transparentnost subdodavatelského řetězce prostřednictvím povinného a digitálního rejstříku, vyžadovala jmenování koordinátora, který má přehled nade všemi různými subjekty v subdodavatelském řetězci a zavedla rámec pro omezení subdodávek ve vysoce rizikových odvětvích a aby</w:t>
            </w:r>
            <w:r>
              <w:t xml:space="preserve"> zavedla opatření upravující úlohu a </w:t>
            </w:r>
            <w:r>
              <w:rPr>
                <w:b/>
                <w:i/>
              </w:rPr>
              <w:t>povinnosti</w:t>
            </w:r>
            <w:r>
              <w:t xml:space="preserve"> zprostředkovatelů práce</w:t>
            </w:r>
            <w:r>
              <w:rPr>
                <w:b/>
                <w:i/>
              </w:rPr>
              <w:t>,</w:t>
            </w:r>
            <w:r>
              <w:t xml:space="preserve"> jiných než agentur práce</w:t>
            </w:r>
            <w:r>
              <w:rPr>
                <w:b/>
                <w:i/>
              </w:rPr>
              <w:t>, s cílem bojovat proti podvodnému chování a společnostem s fiktivním sídlem typu poštovní schránka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opakuje svou výzvu</w:t>
            </w:r>
            <w:r>
              <w:rPr>
                <w:vertAlign w:val="superscript"/>
              </w:rPr>
              <w:t>11</w:t>
            </w:r>
            <w:r>
              <w:t>Komisi, aby zvážila přijetí rámcové směrnice, která by řešila problémy spojené se škodlivými formami subdodavatelství a zprostředkování 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t>3.</w:t>
            </w:r>
            <w:r>
              <w:tab/>
            </w:r>
            <w:r>
              <w:t>opakuje svou výzvu</w:t>
            </w:r>
            <w:r>
              <w:rPr>
                <w:vertAlign w:val="superscript"/>
              </w:rPr>
              <w:t>11</w:t>
            </w:r>
            <w:r>
              <w:t xml:space="preserve"> Komisi, aby zvážila přijetí rámcové směrnice, která by řešila problémy spojené se škodlivými formami subdodavatelství a zprostředkování 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 </w:t>
            </w:r>
            <w:r>
              <w:rPr>
                <w:b/>
                <w:i/>
              </w:rPr>
              <w:t>ohledně subdodavatelských řetězců, které zaměstnávají státní příslušníky třetích zemí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opakuje svou výzvu</w:t>
            </w:r>
            <w:r>
              <w:rPr>
                <w:vertAlign w:val="superscript"/>
              </w:rPr>
              <w:t>11</w:t>
            </w:r>
            <w:r>
              <w:t xml:space="preserve">Komisi, aby zvážila </w:t>
            </w:r>
            <w:r>
              <w:rPr>
                <w:b/>
                <w:i/>
              </w:rPr>
              <w:t>přijetí rámcové</w:t>
            </w:r>
            <w:r>
              <w:t xml:space="preserve"> směrnice, která by </w:t>
            </w:r>
            <w:r>
              <w:rPr>
                <w:b/>
                <w:i/>
              </w:rPr>
              <w:t>řešila</w:t>
            </w:r>
            <w:r>
              <w:t xml:space="preserve"> problémy spojené se škodlivými formami subdodavatelství a zprostředkování práce v Evropě, </w:t>
            </w:r>
            <w:r>
              <w:rPr>
                <w:b/>
                <w:i/>
              </w:rPr>
              <w:t>a aby tato rámcová směrnice</w:t>
            </w:r>
            <w:r>
              <w:t xml:space="preserv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t>3.</w:t>
            </w:r>
            <w:r>
              <w:tab/>
            </w:r>
            <w:r>
              <w:t>opakuje svou výzvu</w:t>
            </w:r>
            <w:r>
              <w:rPr>
                <w:vertAlign w:val="superscript"/>
              </w:rPr>
              <w:t>11</w:t>
            </w:r>
            <w:r>
              <w:t xml:space="preserve"> Komisi, aby zvážila</w:t>
            </w:r>
            <w:r>
              <w:rPr>
                <w:b/>
                <w:i/>
              </w:rPr>
              <w:t>, aby budoucí rámcová</w:t>
            </w:r>
            <w:r>
              <w:t xml:space="preserve"> směrnice, která by </w:t>
            </w:r>
            <w:r>
              <w:rPr>
                <w:b/>
                <w:i/>
              </w:rPr>
              <w:t>měla řešit</w:t>
            </w:r>
            <w:r>
              <w:t xml:space="preserve"> problémy spojené se škodlivými formami subdodavatelství a zprostředkování práce v Evropě, zavedla obecný právní rámec, který by omezil subdodavatelství a zajistil společnou a nerozdílnou odpovědnost v celém subdodavatelském řetězci, a </w:t>
            </w:r>
            <w:r>
              <w:rPr>
                <w:b/>
                <w:i/>
              </w:rPr>
              <w:t>to za vnitrostátních a přehraničních podmínek, a</w:t>
            </w:r>
            <w:r>
              <w:t xml:space="preserve"> rovněž zavedla opatření upravující úlohu a odpovědnost zprostředkovatelů práce jiných než agentur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opakuje svou výzvu</w:t>
            </w:r>
            <w:r>
              <w:rPr>
                <w:vertAlign w:val="superscript"/>
              </w:rPr>
              <w:t>11</w:t>
            </w:r>
            <w:r>
              <w:t>Komisi, aby zvážila přijetí rámcové směrnice, která by řešila problémy spojené se škodlivými formami subdodavatelství a zprostředkování 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c>
          <w:tcPr>
            <w:tcW w:w="4876" w:type="dxa"/>
            <w:tcBorders>
              <w:top w:val="nil"/>
              <w:left w:val="nil"/>
              <w:bottom w:val="nil"/>
              <w:right w:val="nil"/>
            </w:tcBorders>
          </w:tcPr>
          <w:p>
            <w:pPr>
              <w:pStyle w:val="Normal6a"/>
            </w:pPr>
            <w:r>
              <w:t>3.</w:t>
            </w:r>
            <w:r>
              <w:tab/>
            </w:r>
            <w:r>
              <w:t>opakuje svou výzvu</w:t>
            </w:r>
            <w:r>
              <w:rPr>
                <w:vertAlign w:val="superscript"/>
              </w:rPr>
              <w:t>11</w:t>
            </w:r>
            <w:r>
              <w:t xml:space="preserve"> Komisi, aby zvážila přijetí rámcové směrnice, která by řešila problémy spojené se škodlivými formami subdodavatelství a zprostředkování práce v Evropě, a aby tato rámcová směrnice zavedla obecný právní rámec, který by omezil subdodavatelství a zajistil společnou a nerozdílnou odpovědnost v celém subdodavatelském řetězci, a rovněž zavedla opatření upravující úlohu a odpovědnost zprostředkovatelů práce jiných než agentur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c>
          <w:tcPr>
            <w:tcW w:w="4876" w:type="dxa"/>
            <w:tcBorders>
              <w:top w:val="nil"/>
              <w:left w:val="nil"/>
              <w:bottom w:val="nil"/>
              <w:right w:val="nil"/>
            </w:tcBorders>
          </w:tcPr>
          <w:p>
            <w:pPr>
              <w:pStyle w:val="Normal6a"/>
            </w:pPr>
            <w:r>
              <w:rPr>
                <w:vertAlign w:val="superscript"/>
              </w:rPr>
              <w:t>11</w:t>
            </w:r>
            <w:r>
              <w:t xml:space="preserve"> </w:t>
            </w:r>
            <w:r>
              <w:t>Usnesení ze dne 13. března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Pascal Arimont,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poukazuje na to, že zásada kaskádové odpovědnosti v subdodavatelských řetězcích může být způsobem, jak zajistit, aby hlavní dodavatel nesl celkovou odpovědnost za služby poskytované v rámci celého řetězce subdodavatelů;</w:t>
            </w:r>
            <w:r>
              <w:t xml:space="preserve"> </w:t>
            </w:r>
            <w:r>
              <w:rPr>
                <w:b/>
                <w:i/>
              </w:rPr>
              <w:t>domnívá se, že tato zásada může zajistit, aby kvalita, výkonnost a dodržování pracovních, sociálních a bezpečnostních norem byly smluvně zaručeny na všech úrovních subdodavatelského řetězce.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opakuje svůj postoj</w:t>
            </w:r>
            <w:r>
              <w:rPr>
                <w:b/>
                <w:i/>
                <w:vertAlign w:val="superscript"/>
              </w:rPr>
              <w:t>1b</w:t>
            </w:r>
            <w:r>
              <w:rPr>
                <w:b/>
                <w:i/>
              </w:rPr>
              <w:t>, že pravidla pro zadávání veřejných zakázek by měla podporovat přímá pracovní místa, a svou výzvu Komisi, aby omezila úroveň subdodávek a zvážila zavedení dobře definovaného režimu společné a nerozdílné odpovědnosti a zajištění transparentnosti, pokud jde o zapojené subdodavatele a podíl zakázky, kterou dodavatel hodlá zadat subdodavatelům;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https://www.europarl.europa.eu/doceo/document/EMPL-AD-770193_EN.pdf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je třeba uznat klíčovou úlohu, kterou hrají škodlivé obchodní praktiky při řízení nezákonných subdodávek a souvisejícího porušování práv pracovníků, zejména v zemědělsko-potravinářském odvětví;</w:t>
            </w:r>
            <w:r>
              <w:t xml:space="preserve"> </w:t>
            </w:r>
            <w:r>
              <w:rPr>
                <w:b/>
                <w:i/>
              </w:rPr>
              <w:t>vyzývá Komisi, aby posoudila, jak proti těmto (škodlivým) praktikám bojovat, a to i prostřednictvím právních předpisů v zemědělském a potravinovém řetězci;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většinu činností, na něž se smlouva vztahuje, musí provádět dodavatel s vlastními přímými zaměstnanci a že ve fázi podávání nabídek by měly být jasně specifikovány subdodavatelské části a společnosti, s nimiž má uchazeč v úmyslu zadat subdodávky;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Komisi, aby zahájila odvětvové iniciativy k řešení pracovního vykořisťování a nezákonné práce ve vysoce rizikových odvětvích, a to na základě určení vysoce rizikových odvětví, která budou stanovena společně s vnitrostátními orgány a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vyzývá Komisi, aby v souladu se svým programem pro zjednodušení odstranila administrativní zátěž pro společnosti, zejména v nerizikových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připomíná, že omezení subdodavatelství musí být vyváženo s ohledem na zásahy, které způsobují, co se týče práva na podnikání;</w:t>
            </w:r>
            <w:r>
              <w:t xml:space="preserve"> </w:t>
            </w:r>
            <w:r>
              <w:rPr>
                <w:b/>
                <w:i/>
              </w:rPr>
              <w:t>je znepokojen tím, že omezení subdododavatelství na určitou úroveň je drastickým zásahem do tohoto práva, a vyzývá Komisi, aby posoudila možnost takových omezení pouze v případě, že není k dispozici žádné jiné opatření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připomíná, že SDEU s ohledem na obecné zásady SFEU rozhodl, že omezení subdodavatelského řetězce vládou členského státu je nelegitimní překážkou volného pohybu</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w:t>
            </w:r>
            <w:r>
              <w:rPr>
                <w:b/>
                <w:i/>
              </w:rPr>
              <w:t>omezující míru</w:t>
            </w:r>
            <w:r>
              <w:t xml:space="preserve"> subdodavatelství byly často iniciovány spolu se sociálními partnery, včetně zástupců malých a středních podniků; </w:t>
            </w:r>
            <w:r>
              <w:rPr>
                <w:b/>
                <w:i/>
              </w:rPr>
              <w:t>vyzývá Komisi, aby předložila návrhy na stanovení obecného pravidla omezujícího subdodávky v odvětvích s vysokým rizikem pracovního vykořisťování na maximálně dvě úrovně pod hlavním dodavatelem;</w:t>
            </w:r>
            <w:r>
              <w:t xml:space="preserve"> </w:t>
            </w:r>
            <w:r>
              <w:rPr>
                <w:b/>
                <w:i/>
              </w:rPr>
              <w:t>zdůrazňuje, že určení vysoce rizikových odvětví v jednotlivých zemích a zavedení postupu pro odchylku od obecného pravidla by měly být v kompetenci členských států ve spolupráci se sociálními partnery;</w:t>
            </w:r>
          </w:p>
        </w:tc>
        <w:tc>
          <w:tcPr>
            <w:tcW w:w="4876" w:type="dxa"/>
            <w:tcBorders>
              <w:top w:val="nil"/>
              <w:left w:val="nil"/>
              <w:bottom w:val="nil"/>
              <w:right w:val="nil"/>
            </w:tcBorders>
          </w:tcPr>
          <w:p>
            <w:pPr>
              <w:pStyle w:val="Normal6a"/>
            </w:pPr>
            <w:r>
              <w:t>4.</w:t>
            </w:r>
            <w:r>
              <w:tab/>
            </w:r>
            <w:r>
              <w:t>zdůrazňuje, že celostátní a regionální politiky</w:t>
            </w:r>
            <w:r>
              <w:rPr>
                <w:b/>
                <w:i/>
              </w:rPr>
              <w:t>, které bojují proti škodlivými praktikám v oblasti</w:t>
            </w:r>
            <w:r>
              <w:t xml:space="preserve"> subdodavatelství byly často iniciovány spolu se sociálními partnery, včetně zástupců malých a středních podniků;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w:t>
            </w:r>
            <w:r>
              <w:rPr>
                <w:b/>
                <w:i/>
              </w:rPr>
              <w:t>vyzývá Komisi, aby předložila návrhy na stanovení obecného pravidla omezujícího subdodávky v odvětvích s vysokým rizikem pracovního vykořisťování na maximálně dvě úrovně pod hlavním dodavatelem;</w:t>
            </w:r>
            <w:r>
              <w:t xml:space="preserve"> zdůrazňuje, že určení vysoce rizikových odvětví v jednotlivých zemích </w:t>
            </w:r>
            <w:r>
              <w:rPr>
                <w:b/>
                <w:i/>
              </w:rPr>
              <w:t>a zavedení postupu pro odchylku od obecného pravidla by měly</w:t>
            </w:r>
            <w:r>
              <w:t xml:space="preserve"> být v kompetenci členských států ve spolupráci se sociálními partnery;</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zdůrazňuje, že určení vysoce rizikových odvětví v jednotlivých zemích </w:t>
            </w:r>
            <w:r>
              <w:rPr>
                <w:b/>
                <w:i/>
              </w:rPr>
              <w:t>by mělo</w:t>
            </w:r>
            <w:r>
              <w:t xml:space="preserve"> být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w:t>
            </w:r>
            <w:r>
              <w:rPr>
                <w:b/>
                <w:i/>
              </w:rPr>
              <w:t>vyzývá Komisi, aby předložila návrhy na stanovení obecného pravidla omezujícího subdodávky v odvětvích s vysokým rizikem pracovního vykořisťování na maximálně dvě úrovně pod hlavním dodavatelem;</w:t>
            </w:r>
            <w:r>
              <w:t xml:space="preserve"> zdůrazňuje, že určení vysoce rizikových odvětví v jednotlivých zemích </w:t>
            </w:r>
            <w:r>
              <w:rPr>
                <w:b/>
                <w:i/>
              </w:rPr>
              <w:t>a zavedení postupu pro odchylku od obecného pravidla by měly</w:t>
            </w:r>
            <w:r>
              <w:t xml:space="preserve"> být v kompetenci členských států ve spolupráci se sociálními partnery;</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zdůrazňuje, že určení vysoce rizikových odvětví v jednotlivých zemích </w:t>
            </w:r>
            <w:r>
              <w:rPr>
                <w:b/>
                <w:i/>
              </w:rPr>
              <w:t>by mělo</w:t>
            </w:r>
            <w:r>
              <w:t xml:space="preserve"> být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celostátní a regionální politiky omezující míru subdodavatelství byly často iniciovány spolu se sociálními partnery, včetně zástupců malých a středních podniků; vyzývá Komisi, aby předložila návrhy na stanovení obecného pravidla omezujícího subdodávky v odvětvích s vysokým rizikem pracovního vykořisťování na maximálně dvě úrovně pod hlavním dodavatelem; zdůrazňuje, že určení vysoce rizikových odvětví v jednotlivých zemích a zavedení postupu pro odchylku od obecného pravidla by měly být v kompetenci členských států ve spolupráci se sociálními partnery;</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návrhy na stanovení obecného pravidla omezujícího subdodávky v odvětvích s vysokým rizikem pracovního vykořisťování na maximálně dvě úrovně pod hlavním dodavatelem; </w:t>
            </w:r>
            <w:r>
              <w:rPr>
                <w:b/>
                <w:i/>
              </w:rPr>
              <w:t>vyzývá Komisi, aby ve své nadcházející revizi rámce pro zadávání veřejných zakázek zavedla povinné vyloučení hospodářských subjektů odsouzených za nedodržování pravidel týkajících se pracovních podmínek a pravidel bezpečnosti a ochrany zdraví při práci z veřejných zakázek;</w:t>
            </w:r>
            <w:r>
              <w:t xml:space="preserve"> zdůrazňuje, že určení vysoce rizikových odvětví v jednotlivých zemích a zavedení postupu pro odchylku od obecného pravidla by měly být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w:t>
            </w:r>
            <w:r>
              <w:rPr>
                <w:b/>
                <w:i/>
              </w:rPr>
              <w:t>návrhy na stanovení obecného pravidla omezujícího subdodávky</w:t>
            </w:r>
            <w:r>
              <w:t xml:space="preserve"> v odvětvích s vysokým rizikem pracovního vykořisťování </w:t>
            </w:r>
            <w:r>
              <w:rPr>
                <w:b/>
                <w:i/>
              </w:rPr>
              <w:t>na maximálně dvě úrovně pod hlavním dodavatelem</w:t>
            </w:r>
            <w:r>
              <w:t>; zdůrazňuje, že určení vysoce rizikových odvětví v jednotlivých zemích a zavedení postupu pro odchylku od obecného pravidla by měly být v kompetenci členských států ve spolupráci se sociálními partnery;</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w:t>
            </w:r>
            <w:r>
              <w:rPr>
                <w:b/>
                <w:i/>
              </w:rPr>
              <w:t>návrh mechanismu, který povede k omezení subdodavatelství</w:t>
            </w:r>
            <w:r>
              <w:t> v odvětvích s vysokým rizikem pracovního vykořisťování; zdůrazňuje, že určení vysoce rizikových odvětví v jednotlivých zemích</w:t>
            </w:r>
            <w:r>
              <w:rPr>
                <w:b/>
                <w:i/>
              </w:rPr>
              <w:t>, konkrétní podmínky</w:t>
            </w:r>
            <w:r>
              <w:t xml:space="preserve"> a zavedení postupu pro odchylku od obecného pravidla by měly být v kompetenci členských států ve spolupráci se sociálními partnery; </w:t>
            </w:r>
            <w:r>
              <w:rPr>
                <w:b/>
                <w:i/>
              </w:rPr>
              <w:t>zdůrazňuje, že je třeba, aby tato rozhodnutí byla založena na přesných a aktuálních údajích, včetně údajů o přeshraničních případech;</w:t>
            </w:r>
            <w:r>
              <w:t xml:space="preserve"> </w:t>
            </w:r>
            <w:r>
              <w:rPr>
                <w:b/>
                <w:i/>
              </w:rPr>
              <w:t>zdůrazňuje úlohu činností orgánu ELA při poskytování spolehlivých informací o škodlivém chování a obecných trendech;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zdůrazňuje, že celostátní a regionální politiky omezující míru subdodavatelství byly často iniciovány spolu se sociálními partnery, včetně zástupců malých a středních podniků;</w:t>
            </w:r>
            <w:r>
              <w:t xml:space="preserve"> vyzývá Komisi, aby </w:t>
            </w:r>
            <w:r>
              <w:rPr>
                <w:b/>
                <w:i/>
              </w:rPr>
              <w:t>předložila návrhy na stanovení obecného pravidla omezujícího subdodávky v odvětvích s vysokým rizikem pracovního vykořisťování</w:t>
            </w:r>
            <w:r>
              <w:t xml:space="preserve"> na maximálně dvě úrovně </w:t>
            </w:r>
            <w:r>
              <w:rPr>
                <w:b/>
                <w:i/>
              </w:rPr>
              <w:t>pod hlavním dodavatelem;</w:t>
            </w:r>
            <w:r>
              <w:t xml:space="preserve"> </w:t>
            </w:r>
            <w:r>
              <w:rPr>
                <w:b/>
                <w:i/>
              </w:rPr>
              <w:t>zdůrazňuje, že určení</w:t>
            </w:r>
            <w:r>
              <w:t xml:space="preserve"> vysoce rizikových </w:t>
            </w:r>
            <w:r>
              <w:rPr>
                <w:b/>
                <w:i/>
              </w:rPr>
              <w:t>odvětví v jednotlivých zemích a</w:t>
            </w:r>
            <w:r>
              <w:t xml:space="preserve"> zavedení </w:t>
            </w:r>
            <w:r>
              <w:rPr>
                <w:b/>
                <w:i/>
              </w:rPr>
              <w:t>postupu pro odchylku od obecného pravidla by měly být v kompetenci členských států ve spolupráci se sociálními partnery</w:t>
            </w:r>
            <w:r>
              <w:t>;</w:t>
            </w:r>
          </w:p>
        </w:tc>
        <w:tc>
          <w:tcPr>
            <w:tcW w:w="4876" w:type="dxa"/>
            <w:tcBorders>
              <w:top w:val="nil"/>
              <w:left w:val="nil"/>
              <w:bottom w:val="nil"/>
              <w:right w:val="nil"/>
            </w:tcBorders>
          </w:tcPr>
          <w:p>
            <w:pPr>
              <w:pStyle w:val="Normal6a"/>
            </w:pPr>
            <w:r>
              <w:t>4.</w:t>
            </w:r>
            <w:r>
              <w:tab/>
            </w:r>
            <w:r>
              <w:t xml:space="preserve">vyzývá Komisi, aby </w:t>
            </w:r>
            <w:r>
              <w:rPr>
                <w:b/>
                <w:i/>
              </w:rPr>
              <w:t>podpořila členské státy při omezování subdodávek</w:t>
            </w:r>
            <w:r>
              <w:t xml:space="preserve"> na maximálně dvě úrovně </w:t>
            </w:r>
            <w:r>
              <w:rPr>
                <w:b/>
                <w:i/>
              </w:rPr>
              <w:t>ve</w:t>
            </w:r>
            <w:r>
              <w:t xml:space="preserve"> vysoce rizikových </w:t>
            </w:r>
            <w:r>
              <w:rPr>
                <w:b/>
                <w:i/>
              </w:rPr>
              <w:t>odvětvích s možností řádně odůvodněných výjimek, na nichž se dohodnou sociální partneři;</w:t>
            </w:r>
            <w:r>
              <w:t xml:space="preserve"> </w:t>
            </w:r>
            <w:r>
              <w:rPr>
                <w:b/>
                <w:i/>
              </w:rPr>
              <w:t>dále vyzývá k</w:t>
            </w:r>
            <w:r>
              <w:t xml:space="preserve"> zavedení </w:t>
            </w:r>
            <w:r>
              <w:rPr>
                <w:b/>
                <w:i/>
              </w:rPr>
              <w:t>společné a nerozdílné odpovědnosti v celém subdodavatelském řetězci a k zavedení povinnosti náležité péče pro subdodavatele a jejich řetězce, včetně identifikace a ověřování dodavatelů, sledovatelnosti smluv a pravidelného posuzování shody;</w:t>
            </w:r>
            <w:r>
              <w:t xml:space="preserve"> </w:t>
            </w:r>
            <w:r>
              <w:rPr>
                <w:b/>
                <w:i/>
              </w:rPr>
              <w:t>výše uvedené požadavky platí obdobně a se zjednodušením pro malé a střední podniky</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w:t>
            </w:r>
            <w:r>
              <w:rPr>
                <w:b/>
                <w:i/>
              </w:rPr>
              <w:t>vyzývá Komisi, aby předložila návrhy na stanovení obecného pravidla omezujícího subdodávky v odvětvích s vysokým rizikem pracovního vykořisťování na maximálně dvě úrovně pod hlavním dodavatelem</w:t>
            </w:r>
            <w:r>
              <w:t xml:space="preserve">; zdůrazňuje, že určení vysoce rizikových odvětví v jednotlivých zemích </w:t>
            </w:r>
            <w:r>
              <w:rPr>
                <w:b/>
                <w:i/>
              </w:rPr>
              <w:t>a zavedení postupu pro odchylku od obecného pravidla by měly</w:t>
            </w:r>
            <w:r>
              <w:t xml:space="preserve"> být v kompetenci členských států ve spolupráci se sociálními partnery;</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w:t>
            </w:r>
            <w:r>
              <w:rPr>
                <w:b/>
                <w:i/>
              </w:rPr>
              <w:t>zdůrazňuje, že tyto dohody by měly být dodržovány</w:t>
            </w:r>
            <w:r>
              <w:t xml:space="preserve">; zdůrazňuje, že určení vysoce rizikových odvětví v jednotlivých zemích </w:t>
            </w:r>
            <w:r>
              <w:rPr>
                <w:b/>
                <w:i/>
              </w:rPr>
              <w:t>by mělo vždy</w:t>
            </w:r>
            <w:r>
              <w:t xml:space="preserve"> být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návrhy </w:t>
            </w:r>
            <w:r>
              <w:rPr>
                <w:b/>
                <w:i/>
              </w:rPr>
              <w:t>na stanovení obecného pravidla omezujícího</w:t>
            </w:r>
            <w:r>
              <w:t xml:space="preserve"> subdodávky </w:t>
            </w:r>
            <w:r>
              <w:rPr>
                <w:b/>
                <w:i/>
              </w:rPr>
              <w:t>v odvětvích s vysokým rizikem</w:t>
            </w:r>
            <w:r>
              <w:t xml:space="preserve"> pracovního vykořisťování </w:t>
            </w:r>
            <w:r>
              <w:rPr>
                <w:b/>
                <w:i/>
              </w:rPr>
              <w:t>na maximálně dvě úrovně pod hlavním dodavatelem</w:t>
            </w:r>
            <w:r>
              <w:t>; zdůrazňuje, že určení vysoce rizikových odvětví v jednotlivých zemích a zavedení postupu pro odchylku od obecného pravidla by měly být v kompetenci členských států ve spolupráci se sociálními partnery;</w:t>
            </w:r>
          </w:p>
        </w:tc>
        <w:tc>
          <w:tcPr>
            <w:tcW w:w="4876" w:type="dxa"/>
            <w:tcBorders>
              <w:top w:val="nil"/>
              <w:left w:val="nil"/>
              <w:bottom w:val="nil"/>
              <w:right w:val="nil"/>
            </w:tcBorders>
          </w:tcPr>
          <w:p>
            <w:pPr>
              <w:pStyle w:val="Normal6a"/>
            </w:pPr>
            <w:r>
              <w:t>4.</w:t>
            </w:r>
            <w:r>
              <w:tab/>
            </w:r>
            <w:r>
              <w:t>zdůrazňuje, že celostátní a regionální politiky omezující míru subdodavatelství byly často iniciovány spolu se sociálními partnery, včetně zástupců malých a středních podniků; vyzývá Komisi, aby předložila návrhy</w:t>
            </w:r>
            <w:r>
              <w:rPr>
                <w:b/>
                <w:i/>
              </w:rPr>
              <w:t>, které by respektovaly vnitrostátní pravomoci a chránily vnitrostátní malé a střední podniky s cílem stanovit obecné pravidlo omezující</w:t>
            </w:r>
            <w:r>
              <w:t xml:space="preserve"> subdodávky </w:t>
            </w:r>
            <w:r>
              <w:rPr>
                <w:b/>
                <w:i/>
              </w:rPr>
              <w:t>pro dodavatele nad stanovený obrat a případy</w:t>
            </w:r>
            <w:r>
              <w:t xml:space="preserve"> pracovního vykořisťování</w:t>
            </w:r>
            <w:r>
              <w:rPr>
                <w:b/>
                <w:i/>
              </w:rPr>
              <w:t>, které byly předtím odsouzeny</w:t>
            </w:r>
            <w:r>
              <w:t>; zdůrazňuje, že určení vysoce rizikových odvětví v jednotlivých zemích a zavedení postupu pro odchylku od obecného pravidla by měly být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celostátní a regionální politiky omezující míru subdodavatelství byly často iniciovány spolu se sociálními partnery, včetně zástupců malých a středních podniků</w:t>
            </w:r>
            <w:r>
              <w:rPr>
                <w:b/>
                <w:i/>
              </w:rPr>
              <w:t>;</w:t>
            </w:r>
            <w:r>
              <w:t xml:space="preserve"> </w:t>
            </w:r>
            <w:r>
              <w:rPr>
                <w:b/>
                <w:i/>
              </w:rPr>
              <w:t>vyzývá Komisi</w:t>
            </w:r>
            <w:r>
              <w:t xml:space="preserve">, </w:t>
            </w:r>
            <w:r>
              <w:rPr>
                <w:b/>
                <w:i/>
              </w:rPr>
              <w:t>aby předložila návrhy na stanovení obecného pravidla omezujícího subdodávky v odvětvích s vysokým rizikem pracovního vykořisťování na maximálně dvě úrovně pod hlavním dodavatelem</w:t>
            </w:r>
            <w:r>
              <w:t xml:space="preserve">; zdůrazňuje, že určení vysoce rizikových odvětví v jednotlivých zemích a zavedení </w:t>
            </w:r>
            <w:r>
              <w:rPr>
                <w:b/>
                <w:i/>
              </w:rPr>
              <w:t>postupu pro odchylku od obecného pravidla</w:t>
            </w:r>
            <w:r>
              <w:t xml:space="preserve"> by měly být v kompetenci členských států ve spolupráci se sociálními partnery;</w:t>
            </w:r>
          </w:p>
        </w:tc>
        <w:tc>
          <w:tcPr>
            <w:tcW w:w="4876" w:type="dxa"/>
            <w:tcBorders>
              <w:top w:val="nil"/>
              <w:left w:val="nil"/>
              <w:bottom w:val="nil"/>
              <w:right w:val="nil"/>
            </w:tcBorders>
          </w:tcPr>
          <w:p>
            <w:pPr>
              <w:pStyle w:val="Normal6a"/>
            </w:pPr>
            <w:r>
              <w:t>4.</w:t>
            </w:r>
            <w:r>
              <w:tab/>
            </w:r>
            <w:r>
              <w:t>zdůrazňuje, že celostátní a regionální politiky omezující míru subdodavatelství byly často iniciovány spolu se sociálními partnery, včetně zástupců malých a středních podniků,</w:t>
            </w:r>
            <w:r>
              <w:rPr>
                <w:b/>
                <w:i/>
              </w:rPr>
              <w:t> na úkor některých odvětví se složitými a vysoce specializovanými postupy a produkty</w:t>
            </w:r>
            <w:r>
              <w:t xml:space="preserve">; zdůrazňuje, že určení vysoce rizikových odvětví v jednotlivých zemích a zavedení </w:t>
            </w:r>
            <w:r>
              <w:rPr>
                <w:b/>
                <w:i/>
              </w:rPr>
              <w:t>konkrétních pravidel, kde je to řádně odůvodněno,</w:t>
            </w:r>
            <w:r>
              <w:t xml:space="preserve"> by měly být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w:t>
            </w:r>
            <w:r>
              <w:rPr>
                <w:b/>
                <w:i/>
              </w:rPr>
              <w:t>návrhy</w:t>
            </w:r>
            <w:r>
              <w:t xml:space="preserve"> na stanovení obecného pravidla omezujícího subdodávky </w:t>
            </w:r>
            <w:r>
              <w:rPr>
                <w:b/>
                <w:i/>
              </w:rPr>
              <w:t>v odvětvích s vysokým rizikem pracovního vykořisťování</w:t>
            </w:r>
            <w:r>
              <w:t xml:space="preserve"> na maximálně dvě úrovně pod hlavním dodavatelem; zdůrazňuje, že určení vysoce rizikových odvětví v jednotlivých zemích a zavedení postupu pro odchylku od obecného pravidla by </w:t>
            </w:r>
            <w:r>
              <w:rPr>
                <w:b/>
                <w:i/>
              </w:rPr>
              <w:t>měly být v kompetenci členských států ve spolupráci se</w:t>
            </w:r>
            <w:r>
              <w:t xml:space="preserve"> sociálními partnery;</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w:t>
            </w:r>
            <w:r>
              <w:rPr>
                <w:b/>
                <w:i/>
              </w:rPr>
              <w:t>legislativní návrh</w:t>
            </w:r>
            <w:r>
              <w:t xml:space="preserve"> na stanovení obecného pravidla omezujícího subdodávky na maximálně dvě úrovně pod hlavním dodavatelem </w:t>
            </w:r>
            <w:r>
              <w:rPr>
                <w:b/>
                <w:i/>
              </w:rPr>
              <w:t>a se zvláštním důrazem na potřeby odvětví s vysokým rizikem pracovního vykořisťování</w:t>
            </w:r>
            <w:r>
              <w:t xml:space="preserve">; zdůrazňuje, že určení vysoce rizikových odvětví v jednotlivých zemích a zavedení postupu pro odchylku od obecného pravidla by </w:t>
            </w:r>
            <w:r>
              <w:rPr>
                <w:b/>
                <w:i/>
              </w:rPr>
              <w:t>mělo být dohodnuto členskými státy a</w:t>
            </w:r>
            <w:r>
              <w:t xml:space="preserv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celostátní a regionální politiky omezující míru subdodavatelství byly často iniciovány spolu se sociálními partnery, včetně zástupců malých a středních podniků; vyzývá Komisi, aby předložila návrhy na stanovení obecného pravidla omezujícího subdodávky v odvětvích s vysokým rizikem pracovního vykořisťování na maximálně dvě úrovně pod hlavním dodavatelem; zdůrazňuje, že určení vysoce rizikových odvětví v jednotlivých zemích a zavedení postupu pro odchylku od obecného pravidla by měly být v kompetenci členských států ve spolupráci se sociálními partnery;</w:t>
            </w:r>
          </w:p>
        </w:tc>
        <w:tc>
          <w:tcPr>
            <w:tcW w:w="4876" w:type="dxa"/>
            <w:tcBorders>
              <w:top w:val="nil"/>
              <w:left w:val="nil"/>
              <w:bottom w:val="nil"/>
              <w:right w:val="nil"/>
            </w:tcBorders>
          </w:tcPr>
          <w:p>
            <w:pPr>
              <w:pStyle w:val="Normal6a"/>
            </w:pPr>
            <w:r>
              <w:t>4.</w:t>
            </w:r>
            <w:r>
              <w:tab/>
            </w:r>
            <w:r>
              <w:t>zdůrazňuje, že celostátní a regionální politiky omezující míru subdodavatelství byly často iniciovány spolu se sociálními partnery, včetně zástupců malých a středních podniků; vyzývá Komisi, aby předložila návrhy na stanovení obecného pravidla omezujícího subdodávky v odvětvích s vysokým rizikem pracovního vykořisťování na maximálně dvě úrovně pod hlavním dodavatelem; zdůrazňuje, že určení vysoce rizikových odvětví v jednotlivých zemích a zavedení postupu pro odchylku od obecného pravidla by měly být v kompetenci členských států ve spolupráci se sociálními partnery;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návrhy na stanovení obecného pravidla omezujícího subdodávky v odvětvích s vysokým rizikem pracovního vykořisťování na maximálně </w:t>
            </w:r>
            <w:r>
              <w:rPr>
                <w:b/>
                <w:i/>
              </w:rPr>
              <w:t>dvě úrovně</w:t>
            </w:r>
            <w:r>
              <w:t xml:space="preserve"> pod hlavním dodavatelem; zdůrazňuje, že určení vysoce rizikových odvětví v jednotlivých zemích a zavedení postupu pro odchylku od obecného pravidla by měly být v kompetenci členských států ve spolupráci se sociálními partnery;</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návrhy na stanovení obecného pravidla omezujícího subdodávky v odvětvích s vysokým rizikem pracovního vykořisťování na maximálně </w:t>
            </w:r>
            <w:r>
              <w:rPr>
                <w:b/>
                <w:i/>
              </w:rPr>
              <w:t>jednu úroveň</w:t>
            </w:r>
            <w:r>
              <w:t xml:space="preserve"> pod hlavním dodavatelem; zdůrazňuje, že určení vysoce rizikových odvětví v jednotlivých zemích a zavedení postupu pro odchylku od obecného pravidla by měly být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w:t>
            </w:r>
            <w:r>
              <w:rPr>
                <w:b/>
                <w:i/>
              </w:rPr>
              <w:t>omezující míru subdodavatelství</w:t>
            </w:r>
            <w:r>
              <w:t xml:space="preserve"> byly často iniciovány spolu se sociálními partnery, včetně zástupců malých a středních podniků; vyzývá Komisi, aby </w:t>
            </w:r>
            <w:r>
              <w:rPr>
                <w:b/>
                <w:i/>
              </w:rPr>
              <w:t>předložila návrhy na stanovení obecného pravidla omezujícího subdodávky v odvětvích s vysokým rizikem pracovního vykořisťování na maximálně dvě úrovně pod hlavním dodavatelem;</w:t>
            </w:r>
            <w:r>
              <w:t xml:space="preserve"> zdůrazňuje, že určení vysoce rizikových odvětví v jednotlivých zemích a zavedení postupu pro odchylku od </w:t>
            </w:r>
            <w:r>
              <w:rPr>
                <w:b/>
                <w:i/>
              </w:rPr>
              <w:t>obecného pravidla</w:t>
            </w:r>
            <w:r>
              <w:t xml:space="preserve"> by měly být v kompetenci členských států ve spolupráci se sociálními partnery;</w:t>
            </w:r>
          </w:p>
        </w:tc>
        <w:tc>
          <w:tcPr>
            <w:tcW w:w="4876" w:type="dxa"/>
            <w:tcBorders>
              <w:top w:val="nil"/>
              <w:left w:val="nil"/>
              <w:bottom w:val="nil"/>
              <w:right w:val="nil"/>
            </w:tcBorders>
          </w:tcPr>
          <w:p>
            <w:pPr>
              <w:pStyle w:val="Normal6a"/>
            </w:pPr>
            <w:r>
              <w:t>4.</w:t>
            </w:r>
            <w:r>
              <w:tab/>
            </w:r>
            <w:r>
              <w:t>zdůrazňuje, že celostátní a regionální politiky</w:t>
            </w:r>
            <w:r>
              <w:rPr>
                <w:b/>
                <w:i/>
              </w:rPr>
              <w:t>, které usilují o boj proti trestné činnosti na pracovišti,</w:t>
            </w:r>
            <w:r>
              <w:t xml:space="preserve"> byly často iniciovány spolu se sociálními partnery, včetně zástupců malých a středních podniků </w:t>
            </w:r>
            <w:r>
              <w:rPr>
                <w:b/>
                <w:i/>
              </w:rPr>
              <w:t>zdůrazňuje, že tyto dohody by měly být dodržovány</w:t>
            </w:r>
            <w:r>
              <w:t xml:space="preserve">; vyzývá Komisi, aby </w:t>
            </w:r>
            <w:r>
              <w:rPr>
                <w:b/>
                <w:i/>
              </w:rPr>
              <w:t>zavedla koordinaci a spolupráci mezi EU a vnitrostátními orgány za účelem boje proti trestné činnosti na pracovišti, a</w:t>
            </w:r>
            <w:r>
              <w:t xml:space="preserve"> zdůrazňuje, že určení vysoce rizikových odvětví v jednotlivých zemích a zavedení postupu pro odchylku od </w:t>
            </w:r>
            <w:r>
              <w:rPr>
                <w:b/>
                <w:i/>
              </w:rPr>
              <w:t>obecných pravidel</w:t>
            </w:r>
            <w:r>
              <w:t xml:space="preserve"> by měly být </w:t>
            </w:r>
            <w:r>
              <w:rPr>
                <w:b/>
                <w:i/>
              </w:rPr>
              <w:t>vždy</w:t>
            </w:r>
            <w:r>
              <w:t xml:space="preserve"> v kompetenci členských států ve spolupráci se sociálními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návrhy na </w:t>
            </w:r>
            <w:r>
              <w:rPr>
                <w:b/>
                <w:i/>
              </w:rPr>
              <w:t>stanovení</w:t>
            </w:r>
            <w:r>
              <w:t xml:space="preserve"> obecného pravidla omezujícího subdodávky </w:t>
            </w:r>
            <w:r>
              <w:rPr>
                <w:b/>
                <w:i/>
              </w:rPr>
              <w:t>v odvětvích s vysokým rizikem pracovního vykořisťování na</w:t>
            </w:r>
            <w:r>
              <w:t xml:space="preserve"> maximálně dvě úrovně pod </w:t>
            </w:r>
            <w:r>
              <w:rPr>
                <w:b/>
                <w:i/>
              </w:rPr>
              <w:t>hlavním dodavatelem;</w:t>
            </w:r>
            <w:r>
              <w:t xml:space="preserve"> </w:t>
            </w:r>
            <w:r>
              <w:rPr>
                <w:b/>
                <w:i/>
              </w:rPr>
              <w:t>zdůrazňuje, že určení vysoce rizikových</w:t>
            </w:r>
            <w:r>
              <w:t xml:space="preserve"> odvětví </w:t>
            </w:r>
            <w:r>
              <w:rPr>
                <w:b/>
                <w:i/>
              </w:rPr>
              <w:t>v jednotlivých zemích a zavedení postupu pro odchylku od obecného pravidla by měly být v kompetenci členských států ve spolupráci se sociálními partnery</w:t>
            </w:r>
            <w:r>
              <w:t>;</w:t>
            </w:r>
          </w:p>
        </w:tc>
        <w:tc>
          <w:tcPr>
            <w:tcW w:w="4876" w:type="dxa"/>
            <w:tcBorders>
              <w:top w:val="nil"/>
              <w:left w:val="nil"/>
              <w:bottom w:val="nil"/>
              <w:right w:val="nil"/>
            </w:tcBorders>
          </w:tcPr>
          <w:p>
            <w:pPr>
              <w:pStyle w:val="Normal6a"/>
            </w:pPr>
            <w:r>
              <w:t>4.</w:t>
            </w:r>
            <w:r>
              <w:tab/>
            </w:r>
            <w:r>
              <w:t xml:space="preserve">zdůrazňuje, že celostátní a regionální politiky omezující míru subdodavatelství byly často iniciovány spolu se sociálními partnery, včetně zástupců malých a středních podniků; vyzývá Komisi, aby předložila návrhy na </w:t>
            </w:r>
            <w:r>
              <w:rPr>
                <w:b/>
                <w:i/>
              </w:rPr>
              <w:t>zavedení</w:t>
            </w:r>
            <w:r>
              <w:t xml:space="preserve"> obecného pravidla omezujícího subdodávky maximálně </w:t>
            </w:r>
            <w:r>
              <w:rPr>
                <w:b/>
                <w:i/>
              </w:rPr>
              <w:t>na</w:t>
            </w:r>
            <w:r>
              <w:t xml:space="preserve"> dvě úrovně pod </w:t>
            </w:r>
            <w:r>
              <w:rPr>
                <w:b/>
                <w:i/>
              </w:rPr>
              <w:t>úrovní hlavního dodavatele;</w:t>
            </w:r>
            <w:r>
              <w:t xml:space="preserve"> </w:t>
            </w:r>
            <w:r>
              <w:rPr>
                <w:b/>
                <w:i/>
              </w:rPr>
              <w:t>vyzývá k tomu, aby subdodávky byly omezeny na určitou úroveň obzvláště v případě nebezpečných</w:t>
            </w:r>
            <w:r>
              <w:t xml:space="preserve"> odvětví</w:t>
            </w:r>
            <w:r>
              <w:rPr>
                <w:b/>
                <w:i/>
              </w:rPr>
              <w:t>, u nichž existují jasná zjištění o nedodržování pracovněprávních předpisů</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Leila Chaibi, Anthony Smith, Marina Mesure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Komisi, aby navrhla změny směrnic 2014/24/EU, 2014/25/EU (a případně 2014/23/EU) s cílem výslovně povolit veřejným zadavatelům omezit délku a počet úrovní subdodavatelských řetězců, omezit podíl zakázky, kterou lze zadat subdodavatelům, a zavést plnou odpovědnost veřejného zadavatele, zejména za pracovní úrazy, nemoci z povolání a opakované případy nedodržování pracovněprávních předpisů, a to v celém subdodavatelském řetězci;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vítá skutečnost, že několik členských států se rozhodlo přijmout přísnější pravidla odpovědnosti v subdodavatelských řetězcích, než je minimum stanovené v článku 12 směrnice 2014/67/EU;</w:t>
            </w:r>
            <w:r>
              <w:t xml:space="preserve"> </w:t>
            </w:r>
            <w:r>
              <w:rPr>
                <w:b/>
                <w:i/>
              </w:rPr>
              <w:t>vyzývá Komisi, aby zajistila společnou a nerozdílnou odpovědnost v celém subdodavatelském řetězci v rizikových odvětvích, mimo jiné pokud jde o mzdy a příspěvky na sociální zabezpečení, jakož i přístup dotčených pracovníků ke spravedlnosti;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k vytvoření minimálního rámce EU pro udělování licencí / registraci zprostředkovatelů práce s veřejným rejstříkem, k zákazu poplatků účtovaných pracovníkům (v souladu s úmluvou MOP č. 181) a k odrazujícím sankcím, včetně vyloučení z veřejných zakázek;</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Komisi, aby vyhodnotila účinné využívání systému IMI členskými státy ve vztahu ke směrnici 2014/67/EU (směrnice o prosazování), zejména pokud jde o kontrolní mechanismus zaměřený na skutečné vysílání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vyzývá k zajištění transparentnosti, pokud jde o subdodavatele zapojené do zadávání veřejných zakázek a poměrnou část zakázky, kterou dodavatel hodlá subdodavatelům zadat, přičemž je nutné tyto informace uvést před zahájením plnění smlouvy a aktualizovat je po celou dobu jejího plnění;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bere na vědomí výzvy mikropodniků a malých a středních podniků, zejména ve stavebnictví, aby byl řešen problém „finančních subdodávek“, kdy hlavní dodavatel zadává subdodavateli veškerou práci;</w:t>
            </w:r>
            <w:r>
              <w:t xml:space="preserve"> </w:t>
            </w:r>
            <w:r>
              <w:rPr>
                <w:b/>
                <w:i/>
              </w:rPr>
              <w:t>vyzývá Komisi, aby v rámci revize směrnice o zadávání veřejných zakázek navrhla přísnější pravidla, která zajistí, aby hlavní dodavatelé byli schopni plnit část zakázky sami, včetně omezení hodnoty nebo druhu práce, kterou lze zadat subdodavatelům;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konstatuje, že větší využívání subdodavatelství pro stěžejní činnosti podniku může vést k roztříštěnosti pracovišť a k tomu, že pracovníci mají delší pracovní dobu, nižší mzdy a čelí nejistotě zaměstnání;</w:t>
            </w:r>
            <w:r>
              <w:t xml:space="preserve"> </w:t>
            </w:r>
            <w:r>
              <w:rPr>
                <w:b/>
                <w:i/>
              </w:rPr>
              <w:t>vyzývá v této souvislosti Komisi, aby zajistila rovné zacházení s pracovníky, kteří vykonávají stejnou práci, a podpořila přímé zaměstnávání v odvětvích, kde se tato rizika vyskytují;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může vést k roztříštěnosti pracovišť a k tomu, že pracovníci mají delší pracovní dobu, nižší mzdy a čelí nejistotě zaměstnání; vyzývá v této souvislosti Komisi, aby zajistila rovné zacházení s pracovníky, kteří vykonávají stejnou práci, a </w:t>
            </w:r>
            <w:r>
              <w:rPr>
                <w:b/>
                <w:i/>
              </w:rPr>
              <w:t>podpořila přímé zaměstnávání v odvětvích, kde se tato rizika vyskytují</w:t>
            </w:r>
            <w:r>
              <w:t>;</w:t>
            </w:r>
          </w:p>
        </w:tc>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může vést k roztříštěnosti pracovišť a k tomu, že pracovníci mají delší pracovní dobu, nižší mzdy a čelí </w:t>
            </w:r>
            <w:r>
              <w:rPr>
                <w:b/>
                <w:i/>
              </w:rPr>
              <w:t>nedodržování pracovního práva a</w:t>
            </w:r>
            <w:r>
              <w:t xml:space="preserve"> nejistotě zaměstnání; vyzývá v této souvislosti Komisi, aby zajistila rovné zacházení s pracovníky, kteří vykonávají stejnou práci, a </w:t>
            </w:r>
            <w:r>
              <w:rPr>
                <w:b/>
                <w:i/>
              </w:rPr>
              <w:t>aby hlavním dodavatelům zakázala využívání subdodávek pro činnosti, které souvisejí s hlavní činností</w:t>
            </w:r>
            <w:r>
              <w:t xml:space="preserve">; </w:t>
            </w:r>
            <w:r>
              <w:rPr>
                <w:b/>
                <w:i/>
              </w:rPr>
              <w:t>vyzývá Komisi, aby zajistila, že na vymezení hlavních činností odvětví budou pracovat odvětvové výbory pro sociální dialog (CDSS);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konstatuje, že větší využívání subdodavatelství pro stěžejní činnosti podniku může vést k roztříštěnosti pracovišť a k tomu, že pracovníci mají delší pracovní dobu, nižší mzdy a čelí nejistotě zaměstnání; vyzývá v této souvislosti Komisi, aby zajistila rovné zacházení s pracovníky, kteří vykonávají stejnou práci, a podpořila přímé zaměstnávání v odvětvích, kde se tato rizika vyskytují;</w:t>
            </w:r>
          </w:p>
        </w:tc>
        <w:tc>
          <w:tcPr>
            <w:tcW w:w="4876" w:type="dxa"/>
            <w:tcBorders>
              <w:top w:val="nil"/>
              <w:left w:val="nil"/>
              <w:bottom w:val="nil"/>
              <w:right w:val="nil"/>
            </w:tcBorders>
          </w:tcPr>
          <w:p>
            <w:pPr>
              <w:pStyle w:val="Normal6a"/>
            </w:pPr>
            <w:r>
              <w:t>5.</w:t>
            </w:r>
            <w:r>
              <w:tab/>
            </w:r>
            <w:r>
              <w:t>konstatuje, že větší využívání subdodavatelství pro stěžejní činnosti podniku může vést k roztříštěnosti pracovišť a k tomu, že pracovníci mají delší pracovní dobu, nižší mzdy a čelí nejistotě zaměstnání; vyzývá v této souvislosti Komisi, aby zajistila rovné zacházení s pracovníky, kteří vykonávají stejnou práci, a podpořila přímé zaměstnávání v odvětvích, kde se tato rizika vyskytují</w:t>
            </w:r>
            <w:r>
              <w:rPr>
                <w:b/>
                <w:i/>
              </w:rPr>
              <w:t>, a aby stanovila, že 30 % hlavních úkolů musí splnit hlavní dodavatel, což je rovněž v souladu s rozsudky Soudního dvora Evropské unie (viz VitaliSpA v. Autostrade per l’Italia SpA, C-63/18)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může vést k roztříštěnosti pracovišť a k tomu, že pracovníci mají delší pracovní dobu, nižší mzdy a čelí nejistotě zaměstnání; </w:t>
            </w:r>
            <w:r>
              <w:rPr>
                <w:b/>
                <w:i/>
              </w:rPr>
              <w:t>vyzývá v této souvislosti Komisi, aby zajistila rovné zacházení s pracovníky, kteří vykonávají stejnou práci, a podpořila přímé zaměstnávání v odvětvích, kde se tato rizika vyskytují;</w:t>
            </w:r>
          </w:p>
        </w:tc>
        <w:tc>
          <w:tcPr>
            <w:tcW w:w="4876" w:type="dxa"/>
            <w:tcBorders>
              <w:top w:val="nil"/>
              <w:left w:val="nil"/>
              <w:bottom w:val="nil"/>
              <w:right w:val="nil"/>
            </w:tcBorders>
          </w:tcPr>
          <w:p>
            <w:pPr>
              <w:pStyle w:val="Normal6a"/>
            </w:pPr>
            <w:r>
              <w:t>5.</w:t>
            </w:r>
            <w:r>
              <w:tab/>
            </w:r>
            <w:r>
              <w:t>konstatuje, že větší využívání subdodavatelství pro stěžejní činnosti podniku může vést k roztříštěnosti pracovišť a k tomu, že pracovníci mají delší pracovní dobu, nižší mzdy a čelí nejistotě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w:t>
            </w:r>
            <w:r>
              <w:rPr>
                <w:b/>
                <w:i/>
              </w:rPr>
              <w:t>může vést</w:t>
            </w:r>
            <w:r>
              <w:t xml:space="preserve"> k roztříštěnosti pracovišť a k tomu, že pracovníci mají delší pracovní dobu, nižší mzdy a čelí nejistotě zaměstnání; vyzývá v této souvislosti Komisi, aby zajistila rovné zacházení s pracovníky, kteří vykonávají stejnou práci, a podpořila přímé zaměstnávání v odvětvích, kde se tato rizika vyskytují;</w:t>
            </w:r>
          </w:p>
        </w:tc>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w:t>
            </w:r>
            <w:r>
              <w:rPr>
                <w:b/>
                <w:i/>
              </w:rPr>
              <w:t>vede k vykořisťování pracovníků prostřednictvím nejistých podmínek a nehlášené práce,</w:t>
            </w:r>
            <w:r>
              <w:t xml:space="preserve"> k roztříštěnosti </w:t>
            </w:r>
            <w:r>
              <w:rPr>
                <w:b/>
                <w:i/>
              </w:rPr>
              <w:t>a nebezpečnosti</w:t>
            </w:r>
            <w:r>
              <w:t xml:space="preserve"> pracovišť a k tomu, že pracovníci mají delší pracovní dobu, nižší mzdy a čelí nejistotě zaměstnání </w:t>
            </w:r>
            <w:r>
              <w:rPr>
                <w:b/>
                <w:i/>
              </w:rPr>
              <w:t>a menší odpovědnosti a transparentnosti</w:t>
            </w:r>
            <w:r>
              <w:t>; vyzývá v této souvislosti Komisi, aby zajistila rovné zacházení s pracovníky, kteří vykonávají stejnou práci, a podpořila přímé zaměstnávání v odvětvích, kde se tato rizika vyskytují;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větší využívání subdodavatelství </w:t>
            </w:r>
            <w:r>
              <w:rPr>
                <w:b/>
                <w:i/>
              </w:rPr>
              <w:t>pro stěžejní činnosti podniku</w:t>
            </w:r>
            <w:r>
              <w:t xml:space="preserve"> může vést k </w:t>
            </w:r>
            <w:r>
              <w:rPr>
                <w:b/>
                <w:i/>
              </w:rPr>
              <w:t>roztříštěnosti pracovišť a</w:t>
            </w:r>
            <w:r>
              <w:t xml:space="preserve"> k tomu, že pracovníci </w:t>
            </w:r>
            <w:r>
              <w:rPr>
                <w:b/>
                <w:i/>
              </w:rPr>
              <w:t>mají delší pracovní dobu, nižší mzdy a čelí</w:t>
            </w:r>
            <w:r>
              <w:t xml:space="preserve"> nejistotě zaměstnání; vyzývá </w:t>
            </w:r>
            <w:r>
              <w:rPr>
                <w:b/>
                <w:i/>
              </w:rPr>
              <w:t>v této souvislosti Komisi, aby zajistila rovné zacházení s</w:t>
            </w:r>
            <w:r>
              <w:t xml:space="preserve"> pracovníky</w:t>
            </w:r>
            <w:r>
              <w:rPr>
                <w:b/>
                <w:i/>
              </w:rPr>
              <w:t>, kteří vykonávají stejnou práci, a podpořila přímé zaměstnávání v odvětvích, kde se tato rizika vyskytují</w:t>
            </w:r>
            <w:r>
              <w:t>;</w:t>
            </w:r>
          </w:p>
        </w:tc>
        <w:tc>
          <w:tcPr>
            <w:tcW w:w="4876" w:type="dxa"/>
            <w:tcBorders>
              <w:top w:val="nil"/>
              <w:left w:val="nil"/>
              <w:bottom w:val="nil"/>
              <w:right w:val="nil"/>
            </w:tcBorders>
          </w:tcPr>
          <w:p>
            <w:pPr>
              <w:pStyle w:val="Normal6a"/>
            </w:pPr>
            <w:r>
              <w:t>5.</w:t>
            </w:r>
            <w:r>
              <w:tab/>
            </w:r>
            <w:r>
              <w:t xml:space="preserve">konstatuje, že větší využívání subdodavatelství </w:t>
            </w:r>
            <w:r>
              <w:rPr>
                <w:b/>
                <w:i/>
              </w:rPr>
              <w:t>a specializace</w:t>
            </w:r>
            <w:r>
              <w:t xml:space="preserve"> může vést k </w:t>
            </w:r>
            <w:r>
              <w:rPr>
                <w:b/>
                <w:i/>
              </w:rPr>
              <w:t>prosperitě malých a středních podniků a dynamickému a inovativnímu trhu pro poskytovatele, přičemž je třeba mít na paměti, že ve vysoce rizikových odvětvích by tento vývoj mohl vést</w:t>
            </w:r>
            <w:r>
              <w:t xml:space="preserve"> k tomu, že pracovníci </w:t>
            </w:r>
            <w:r>
              <w:rPr>
                <w:b/>
                <w:i/>
              </w:rPr>
              <w:t>budou více čelit</w:t>
            </w:r>
            <w:r>
              <w:t xml:space="preserve"> nejistotě zaměstnání; vyzývá </w:t>
            </w:r>
            <w:r>
              <w:rPr>
                <w:b/>
                <w:i/>
              </w:rPr>
              <w:t>odpovědné orgány a subjekty, aby i nadále usilovaly o podporu spravedlivých pracovních podmínek a bezpečného prostředí pro všechny</w:t>
            </w:r>
            <w:r>
              <w:t xml:space="preserve"> pracovníky;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může vést k roztříštěnosti pracovišť a k tomu, že pracovníci mají delší pracovní dobu, nižší mzdy a čelí nejistotě zaměstnání; </w:t>
            </w:r>
            <w:r>
              <w:rPr>
                <w:b/>
                <w:i/>
              </w:rPr>
              <w:t>vyzývá</w:t>
            </w:r>
            <w:r>
              <w:t xml:space="preserve"> v této souvislosti </w:t>
            </w:r>
            <w:r>
              <w:rPr>
                <w:b/>
                <w:i/>
              </w:rPr>
              <w:t>Komisi, aby zajistila rovné</w:t>
            </w:r>
            <w:r>
              <w:t xml:space="preserve"> zacházení s pracovníky, kteří vykonávají stejnou práci</w:t>
            </w:r>
            <w:r>
              <w:rPr>
                <w:b/>
                <w:i/>
              </w:rPr>
              <w:t>, a podpořila přímé zaměstnávání v odvětvích, kde se tato rizika vyskytují</w:t>
            </w:r>
            <w:r>
              <w:t>;</w:t>
            </w:r>
          </w:p>
        </w:tc>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může vést k roztříštěnosti pracovišť a k tomu, že pracovníci mají delší pracovní dobu, nižší mzdy a čelí nejistotě zaměstnání; v této souvislosti </w:t>
            </w:r>
            <w:r>
              <w:rPr>
                <w:b/>
                <w:i/>
              </w:rPr>
              <w:t>připomíná zásadu rovného</w:t>
            </w:r>
            <w:r>
              <w:t xml:space="preserve"> zacházení s pracovníky, kteří vykonávají stejnou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konstatuje, že větší využívání subdodavatelství pro stěžejní činnosti podniku může vést k roztříštěnosti pracovišť a k tomu, že pracovníci mají delší pracovní dobu, nižší mzdy a čelí nejistotě zaměstnání; vyzývá v této souvislosti Komisi, aby zajistila rovné zacházení s pracovníky, kteří vykonávají stejnou práci</w:t>
            </w:r>
            <w:r>
              <w:rPr>
                <w:b/>
                <w:i/>
              </w:rPr>
              <w:t>, a podpořila přímé zaměstnávání v odvětvích, kde se tato rizika vyskytují;</w:t>
            </w:r>
          </w:p>
        </w:tc>
        <w:tc>
          <w:tcPr>
            <w:tcW w:w="4876" w:type="dxa"/>
            <w:tcBorders>
              <w:top w:val="nil"/>
              <w:left w:val="nil"/>
              <w:bottom w:val="nil"/>
              <w:right w:val="nil"/>
            </w:tcBorders>
          </w:tcPr>
          <w:p>
            <w:pPr>
              <w:pStyle w:val="Normal6a"/>
            </w:pPr>
            <w:r>
              <w:t>5.</w:t>
            </w:r>
            <w:r>
              <w:tab/>
            </w:r>
            <w:r>
              <w:t>konstatuje, že větší využívání subdodavatelství pro stěžejní činnosti podniku může vést k roztříštěnosti pracovišť a k tomu, že pracovníci mají delší pracovní dobu, nižší mzdy a čelí nejistotě zaměstnání; vyzývá v této souvislosti Komisi, aby zajistila rovné zacházení s pracovníky, kteří vykonávají stejnou práci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může vést k roztříštěnosti pracovišť a k tomu, že pracovníci mají delší pracovní dobu, nižší mzdy a čelí nejistotě zaměstnání; vyzývá v této souvislosti </w:t>
            </w:r>
            <w:r>
              <w:rPr>
                <w:b/>
                <w:i/>
              </w:rPr>
              <w:t>Komisi, aby zajistila</w:t>
            </w:r>
            <w:r>
              <w:t xml:space="preserve"> rovné zacházení s pracovníky, kteří vykonávají stejnou práci, a </w:t>
            </w:r>
            <w:r>
              <w:rPr>
                <w:b/>
                <w:i/>
              </w:rPr>
              <w:t>podpořila</w:t>
            </w:r>
            <w:r>
              <w:t xml:space="preserve"> přímé zaměstnávání v odvětvích, kde se tato rizika vyskytují;</w:t>
            </w:r>
          </w:p>
        </w:tc>
        <w:tc>
          <w:tcPr>
            <w:tcW w:w="4876" w:type="dxa"/>
            <w:tcBorders>
              <w:top w:val="nil"/>
              <w:left w:val="nil"/>
              <w:bottom w:val="nil"/>
              <w:right w:val="nil"/>
            </w:tcBorders>
          </w:tcPr>
          <w:p>
            <w:pPr>
              <w:pStyle w:val="Normal6a"/>
            </w:pPr>
            <w:r>
              <w:t>5.</w:t>
            </w:r>
            <w:r>
              <w:tab/>
            </w:r>
            <w:r>
              <w:t xml:space="preserve">konstatuje, že větší využívání subdodavatelství pro stěžejní činnosti podniku může vést k roztříštěnosti pracovišť a k tomu, že pracovníci mají delší pracovní dobu, nižší mzdy a čelí nejistotě zaměstnání; vyzývá v této souvislosti </w:t>
            </w:r>
            <w:r>
              <w:rPr>
                <w:b/>
                <w:i/>
              </w:rPr>
              <w:t>členské státy, aby zajistily</w:t>
            </w:r>
            <w:r>
              <w:t xml:space="preserve"> rovné zacházení s pracovníky, kteří vykonávají stejnou práci, a </w:t>
            </w:r>
            <w:r>
              <w:rPr>
                <w:b/>
                <w:i/>
              </w:rPr>
              <w:t>podpořily</w:t>
            </w:r>
            <w:r>
              <w:t xml:space="preserve"> přímé zaměstnávání v odvětvích, kde se tato rizika vyskytují;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konstatuje, že </w:t>
            </w:r>
            <w:r>
              <w:rPr>
                <w:b/>
                <w:i/>
              </w:rPr>
              <w:t>větší využívání subdodavatelství pro stěžejní činnosti podniku</w:t>
            </w:r>
            <w:r>
              <w:t xml:space="preserve"> může vést k roztříštěnosti pracovišť a k tomu, že pracovníci mají delší pracovní dobu, nižší mzdy a čelí nejistotě zaměstnání</w:t>
            </w:r>
            <w:r>
              <w:rPr>
                <w:b/>
                <w:i/>
              </w:rPr>
              <w:t>;</w:t>
            </w:r>
            <w:r>
              <w:t xml:space="preserve"> </w:t>
            </w:r>
            <w:r>
              <w:rPr>
                <w:b/>
                <w:i/>
              </w:rPr>
              <w:t>vyzývá v této souvislosti Komisi, aby zajistila rovné zacházení s pracovníky, kteří vykonávají stejnou práci, a podpořila přímé zaměstnávání v odvětvích, kde se tato rizika vyskytují</w:t>
            </w:r>
            <w:r>
              <w:t>;</w:t>
            </w:r>
          </w:p>
        </w:tc>
        <w:tc>
          <w:tcPr>
            <w:tcW w:w="4876" w:type="dxa"/>
            <w:tcBorders>
              <w:top w:val="nil"/>
              <w:left w:val="nil"/>
              <w:bottom w:val="nil"/>
              <w:right w:val="nil"/>
            </w:tcBorders>
          </w:tcPr>
          <w:p>
            <w:pPr>
              <w:pStyle w:val="Normal6a"/>
            </w:pPr>
            <w:r>
              <w:t>5.</w:t>
            </w:r>
            <w:r>
              <w:tab/>
            </w:r>
            <w:r>
              <w:t xml:space="preserve">konstatuje, že </w:t>
            </w:r>
            <w:r>
              <w:rPr>
                <w:b/>
                <w:i/>
              </w:rPr>
              <w:t>trestná činnost na pracovišti</w:t>
            </w:r>
            <w:r>
              <w:t xml:space="preserve"> může vést k roztříštěnosti pracovišť a k tomu, že pracovníci mají delší pracovní dobu, nižší mzdy a čelí nejistotě zaměstnání</w:t>
            </w:r>
            <w:r>
              <w:rPr>
                <w:b/>
                <w:i/>
              </w:rPr>
              <w:t>, zatímco subdodavatelství umožňuje specializaci, inovace a vytváření pracovních míst, a tím i efektivnější a konkurenceschopnější podniky, včetně vytváření dalších malých a středních podniků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členské státy, aby zajistily, že zástupci zaměstnanců budou informováni a konzultováni, pokud bude mít společnost v plánu využít subdodavatele;</w:t>
            </w:r>
            <w:r>
              <w:t xml:space="preserve"> </w:t>
            </w:r>
            <w:r>
              <w:rPr>
                <w:b/>
                <w:i/>
              </w:rPr>
              <w:t>vyzývá Komisi, aby prosazovala zásadu práva na informace a konzultace ve shodě s osobami zaměstnanými v celém subdodavatelském řetězci, pokud jde o základní aspekty jejich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že vykořisťování pracovníků lze účinně omezit pouze bojem proti zločineckým sítím prostřednictvím přeshraniční spolupráce;</w:t>
            </w:r>
            <w:r>
              <w:t xml:space="preserve"> </w:t>
            </w:r>
            <w:r>
              <w:rPr>
                <w:b/>
                <w:i/>
              </w:rPr>
              <w:t>podporuje posílenou spolupráci mezi Europolem, vnitrostátními orgány a sociálními partnery s cílem zaměřit se spíše na organizovanou trestnou činnost než na běžné subdodavatelské postupy;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konstatuje, že délka a složitost subdodavatelských řetězců představuje značnou výzvu pro inspektoráty práce, pokud jde o stanovování právní odpovědnosti v případě nedodržování unijních a vnitrostátních pracovněprávních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poukazuje na to, že definice „zaměstnavatele“ v případě řetězce subdodavatelských vztahů je stanovena v rozsudku Soudního dvora Evropské unie ze dne 16. července 2020 ve věci AFMB Ltd e. a. v. Raad van bestuur van de Sociale verzekeringsbank, v němž se uvádí, že zaměstnavatelem je společnost, která nad pracovníkem vykonává skutečnou kontrolu, nese odpovídající mzdové zatížení a má skutečnou pravomoc jej propustit, a nikoli společnost, s níž tento pracovník uzavřel pracovní smlouvu a která je v této smlouvě formálně uvedena jako zaměstnavatel tohoto pracovníka;</w:t>
            </w:r>
            <w:r>
              <w:t xml:space="preserve"> </w:t>
            </w:r>
            <w:r>
              <w:rPr>
                <w:b/>
                <w:i/>
              </w:rPr>
              <w:t>vyzývá Komisi, aby tuto definici použila v budoucí směrnici;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vyzývá Komisi a členské státy, aby zajistily, že ve vysoce rizikových odvětvích, jako je stavebnictví, zemědělství a doprava, bude podpora přímé zaměstnanosti doprovázena jasnými požadavky na udržitelné výrobní metody a postupy šetrné ke klimatu, včetně používání energeticky účinných materiálů, snížení emisí a odpovědného nakládání s odpady;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zdůrazňuje, že ženy a skupiny ve zranitelném postavení jsou neúměrně zastoupeny v práci zadané formou subdodávek a ve zprostředkovatelské práci, zejména v odvětví péče, úklidu a pohostinství;</w:t>
            </w:r>
            <w:r>
              <w:t xml:space="preserve"> </w:t>
            </w:r>
            <w:r>
              <w:rPr>
                <w:b/>
                <w:i/>
              </w:rPr>
              <w:t>vyzývá Komisi a členské státy, aby do jakéhokoli nového rámce začlenily ustanovení zohledňující rovnost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nedostatečnou právní jasností, pokud jde o rozlišování mezi skutečným a podvodným vysíláním státních příslušníků třetích zemí; vyzývá Komisi, aby v souladu s Lettovou zprávou přezkoumala problémy v oblasti prosazování práva a vyvinula příslušnou iniciativu k odstranění zjištěných </w:t>
            </w:r>
            <w:r>
              <w:rPr>
                <w:b/>
                <w:i/>
              </w:rPr>
              <w:t>legislativních</w:t>
            </w:r>
            <w:r>
              <w:t xml:space="preserve"> nedostatků;</w:t>
            </w:r>
          </w:p>
        </w:tc>
        <w:tc>
          <w:tcPr>
            <w:tcW w:w="4876" w:type="dxa"/>
            <w:tcBorders>
              <w:top w:val="nil"/>
              <w:left w:val="nil"/>
              <w:bottom w:val="nil"/>
              <w:right w:val="nil"/>
            </w:tcBorders>
          </w:tcPr>
          <w:p>
            <w:pPr>
              <w:pStyle w:val="Normal6a"/>
            </w:pPr>
            <w:r>
              <w:t>6.</w:t>
            </w:r>
            <w:r>
              <w:tab/>
            </w:r>
            <w:r>
              <w:t xml:space="preserve">je znepokojen </w:t>
            </w:r>
            <w:r>
              <w:rPr>
                <w:b/>
                <w:i/>
              </w:rPr>
              <w:t>zneužíváním a</w:t>
            </w:r>
            <w:r>
              <w:t xml:space="preserve"> nedostatečnou právní jasností, pokud jde o rozlišování mezi skutečným a podvodným vysíláním státních příslušníků třetích zemí</w:t>
            </w:r>
            <w:r>
              <w:rPr>
                <w:b/>
                <w:i/>
              </w:rPr>
              <w:t>, neboť pravidla EU pro poskytování služeb jsou stále častěji využívána k obcházení vnitrostátních pracovních a migračních pravidel v členských státech, které vyslané pracovníky přijímají</w:t>
            </w:r>
            <w:r>
              <w:t xml:space="preserve">; vyzývá Komisi, aby v souladu s Lettovou zprávou přezkoumala problémy v oblasti prosazování práva a vyvinula příslušnou iniciativu k odstranění zjištěných nedostatků </w:t>
            </w:r>
            <w:r>
              <w:rPr>
                <w:b/>
                <w:i/>
              </w:rPr>
              <w:t>v oblasti přeshraniční spolupráce a prosazování s cílem zajistit rovné zacházení s vyslanými pracovníky, kteří jsou státními příslušníky třetích zemí, a zabránit nezákonnému vysílání bez jakékoli skutečné vazby na vysílající členský stát</w:t>
            </w:r>
            <w:r>
              <w:t xml:space="preserve">; </w:t>
            </w:r>
            <w:r>
              <w:rPr>
                <w:b/>
                <w:i/>
              </w:rPr>
              <w:t>vyzývá Komisi, aby se zabývala přeshraničním zneužíváním směrnice o agenturním zaměstnávání (2008/104), zejména v souvislosti s vysíláním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nedostatečnou právní jasností, pokud jde o rozlišování mezi </w:t>
            </w:r>
            <w:r>
              <w:rPr>
                <w:b/>
                <w:i/>
              </w:rPr>
              <w:t>skutečným a podvodným vysíláním</w:t>
            </w:r>
            <w:r>
              <w:t xml:space="preserve"> státních příslušníků třetích zemí; vyzývá Komisi, aby v souladu s Lettovou zprávou přezkoumala problémy </w:t>
            </w:r>
            <w:r>
              <w:rPr>
                <w:b/>
                <w:i/>
              </w:rPr>
              <w:t>v oblasti prosazování práva a vyvinula příslušnou iniciativu k odstranění zjištěných legislativních nedostatků</w:t>
            </w:r>
            <w:r>
              <w:t>;</w:t>
            </w:r>
          </w:p>
        </w:tc>
        <w:tc>
          <w:tcPr>
            <w:tcW w:w="4876" w:type="dxa"/>
            <w:tcBorders>
              <w:top w:val="nil"/>
              <w:left w:val="nil"/>
              <w:bottom w:val="nil"/>
              <w:right w:val="nil"/>
            </w:tcBorders>
          </w:tcPr>
          <w:p>
            <w:pPr>
              <w:pStyle w:val="Normal6a"/>
            </w:pPr>
            <w:r>
              <w:t>6.</w:t>
            </w:r>
            <w:r>
              <w:tab/>
            </w:r>
            <w:r>
              <w:t>je znepokojen nedostatečnou právní jasností, pokud jde o rozlišování mezi </w:t>
            </w:r>
            <w:r>
              <w:rPr>
                <w:b/>
                <w:i/>
              </w:rPr>
              <w:t>situacemi skutečného a podvodného vysílání</w:t>
            </w:r>
            <w:r>
              <w:t xml:space="preserve"> státních příslušníků třetích zemí</w:t>
            </w:r>
            <w:r>
              <w:rPr>
                <w:b/>
                <w:i/>
              </w:rPr>
              <w:t>, které jsou výsledkem nedostačujícího prosazování a transparentnosti</w:t>
            </w:r>
            <w:r>
              <w:t xml:space="preserve">; vyzývá Komisi, aby v souladu s Lettovou zprávou přezkoumala </w:t>
            </w:r>
            <w:r>
              <w:rPr>
                <w:b/>
                <w:i/>
              </w:rPr>
              <w:t>související</w:t>
            </w:r>
            <w:r>
              <w:t xml:space="preserve"> problémy </w:t>
            </w:r>
            <w:r>
              <w:rPr>
                <w:b/>
                <w:i/>
              </w:rPr>
              <w:t>a přijala vhodná opatření, jako je posílení spolupráce mezi členskými státy a Europolem v boji proti zločineckým organizacím, které zneužívají pravidla pro vysílání pracovníků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nedostatečnou právní jasností, pokud jde o rozlišování mezi skutečným a podvodným vysíláním státních příslušníků třetích zemí; vyzývá Komisi, aby v souladu s Lettovou zprávou přezkoumala problémy v oblasti prosazování práva a vyvinula příslušnou iniciativu k odstranění zjištěných legislativních nedostatků;</w:t>
            </w:r>
          </w:p>
        </w:tc>
        <w:tc>
          <w:tcPr>
            <w:tcW w:w="4876" w:type="dxa"/>
            <w:tcBorders>
              <w:top w:val="nil"/>
              <w:left w:val="nil"/>
              <w:bottom w:val="nil"/>
              <w:right w:val="nil"/>
            </w:tcBorders>
          </w:tcPr>
          <w:p>
            <w:pPr>
              <w:pStyle w:val="Normal6a"/>
            </w:pPr>
            <w:r>
              <w:t>6.</w:t>
            </w:r>
            <w:r>
              <w:tab/>
            </w:r>
            <w:r>
              <w:t>je znepokojen nedostatečnou právní jasností, pokud jde o rozlišování mezi skutečným a podvodným vysíláním státních příslušníků třetích zemí; vyzývá Komisi, aby v souladu s Lettovou zprávou přezkoumala problémy v oblasti prosazování práva a vyvinula příslušnou iniciativu k odstranění zjištěných legislativních nedostatků</w:t>
            </w:r>
            <w:r>
              <w:rPr>
                <w:b/>
                <w:i/>
              </w:rPr>
              <w:t>, mimo jiné tím, že vyloučí „cleanwashing“ v případě více než dvou porušení sociálního a pracovního práva, což bude doplněno promlčecí lhůtou v délce tří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znepokojen nedostatečnou právní jasností, pokud jde o rozlišování mezi skutečným a podvodným vysíláním státních příslušníků třetích zemí; vyzývá Komisi, aby v souladu s Lettovou zprávou přezkoumala problémy v oblasti prosazování práva a vyvinula příslušnou iniciativu k odstranění zjištěných legislativních nedostatků;</w:t>
            </w:r>
          </w:p>
        </w:tc>
        <w:tc>
          <w:tcPr>
            <w:tcW w:w="4876" w:type="dxa"/>
            <w:tcBorders>
              <w:top w:val="nil"/>
              <w:left w:val="nil"/>
              <w:bottom w:val="nil"/>
              <w:right w:val="nil"/>
            </w:tcBorders>
          </w:tcPr>
          <w:p>
            <w:pPr>
              <w:pStyle w:val="Normal6a"/>
            </w:pPr>
            <w:r>
              <w:t>6.</w:t>
            </w:r>
            <w:r>
              <w:tab/>
            </w:r>
            <w:r>
              <w:t>je znepokojen nedostatečnou právní jasností, pokud jde o rozlišování mezi skutečným a podvodným vysíláním státních příslušníků třetích zemí</w:t>
            </w:r>
            <w:r>
              <w:rPr>
                <w:b/>
                <w:i/>
              </w:rPr>
              <w:t>;</w:t>
            </w:r>
            <w:r>
              <w:t xml:space="preserve"> </w:t>
            </w:r>
            <w:r>
              <w:rPr>
                <w:b/>
                <w:i/>
              </w:rPr>
              <w:t>zdůrazňuje, že podvodné vysílání pracovníků narušuje sociální strukturu jednotného trhu a zneužívá situaci nejzranitelnějších osob</w:t>
            </w:r>
            <w:r>
              <w:t>; vyzývá Komisi, aby v souladu s Lettovou zprávou přezkoumala problémy v oblasti prosazování práva a vyvinula příslušnou iniciativu k odstranění zjištěných legislativních nedostatků;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nedostatečnou právní jasností, pokud jde o rozlišování mezi skutečným a podvodným vysíláním státních příslušníků třetích zemí; vyzývá Komisi, aby v souladu s Lettovou zprávou přezkoumala problémy v oblasti prosazování práva a </w:t>
            </w:r>
            <w:r>
              <w:rPr>
                <w:b/>
                <w:i/>
              </w:rPr>
              <w:t>vyvinula příslušnou iniciativu</w:t>
            </w:r>
            <w:r>
              <w:t xml:space="preserve"> k odstranění zjištěných legislativních nedostatků;</w:t>
            </w:r>
          </w:p>
        </w:tc>
        <w:tc>
          <w:tcPr>
            <w:tcW w:w="4876" w:type="dxa"/>
            <w:tcBorders>
              <w:top w:val="nil"/>
              <w:left w:val="nil"/>
              <w:bottom w:val="nil"/>
              <w:right w:val="nil"/>
            </w:tcBorders>
          </w:tcPr>
          <w:p>
            <w:pPr>
              <w:pStyle w:val="Normal6a"/>
            </w:pPr>
            <w:r>
              <w:t>6.</w:t>
            </w:r>
            <w:r>
              <w:tab/>
            </w:r>
            <w:r>
              <w:t xml:space="preserve">je znepokojen nedostatečnou právní jasností, pokud jde o rozlišování mezi skutečným a podvodným vysíláním státních příslušníků třetích zemí; vyzývá Komisi, aby v souladu s Lettovou zprávou přezkoumala problémy v oblasti prosazování práva a </w:t>
            </w:r>
            <w:r>
              <w:rPr>
                <w:b/>
                <w:i/>
              </w:rPr>
              <w:t>předložila své závěry členským státům, tak aby mohly podniknout potřebné kroky</w:t>
            </w:r>
            <w:r>
              <w:t xml:space="preserve"> k odstranění zjištěných legislativních nedostatků </w:t>
            </w:r>
            <w:r>
              <w:rPr>
                <w:b/>
                <w:i/>
              </w:rPr>
              <w:t>ve svých příslušných vnitrostátních právních předpisech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w:t>
            </w:r>
            <w:r>
              <w:rPr>
                <w:b/>
                <w:i/>
              </w:rPr>
              <w:t>nedostatečnou právní jasností, pokud jde o rozlišování</w:t>
            </w:r>
            <w:r>
              <w:t xml:space="preserve"> mezi skutečným a podvodným vysíláním státních příslušníků třetích zemí; </w:t>
            </w:r>
            <w:r>
              <w:rPr>
                <w:b/>
                <w:i/>
              </w:rPr>
              <w:t>vyzývá Komisi, aby v souladu s Lettovou zprávou přezkoumala problémy</w:t>
            </w:r>
            <w:r>
              <w:t xml:space="preserve"> v oblasti </w:t>
            </w:r>
            <w:r>
              <w:rPr>
                <w:b/>
                <w:i/>
              </w:rPr>
              <w:t>prosazování práva a vyvinula příslušnou iniciativu k odstranění zjištěných legislativních nedostatků</w:t>
            </w:r>
            <w:r>
              <w:t>;</w:t>
            </w:r>
          </w:p>
        </w:tc>
        <w:tc>
          <w:tcPr>
            <w:tcW w:w="4876" w:type="dxa"/>
            <w:tcBorders>
              <w:top w:val="nil"/>
              <w:left w:val="nil"/>
              <w:bottom w:val="nil"/>
              <w:right w:val="nil"/>
            </w:tcBorders>
          </w:tcPr>
          <w:p>
            <w:pPr>
              <w:pStyle w:val="Normal6a"/>
            </w:pPr>
            <w:r>
              <w:t>6.</w:t>
            </w:r>
            <w:r>
              <w:tab/>
            </w:r>
            <w:r>
              <w:t xml:space="preserve">je znepokojen </w:t>
            </w:r>
            <w:r>
              <w:rPr>
                <w:b/>
                <w:i/>
              </w:rPr>
              <w:t>v souvislosti s rozlišováním</w:t>
            </w:r>
            <w:r>
              <w:t xml:space="preserve"> mezi skutečným a podvodným vysíláním státních příslušníků třetích zemí; </w:t>
            </w:r>
            <w:r>
              <w:rPr>
                <w:b/>
                <w:i/>
              </w:rPr>
              <w:t>zdůrazňuje, že řešení tohoto rozlišování musí respektovat vnitrostátní pravomoci</w:t>
            </w:r>
            <w:r>
              <w:t xml:space="preserve"> v oblasti </w:t>
            </w:r>
            <w:r>
              <w:rPr>
                <w:b/>
                <w:i/>
              </w:rPr>
              <w:t>migrace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nedostatečnou právní jasností, pokud jde o rozlišování mezi skutečným a podvodným vysíláním státních příslušníků třetích zemí; vyzývá Komisi, aby v souladu s Lettovou zprávou přezkoumala problémy v oblasti prosazování práva a </w:t>
            </w:r>
            <w:r>
              <w:rPr>
                <w:b/>
                <w:i/>
              </w:rPr>
              <w:t>vyvinula příslušnou iniciativu k odstranění zjištěných legislativních nedostatků</w:t>
            </w:r>
            <w:r>
              <w:t>;</w:t>
            </w:r>
          </w:p>
        </w:tc>
        <w:tc>
          <w:tcPr>
            <w:tcW w:w="4876" w:type="dxa"/>
            <w:tcBorders>
              <w:top w:val="nil"/>
              <w:left w:val="nil"/>
              <w:bottom w:val="nil"/>
              <w:right w:val="nil"/>
            </w:tcBorders>
          </w:tcPr>
          <w:p>
            <w:pPr>
              <w:pStyle w:val="Normal6a"/>
            </w:pPr>
            <w:r>
              <w:t>6.</w:t>
            </w:r>
            <w:r>
              <w:tab/>
            </w:r>
            <w:r>
              <w:t xml:space="preserve">je znepokojen nedostatečnou právní jasností, pokud jde o rozlišování mezi skutečným a podvodným vysíláním státních příslušníků třetích zemí; vyzývá Komisi, aby v souladu s Lettovou zprávou přezkoumala problémy v oblasti prosazování práva a </w:t>
            </w:r>
            <w:r>
              <w:rPr>
                <w:b/>
                <w:i/>
              </w:rPr>
              <w:t>současně respektovala celkový závěr Lettovy zprávy v zájmu posílení konkurenceschopnosti jednotného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znepokojen nedostatečnou právní jasností, pokud jde o rozlišování mezi skutečným a podvodným vysíláním státních příslušníků třetích zemí; vyzývá Komisi, aby v souladu s Lettovou zprávou přezkoumala problémy v oblasti prosazování práva a </w:t>
            </w:r>
            <w:r>
              <w:rPr>
                <w:b/>
                <w:i/>
              </w:rPr>
              <w:t>vyvinula příslušnou iniciativu k odstranění zjištěných legislativních nedostatků</w:t>
            </w:r>
            <w:r>
              <w:t>;</w:t>
            </w:r>
          </w:p>
        </w:tc>
        <w:tc>
          <w:tcPr>
            <w:tcW w:w="4876" w:type="dxa"/>
            <w:tcBorders>
              <w:top w:val="nil"/>
              <w:left w:val="nil"/>
              <w:bottom w:val="nil"/>
              <w:right w:val="nil"/>
            </w:tcBorders>
          </w:tcPr>
          <w:p>
            <w:pPr>
              <w:pStyle w:val="Normal6a"/>
            </w:pPr>
            <w:r>
              <w:t>6.</w:t>
            </w:r>
            <w:r>
              <w:tab/>
            </w:r>
            <w:r>
              <w:t>je znepokojen nedostatečnou právní jasností, pokud jde o rozlišování mezi skutečným a podvodným vysíláním státních příslušníků třetích zemí</w:t>
            </w:r>
            <w:r>
              <w:rPr>
                <w:b/>
                <w:i/>
              </w:rPr>
              <w:t>, které je výsledkem nedostačujícího prosazování a malé transparentnosti</w:t>
            </w:r>
            <w:r>
              <w:t xml:space="preserve">; vyzývá Komisi, aby v souladu s Lettovou zprávou přezkoumala problémy v oblasti prosazování práva a </w:t>
            </w:r>
            <w:r>
              <w:rPr>
                <w:b/>
                <w:i/>
              </w:rPr>
              <w:t>přijala vhodná opatření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pokud ubytování poskytuje pracovníkovi zaměstnavatel, včetně subdodavatele, nebo zprostředkovatel na trhu práce či jakákoli jiná osoba, musí být podmínky ubytování v souladu se stávajícími normami kvality a se zásadami nediskriminace a proporcionality, zejména pokud jde o náklady na pracovníka;</w:t>
            </w:r>
            <w:r>
              <w:t xml:space="preserve"> </w:t>
            </w:r>
            <w:r>
              <w:rPr>
                <w:b/>
                <w:i/>
              </w:rPr>
              <w:t>dále zdůrazňuje, že smluvní ustanovení upravující bydlení pracovníků musí být právně odlišná od pracovní smlouvy, aby se omezila závislost a zajistilo se, že ukončení jedné smlouvy nepovede okamžitě k ukončení smlouvy druhé;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konstatuje, že existují zvláštní právní předpisy upravující subdodávky v civilním letectví, včetně pronájmu letadel, posádky, údržby a pojištění, známého také jako „wet leasing“ (pronájem s posádkou);</w:t>
            </w:r>
            <w:r>
              <w:t xml:space="preserve"> </w:t>
            </w:r>
            <w:r>
              <w:rPr>
                <w:b/>
                <w:i/>
              </w:rPr>
              <w:t>konstatuje, že využívání pronájmu s posádkou narůstá, a to i v jiných případech, než je jeho zamýšlené využití, tj. navýšení kapacity ve špičce;</w:t>
            </w:r>
            <w:r>
              <w:t xml:space="preserve"> </w:t>
            </w:r>
            <w:r>
              <w:rPr>
                <w:b/>
                <w:i/>
              </w:rPr>
              <w:t>vyzývá Komisi, aby problémy související s pronájmem letadel s posádkou řešila při nadcházející revizi nařízení o leteckých službách (1008/2008);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v oblasti vysílání pracovníků již existují silné regulační a donucovací mechanismy, a zdůrazňuje, že je třeba zapojit členské státy, aby zajistily jejich účinné provádění a prosazování;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je třeba zajistit, aby subdodavatelé a zprostředkovatelé na trhu práce dodržovali a zaručovali práva pracovníků na informování a projednávání;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je zapotřebí lepší regulace zprostředkovatelů na trhu práce; vyzývá Komisi, aby zajistila, že se na zprostředkovatele na trhu práce působící v EU budou vztahovat registrační a licenční systémy, a aby v souladu s úmluvou MOP č. 181 zakázala jakékoli poplatky nebo náklady, které zprostředkovatelé na trhu práce přímo či nepřímo, zcela nebo zčásti účtují pracovníkům;</w:t>
            </w:r>
          </w:p>
        </w:tc>
        <w:tc>
          <w:tcPr>
            <w:tcW w:w="4876" w:type="dxa"/>
            <w:tcBorders>
              <w:top w:val="nil"/>
              <w:left w:val="nil"/>
              <w:bottom w:val="nil"/>
              <w:right w:val="nil"/>
            </w:tcBorders>
          </w:tcPr>
          <w:p>
            <w:pPr>
              <w:pStyle w:val="Normal6a"/>
            </w:pPr>
            <w:r>
              <w:t>7.</w:t>
            </w:r>
            <w:r>
              <w:tab/>
            </w:r>
            <w:r>
              <w:t xml:space="preserve">zdůrazňuje, že je zapotřebí lepší regulace zprostředkovatelů na trhu práce; vyzývá Komisi, aby zajistila, že se na zprostředkovatele na trhu práce působící v EU budou vztahovat registrační a licenční systémy, a aby v souladu s úmluvou MOP č. 181 zakázala jakékoli poplatky nebo náklady, které zprostředkovatelé na trhu práce přímo či nepřímo, zcela nebo zčásti účtují pracovníkům; </w:t>
            </w:r>
            <w:r>
              <w:rPr>
                <w:b/>
                <w:i/>
              </w:rPr>
              <w:t>zdůrazňuje, že na schválení by se měla vztahovat minimální kritéria bezúhonnosti, mimo jiné že zprostředkovatel nebo jeho ředitelé nebyli odsouzeni za závažná nebo opakovaná porušení pracovních norem nebo za trestné činy související s vykořisťujícími pracovními podmínkami;</w:t>
            </w:r>
            <w:r>
              <w:t xml:space="preserve"> </w:t>
            </w:r>
            <w:r>
              <w:rPr>
                <w:b/>
                <w:i/>
              </w:rPr>
              <w:t>dále vyzývá k přeshraničnímu přístupu k vnitrostátním registrům schválených zprostředkovatelů práce a k zavedení minimálních kritérií bezúhonnosti pro schválení;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zdůrazňuje, že je zapotřebí lepší regulace zprostředkovatelů na trhu práce; vyzývá Komisi, aby zajistila, že </w:t>
            </w:r>
            <w:r>
              <w:rPr>
                <w:b/>
                <w:i/>
              </w:rPr>
              <w:t>se na zprostředkovatele</w:t>
            </w:r>
            <w:r>
              <w:t xml:space="preserve"> na trhu práce </w:t>
            </w:r>
            <w:r>
              <w:rPr>
                <w:b/>
                <w:i/>
              </w:rPr>
              <w:t>působící v EU</w:t>
            </w:r>
            <w:r>
              <w:t xml:space="preserve"> budou </w:t>
            </w:r>
            <w:r>
              <w:rPr>
                <w:b/>
                <w:i/>
              </w:rPr>
              <w:t>vztahovat registrační a licenční systémy</w:t>
            </w:r>
            <w:r>
              <w:t xml:space="preserve">, a aby v souladu s úmluvou </w:t>
            </w:r>
            <w:r>
              <w:rPr>
                <w:b/>
                <w:i/>
              </w:rPr>
              <w:t>MOP č. 181</w:t>
            </w:r>
            <w:r>
              <w:t xml:space="preserve"> zakázala jakékoli poplatky nebo náklady, které zprostředkovatelé na trhu práce přímo či nepřímo, zcela nebo zčásti účtují pracovníkům;</w:t>
            </w:r>
          </w:p>
        </w:tc>
        <w:tc>
          <w:tcPr>
            <w:tcW w:w="4876" w:type="dxa"/>
            <w:tcBorders>
              <w:top w:val="nil"/>
              <w:left w:val="nil"/>
              <w:bottom w:val="nil"/>
              <w:right w:val="nil"/>
            </w:tcBorders>
          </w:tcPr>
          <w:p>
            <w:pPr>
              <w:pStyle w:val="Normal6a"/>
            </w:pPr>
            <w:r>
              <w:t>7.</w:t>
            </w:r>
            <w:r>
              <w:tab/>
            </w:r>
            <w:r>
              <w:t>zdůrazňuje, že je zapotřebí lepší regulace zprostředkovatelů na trhu práce</w:t>
            </w:r>
            <w:r>
              <w:rPr>
                <w:b/>
                <w:i/>
              </w:rPr>
              <w:t>, mimo jiné prostřednictvím definice různých kategorií</w:t>
            </w:r>
            <w:r>
              <w:t xml:space="preserve">; vyzývá Komisi, aby </w:t>
            </w:r>
            <w:r>
              <w:rPr>
                <w:b/>
                <w:i/>
              </w:rPr>
              <w:t>v budoucí směrnici</w:t>
            </w:r>
            <w:r>
              <w:t xml:space="preserve"> zajistila, že </w:t>
            </w:r>
            <w:r>
              <w:rPr>
                <w:b/>
                <w:i/>
              </w:rPr>
              <w:t>zprostředkovatelé</w:t>
            </w:r>
            <w:r>
              <w:t xml:space="preserve"> na trhu práce </w:t>
            </w:r>
            <w:r>
              <w:rPr>
                <w:b/>
                <w:i/>
              </w:rPr>
              <w:t>budou definováni buď jako soukromé agentury práce, agentury zprostředkovávající dočasnou práci nebo subdodavatelé, a</w:t>
            </w:r>
            <w:r>
              <w:t xml:space="preserve"> budou </w:t>
            </w:r>
            <w:r>
              <w:rPr>
                <w:b/>
                <w:i/>
              </w:rPr>
              <w:t>proto povinni dodržovat příslušné předpisy, včetně úmluvy MOP č. 181</w:t>
            </w:r>
            <w:r>
              <w:t xml:space="preserve">, a aby v souladu s </w:t>
            </w:r>
            <w:r>
              <w:rPr>
                <w:b/>
                <w:i/>
              </w:rPr>
              <w:t>touto</w:t>
            </w:r>
            <w:r>
              <w:t xml:space="preserve"> úmluvou zakázala jakékoli poplatky nebo náklady, které zprostředkovatelé na trhu práce</w:t>
            </w:r>
            <w:r>
              <w:rPr>
                <w:b/>
                <w:i/>
              </w:rPr>
              <w:t>, bez ohledu na kategorii,</w:t>
            </w:r>
            <w:r>
              <w:t xml:space="preserve"> přímo či nepřímo, zcela nebo zčásti účtují pracovníkům;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je zapotřebí lepší regulace zprostředkovatelů na trhu práce; vyzývá Komisi, aby zajistila, že se na zprostředkovatele na trhu práce působící v EU budou vztahovat registrační a licenční systémy, a aby v souladu s úmluvou MOP č. 181 zakázala jakékoli poplatky nebo náklady, které zprostředkovatelé na trhu práce přímo či nepřímo, zcela nebo zčásti účtují pracovníkům;</w:t>
            </w:r>
          </w:p>
        </w:tc>
        <w:tc>
          <w:tcPr>
            <w:tcW w:w="4876" w:type="dxa"/>
            <w:tcBorders>
              <w:top w:val="nil"/>
              <w:left w:val="nil"/>
              <w:bottom w:val="nil"/>
              <w:right w:val="nil"/>
            </w:tcBorders>
          </w:tcPr>
          <w:p>
            <w:pPr>
              <w:pStyle w:val="Normal6a"/>
            </w:pPr>
            <w:r>
              <w:t>7.</w:t>
            </w:r>
            <w:r>
              <w:tab/>
            </w:r>
            <w:r>
              <w:t xml:space="preserve">zdůrazňuje, že je zapotřebí lepší regulace zprostředkovatelů na trhu </w:t>
            </w:r>
            <w:r>
              <w:rPr>
                <w:b/>
                <w:i/>
              </w:rPr>
              <w:t>práce s cílem posílit jejich odpovědnost, povinnosti týkající se transparentnosti a dodržování minimálních požadavků a norem kvality v souladu s Úmluvou MOP č. 181 o soukromých agenturách</w:t>
            </w:r>
            <w:r>
              <w:t xml:space="preserve"> práce; vyzývá Komisi, aby zajistila, že se na zprostředkovatele na trhu práce působící v EU budou vztahovat registrační a licenční systémy, a aby v souladu s úmluvou MOP č. 181 zakázala jakékoli poplatky nebo náklady, které zprostředkovatelé na trhu práce přímo či nepřímo, zcela nebo zčásti účtují pracovníkům;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zdůrazňuje, že je zapotřebí lepší regulace zprostředkovatelů na trhu práce</w:t>
            </w:r>
            <w:r>
              <w:rPr>
                <w:b/>
                <w:i/>
              </w:rPr>
              <w:t>;</w:t>
            </w:r>
            <w:r>
              <w:t xml:space="preserve"> </w:t>
            </w:r>
            <w:r>
              <w:rPr>
                <w:b/>
                <w:i/>
              </w:rPr>
              <w:t>vyzývá Komisi, aby zajistila, že se na zprostředkovatele na trhu práce působící v EU budou vztahovat registrační a licenční systémy, a aby v souladu s úmluvou MOP č. 181 zakázala jakékoli poplatky nebo náklady, které zprostředkovatelé na trhu práce přímo či nepřímo, zcela nebo zčásti účtují pracovníkům</w:t>
            </w:r>
            <w:r>
              <w:t>;</w:t>
            </w:r>
          </w:p>
        </w:tc>
        <w:tc>
          <w:tcPr>
            <w:tcW w:w="4876" w:type="dxa"/>
            <w:tcBorders>
              <w:top w:val="nil"/>
              <w:left w:val="nil"/>
              <w:bottom w:val="nil"/>
              <w:right w:val="nil"/>
            </w:tcBorders>
          </w:tcPr>
          <w:p>
            <w:pPr>
              <w:pStyle w:val="Normal6a"/>
            </w:pPr>
            <w:r>
              <w:t>7.</w:t>
            </w:r>
            <w:r>
              <w:tab/>
            </w:r>
            <w:r>
              <w:t>zdůrazňuje, že je zapotřebí lepší regulace zprostředkovatelů na trhu práce</w:t>
            </w:r>
            <w:r>
              <w:rPr>
                <w:b/>
                <w:i/>
              </w:rPr>
              <w:t>, včetně registračních a licenčních systémů, jakož i poplatků nebo nákladů nesených pracovníky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zdůrazňuje, že je zapotřebí lepší regulace</w:t>
            </w:r>
            <w:r>
              <w:t xml:space="preserve"> zprostředkovatelů na trhu práce</w:t>
            </w:r>
            <w:r>
              <w:rPr>
                <w:b/>
                <w:i/>
              </w:rPr>
              <w:t>;</w:t>
            </w:r>
            <w:r>
              <w:t xml:space="preserve"> </w:t>
            </w:r>
            <w:r>
              <w:rPr>
                <w:b/>
                <w:i/>
              </w:rPr>
              <w:t>vyzývá Komisi, aby zajistila, že se na zprostředkovatele na trhu práce působící v EU budou vztahovat registrační a</w:t>
            </w:r>
            <w:r>
              <w:t xml:space="preserve"> licenční systémy</w:t>
            </w:r>
            <w:r>
              <w:rPr>
                <w:b/>
                <w:i/>
              </w:rPr>
              <w:t>, a aby v souladu s úmluvou MOP č. 181 zakázala jakékoli poplatky nebo náklady, které zprostředkovatelé na trhu práce přímo či nepřímo, zcela nebo zčásti účtují pracovníkům</w:t>
            </w:r>
            <w:r>
              <w:t>;</w:t>
            </w:r>
          </w:p>
        </w:tc>
        <w:tc>
          <w:tcPr>
            <w:tcW w:w="4876" w:type="dxa"/>
            <w:tcBorders>
              <w:top w:val="nil"/>
              <w:left w:val="nil"/>
              <w:bottom w:val="nil"/>
              <w:right w:val="nil"/>
            </w:tcBorders>
          </w:tcPr>
          <w:p>
            <w:pPr>
              <w:pStyle w:val="Normal6a"/>
            </w:pPr>
            <w:r>
              <w:t>7.</w:t>
            </w:r>
            <w:r>
              <w:tab/>
            </w:r>
            <w:r>
              <w:rPr>
                <w:b/>
                <w:i/>
              </w:rPr>
              <w:t>vyzývá Komisi, aby prozkoumala, zda existují vnitrostátní postupy nebo právní předpisy týkající se fungování</w:t>
            </w:r>
            <w:r>
              <w:t xml:space="preserve"> zprostředkovatelů na trhu práce </w:t>
            </w:r>
            <w:r>
              <w:rPr>
                <w:b/>
                <w:i/>
              </w:rPr>
              <w:t>působících v EU a účinky takovýchto postupů, pokud jde o</w:t>
            </w:r>
            <w:r>
              <w:t xml:space="preserve"> licenční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zdůrazňuje, že je zapotřebí </w:t>
            </w:r>
            <w:r>
              <w:rPr>
                <w:b/>
                <w:i/>
              </w:rPr>
              <w:t>lepší regulace zprostředkovatelů</w:t>
            </w:r>
            <w:r>
              <w:t xml:space="preserve"> na trhu práce; vyzývá Komisi, aby zajistila, že se na zprostředkovatele na trhu práce působící v EU budou vztahovat registrační a licenční systémy, a aby v souladu s úmluvou MOP č. 181 zakázala jakékoli poplatky nebo náklady, které zprostředkovatelé na trhu práce přímo či nepřímo, zcela nebo zčásti účtují pracovníkům;</w:t>
            </w:r>
          </w:p>
        </w:tc>
        <w:tc>
          <w:tcPr>
            <w:tcW w:w="4876" w:type="dxa"/>
            <w:tcBorders>
              <w:top w:val="nil"/>
              <w:left w:val="nil"/>
              <w:bottom w:val="nil"/>
              <w:right w:val="nil"/>
            </w:tcBorders>
          </w:tcPr>
          <w:p>
            <w:pPr>
              <w:pStyle w:val="Normal6a"/>
            </w:pPr>
            <w:r>
              <w:t>7.</w:t>
            </w:r>
            <w:r>
              <w:tab/>
            </w:r>
            <w:r>
              <w:t>zdůrazňuje, že je zapotřebí </w:t>
            </w:r>
            <w:r>
              <w:rPr>
                <w:b/>
                <w:i/>
              </w:rPr>
              <w:t>zlepšit právní rámec, v němž působí zprostředkovatelé</w:t>
            </w:r>
            <w:r>
              <w:t xml:space="preserve"> na trhu práce; vyzývá Komisi, aby zajistila, že se na zprostředkovatele na trhu práce působící v EU budou vztahovat registrační a licenční systémy, a aby v souladu s úmluvou MOP č. 181 zakázala jakékoli poplatky nebo náklady, které zprostředkovatelé na trhu práce přímo či nepřímo, zcela nebo zčásti účtují pracovníkům;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pracovnicí pracující pro subdodavatele a vyslaní pracovníci čelí nepřiměřeným rizikům v oblasti BOZP v důsledku roztříštěných řetězců odpovědnosti a nejasné koordinace, zejména ve stavebnictví;</w:t>
            </w:r>
            <w:r>
              <w:t xml:space="preserve"> </w:t>
            </w:r>
            <w:r>
              <w:rPr>
                <w:b/>
                <w:i/>
              </w:rPr>
              <w:t>připomíná Úmluvu MOP o bezpečnosti a ochraně zdraví ve stavebnictví;</w:t>
            </w:r>
            <w:r>
              <w:t xml:space="preserve"> </w:t>
            </w:r>
            <w:r>
              <w:rPr>
                <w:b/>
                <w:i/>
              </w:rPr>
              <w:t>vyzývá Komisi, aby neprodleně vydala pokyny a v případě nesplnění povinností zahájila řízení o nesplnění povinnosti;</w:t>
            </w:r>
            <w:r>
              <w:t xml:space="preserve"> </w:t>
            </w:r>
            <w:r>
              <w:rPr>
                <w:b/>
                <w:i/>
              </w:rPr>
              <w:t>vyzývá rovněž Komisi, aby posoudila, zda směrnice 92/57/EHS odpovídajícím způsobem pokrývá koordinaci v oblasti BOZP v rámci celého řetězce při víceúrovňových subdodávkách, a aby navrhla cílená řešení, pokud tomu tak není;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je třeba, aby pracovníci dostávali odpovídající informace o svých právech a povinnostech a aby byla posílena úloha sociálních partnerů při vývoji nástrojů a odborné přípravy zaměřených na oslovení těchto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Komisi, aby zavedla vnitrostátní registry, ve kterých by byli vedeni všichni zprostředkovatelé na trhu práce, a to v rámci tří různých definovaných kategorií;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členské státy zřídí veřejný interoperabilní registr licencovaných zprostředkovatelů a povinně vyloučí z veřejných zakázek/dotací ty, kdo porušují předpisy, a konfiskují jim nezákonné zisky.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vyzývá Komisi, aby zajistila ochranu individuálních a kolektivních údajů o osobách zaměstnaných prostřednictvím subdodavatelského řetězce a zprostředkovatelů na trhu práce, a to i při identifikačních kontrolách prováděných inspekcemi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zdůrazňuje, že pro boj proti pracovnímu vykořisťování je zapotřebí účinných systémů prosazování a kontroly vybavených dostatečnými zdroji;</w:t>
            </w:r>
            <w:r>
              <w:t xml:space="preserve"> </w:t>
            </w:r>
            <w:r>
              <w:rPr>
                <w:b/>
                <w:i/>
              </w:rPr>
              <w:t>vítá hodnoticí zprávu Komise o Evropském orgánu pro pracovní záležitosti a opakuje svou výzvu</w:t>
            </w:r>
            <w:r>
              <w:rPr>
                <w:b/>
                <w:i/>
                <w:vertAlign w:val="superscript"/>
              </w:rPr>
              <w:t>12</w:t>
            </w:r>
            <w:r>
              <w:rPr>
                <w:b/>
                <w:i/>
              </w:rPr>
              <w:t>Komisi, aby posílila mandát orgánu ELA;</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Usnesení ze dne 18. ledna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pro boj proti pracovnímu vykořisťování je zapotřebí účinných systémů prosazování a kontroly vybavených dostatečnými zdroji; vítá hodnoticí zprávu Komise o Evropském orgánu pro pracovní záležitosti a opakuje svou výzvu</w:t>
            </w:r>
            <w:r>
              <w:rPr>
                <w:vertAlign w:val="superscript"/>
              </w:rPr>
              <w:t>12</w:t>
            </w:r>
            <w:r>
              <w:t>Komisi, aby posílila mandát orgánu ELA;</w:t>
            </w:r>
          </w:p>
        </w:tc>
        <w:tc>
          <w:tcPr>
            <w:tcW w:w="4876" w:type="dxa"/>
            <w:tcBorders>
              <w:top w:val="nil"/>
              <w:left w:val="nil"/>
              <w:bottom w:val="nil"/>
              <w:right w:val="nil"/>
            </w:tcBorders>
          </w:tcPr>
          <w:p>
            <w:pPr>
              <w:pStyle w:val="Normal6a"/>
            </w:pPr>
            <w:r>
              <w:t>8.</w:t>
            </w:r>
            <w:r>
              <w:tab/>
            </w:r>
            <w:r>
              <w:t xml:space="preserve">zdůrazňuje, že pro boj proti pracovnímu vykořisťování </w:t>
            </w:r>
            <w:r>
              <w:rPr>
                <w:b/>
                <w:i/>
              </w:rPr>
              <w:t>v přeshraničním kontextu</w:t>
            </w:r>
            <w:r>
              <w:t xml:space="preserve"> je zapotřebí účinných systémů prosazování a kontroly vybavených dostatečnými zdroji; vítá hodnoticí zprávu Komise o Evropském orgánu pro pracovní záležitosti a opakuje svou výzvu</w:t>
            </w:r>
            <w:r>
              <w:rPr>
                <w:vertAlign w:val="superscript"/>
              </w:rPr>
              <w:t>12</w:t>
            </w:r>
            <w:r>
              <w:t xml:space="preserve"> Komisi, aby </w:t>
            </w:r>
            <w:r>
              <w:rPr>
                <w:b/>
                <w:i/>
              </w:rPr>
              <w:t>podstatně</w:t>
            </w:r>
            <w:r>
              <w:t xml:space="preserve"> posílila mandát orgánu ELA </w:t>
            </w:r>
            <w:r>
              <w:rPr>
                <w:b/>
                <w:i/>
              </w:rPr>
              <w:t>tím, že mu umožní vyšetřovat případy údajného porušení nebo neuplatňování práva EU a z vlastního podnětu iniciovat a provádět šetření a inspekce přeshraničních případů, a aby mandát tohoto orgánu rozšířila na pracovní mobilitu státních příslušníků třetích zemí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pro boj proti pracovnímu vykořisťování je zapotřebí účinných systémů prosazování a kontroly vybavených dostatečnými zdroji; vítá hodnoticí zprávu Komise o Evropském orgánu pro pracovní záležitosti a opakuje svou výzvu</w:t>
            </w:r>
            <w:r>
              <w:rPr>
                <w:b/>
                <w:i/>
                <w:vertAlign w:val="superscript"/>
              </w:rPr>
              <w:t>12</w:t>
            </w:r>
            <w:r>
              <w:t>Komisi, aby posílila mandát orgánu ELA;</w:t>
            </w:r>
          </w:p>
        </w:tc>
        <w:tc>
          <w:tcPr>
            <w:tcW w:w="4876" w:type="dxa"/>
            <w:tcBorders>
              <w:top w:val="nil"/>
              <w:left w:val="nil"/>
              <w:bottom w:val="nil"/>
              <w:right w:val="nil"/>
            </w:tcBorders>
          </w:tcPr>
          <w:p>
            <w:pPr>
              <w:pStyle w:val="Normal6a"/>
            </w:pPr>
            <w:r>
              <w:t>8.</w:t>
            </w:r>
            <w:r>
              <w:tab/>
            </w:r>
            <w:r>
              <w:t xml:space="preserve">zdůrazňuje, že pro boj proti pracovnímu vykořisťování je zapotřebí účinných systémů prosazování a kontroly vybavených dostatečnými zdroji; </w:t>
            </w:r>
            <w:r>
              <w:rPr>
                <w:b/>
                <w:i/>
              </w:rPr>
              <w:t>dále zdůrazňuje, že systémy inspekce práce by měly být vybaveny k ověřování souladu nejen se sociálními normami a normami zaměstnanosti, ale také s normami v oblasti životního prostředí a zdraví při práci, a to vzhledem k jejich vzájemně propojenému dopadu na dobré životní podmínky pracovníků;</w:t>
            </w:r>
            <w:r>
              <w:t xml:space="preserve"> vítá hodnoticí zprávu Komise o Evropském orgánu pro pracovní záležitosti a opakuje svou výzvu Komisi, aby posílila mandát orgánu ELA;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Usnesení ze dne 18. ledna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pro boj proti pracovnímu vykořisťování je zapotřebí účinných systémů prosazování a kontroly vybavených dostatečnými zdroji; vítá hodnoticí zprávu Komise o Evropském orgánu pro pracovní záležitosti a opakuje svou výzvu</w:t>
            </w:r>
            <w:r>
              <w:rPr>
                <w:b/>
                <w:i/>
                <w:vertAlign w:val="superscript"/>
              </w:rPr>
              <w:t>12</w:t>
            </w:r>
            <w:r>
              <w:t>Komisi, aby posílila mandát orgánu ELA;</w:t>
            </w:r>
          </w:p>
        </w:tc>
        <w:tc>
          <w:tcPr>
            <w:tcW w:w="4876" w:type="dxa"/>
            <w:tcBorders>
              <w:top w:val="nil"/>
              <w:left w:val="nil"/>
              <w:bottom w:val="nil"/>
              <w:right w:val="nil"/>
            </w:tcBorders>
          </w:tcPr>
          <w:p>
            <w:pPr>
              <w:pStyle w:val="Normal6a"/>
            </w:pPr>
            <w:r>
              <w:t>8.</w:t>
            </w:r>
            <w:r>
              <w:tab/>
            </w:r>
            <w:r>
              <w:t xml:space="preserve">zdůrazňuje, že pro boj proti pracovnímu vykořisťování </w:t>
            </w:r>
            <w:r>
              <w:rPr>
                <w:b/>
                <w:i/>
              </w:rPr>
              <w:t>a pro prosazování spravedlivé hospodářské soutěže na jednotném trhu</w:t>
            </w:r>
            <w:r>
              <w:t xml:space="preserve"> je zapotřebí účinných systémů prosazování a kontroly vybavených dostatečnými zdroji; vítá hodnoticí zprávu Komise o Evropském orgánu pro pracovní záležitosti a opakuje svou výzvu Komisi, aby posílila mandát orgánu ELA; </w:t>
            </w:r>
            <w:r>
              <w:rPr>
                <w:b/>
                <w:i/>
              </w:rPr>
              <w:t>vyzývá rovněž Komisi, aby v tomto ohledu posílila mandát Europolu;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Usnesení ze dne 18. ledna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pro boj proti pracovnímu vykořisťování je zapotřebí účinných systémů prosazování a kontroly vybavených dostatečnými zdroji; vítá hodnoticí zprávu Komise o Evropském orgánu pro pracovní záležitosti a opakuje svou výzvu</w:t>
            </w:r>
            <w:r>
              <w:rPr>
                <w:vertAlign w:val="superscript"/>
              </w:rPr>
              <w:t>12</w:t>
            </w:r>
            <w:r>
              <w:t>Komisi, aby posílila mandát orgánu ELA;</w:t>
            </w:r>
          </w:p>
        </w:tc>
        <w:tc>
          <w:tcPr>
            <w:tcW w:w="4876" w:type="dxa"/>
            <w:tcBorders>
              <w:top w:val="nil"/>
              <w:left w:val="nil"/>
              <w:bottom w:val="nil"/>
              <w:right w:val="nil"/>
            </w:tcBorders>
          </w:tcPr>
          <w:p>
            <w:pPr>
              <w:pStyle w:val="Normal6a"/>
            </w:pPr>
            <w:r>
              <w:t>8.</w:t>
            </w:r>
            <w:r>
              <w:tab/>
            </w:r>
            <w:r>
              <w:t>zdůrazňuje, že pro boj proti pracovnímu vykořisťování je zapotřebí účinných systémů prosazování a kontroly vybavených dostatečnými zdroji; vítá hodnoticí zprávu Komise o Evropském orgánu pro pracovní záležitosti a opakuje svou výzvu</w:t>
            </w:r>
            <w:r>
              <w:rPr>
                <w:vertAlign w:val="superscript"/>
              </w:rPr>
              <w:t>12</w:t>
            </w:r>
            <w:r>
              <w:t xml:space="preserve"> Komisi, aby posílila mandát orgánu ELA </w:t>
            </w:r>
            <w:r>
              <w:rPr>
                <w:b/>
                <w:i/>
              </w:rPr>
              <w:t>a poskytla mu dostatečné zdroje k plnění jeho úkolů, zejména inspekcí v terénu prováděných za účelem odhalení případů porušování pracovního práva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pro boj proti pracovnímu vykořisťování je zapotřebí účinných systémů prosazování a kontroly </w:t>
            </w:r>
            <w:r>
              <w:rPr>
                <w:b/>
                <w:i/>
              </w:rPr>
              <w:t>vybavených dostatečnými zdroji;</w:t>
            </w:r>
            <w:r>
              <w:t xml:space="preserve"> </w:t>
            </w:r>
            <w:r>
              <w:rPr>
                <w:b/>
                <w:i/>
              </w:rPr>
              <w:t>vítá hodnoticí zprávu Komise o Evropském orgánu pro pracovní záležitosti a opakuje svou výzvu</w:t>
            </w:r>
            <w:r>
              <w:rPr>
                <w:b/>
                <w:i/>
                <w:vertAlign w:val="superscript"/>
              </w:rPr>
              <w:t>12</w:t>
            </w:r>
            <w:r>
              <w:t xml:space="preserve">Komisi, aby </w:t>
            </w:r>
            <w:r>
              <w:rPr>
                <w:b/>
                <w:i/>
              </w:rPr>
              <w:t>posílila</w:t>
            </w:r>
            <w:r>
              <w:t xml:space="preserve"> mandát orgánu ELA;</w:t>
            </w:r>
          </w:p>
        </w:tc>
        <w:tc>
          <w:tcPr>
            <w:tcW w:w="4876" w:type="dxa"/>
            <w:tcBorders>
              <w:top w:val="nil"/>
              <w:left w:val="nil"/>
              <w:bottom w:val="nil"/>
              <w:right w:val="nil"/>
            </w:tcBorders>
          </w:tcPr>
          <w:p>
            <w:pPr>
              <w:pStyle w:val="Normal6a"/>
            </w:pPr>
            <w:r>
              <w:t>8.</w:t>
            </w:r>
            <w:r>
              <w:tab/>
            </w:r>
            <w:r>
              <w:t>zdůrazňuje, že pro boj proti pracovnímu vykořisťování je zapotřebí účinných systémů prosazování a kontroly</w:t>
            </w:r>
            <w:r>
              <w:rPr>
                <w:b/>
                <w:i/>
              </w:rPr>
              <w:t>;</w:t>
            </w:r>
            <w:r>
              <w:t xml:space="preserve"> </w:t>
            </w:r>
            <w:r>
              <w:rPr>
                <w:b/>
                <w:i/>
              </w:rPr>
              <w:t>vyzývá</w:t>
            </w:r>
            <w:r>
              <w:t xml:space="preserve"> Komisi, aby </w:t>
            </w:r>
            <w:r>
              <w:rPr>
                <w:b/>
                <w:i/>
              </w:rPr>
              <w:t>neposilovala</w:t>
            </w:r>
            <w:r>
              <w:t xml:space="preserve"> mandát orgánu ELA;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Usnesení ze dne 18. ledna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pro boj proti pracovnímu vykořisťování je zapotřebí účinných systémů prosazování a kontroly vybavených dostatečnými zdroji; vítá hodnoticí zprávu Komise o Evropském orgánu pro pracovní záležitosti a opakuje svou výzvu</w:t>
            </w:r>
            <w:r>
              <w:rPr>
                <w:vertAlign w:val="superscript"/>
              </w:rPr>
              <w:t>12</w:t>
            </w:r>
            <w:r>
              <w:t>Komisi, aby posílila mandát orgánu ELA;</w:t>
            </w:r>
          </w:p>
        </w:tc>
        <w:tc>
          <w:tcPr>
            <w:tcW w:w="4876" w:type="dxa"/>
            <w:tcBorders>
              <w:top w:val="nil"/>
              <w:left w:val="nil"/>
              <w:bottom w:val="nil"/>
              <w:right w:val="nil"/>
            </w:tcBorders>
          </w:tcPr>
          <w:p>
            <w:pPr>
              <w:pStyle w:val="Normal6a"/>
            </w:pPr>
            <w:r>
              <w:t>8.</w:t>
            </w:r>
            <w:r>
              <w:tab/>
            </w:r>
            <w:r>
              <w:t xml:space="preserve">zdůrazňuje, že pro boj proti pracovnímu vykořisťování </w:t>
            </w:r>
            <w:r>
              <w:rPr>
                <w:b/>
                <w:i/>
              </w:rPr>
              <w:t>a pro prosazování spravedlivé hospodářské soutěže na jednotném trhu</w:t>
            </w:r>
            <w:r>
              <w:t xml:space="preserve"> je zapotřebí účinných systémů prosazování a kontroly vybavených dostatečnými zdroji; vítá hodnoticí zprávu Komise o Evropském orgánu pro pracovní záležitosti a opakuje svou výzvu</w:t>
            </w:r>
            <w:r>
              <w:rPr>
                <w:vertAlign w:val="superscript"/>
              </w:rPr>
              <w:t>12</w:t>
            </w:r>
            <w:r>
              <w:t xml:space="preserve"> Komisi, aby posílila mandát orgánu ELA;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pro boj proti pracovnímu vykořisťování je zapotřebí účinných systémů prosazování a kontroly vybavených dostatečnými zdroji; </w:t>
            </w:r>
            <w:r>
              <w:rPr>
                <w:b/>
                <w:i/>
              </w:rPr>
              <w:t>vítá hodnoticí zprávu</w:t>
            </w:r>
            <w:r>
              <w:t xml:space="preserve"> Komise o Evropském orgánu pro pracovní záležitosti a opakuje svou výzvu</w:t>
            </w:r>
            <w:r>
              <w:rPr>
                <w:vertAlign w:val="superscript"/>
              </w:rPr>
              <w:t>12</w:t>
            </w:r>
            <w:r>
              <w:rPr>
                <w:b/>
                <w:i/>
              </w:rPr>
              <w:t>Komisi, aby posílila mandát orgánu ELA</w:t>
            </w:r>
            <w:r>
              <w:t>;</w:t>
            </w:r>
          </w:p>
        </w:tc>
        <w:tc>
          <w:tcPr>
            <w:tcW w:w="4876" w:type="dxa"/>
            <w:tcBorders>
              <w:top w:val="nil"/>
              <w:left w:val="nil"/>
              <w:bottom w:val="nil"/>
              <w:right w:val="nil"/>
            </w:tcBorders>
          </w:tcPr>
          <w:p>
            <w:pPr>
              <w:pStyle w:val="Normal6a"/>
            </w:pPr>
            <w:r>
              <w:t>8.</w:t>
            </w:r>
            <w:r>
              <w:tab/>
            </w:r>
            <w:r>
              <w:t xml:space="preserve">zdůrazňuje, že pro boj proti pracovnímu vykořisťování je zapotřebí účinných systémů prosazování a kontroly vybavených dostatečnými zdroji; </w:t>
            </w:r>
            <w:r>
              <w:rPr>
                <w:b/>
                <w:i/>
              </w:rPr>
              <w:t>zdůrazňuje proto, že je třeba, aby Evropský orgán pro pracovní záležitosti lépe využíval zdroje v souladu s hodnotící zprávou</w:t>
            </w:r>
            <w:r>
              <w:t xml:space="preserve"> Komise o Evropském orgánu pro pracovní záležitosti</w:t>
            </w:r>
            <w:r>
              <w:rPr>
                <w:b/>
                <w:i/>
              </w:rPr>
              <w:t>,</w:t>
            </w:r>
            <w:r>
              <w:t xml:space="preserve"> a opakuje svou výzvu</w:t>
            </w:r>
            <w:r>
              <w:rPr>
                <w:vertAlign w:val="superscript"/>
              </w:rPr>
              <w:t>12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c>
          <w:tcPr>
            <w:tcW w:w="4876" w:type="dxa"/>
            <w:tcBorders>
              <w:top w:val="nil"/>
              <w:left w:val="nil"/>
              <w:bottom w:val="nil"/>
              <w:right w:val="nil"/>
            </w:tcBorders>
          </w:tcPr>
          <w:p>
            <w:pPr>
              <w:pStyle w:val="Normal6a"/>
            </w:pPr>
            <w:r>
              <w:rPr>
                <w:vertAlign w:val="superscript"/>
              </w:rPr>
              <w:t>12</w:t>
            </w:r>
            <w:r>
              <w:t xml:space="preserve"> </w:t>
            </w:r>
            <w:r>
              <w:t>Usnesení ze dne 18. ledna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w:t>
            </w:r>
            <w:r>
              <w:rPr>
                <w:b/>
                <w:i/>
              </w:rPr>
              <w:t>pro boj proti pracovnímu vykořisťování je zapotřebí účinných systémů prosazování a kontroly vybavených dostatečnými zdroji;</w:t>
            </w:r>
            <w:r>
              <w:t xml:space="preserve"> </w:t>
            </w:r>
            <w:r>
              <w:rPr>
                <w:b/>
                <w:i/>
              </w:rPr>
              <w:t>vítá hodnoticí zprávu Komise o Evropském orgánu</w:t>
            </w:r>
            <w:r>
              <w:t xml:space="preserve"> pro pracovní </w:t>
            </w:r>
            <w:r>
              <w:rPr>
                <w:b/>
                <w:i/>
              </w:rPr>
              <w:t>záležitosti a opakuje svou výzvu</w:t>
            </w:r>
            <w:r>
              <w:rPr>
                <w:b/>
                <w:i/>
                <w:vertAlign w:val="superscript"/>
              </w:rPr>
              <w:t>12</w:t>
            </w:r>
            <w:r>
              <w:rPr>
                <w:b/>
                <w:i/>
              </w:rPr>
              <w:t>Komisi, aby posílila mandát orgánu ELA</w:t>
            </w:r>
            <w:r>
              <w:t>;</w:t>
            </w:r>
          </w:p>
        </w:tc>
        <w:tc>
          <w:tcPr>
            <w:tcW w:w="4876" w:type="dxa"/>
            <w:tcBorders>
              <w:top w:val="nil"/>
              <w:left w:val="nil"/>
              <w:bottom w:val="nil"/>
              <w:right w:val="nil"/>
            </w:tcBorders>
          </w:tcPr>
          <w:p>
            <w:pPr>
              <w:pStyle w:val="Normal6a"/>
            </w:pPr>
            <w:r>
              <w:t>8.</w:t>
            </w:r>
            <w:r>
              <w:tab/>
            </w:r>
            <w:r>
              <w:t xml:space="preserve">zdůrazňuje, že </w:t>
            </w:r>
            <w:r>
              <w:rPr>
                <w:b/>
                <w:i/>
              </w:rPr>
              <w:t>účinné vymáhání práva vyžaduje dostatečně personálně obsazené vnitrostátní inspekce a koordinaci přeshraničních kontrol; Evropský orgán</w:t>
            </w:r>
            <w:r>
              <w:t xml:space="preserve"> pro pracovní </w:t>
            </w:r>
            <w:r>
              <w:rPr>
                <w:b/>
                <w:i/>
              </w:rPr>
              <w:t>příležitosti by se měl zaměřit na koordinaci/podporu a výměnu informací bez nových prováděcích pravomocí a s posílenou spoluprací s Europolem/Eurojustem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Usnesení ze dne 18. ledna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že EU přijala řadu právních aktů zaměřených na boj proti pracovnímu vykořisťování a nelegální práci, jejichž uplatňování na vnitrostátní úrovni je třeba zlepšit;</w:t>
            </w:r>
            <w:r>
              <w:t xml:space="preserve"> </w:t>
            </w:r>
            <w:r>
              <w:rPr>
                <w:b/>
                <w:i/>
              </w:rPr>
              <w:t>vyzývá Komisi, aby zhodnotila uplatňování stávajících pravidel, v neposlední řadě ve vysoce rizikových odvětvích, a aby přijala konkrétní opatření k posílení své vymáhací pravomoci vůči členským státům, které tento problém neřeší;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vyzývá Evropskou komisi a členské státy, aby lépe prosazovaly články 9 a 12 směrnice 2014/67/EU o prosazování, která členským státům poskytla možnost kontrolovat a prosazovat pravidla pro vyslané pracovníky prostřednictvím vnitrostátního systému oznamování a zároveň členským státům umožnila přijmout další opatření k zavedení systému odpovědnosti přímého subdodavatele;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oceňuje práci Evropského orgánu pro pracovní záležitosti a vyzývá k posílení jeho úlohy a schopnosti analýzy operačních rizik, aby mohl působit jako středisko EU pro sledování sociálního dumpingu a trestné činnosti v oblasti práce;</w:t>
            </w:r>
            <w:r>
              <w:t xml:space="preserve"> </w:t>
            </w:r>
            <w:r>
              <w:rPr>
                <w:b/>
                <w:i/>
              </w:rPr>
              <w:t>požaduje vytvoření odvětvových jednotek pro vymáhání práva, zejména v odvětví stavebnictví, s cílem prohloubit spolupráci s odvětvovými sociálními partnery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že úroveň informací o složení subdodavatelských řetězců se v rámci Evropy liší, což představuje výzvu jak pro vymáhání práva, tak pro tvorbu politik;</w:t>
            </w:r>
            <w:r>
              <w:t xml:space="preserve"> </w:t>
            </w:r>
            <w:r>
              <w:rPr>
                <w:b/>
                <w:i/>
              </w:rPr>
              <w:t>vyzývá Komisi, aby zlepšila shromažďování údajů o subdodávkách;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potřebu dalšího sbližování a zjednodušování předpisů o mobilitě pracovních sil a kontrolních postupů, včetně jednotných standardů kontroly, společných inspekcí a výměny informací, pod vedením orgánu Evropského orgánu pro pracovní záležitosti;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připomíná, že článek 14 směrnice o sankcích vyžaduje, aby členské státy zajistily na svém území provádění účinných a odpovídajících kontrol zaměstnávání neoprávněně pobývajících státních příslušníků třetích zemí, a vyzývá Evropskou komisi a příslušné vnitrostátní orgány členských států, aby lépe prosazovaly stávající právní úpravu;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vyzývá k posílení kapacity Evropského orgánu pro pracovní záležitosti v oblasti analýzy operačních rizik a k vytvoření odvětvových jednotek pro vymáhání práva, zejména v oblasti stavebnictví, s cílem prohloubit spolupráci s odvětvovými sociálními partnery a společné kontroly;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zdůrazňuje, že je třeba bojovat proti zneužívání subdodávek, které využívají umělé mechanismy, jako jsou schránkové společnosti a falešná agenturní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připomíná, že směrnice 2006/22/ES</w:t>
            </w:r>
            <w:r>
              <w:rPr>
                <w:b/>
                <w:i/>
                <w:vertAlign w:val="superscript"/>
              </w:rPr>
              <w:t>13</w:t>
            </w:r>
            <w:r>
              <w:rPr>
                <w:b/>
                <w:i/>
              </w:rPr>
              <w:t>již stanoví minimální pravidla pro kontrolu dodržování předpisů v sociální oblasti v silniční dopravě, a vyzývá Komisi, aby předložila legislativní iniciativu, která by od členských států vyžadovala zajištění odpovídající minimální kapacity inspekce práce pro všechna vysoce riziková odvětví v souladu s kritériem MOP, podle něhož má na 10 000 pracovníků připadat alespoň jeden inspektor práce;</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w:t>
            </w:r>
            <w:r>
              <w:t xml:space="preserve"> </w:t>
            </w:r>
            <w:r>
              <w:rPr>
                <w:b/>
                <w:i/>
              </w:rPr>
              <w:t>35, ELI: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připomíná, že směrnice 2006/22/ES</w:t>
            </w:r>
            <w:r>
              <w:rPr>
                <w:b/>
                <w:i/>
                <w:vertAlign w:val="superscript"/>
              </w:rPr>
              <w:t>13</w:t>
            </w:r>
            <w:r>
              <w:rPr>
                <w:b/>
                <w:i/>
              </w:rPr>
              <w:t>již stanoví minimální pravidla pro kontrolu dodržování předpisů v sociální oblasti v silniční dopravě, a vyzývá Komisi, aby předložila legislativní iniciativu, která by od členských států vyžadovala zajištění odpovídající minimální kapacity inspekce práce pro všechna vysoce riziková odvětví v souladu s kritériem MOP, podle něhož má na 10 000 pracovníků připadat alespoň jeden inspektor práce;</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w:t>
            </w:r>
            <w:r>
              <w:t xml:space="preserve"> </w:t>
            </w:r>
            <w:r>
              <w:rPr>
                <w:b/>
                <w:i/>
              </w:rPr>
              <w:t>35, ELI: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směrnice 2006/22/ES</w:t>
            </w:r>
            <w:r>
              <w:rPr>
                <w:vertAlign w:val="superscript"/>
              </w:rPr>
              <w:t>13</w:t>
            </w:r>
            <w:r>
              <w:t>již stanoví minimální pravidla pro kontrolu dodržování předpisů v sociální oblasti v silniční dopravě</w:t>
            </w:r>
            <w:r>
              <w:rPr>
                <w:b/>
                <w:i/>
              </w:rPr>
              <w:t>, a</w:t>
            </w:r>
            <w:r>
              <w:t xml:space="preserve"> vyzývá Komisi, aby </w:t>
            </w:r>
            <w:r>
              <w:rPr>
                <w:b/>
                <w:i/>
              </w:rPr>
              <w:t>předložila legislativní iniciativu</w:t>
            </w:r>
            <w:r>
              <w:t xml:space="preserve">, která </w:t>
            </w:r>
            <w:r>
              <w:rPr>
                <w:b/>
                <w:i/>
              </w:rPr>
              <w:t>by od členských států vyžadovala zajištění</w:t>
            </w:r>
            <w:r>
              <w:t xml:space="preserve"> odpovídající minimální kapacity inspekce práce pro všechna vysoce riziková odvětví v souladu s kritériem MOP, podle něhož má na 10 000 pracovníků připadat alespoň jeden inspektor práce;</w:t>
            </w:r>
          </w:p>
        </w:tc>
        <w:tc>
          <w:tcPr>
            <w:tcW w:w="4876" w:type="dxa"/>
            <w:tcBorders>
              <w:top w:val="nil"/>
              <w:left w:val="nil"/>
              <w:bottom w:val="nil"/>
              <w:right w:val="nil"/>
            </w:tcBorders>
          </w:tcPr>
          <w:p>
            <w:pPr>
              <w:pStyle w:val="Normal6a"/>
            </w:pPr>
            <w:r>
              <w:t>9.</w:t>
            </w:r>
            <w:r>
              <w:tab/>
            </w:r>
            <w:r>
              <w:rPr>
                <w:b/>
                <w:i/>
              </w:rPr>
              <w:t>zdůrazňuje zásadní úlohu inspekcí práce jak při odhalování a prevenci pracovního vykořisťování, tak při celkovém dodržování pracovněprávních předpisů;</w:t>
            </w:r>
            <w:r>
              <w:t xml:space="preserve"> </w:t>
            </w:r>
            <w:r>
              <w:rPr>
                <w:b/>
                <w:i/>
              </w:rPr>
              <w:t>naléhavě vyzývá členské státy, aby zvýšily počet inspektorů práce a svou podporu inspektorátům práce;</w:t>
            </w:r>
            <w:r>
              <w:t xml:space="preserve"> připomíná, že směrnice 2006/22/ES</w:t>
            </w:r>
            <w:r>
              <w:rPr>
                <w:vertAlign w:val="superscript"/>
              </w:rPr>
              <w:t>13</w:t>
            </w:r>
            <w:r>
              <w:t xml:space="preserve"> již stanoví minimální pravidla pro kontrolu dodržování předpisů v sociální oblasti v silniční dopravě</w:t>
            </w:r>
            <w:r>
              <w:rPr>
                <w:b/>
                <w:i/>
              </w:rPr>
              <w:t>;</w:t>
            </w:r>
            <w:r>
              <w:t xml:space="preserve"> vyzývá Komisi, aby </w:t>
            </w:r>
            <w:r>
              <w:rPr>
                <w:b/>
                <w:i/>
              </w:rPr>
              <w:t>do své směrnice zahrnula opatření</w:t>
            </w:r>
            <w:r>
              <w:t xml:space="preserve">, která </w:t>
            </w:r>
            <w:r>
              <w:rPr>
                <w:b/>
                <w:i/>
              </w:rPr>
              <w:t>mohou zajistit, aby členské státy měly</w:t>
            </w:r>
            <w:r>
              <w:t xml:space="preserve"> odpovídající minimální kapacity inspekce práce pro všechna vysoce riziková odvětví v souladu s kritériem MOP, podle něhož má na 10 000 pracovníků připadat alespoň jeden inspektor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již stanoví minimální pravidla pro kontrolu dodržování předpisů v sociální oblasti v silniční dopravě, </w:t>
            </w:r>
            <w:r>
              <w:rPr>
                <w:b/>
                <w:i/>
              </w:rPr>
              <w:t>a vyzývá Komisi, aby předložila legislativní iniciativu, která by od</w:t>
            </w:r>
            <w:r>
              <w:t xml:space="preserve"> členských států </w:t>
            </w:r>
            <w:r>
              <w:rPr>
                <w:b/>
                <w:i/>
              </w:rPr>
              <w:t>vyžadovala zajištění odpovídající minimální kapacity inspekce práce pro všechna vysoce riziková odvětví v souladu s kritériem MOP, podle něhož má na 10 000 pracovníků připadat alespoň jeden inspektor práce</w:t>
            </w:r>
            <w:r>
              <w:t>;</w:t>
            </w:r>
          </w:p>
        </w:tc>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 již stanoví minimální pravidla pro kontrolu dodržování předpisů v sociální oblasti v silniční dopravě, </w:t>
            </w:r>
            <w:r>
              <w:rPr>
                <w:b/>
                <w:i/>
              </w:rPr>
              <w:t>včetně inspekce práce ze strany</w:t>
            </w:r>
            <w:r>
              <w:t xml:space="preserve"> členských států;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směrnice 2006/22/ES</w:t>
            </w:r>
            <w:r>
              <w:rPr>
                <w:vertAlign w:val="superscript"/>
              </w:rPr>
              <w:t>13</w:t>
            </w:r>
            <w:r>
              <w:t>již stanoví minimální pravidla pro kontrolu dodržování předpisů v sociální oblasti v silniční dopravě, a vyzývá Komisi, aby předložila legislativní iniciativu, která by od členských států vyžadovala zajištění odpovídající minimální kapacity inspekce práce pro všechna vysoce riziková odvětví v souladu s kritériem MOP, podle něhož má na 10 000 pracovníků připadat alespoň jeden inspektor práce;</w:t>
            </w:r>
          </w:p>
        </w:tc>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 již stanoví minimální pravidla pro kontrolu dodržování předpisů v sociální oblasti v silniční dopravě, a vyzývá Komisi, aby předložila legislativní iniciativu, která by od členských států vyžadovala </w:t>
            </w:r>
            <w:r>
              <w:rPr>
                <w:b/>
                <w:i/>
              </w:rPr>
              <w:t>zlepšení kvality a četnosti inspekcí práce a</w:t>
            </w:r>
            <w:r>
              <w:t xml:space="preserve"> zajištění odpovídající minimální kapacity inspekce práce pro všechna vysoce riziková odvětví v souladu s kritériem MOP, podle něhož má na 10 000 pracovníků připadat alespoň jeden inspektor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již stanoví minimální pravidla pro kontrolu dodržování předpisů v sociální oblasti v silniční dopravě, a vyzývá Komisi, aby předložila legislativní iniciativu, která by od členských států vyžadovala zajištění odpovídající minimální kapacity inspekce práce </w:t>
            </w:r>
            <w:r>
              <w:rPr>
                <w:b/>
                <w:i/>
              </w:rPr>
              <w:t>pro všechna vysoce riziková odvětví</w:t>
            </w:r>
            <w:r>
              <w:t xml:space="preserve"> v souladu s kritériem MOP, podle něhož má na 10 000 pracovníků připadat alespoň jeden inspektor práce;</w:t>
            </w:r>
          </w:p>
        </w:tc>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 již stanoví minimální pravidla pro kontrolu dodržování předpisů v sociální oblasti v silniční dopravě, a vyzývá Komisi, aby předložila legislativní iniciativu, která by od členských států vyžadovala zajištění odpovídající minimální kapacity inspekce práce v souladu s kritériem MOP, podle něhož má na 10 000 pracovníků připadat alespoň jeden inspektor práce</w:t>
            </w:r>
            <w:r>
              <w:rPr>
                <w:b/>
                <w:i/>
              </w:rPr>
              <w:t>, a aby usilovala o překročení této hodnoty a dosažení jednoho inspektora na každých 5 000 zaměstnanců</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již stanoví minimální pravidla pro kontrolu dodržování předpisů v sociální oblasti v silniční dopravě, a vyzývá </w:t>
            </w:r>
            <w:r>
              <w:rPr>
                <w:b/>
                <w:i/>
              </w:rPr>
              <w:t>Komisi, aby předložila legislativní iniciativu, která by od členských států vyžadovala zajištění</w:t>
            </w:r>
            <w:r>
              <w:t xml:space="preserve"> odpovídající minimální kapacity inspekce práce pro všechna vysoce riziková odvětví v souladu s kritériem MOP, podle něhož má na 10 000 pracovníků připadat alespoň jeden inspektor práce;</w:t>
            </w:r>
          </w:p>
        </w:tc>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 již stanoví minimální pravidla pro kontrolu dodržování předpisů v sociální oblasti v silniční dopravě, a vyzývá </w:t>
            </w:r>
            <w:r>
              <w:rPr>
                <w:b/>
                <w:i/>
              </w:rPr>
              <w:t>členské státy, aby zajistily</w:t>
            </w:r>
            <w:r>
              <w:t xml:space="preserve"> odpovídající minimální kapacity inspekce práce pro všechna vysoce riziková odvětví v souladu s kritériem MOP, podle něhož má na 10 000 pracovníků připadat alespoň jeden inspektor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již stanoví minimální pravidla pro kontrolu dodržování předpisů v sociální oblasti v silniční dopravě, a vyzývá Komisi, aby předložila </w:t>
            </w:r>
            <w:r>
              <w:rPr>
                <w:b/>
                <w:i/>
              </w:rPr>
              <w:t>legislativní iniciativu, která by od členských států vyžadovala</w:t>
            </w:r>
            <w:r>
              <w:t xml:space="preserve"> zajištění odpovídající minimální kapacity inspekce práce pro všechna vysoce riziková odvětví v souladu s kritériem MOP, podle něhož má na 10 000 pracovníků připadat alespoň jeden inspektor práce;</w:t>
            </w:r>
          </w:p>
        </w:tc>
        <w:tc>
          <w:tcPr>
            <w:tcW w:w="4876" w:type="dxa"/>
            <w:tcBorders>
              <w:top w:val="nil"/>
              <w:left w:val="nil"/>
              <w:bottom w:val="nil"/>
              <w:right w:val="nil"/>
            </w:tcBorders>
          </w:tcPr>
          <w:p>
            <w:pPr>
              <w:pStyle w:val="Normal6a"/>
            </w:pPr>
            <w:r>
              <w:t>9.</w:t>
            </w:r>
            <w:r>
              <w:tab/>
            </w:r>
            <w:r>
              <w:t>připomíná, že směrnice 2006/22/ES</w:t>
            </w:r>
            <w:r>
              <w:rPr>
                <w:vertAlign w:val="superscript"/>
              </w:rPr>
              <w:t>13</w:t>
            </w:r>
            <w:r>
              <w:t xml:space="preserve"> již stanoví minimální pravidla pro kontrolu dodržování předpisů v sociální oblasti v silniční dopravě, a vyzývá Komisi, aby předložila </w:t>
            </w:r>
            <w:r>
              <w:rPr>
                <w:b/>
                <w:i/>
              </w:rPr>
              <w:t>doporučení, v němž by členské státy požádala o</w:t>
            </w:r>
            <w:r>
              <w:t xml:space="preserve"> zajištění odpovídající minimální kapacity inspekce práce pro všechna vysoce riziková odvětví v souladu s kritériem MOP, podle něhož má na 10 000 pracovníků připadat alespoň jeden inspektor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2006/22/ES ze dne 15. března 2006 o minimálních podmínkách pro provedení nařízení Rady (EHS) č. 3820/85 a (EHS) č. 3821/85 o předpisech v sociální oblasti týkajících se činností v silniční dopravě a o zrušení směrnice Rady 88/599/EHS (Úř. věst.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Komisi, aby identifikovala a řešila případy strategických úpadků a zániků společností, zejména v přeshraničních případech, a zneužívání úpadků podvodnými subjekty, což jim umožňuje vyhnout se placení mezd a odvodů na sociální zabezpečení, zdanění a jakýmkoli sankcím;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vyzývá Komisi, aby vytvořila systém finančních sankcí pro společnosti, které porušují práva pracovníků, a stanovila dvojí mechanismus kombinující minimální paušální částku a složku úměrnou obratu společnosti, jež se dopustila porušení, která by mohla dosáhnout 10 % ročního celosvětového obratu, 20 % v případě opakovaného porušení, včetně vrácení veřejné podpory poskytnuté dotyčné společnosti, a to až po zákaz činnosti v Evropské unii včetně;</w:t>
            </w:r>
            <w:r>
              <w:t xml:space="preserve"> </w:t>
            </w:r>
            <w:r>
              <w:rPr>
                <w:b/>
                <w:i/>
              </w:rPr>
              <w:t>dále zdůrazňuje potřebu zlepšit uplatňování a vymáhání pokut, náhrady škody a nezaplacených mezd a příspěvků na sociální zabezpečení v přeshraničních případech;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opakuje svou výzvu</w:t>
            </w:r>
            <w:r>
              <w:rPr>
                <w:b/>
                <w:i/>
                <w:vertAlign w:val="superscript"/>
              </w:rPr>
              <w:t>14</w:t>
            </w:r>
            <w:r>
              <w:rPr>
                <w:b/>
                <w:i/>
              </w:rPr>
              <w:t>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Usnesení ze dne 25. listopadu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opakuje svou výzvu</w:t>
            </w:r>
            <w:r>
              <w:rPr>
                <w:vertAlign w:val="superscript"/>
              </w:rPr>
              <w:t>14</w:t>
            </w:r>
            <w:r>
              <w:t>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p>
        </w:tc>
        <w:tc>
          <w:tcPr>
            <w:tcW w:w="4876" w:type="dxa"/>
            <w:tcBorders>
              <w:top w:val="nil"/>
              <w:left w:val="nil"/>
              <w:bottom w:val="nil"/>
              <w:right w:val="nil"/>
            </w:tcBorders>
          </w:tcPr>
          <w:p>
            <w:pPr>
              <w:pStyle w:val="Normal6a"/>
            </w:pPr>
            <w:r>
              <w:t>10.</w:t>
            </w:r>
            <w:r>
              <w:tab/>
            </w:r>
            <w:r>
              <w:t>opakuje svou výzvu</w:t>
            </w:r>
            <w:r>
              <w:rPr>
                <w:vertAlign w:val="superscript"/>
              </w:rPr>
              <w:t>14</w:t>
            </w:r>
            <w:r>
              <w:t xml:space="preserve"> 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 </w:t>
            </w:r>
            <w:r>
              <w:rPr>
                <w:b/>
                <w:i/>
              </w:rPr>
              <w:t>požaduje vzájemné uznávání a evropské právní předpisy s cílem propojit odvětvové systémy sociálních identifikačních průkazů a sladit je s evropským systémem pasů sociálního zabezpečení;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opakuje svou výzvu</w:t>
            </w:r>
            <w:r>
              <w:rPr>
                <w:vertAlign w:val="superscript"/>
              </w:rPr>
              <w:t>14</w:t>
            </w:r>
            <w:r>
              <w:t>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p>
        </w:tc>
        <w:tc>
          <w:tcPr>
            <w:tcW w:w="4876" w:type="dxa"/>
            <w:tcBorders>
              <w:top w:val="nil"/>
              <w:left w:val="nil"/>
              <w:bottom w:val="nil"/>
              <w:right w:val="nil"/>
            </w:tcBorders>
          </w:tcPr>
          <w:p>
            <w:pPr>
              <w:pStyle w:val="Normal6a"/>
            </w:pPr>
            <w:r>
              <w:t>10.</w:t>
            </w:r>
            <w:r>
              <w:tab/>
            </w:r>
            <w:r>
              <w:t>opakuje svou výzvu</w:t>
            </w:r>
            <w:r>
              <w:rPr>
                <w:vertAlign w:val="superscript"/>
              </w:rPr>
              <w:t>14</w:t>
            </w:r>
            <w:r>
              <w:t xml:space="preserve"> 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 </w:t>
            </w:r>
            <w:r>
              <w:rPr>
                <w:b/>
                <w:i/>
              </w:rPr>
              <w:t>zdůrazňuje, že tyto nástroje musí být navrženy tak, aby snížily administrativní zátěž, zjednodušily dodržování předpisů pro podniky a podpořily vnitrostátní orgány v boji proti nezákonnému zneužívání;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opakuje svou výzvu</w:t>
            </w:r>
            <w:r>
              <w:rPr>
                <w:vertAlign w:val="superscript"/>
              </w:rPr>
              <w:t>14</w:t>
            </w:r>
            <w:r>
              <w:t>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p>
        </w:tc>
        <w:tc>
          <w:tcPr>
            <w:tcW w:w="4876" w:type="dxa"/>
            <w:tcBorders>
              <w:top w:val="nil"/>
              <w:left w:val="nil"/>
              <w:bottom w:val="nil"/>
              <w:right w:val="nil"/>
            </w:tcBorders>
          </w:tcPr>
          <w:p>
            <w:pPr>
              <w:pStyle w:val="Normal6a"/>
            </w:pPr>
            <w:r>
              <w:t>10.</w:t>
            </w:r>
            <w:r>
              <w:tab/>
            </w:r>
            <w:r>
              <w:t>opakuje svou výzvu</w:t>
            </w:r>
            <w:r>
              <w:rPr>
                <w:vertAlign w:val="superscript"/>
              </w:rPr>
              <w:t>14</w:t>
            </w:r>
            <w:r>
              <w:t xml:space="preserve"> 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r>
              <w:rPr>
                <w:b/>
                <w:i/>
              </w:rPr>
              <w:t>,</w:t>
            </w:r>
            <w:r>
              <w:t xml:space="preserve"> </w:t>
            </w:r>
            <w:r>
              <w:rPr>
                <w:b/>
                <w:i/>
              </w:rPr>
              <w:t>zajištění silné ochrany údajů, aby se nevytvářel žádný centralizovaný záznam o zaměstnancích v EU, využívání stávajících interoperabilních systémů (IMI/EESSI) a minimálních nákladů na dodržování předpisů pro malé a střední podniky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opakuje svou výzvu</w:t>
            </w:r>
            <w:r>
              <w:rPr>
                <w:vertAlign w:val="superscript"/>
              </w:rPr>
              <w:t>14</w:t>
            </w:r>
            <w:r>
              <w:t>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p>
        </w:tc>
        <w:tc>
          <w:tcPr>
            <w:tcW w:w="4876" w:type="dxa"/>
            <w:tcBorders>
              <w:top w:val="nil"/>
              <w:left w:val="nil"/>
              <w:bottom w:val="nil"/>
              <w:right w:val="nil"/>
            </w:tcBorders>
          </w:tcPr>
          <w:p>
            <w:pPr>
              <w:pStyle w:val="Normal6a"/>
            </w:pPr>
            <w:r>
              <w:t>10.</w:t>
            </w:r>
            <w:r>
              <w:tab/>
            </w:r>
            <w:r>
              <w:t>opakuje svou výzvu</w:t>
            </w:r>
            <w:r>
              <w:rPr>
                <w:vertAlign w:val="superscript"/>
              </w:rPr>
              <w:t>14</w:t>
            </w:r>
            <w:r>
              <w:t xml:space="preserve"> 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 </w:t>
            </w:r>
            <w:r>
              <w:rPr>
                <w:b/>
                <w:i/>
              </w:rPr>
              <w:t>domnívá se, že by to mělo přispět k posílení přeshraniční ochrany práv na sociální zabezpečení a ke zlepšení kapacity Evropského orgánu pro pracovní záležitosti v oblasti prosazování;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opakuje svou výzvu</w:t>
            </w:r>
            <w:r>
              <w:rPr>
                <w:b/>
                <w:i/>
                <w:vertAlign w:val="superscript"/>
              </w:rPr>
              <w:t>14</w:t>
            </w:r>
            <w:r>
              <w:rPr>
                <w:b/>
                <w:i/>
              </w:rPr>
              <w:t>k urychlenému zavedení systému evropského průkazu sociálního zabezpečení (ESSPASS) a ke zlepšení digitálního prosazování práv v oblasti sociálního zabezpečení a spravedlivé mobility, včetně</w:t>
            </w:r>
            <w:r>
              <w:t xml:space="preserve"> ověřování a výměny informací v reálném čase mezi donucovacími orgány</w:t>
            </w:r>
            <w:r>
              <w:rPr>
                <w:b/>
                <w:i/>
              </w:rPr>
              <w:t>, jakož i integrace systému ESSPASS se stávajícími vnitrostátními systémy</w:t>
            </w:r>
            <w:r>
              <w:t xml:space="preserve"> pracovních </w:t>
            </w:r>
            <w:r>
              <w:rPr>
                <w:b/>
                <w:i/>
              </w:rPr>
              <w:t>průkazů</w:t>
            </w:r>
            <w:r>
              <w:t>;</w:t>
            </w:r>
          </w:p>
        </w:tc>
        <w:tc>
          <w:tcPr>
            <w:tcW w:w="4876" w:type="dxa"/>
            <w:tcBorders>
              <w:top w:val="nil"/>
              <w:left w:val="nil"/>
              <w:bottom w:val="nil"/>
              <w:right w:val="nil"/>
            </w:tcBorders>
          </w:tcPr>
          <w:p>
            <w:pPr>
              <w:pStyle w:val="Normal6a"/>
            </w:pPr>
            <w:r>
              <w:t>10.</w:t>
            </w:r>
            <w:r>
              <w:tab/>
            </w:r>
            <w:r>
              <w:rPr>
                <w:b/>
                <w:i/>
              </w:rPr>
              <w:t>zdůrazňuje význam</w:t>
            </w:r>
            <w:r>
              <w:t xml:space="preserve"> ověřování a výměny informací v reálném čase mezi </w:t>
            </w:r>
            <w:r>
              <w:rPr>
                <w:b/>
                <w:i/>
              </w:rPr>
              <w:t>vnitrostátními</w:t>
            </w:r>
            <w:r>
              <w:t xml:space="preserve"> donucovacími orgány </w:t>
            </w:r>
            <w:r>
              <w:rPr>
                <w:b/>
                <w:i/>
              </w:rPr>
              <w:t>v oblasti sociálního zabezpečení a</w:t>
            </w:r>
            <w:r>
              <w:t xml:space="preserve"> pracovních </w:t>
            </w:r>
            <w:r>
              <w:rPr>
                <w:b/>
                <w:i/>
              </w:rPr>
              <w:t>povolení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Usnesení ze dne 25. listopadu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opakuje svou výzvu</w:t>
            </w:r>
            <w:r>
              <w:rPr>
                <w:vertAlign w:val="superscript"/>
              </w:rPr>
              <w:t>14</w:t>
            </w:r>
            <w:r>
              <w:t>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p>
        </w:tc>
        <w:tc>
          <w:tcPr>
            <w:tcW w:w="4876" w:type="dxa"/>
            <w:tcBorders>
              <w:top w:val="nil"/>
              <w:left w:val="nil"/>
              <w:bottom w:val="nil"/>
              <w:right w:val="nil"/>
            </w:tcBorders>
          </w:tcPr>
          <w:p>
            <w:pPr>
              <w:pStyle w:val="Normal6a"/>
            </w:pPr>
            <w:r>
              <w:t>10.</w:t>
            </w:r>
            <w:r>
              <w:tab/>
            </w:r>
            <w:r>
              <w:t>opakuje svou výzvu</w:t>
            </w:r>
            <w:r>
              <w:rPr>
                <w:vertAlign w:val="superscript"/>
              </w:rPr>
              <w:t>14</w:t>
            </w:r>
            <w:r>
              <w:t xml:space="preserve"> k urychlenému zavedení systému evropského průkazu sociálního zabezpečení (ESSPASS) a ke zlepšení digitálního prosazování práv v oblasti sociálního zabezpečení a spravedlivé mobility, včetně ověřování a výměny informací v reálném čase mezi donucovacími orgány, jakož i integrace systému ESSPASS se stávajícími vnitrostátními systémy pracovních průkazů</w:t>
            </w:r>
            <w:r>
              <w:rPr>
                <w:b/>
                <w:i/>
              </w:rPr>
              <w:t>, a to v jednotlivých případech, s přihlédnutím k jejich specifickým rysům a v úzké spolupráci s příslušnými vnitrostátními sociálními partnery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c>
          <w:tcPr>
            <w:tcW w:w="4876" w:type="dxa"/>
            <w:tcBorders>
              <w:top w:val="nil"/>
              <w:left w:val="nil"/>
              <w:bottom w:val="nil"/>
              <w:right w:val="nil"/>
            </w:tcBorders>
          </w:tcPr>
          <w:p>
            <w:pPr>
              <w:pStyle w:val="Normal6a"/>
            </w:pPr>
            <w:r>
              <w:rPr>
                <w:vertAlign w:val="superscript"/>
              </w:rPr>
              <w:t>14</w:t>
            </w:r>
            <w:r>
              <w:t xml:space="preserve"> </w:t>
            </w:r>
            <w:r>
              <w:t>Usnesení ze dne 25. listopadu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bere na vědomí význam vnitrostátních obchodních rejstříků a Evropského systému propojení obchodních rejstříků (BRIS) pro podniky, které hledají informace o subdodavatelích, pro odbory, které se snaží zapojit se do kolektivního vyjednávání, a pro donucovací orgány;</w:t>
            </w:r>
            <w:r>
              <w:t xml:space="preserve"> </w:t>
            </w:r>
            <w:r>
              <w:rPr>
                <w:b/>
                <w:i/>
              </w:rPr>
              <w:t>vyjadřuje politování nad tím, že úroveň informací dostupných ve vnitrostátních obchodních rejstřících se značně liší;</w:t>
            </w:r>
            <w:r>
              <w:t xml:space="preserve"> </w:t>
            </w:r>
            <w:r>
              <w:rPr>
                <w:b/>
                <w:i/>
              </w:rPr>
              <w:t>vyzývá Komisi, aby přezkoumala, jak lze zlepšit úroveň veřejně dostupných informací, a to na základě osvědčených postupů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bere na vědomí úspěch iniciativ na vnitrostátní a odvětvové úrovni, pokud jde o zavedení sociálních průkazů totožnosti pro identifikaci pracovních míst;</w:t>
            </w:r>
            <w:r>
              <w:t xml:space="preserve"> </w:t>
            </w:r>
            <w:r>
              <w:rPr>
                <w:b/>
                <w:i/>
              </w:rPr>
              <w:t>vyzývá Komisi, aby předložila legislativní návrh na vytvoření evropského rámce, který bude vycházet ze stávajících systémů s cílem vytvořit plně interoperabilní 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požaduje začlenění inspekcí bydlení do pracovních inspekcí v odvětvích s vysokým podílem migrujících a vyslaných pracovníků, aby se zabránilo situacím, kdy jsou pracovníci vystaveni ponižujícímu, nebezpečnému nebo přeplněnému ubytování poskytovanému zaměstnavateli nebo zprostředkovateli;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se znepokojením bere na vědomí rizika spojená s vysíláním pracovníků v kombinaci s nekalými formami subdodávek a zprostředkování práce;</w:t>
            </w:r>
            <w:r>
              <w:t xml:space="preserve"> </w:t>
            </w:r>
            <w:r>
              <w:rPr>
                <w:b/>
                <w:i/>
              </w:rPr>
              <w:t>vyzývá Komisi, aby přezkoumala využívání zprostředkovatelů práce a agentur práce při vysílání pracovníků, včetně rizika, že tato opatření budou využívána k obcházení závazků, obcházení povinností v oblasti sociálního zabezpečení a k narušení zdravotních a bezpečnostních norem, a aby přijala nezbytné iniciativy k omezení úlohy těchto subjektů při vysílání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trh; </w:t>
            </w:r>
            <w:r>
              <w:rPr>
                <w:b/>
                <w:i/>
              </w:rPr>
              <w:t>vyzývá Komisi, aby zajistila automatické vzájemné uznávání zákazů obchodování napříč členskými státy a včasnou a bezpečnou výměnu příslušných informací mezi členskými státy;</w:t>
            </w:r>
          </w:p>
        </w:tc>
        <w:tc>
          <w:tcPr>
            <w:tcW w:w="4876" w:type="dxa"/>
            <w:tcBorders>
              <w:top w:val="nil"/>
              <w:left w:val="nil"/>
              <w:bottom w:val="nil"/>
              <w:right w:val="nil"/>
            </w:tcBorders>
          </w:tcPr>
          <w:p>
            <w:pPr>
              <w:pStyle w:val="Normal6a"/>
            </w:pPr>
            <w:r>
              <w:t>11.</w:t>
            </w:r>
            <w:r>
              <w:tab/>
            </w:r>
            <w:r>
              <w:t>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trh;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trh; vyzývá Komisi, aby zajistila automatické vzájemné uznávání zákazů obchodování napříč členskými státy a včasnou a bezpečnou výměnu příslušných informací mezi členskými státy;</w:t>
            </w:r>
          </w:p>
        </w:tc>
        <w:tc>
          <w:tcPr>
            <w:tcW w:w="4876" w:type="dxa"/>
            <w:tcBorders>
              <w:top w:val="nil"/>
              <w:left w:val="nil"/>
              <w:bottom w:val="nil"/>
              <w:right w:val="nil"/>
            </w:tcBorders>
          </w:tcPr>
          <w:p>
            <w:pPr>
              <w:pStyle w:val="Normal6a"/>
            </w:pPr>
            <w:r>
              <w:t>11.</w:t>
            </w:r>
            <w:r>
              <w:tab/>
            </w:r>
            <w:r>
              <w:t>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trh; vyzývá Komisi, aby zajistila automatické vzájemné uznávání zákazů obchodování napříč členskými státy a včasnou a bezpečnou výměnu příslušných informací mezi členskými státy</w:t>
            </w:r>
            <w:r>
              <w:rPr>
                <w:b/>
                <w:i/>
              </w:rPr>
              <w:t>,</w:t>
            </w:r>
            <w:r>
              <w:t xml:space="preserve"> </w:t>
            </w:r>
            <w:r>
              <w:rPr>
                <w:b/>
                <w:i/>
              </w:rPr>
              <w:t>a to s automatickým vzájemným uznáváním prostřednictvím systému IMI, zárukami spravedlivého procesu a jasnými lhůtami pro výměnu informací</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znepokojením poznamenává, že jednotlivci, na které se vztahuje zákaz provádění obchodní činnosti v jednom členském státě, mohou toto vnitrostátní omezení obejít tím, že se zaregistrují v jiném členském státě, odkud budou provozovat podnik, což narušuje </w:t>
            </w:r>
            <w:r>
              <w:rPr>
                <w:b/>
                <w:i/>
              </w:rPr>
              <w:t>jednotný trh</w:t>
            </w:r>
            <w:r>
              <w:t>; vyzývá Komisi, aby zajistila automatické vzájemné uznávání zákazů obchodování napříč členskými státy a včasnou a bezpečnou výměnu příslušných informací mezi členskými státy;</w:t>
            </w:r>
          </w:p>
        </w:tc>
        <w:tc>
          <w:tcPr>
            <w:tcW w:w="4876" w:type="dxa"/>
            <w:tcBorders>
              <w:top w:val="nil"/>
              <w:left w:val="nil"/>
              <w:bottom w:val="nil"/>
              <w:right w:val="nil"/>
            </w:tcBorders>
          </w:tcPr>
          <w:p>
            <w:pPr>
              <w:pStyle w:val="Normal6a"/>
            </w:pPr>
            <w:r>
              <w:t>11.</w:t>
            </w:r>
            <w:r>
              <w:tab/>
            </w:r>
            <w:r>
              <w:t xml:space="preserve">se znepokojením poznamenává, že jednotlivci, na které se vztahuje zákaz provádění obchodní činnosti v jednom členském státě, mohou toto vnitrostátní omezení obejít tím, že se zaregistrují v jiném členském státě, odkud budou provozovat podnik, což narušuje </w:t>
            </w:r>
            <w:r>
              <w:rPr>
                <w:b/>
                <w:i/>
              </w:rPr>
              <w:t>boj proti pracovnímu vykořisťování na celém jednotném trhu</w:t>
            </w:r>
            <w:r>
              <w:t>; vyzývá Komisi, aby zajistila automatické vzájemné uznávání zákazů obchodování napříč členskými státy a včasnou a bezpečnou výměnu příslušných informací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trh; vyzývá Komisi, aby zajistila </w:t>
            </w:r>
            <w:r>
              <w:rPr>
                <w:b/>
                <w:i/>
              </w:rPr>
              <w:t>automatické vzájemné uznávání zákazů obchodování napříč členskými státy a včasnou a bezpečnou</w:t>
            </w:r>
            <w:r>
              <w:t xml:space="preserve"> výměnu </w:t>
            </w:r>
            <w:r>
              <w:rPr>
                <w:b/>
                <w:i/>
              </w:rPr>
              <w:t>příslušných</w:t>
            </w:r>
            <w:r>
              <w:t xml:space="preserve"> informací mezi členskými státy;</w:t>
            </w:r>
          </w:p>
        </w:tc>
        <w:tc>
          <w:tcPr>
            <w:tcW w:w="4876" w:type="dxa"/>
            <w:tcBorders>
              <w:top w:val="nil"/>
              <w:left w:val="nil"/>
              <w:bottom w:val="nil"/>
              <w:right w:val="nil"/>
            </w:tcBorders>
          </w:tcPr>
          <w:p>
            <w:pPr>
              <w:pStyle w:val="Normal6a"/>
            </w:pPr>
            <w:r>
              <w:t>11.</w:t>
            </w:r>
            <w:r>
              <w:tab/>
            </w:r>
            <w:r>
              <w:t xml:space="preserve">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w:t>
            </w:r>
            <w:r>
              <w:rPr>
                <w:b/>
                <w:i/>
              </w:rPr>
              <w:t>evropský</w:t>
            </w:r>
            <w:r>
              <w:t xml:space="preserve"> trh; vyzývá Komisi, aby zajistila </w:t>
            </w:r>
            <w:r>
              <w:rPr>
                <w:b/>
                <w:i/>
              </w:rPr>
              <w:t>účinnější</w:t>
            </w:r>
            <w:r>
              <w:t xml:space="preserve"> výměnu informací </w:t>
            </w:r>
            <w:r>
              <w:rPr>
                <w:b/>
                <w:i/>
              </w:rPr>
              <w:t>a spolupráci</w:t>
            </w:r>
            <w:r>
              <w:t xml:space="preserve"> mezi členskými státy </w:t>
            </w:r>
            <w:r>
              <w:rPr>
                <w:b/>
                <w:i/>
              </w:rPr>
              <w:t>s cílem zastavit pachatele trestné činnosti a aby se zaměřila na přeshraniční organizovanou trestnou činnost a nikoli na dodatečnou zátěž pro podniky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trh; vyzývá Komisi, aby </w:t>
            </w:r>
            <w:r>
              <w:rPr>
                <w:b/>
                <w:i/>
              </w:rPr>
              <w:t>zajistila automatické</w:t>
            </w:r>
            <w:r>
              <w:t xml:space="preserve"> vzájemné uznávání zákazů obchodování napříč členskými státy a včasnou a bezpečnou výměnu příslušných informací mezi členskými státy;</w:t>
            </w:r>
          </w:p>
        </w:tc>
        <w:tc>
          <w:tcPr>
            <w:tcW w:w="4876" w:type="dxa"/>
            <w:tcBorders>
              <w:top w:val="nil"/>
              <w:left w:val="nil"/>
              <w:bottom w:val="nil"/>
              <w:right w:val="nil"/>
            </w:tcBorders>
          </w:tcPr>
          <w:p>
            <w:pPr>
              <w:pStyle w:val="Normal6a"/>
            </w:pPr>
            <w:r>
              <w:t>11.</w:t>
            </w:r>
            <w:r>
              <w:tab/>
            </w:r>
            <w:r>
              <w:t xml:space="preserve">se znepokojením poznamenává, že jednotlivci, na které se vztahuje zákaz provádění obchodní činnosti v jednom členském státě, mohou toto vnitrostátní omezení obejít tím, že se zaregistrují v jiném členském státě, odkud budou provozovat podnik, což narušuje jednotný trh; vyzývá Komisi, aby </w:t>
            </w:r>
            <w:r>
              <w:rPr>
                <w:b/>
                <w:i/>
              </w:rPr>
              <w:t>prosazovala</w:t>
            </w:r>
            <w:r>
              <w:t xml:space="preserve"> vzájemné uznávání zákazů obchodování napříč členskými státy </w:t>
            </w:r>
            <w:r>
              <w:rPr>
                <w:b/>
                <w:i/>
              </w:rPr>
              <w:t>a zásadu reciprocity</w:t>
            </w:r>
            <w:r>
              <w:t xml:space="preserve"> a včasnou a bezpečnou výměnu příslušných informací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poukazuje na problém podvodných a zločineckých subjektů na trhu práce, které využívají úpadků k tomu, aby se vyhnuli odpovědnosti za nezaplacené mzdy, daně, příspěvky na sociální zabezpečení a správní sankce;</w:t>
            </w:r>
            <w:r>
              <w:t xml:space="preserve"> </w:t>
            </w:r>
            <w:r>
              <w:rPr>
                <w:b/>
                <w:i/>
              </w:rPr>
              <w:t>vyzývá Komisi, aby analyzovala problémy spojené se strategickými úpadky a zanikajícími společnostmi, zejména v přeshraničních případech, a aby přijala nezbytné iniciativy ke snížení jejich výskytu;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mechanismy pro podávání stížností jsou důležitým nástrojem k zajištění cílených kontrol a k tomu, aby zaměstnavatelé nesli odpovědnost, jsou však stále nedostatečně využívány a nedostupné, zejména ze strany mobilních a migrujících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je znepokojen zneužíváním úpadků podvodnými subjekty k vyhýbání se placení mezd, daní, příspěvků na sociální zabezpečení a sankcí, což oslabuje vymáhání práva a poškozuje pracovníky, veřejné finance, klienty a subdodavatele;</w:t>
            </w:r>
            <w:r>
              <w:t xml:space="preserve"> </w:t>
            </w:r>
            <w:r>
              <w:rPr>
                <w:b/>
                <w:i/>
              </w:rPr>
              <w:t>vyzývá Komisi, aby zmapovala a řešila strategické úpadky a zanikající společnosti, zejména v přeshraničních případech;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navrhuje vytvoření společného celounijního seznamu vyloučených subjektů, který by byl přístupný příslušným vnitrostátním orgánům a prostřednictvím systému pro výměnu informací o vnitřním trhu (IMI) pro jednotlivce a podniky, na něž se vztahují zákazy obchodování nebo trestní sankce, aby se zabránilo obcházení omezení;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zdůrazňuje, že sankce za porušení práv pracovníků jsou méně rozpracované než v jiných oblastech práva EU, a vyzývá Komisi, aby posoudila jejich propojení s velikostí nebo obratem společnosti s cílem zlepšit jejich účinnost;</w:t>
            </w:r>
            <w:r>
              <w:t xml:space="preserve"> </w:t>
            </w:r>
            <w:r>
              <w:rPr>
                <w:b/>
                <w:i/>
              </w:rPr>
              <w:t>zdůrazňuje, že je třeba zlepšit vymahatelnost a výběr pokut, náhrad škod a nezaplacených mezd a příspěvků na sociální zabezpečení v přeshraničních případech;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vítá využívání ukládání sociálních podmínek ve vnitrostátních a evropských systémech a programech financování, podle nichž jsou platby podmíněny dodržováním práv pracovníků;</w:t>
            </w:r>
            <w:r>
              <w:t xml:space="preserve"> </w:t>
            </w:r>
            <w:r>
              <w:rPr>
                <w:b/>
                <w:i/>
              </w:rPr>
              <w:t>vyzývá Komisi, aby při snahách zavést ukládání sociálních podmínek týkajících se evropských pracovních norem do programů financování EU využila zkušeností se začleněním sociální podmíněnosti do společné zemědělské politiky;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vítá využívání ukládání sociálních podmínek ve vnitrostátních a evropských systémech a programech financování</w:t>
            </w:r>
            <w:r>
              <w:rPr>
                <w:b/>
                <w:i/>
              </w:rPr>
              <w:t>, podle nichž jsou</w:t>
            </w:r>
            <w:r>
              <w:t xml:space="preserve"> platby podmíněny dodržováním práv pracovníků; vyzývá Komisi, aby při snahách zavést ukládání sociálních podmínek týkajících se evropských pracovních norem do programů financování EU využila zkušeností se začleněním sociální podmíněnosti do společné zemědělské politiky;</w:t>
            </w:r>
          </w:p>
        </w:tc>
        <w:tc>
          <w:tcPr>
            <w:tcW w:w="4876" w:type="dxa"/>
            <w:tcBorders>
              <w:top w:val="nil"/>
              <w:left w:val="nil"/>
              <w:bottom w:val="nil"/>
              <w:right w:val="nil"/>
            </w:tcBorders>
          </w:tcPr>
          <w:p>
            <w:pPr>
              <w:pStyle w:val="Normal6a"/>
            </w:pPr>
            <w:r>
              <w:t>12.</w:t>
            </w:r>
            <w:r>
              <w:tab/>
            </w:r>
            <w:r>
              <w:t xml:space="preserve">vítá využívání ukládání sociálních podmínek ve vnitrostátních a evropských systémech a programech financování </w:t>
            </w:r>
            <w:r>
              <w:rPr>
                <w:b/>
                <w:i/>
              </w:rPr>
              <w:t>a požaduje rozšíření těchto podmínek tak, aby zahrnovaly normy v oblasti životního prostředí, rovnosti žen a mužů a bydlení a aby byly</w:t>
            </w:r>
            <w:r>
              <w:t xml:space="preserve"> platby podmíněny </w:t>
            </w:r>
            <w:r>
              <w:rPr>
                <w:b/>
                <w:i/>
              </w:rPr>
              <w:t>nejen</w:t>
            </w:r>
            <w:r>
              <w:t xml:space="preserve"> dodržováním práv pracovníků</w:t>
            </w:r>
            <w:r>
              <w:rPr>
                <w:b/>
                <w:i/>
              </w:rPr>
              <w:t>, ale také poskytováním přiměřeného bydlení pro pracovníky, opatřeními v oblasti rovnosti žen a mužů a plněním kritérií udržitelnosti v rámci subdodavatelských řetězců</w:t>
            </w:r>
            <w:r>
              <w:t>; vyzývá Komisi, aby při snahách zavést ukládání sociálních podmínek týkajících se evropských pracovních norem do programů financování EU využila zkušeností se začleněním sociální podmíněnosti do společné zemědělské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vítá využívání ukládání sociálních podmínek ve vnitrostátních a evropských systémech a programech</w:t>
            </w:r>
            <w:r>
              <w:t xml:space="preserve"> financování</w:t>
            </w:r>
            <w:r>
              <w:rPr>
                <w:b/>
                <w:i/>
              </w:rPr>
              <w:t>, podle nichž jsou platby podmíněny dodržováním práv pracovníků</w:t>
            </w:r>
            <w:r>
              <w:t xml:space="preserve">; </w:t>
            </w:r>
            <w:r>
              <w:rPr>
                <w:b/>
                <w:i/>
              </w:rPr>
              <w:t>vyzývá Komisi, aby při snahách zavést ukládání sociálních podmínek týkajících se evropských pracovních norem do programů financování EU využila zkušeností se začleněním sociální podmíněnosti do společné zemědělské politiky;</w:t>
            </w:r>
          </w:p>
        </w:tc>
        <w:tc>
          <w:tcPr>
            <w:tcW w:w="4876" w:type="dxa"/>
            <w:tcBorders>
              <w:top w:val="nil"/>
              <w:left w:val="nil"/>
              <w:bottom w:val="nil"/>
              <w:right w:val="nil"/>
            </w:tcBorders>
          </w:tcPr>
          <w:p>
            <w:pPr>
              <w:pStyle w:val="Normal6a"/>
            </w:pPr>
            <w:r>
              <w:t>12.</w:t>
            </w:r>
            <w:r>
              <w:tab/>
            </w:r>
            <w:r>
              <w:rPr>
                <w:b/>
                <w:i/>
              </w:rPr>
              <w:t>připomíná, že v případě zneužívání pracovníků prostřednictvím subdodávek by neměly být k dispozici systémy veřejného</w:t>
            </w:r>
            <w:r>
              <w:t xml:space="preserve">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vítá využívání ukládání sociálních podmínek ve vnitrostátních a evropských systémech a programech financování, podle nichž jsou platby podmíněny dodržováním práv pracovníků;</w:t>
            </w:r>
            <w:r>
              <w:t xml:space="preserve"> </w:t>
            </w:r>
            <w:r>
              <w:rPr>
                <w:b/>
                <w:i/>
              </w:rPr>
              <w:t>vyzývá Komisi, aby při snahách zavést ukládání sociálních podmínek týkajících se evropských pracovních norem do programů financování EU využila zkušeností se začleněním</w:t>
            </w:r>
            <w:r>
              <w:t xml:space="preserve"> sociální podmíněnosti </w:t>
            </w:r>
            <w:r>
              <w:rPr>
                <w:b/>
                <w:i/>
              </w:rPr>
              <w:t>do společné zemědělské politiky</w:t>
            </w:r>
            <w:r>
              <w:t>;</w:t>
            </w:r>
          </w:p>
        </w:tc>
        <w:tc>
          <w:tcPr>
            <w:tcW w:w="4876" w:type="dxa"/>
            <w:tcBorders>
              <w:top w:val="nil"/>
              <w:left w:val="nil"/>
              <w:bottom w:val="nil"/>
              <w:right w:val="nil"/>
            </w:tcBorders>
          </w:tcPr>
          <w:p>
            <w:pPr>
              <w:pStyle w:val="Normal6a"/>
            </w:pPr>
            <w:r>
              <w:t>12.</w:t>
            </w:r>
            <w:r>
              <w:tab/>
            </w:r>
            <w:r>
              <w:rPr>
                <w:b/>
                <w:i/>
              </w:rPr>
              <w:t>podporuje cílené</w:t>
            </w:r>
            <w:r>
              <w:t xml:space="preserve"> sociální podmíněnosti </w:t>
            </w:r>
            <w:r>
              <w:rPr>
                <w:b/>
                <w:i/>
              </w:rPr>
              <w:t>programech EU/vnitrostátních programech se zaměřením na závažná porušení (obchodování s lidmi, nehlášená práce, systematické porušování předpisů BOZP), jasná a přiměřená kritéria a jejich rychlé zrušení pro malé a střední podniky, které dodržují předpisy</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vítá</w:t>
            </w:r>
            <w:r>
              <w:t xml:space="preserve"> využívání ukládání sociálních podmínek ve vnitrostátních a evropských systémech a programech financování</w:t>
            </w:r>
            <w:r>
              <w:rPr>
                <w:b/>
                <w:i/>
              </w:rPr>
              <w:t>, podle nichž jsou platby podmíněny dodržováním práv pracovníků;</w:t>
            </w:r>
            <w:r>
              <w:t xml:space="preserve"> </w:t>
            </w:r>
            <w:r>
              <w:rPr>
                <w:b/>
                <w:i/>
              </w:rPr>
              <w:t>vyzývá Komisi, aby při snahách zavést ukládání sociálních podmínek týkajících se evropských pracovních norem do programů financování EU využila zkušeností se začleněním sociální podmíněnosti do</w:t>
            </w:r>
            <w:r>
              <w:t xml:space="preserve"> společné zemědělské politiky;</w:t>
            </w:r>
          </w:p>
        </w:tc>
        <w:tc>
          <w:tcPr>
            <w:tcW w:w="4876" w:type="dxa"/>
            <w:tcBorders>
              <w:top w:val="nil"/>
              <w:left w:val="nil"/>
              <w:bottom w:val="nil"/>
              <w:right w:val="nil"/>
            </w:tcBorders>
          </w:tcPr>
          <w:p>
            <w:pPr>
              <w:pStyle w:val="Normal6a"/>
            </w:pPr>
            <w:r>
              <w:t>12.</w:t>
            </w:r>
            <w:r>
              <w:tab/>
            </w:r>
            <w:r>
              <w:rPr>
                <w:b/>
                <w:i/>
              </w:rPr>
              <w:t>konstatuje, že</w:t>
            </w:r>
            <w:r>
              <w:t xml:space="preserve"> využívání ukládání sociálních podmínek ve vnitrostátních a evropských systémech a programech financování </w:t>
            </w:r>
            <w:r>
              <w:rPr>
                <w:b/>
                <w:i/>
              </w:rPr>
              <w:t>v rámci</w:t>
            </w:r>
            <w:r>
              <w:t xml:space="preserve"> společné zemědělské politiky </w:t>
            </w:r>
            <w:r>
              <w:rPr>
                <w:b/>
                <w:i/>
              </w:rPr>
              <w:t>není proveditelné, neboť odvětví zemědělství se od podnikatelského sektoru EU výrazně liší, pokud jde o rozsah, strukturu zaměstnanosti a ekonomickou závislost, přičemž zemědělství méně přispívá k HDP, zatímco podnikatelský sektor je větší a zahrnuje miliony mikropodniků a malých podniků vytvářejících mnohem větší přidanou hodnotu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Komisi a členské státy, aby podporovaly začlenění doložek o přínosu pro komunitu do zadávání veřejných zakázek a projektů financovaných EU, které by vyžadovalo, aby subdodavatelé přispívali k rozvoji místních dovedností, iniciativám sociální integrace a environmentálně udržitelným postupům, čímž se zajistí, aby pozitivní účinky veřejných investic přesahovaly rámec bezprostředního pracoviště;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bere na vědomí rozdíly v režimech sankcí v různých oblastech politiky a konstatuje, že v některých odvětvích je výše sankcí vázána na velikost nebo obrat společnosti, aby byla zajištěna proporcionalita a odrazující účinek;</w:t>
            </w:r>
            <w:r>
              <w:t xml:space="preserve"> </w:t>
            </w:r>
            <w:r>
              <w:rPr>
                <w:b/>
                <w:i/>
              </w:rPr>
              <w:t>vybízí Komisi, aby přezkoumala, zda by podobné přístupy mohly posílit vymáhání práva a podpořit rovné podmínky v oblasti bezpečnosti a ochrany zdraví při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131</w:t>
    </w:r>
    <w:r>
      <w:fldChar w:fldCharType="end"/>
    </w:r>
    <w:r>
      <w:tab/>
    </w:r>
    <w:r>
      <w:rPr>
        <w:rStyle w:val="HideTWBExt"/>
      </w:rPr>
      <w:t>&lt;PathFdR&gt;</w:t>
    </w:r>
    <w:r>
      <w:t>AM\1327607CS.docx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AM\1327607CS.docx</w:t>
    </w:r>
    <w:r>
      <w:rPr>
        <w:rStyle w:val="HideTWBExt"/>
      </w:rPr>
      <w:t>&lt;/PathFdR&gt;</w:t>
    </w:r>
    <w:r>
      <w:tab/>
    </w:r>
    <w:r>
      <w:fldChar w:fldCharType="begin"/>
    </w:r>
    <w:r>
      <w:instrText xml:space="preserve"> PAGE </w:instrText>
    </w:r>
    <w:r>
      <w:fldChar w:fldCharType="separate"/>
    </w:r>
    <w:r>
      <w:t>131</w:t>
    </w:r>
    <w:r>
      <w:fldChar w:fldCharType="end"/>
    </w:r>
    <w:r>
      <w:t>/</w:t>
    </w:r>
    <w:r>
      <w:fldChar w:fldCharType="begin"/>
    </w:r>
    <w:r>
      <w:instrText xml:space="preserve"> NUMPAGES </w:instrText>
    </w:r>
    <w:r>
      <w:fldChar w:fldCharType="separate"/>
    </w:r>
    <w:r>
      <w:t>131</w:t>
    </w:r>
    <w:r>
      <w:fldChar w:fldCharType="end"/>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AM\1327607CS.docx</w:t>
    </w:r>
    <w:r>
      <w:rPr>
        <w:rStyle w:val="HideTWBExt"/>
      </w:rPr>
      <w:t>&lt;/PathFdR&gt;</w:t>
    </w:r>
    <w:r>
      <w:tab/>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131</Pages>
  <Words>26351</Words>
  <Characters>165751</Characters>
  <Application>Microsoft Office Word</Application>
  <DocSecurity>0</DocSecurity>
  <Lines>1</Lines>
  <Paragraphs>2343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248181</vt:lpwstr>
  </property>
  <property fmtid="{D5CDD505-2E9C-101B-9397-08002B2CF9AE}" pid="7" name="dmxml.render.traceId">
    <vt:lpwstr>68da90378b1afd3568e484e7a40ce64b</vt:lpwstr>
  </property>
  <property fmtid="{D5CDD505-2E9C-101B-9397-08002B2CF9AE}" pid="8" name="FooterPath">
    <vt:lpwstr>AM\1327607CS.docx</vt:lpwstr>
  </property>
  <property fmtid="{D5CDD505-2E9C-101B-9397-08002B2CF9AE}" pid="9" name="PE Number">
    <vt:lpwstr>776.975</vt:lpwstr>
  </property>
  <property fmtid="{D5CDD505-2E9C-101B-9397-08002B2CF9AE}" pid="10" name="UID">
    <vt:lpwstr>eu.europa.europarl-DIN1-2025-0000170531_02.00-cs-01.00_text-xml</vt:lpwstr>
  </property>
</Properties>
</file>