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Užimtumo ir socialinių reikalų komitetas</w:t>
      </w:r>
      <w:r>
        <w:rPr>
          <w:rStyle w:val="HideTWBExt"/>
        </w:rPr>
        <w:t>&lt;/Commission&gt;</w:t>
      </w:r>
    </w:p>
    <w:p>
      <w:pPr>
        <w:pStyle w:val="LineBottom"/>
      </w:pPr>
      <w:r>
        <w:t xml:space="preserve"> </w:t>
      </w:r>
    </w:p>
    <w:p>
      <w:pPr>
        <w:pStyle w:val="CoverReference"/>
      </w:pPr>
      <w:r>
        <w:rPr>
          <w:rStyle w:val="HideTWBExt"/>
        </w:rPr>
        <w:t>&lt;RefProc&gt;</w:t>
      </w:r>
      <w:r>
        <w:t>2025/2133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{16/09/2025}</w:t>
      </w:r>
      <w:r>
        <w:t>16.9.2025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252</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Johan Danielsson</w:t>
      </w:r>
      <w:r>
        <w:rPr>
          <w:rStyle w:val="HideTWBExt"/>
        </w:rPr>
        <w:t>&lt;/Rapporteur&gt;</w:t>
      </w:r>
    </w:p>
    <w:p>
      <w:pPr>
        <w:pStyle w:val="CoverNormal24a"/>
      </w:pPr>
      <w:r>
        <w:rPr>
          <w:rStyle w:val="HideTWBExt"/>
        </w:rPr>
        <w:t>&lt;DocRefPE&gt;</w:t>
      </w:r>
      <w:r>
        <w:t>(PE775.631v01-00)</w:t>
      </w:r>
      <w:r>
        <w:rPr>
          <w:rStyle w:val="HideTWBExt"/>
        </w:rPr>
        <w:t>&lt;/DocRefPE&gt;</w:t>
      </w:r>
    </w:p>
    <w:p>
      <w:pPr>
        <w:pStyle w:val="CoverNormal"/>
      </w:pPr>
      <w:r>
        <w:rPr>
          <w:rStyle w:val="HideTWBExt"/>
        </w:rPr>
        <w:t>&lt;Titre&gt;</w:t>
      </w:r>
      <w:r>
        <w:t>Sprendimai subrangos grandinių ir tarpininkų vaidmens srityse siekiant apsaugoti darbuotojų teises</w:t>
      </w:r>
      <w:r>
        <w:rPr>
          <w:rStyle w:val="HideTWBExt"/>
        </w:rPr>
        <w:t>&lt;/Titre&gt;</w:t>
      </w:r>
    </w:p>
    <w:p>
      <w:pPr>
        <w:pStyle w:val="CoverNormal24a"/>
      </w:pPr>
      <w:r>
        <w:rPr>
          <w:rStyle w:val="HideTWBExt"/>
        </w:rPr>
        <w:t>&lt;DocRef&gt;</w:t>
      </w:r>
      <w:r>
        <w:t>(2025/2133(INI))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2011 m. balandžio 5 d.</w:t>
            </w:r>
            <w:r>
              <w:t xml:space="preserve"> </w:t>
            </w:r>
            <w:r>
              <w:rPr>
                <w:b/>
                <w:i/>
              </w:rPr>
              <w:t>Europos Parlamento ir Tarybos direktyvą 2011/36/ES dėl prekybos žmonėmis prevencijos, kovos su ja ir aukų apsaugos, pakeičiančią Tarybos pamatinį sprendimą 2002/629/TVR, su pakeitimais, padarytais Direktyva (ES) 2024/1712</w:t>
            </w:r>
            <w:r>
              <w:rPr>
                <w:b/>
                <w:i/>
                <w:vertAlign w:val="superscript"/>
              </w:rPr>
              <w:t>3</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OL L 101, 2011 4 15, p.</w:t>
            </w:r>
            <w:r>
              <w:t xml:space="preserve"> </w:t>
            </w:r>
            <w:r>
              <w:rPr>
                <w:b/>
                <w:i/>
              </w:rPr>
              <w:t>1, ELI:</w:t>
            </w:r>
            <w:r>
              <w:t xml:space="preserve"> </w:t>
            </w:r>
            <w:r>
              <w:rPr>
                <w:b/>
                <w:i/>
              </w:rPr>
              <w:t>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2014 m. gegužės 15 d. Europos Parlamento ir Tarybos direktyvą 2014/67/ES dėl Direktyvos 96/71/EB dėl darbuotojų komandiravimo paslaugų teikimo sistemoje vykdymo užtikrinimo ir kuria iš dalies keičiamas Reglamentas (ES) Nr. 1024/2012 dėl administracinio bendradarbiavimo per Vidaus rinkos informacinę sistemą (IMI reglamentas),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2009 m. birželio 18 d. Europos Parlamento ir Tarybos direktyvą 2009/52/EB, kuria numatomi sankcijų ir priemonių nelegaliai esančių trečiųjų šalių piliečių darbdaviams būtiniausi standartai,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2025 m. gegužės 26 d.</w:t>
            </w:r>
            <w:r>
              <w:t xml:space="preserve"> </w:t>
            </w:r>
            <w:r>
              <w:rPr>
                <w:b/>
                <w:i/>
              </w:rPr>
              <w:t>Komisijos ataskaitą „Europos darbo institucijos (EDI) vertinimas“ (COM(2012)0256),</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2020 m. gruodžio 3 d.</w:t>
            </w:r>
            <w:r>
              <w:t xml:space="preserve"> </w:t>
            </w:r>
            <w:r>
              <w:rPr>
                <w:b/>
                <w:i/>
              </w:rPr>
              <w:t>Komisijos komunikatą „2021–2027 m. ES darbuotojų sveikatos ir saugos strateginė programa Darbuotojų sauga ir sveikata kintančiame darbo pasaulyje“ (COM(2021)0323), įskaitant principą „vizija – nulis“, taikomą su darbu susijusioms mirtims 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EDI ataskaitą „Statybos sektorius:</w:t>
            </w:r>
            <w:r>
              <w:t xml:space="preserve"> </w:t>
            </w:r>
            <w:r>
              <w:rPr>
                <w:b/>
                <w:i/>
              </w:rPr>
              <w:t>Informacijos teikimo, darbo jėgos judumo teisės aktų vykdymo užtikrinimo, socialinės apsaugos koordinavimo taisyklių ir valstybių narių bendradarbiavimo klausimai“,</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https://www.ela.europa.eu/en/publications/construction-sector-issues-information-provision-enforcement-labour-mobility-law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atsižvelgdamas į TDO konvenciją dėl privačių įdarbinimo agentūrų (1997 m. Konvencija Nr. 181),</w:t>
            </w:r>
          </w:p>
        </w:tc>
        <w:tc>
          <w:tcPr>
            <w:tcW w:w="4876" w:type="dxa"/>
            <w:tcBorders>
              <w:top w:val="nil"/>
              <w:left w:val="nil"/>
              <w:bottom w:val="nil"/>
              <w:right w:val="nil"/>
            </w:tcBorders>
          </w:tcPr>
          <w:p>
            <w:pPr>
              <w:pStyle w:val="Normal6a"/>
            </w:pPr>
            <w:r>
              <w:rPr>
                <w:b/>
                <w:i/>
              </w:rPr>
              <w:t>–</w:t>
            </w:r>
            <w:r>
              <w:tab/>
            </w:r>
            <w:r>
              <w:t xml:space="preserve">atsižvelgdamas į TDO konvenciją dėl privačių įdarbinimo agentūrų (1997 m. Konvencija Nr. 181), </w:t>
            </w:r>
            <w:r>
              <w:rPr>
                <w:b/>
                <w:i/>
              </w:rPr>
              <w:t>kurią ratifikavo tik 13 valstybių narių (BE, BG, CZ, FI, FR, HU, IT, LT, NL, PL, PT, SK ir 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atsižvelgdamas į TDO konvenciją dėl saugos ir sveikatos statybos pramonėje (1988 m. Konvencija Nr. 167),</w:t>
            </w:r>
          </w:p>
        </w:tc>
        <w:tc>
          <w:tcPr>
            <w:tcW w:w="4876" w:type="dxa"/>
            <w:tcBorders>
              <w:top w:val="nil"/>
              <w:left w:val="nil"/>
              <w:bottom w:val="nil"/>
              <w:right w:val="nil"/>
            </w:tcBorders>
          </w:tcPr>
          <w:p>
            <w:pPr>
              <w:pStyle w:val="Normal6a"/>
            </w:pPr>
            <w:r>
              <w:rPr>
                <w:b/>
                <w:i/>
              </w:rPr>
              <w:t>–</w:t>
            </w:r>
            <w:r>
              <w:tab/>
            </w:r>
            <w:r>
              <w:t xml:space="preserve">atsižvelgdamas į TDO konvenciją dėl saugos ir sveikatos statybos pramonėje (1988 m. Konvencija Nr. 167), </w:t>
            </w:r>
            <w:r>
              <w:rPr>
                <w:b/>
                <w:i/>
              </w:rPr>
              <w:t>kurią ratifikavo tik 11 valstybių narių (BE, CZ, DK, FI, DE, HU, IT, LU, SK, ES ir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Stokholmo universiteto docento Eriko Sinanderio 2025 m. rugsėjo mėn. ataskaitą „Ar ES gali apriboti subrangą?</w:t>
            </w:r>
            <w:r>
              <w:t xml:space="preserve"> </w:t>
            </w:r>
            <w:r>
              <w:rPr>
                <w:b/>
                <w:i/>
              </w:rPr>
              <w:t>Teisinė perspektyva“,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https://su.diva-portal.org/smash/get/diva2:1994767/FULLTEXT01.pdf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sausio 31 d. Val Diušeso aukščiausiojo lygio susitikimo su socialiniais partneriais aukščiausiojo lygio susitikimo Trišalę deklaraciją dėl klestinčio Europos socialinio dialogo,</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https://ec.europa.eu/social/BlobServlet?docId=27309⟨Id=en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29 d. Komisijos komunikatą „ES konkurencingumo kelrodis“ (COM(2025) 30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rugsėjo 9 d. Mario Draghi pranešimą „Europos konkurencingumo ateitis“ (M. Draghi pranešimas),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rugsėjo [xx] d. Švedijos įmonių konfederacijos vyriausiojo ekonomisto Larso Jagréno ataskaitą „Subrangovų skaičiaus apribojimo iki dviejų pakopų poveikis“ [dar nepaskelbta],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atsižvelgdamas į nacionalines kovos su išnaudojimu darbe, priverčiamuoju darbu ir nedeklaruojamu darbu strategijas</w:t>
            </w:r>
            <w:r>
              <w:rPr>
                <w:vertAlign w:val="superscript"/>
              </w:rPr>
              <w:t>10</w:t>
            </w:r>
            <w:r>
              <w:t>,</w:t>
            </w:r>
          </w:p>
        </w:tc>
        <w:tc>
          <w:tcPr>
            <w:tcW w:w="4876" w:type="dxa"/>
            <w:tcBorders>
              <w:top w:val="nil"/>
              <w:left w:val="nil"/>
              <w:bottom w:val="nil"/>
              <w:right w:val="nil"/>
            </w:tcBorders>
          </w:tcPr>
          <w:p>
            <w:pPr>
              <w:pStyle w:val="Normal6a"/>
            </w:pPr>
            <w:r>
              <w:rPr>
                <w:b/>
                <w:i/>
              </w:rPr>
              <w:t>–</w:t>
            </w:r>
            <w:r>
              <w:tab/>
            </w:r>
            <w:r>
              <w:t>atsižvelgdamas į nacionalines kovos su išnaudojimu darbe, priverčiamuoju darbu ir nedeklaruojamu darbu strategijas</w:t>
            </w:r>
            <w:r>
              <w:rPr>
                <w:vertAlign w:val="superscript"/>
              </w:rPr>
              <w:t>10</w:t>
            </w:r>
            <w:r>
              <w:t xml:space="preserve"> </w:t>
            </w:r>
            <w:r>
              <w:rPr>
                <w:b/>
                <w:i/>
              </w:rPr>
              <w:t>ir į tai</w:t>
            </w:r>
            <w:r>
              <w:t xml:space="preserve">, </w:t>
            </w:r>
            <w:r>
              <w:rPr>
                <w:b/>
                <w:i/>
              </w:rPr>
              <w:t>kad, remiantis Jungtinių Tautų narkotikų kontrolės ir nusikalstamumo prevencijos biuro (UNODC) 2018 m. pasauline ataskaita dėl neteisėto žmonių gabenimo, vien 2016 m. neteisėtai buvo gabenama 2,5 mln. žmonių, gaunant maždaug 5,5–7 mlrd. JAV dolerių ekonominės grąžos iš neteisėtai žmones gabenantiems asmenims sumokėtų mokesčių,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Žr., pvz., Vokietijos federalinės darbo ir socialinių reikalų ministerijos Nationaler Aktionsplan gegen Arbeitsausbeutung und Zwangsarbeit (2025); Italijos darbo ir socialinės politikos ministerijos Piano nazionale per la lotta al lavoro sommerso (2022); Ispanijos įtraukties, socialinės apsaugos ir migracijos ministerijos Plan de Acción contra el Trabajo Forzoso (2021); Švedijos vyriausybės Nationell strategi mot arbetslivskriminalitet (2022) ir papildomai Norvegijos vyriausybės Strategi mot arbeidslivskriminalitet (2021).</w:t>
            </w:r>
          </w:p>
        </w:tc>
        <w:tc>
          <w:tcPr>
            <w:tcW w:w="4876" w:type="dxa"/>
            <w:tcBorders>
              <w:top w:val="nil"/>
              <w:left w:val="nil"/>
              <w:bottom w:val="nil"/>
              <w:right w:val="nil"/>
            </w:tcBorders>
          </w:tcPr>
          <w:p>
            <w:pPr>
              <w:pStyle w:val="Normal6a"/>
            </w:pPr>
            <w:r>
              <w:rPr>
                <w:vertAlign w:val="superscript"/>
              </w:rPr>
              <w:t>10</w:t>
            </w:r>
            <w:r>
              <w:t xml:space="preserve"> </w:t>
            </w:r>
            <w:r>
              <w:t xml:space="preserve">Žr., pvz., Vokietijos federalinės darbo ir socialinių reikalų ministerijos Nationaler Aktionsplan gegen Arbeitsausbeutung und Zwangsarbeit (2025); Italijos darbo ir socialinės politikos ministerijos Piano nazionale per la lotta al lavoro sommerso (2022); Ispanijos įtraukties, socialinės apsaugos ir migracijos ministerijos Plan de Acción contra el Trabajo Forzoso (2021); Švedijos vyriausybės Nationell strategi mot arbetslivskriminalitet (2022 </w:t>
            </w:r>
            <w:r>
              <w:rPr>
                <w:b/>
                <w:i/>
              </w:rPr>
              <w:t>m.</w:t>
            </w:r>
            <w:r>
              <w:t xml:space="preserve">) ir papildomai Norvegijos vyriausybės Strategi mot arbeidslivskriminalitet (2021 </w:t>
            </w:r>
            <w:r>
              <w:rPr>
                <w:b/>
                <w:i/>
              </w:rPr>
              <w:t>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2009 m. birželio 18 d. Europos Parlamento ir Tarybos direktyvą 2009/52/EB, kuria numatomi sankcijų ir priemonių nelegaliai esančių trečiųjų šalių piliečių darbdaviams būtiniausi standartai (Direktyva dėl sankcijų darbdaviams),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Teisingumo Teismo sprendimą UAB „Borta“, C-298/15, EU:C:2017:266, susijusį su viešaisiais pirkimais,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kadangi išnaudojimas darbe ir piktnaudžiavimas ES darbo rinkoje yra plačiai paplitusi ir neatidėliotina problema, pasireiškianti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w:t>
            </w:r>
            <w:r>
              <w:rPr>
                <w:b/>
                <w:i/>
              </w:rPr>
              <w:t>rinkoje</w:t>
            </w:r>
            <w:r>
              <w:t xml:space="preserve"> yra plačiai paplitusi ir neatidėliotina problema, </w:t>
            </w:r>
            <w:r>
              <w:rPr>
                <w:b/>
                <w:i/>
              </w:rPr>
              <w:t>pasireiškianti</w:t>
            </w:r>
            <w:r>
              <w:t xml:space="preserve">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t>A.</w:t>
            </w:r>
            <w:r>
              <w:tab/>
            </w:r>
            <w:r>
              <w:t xml:space="preserve">kadangi išnaudojimas darbe ir piktnaudžiavimas </w:t>
            </w:r>
            <w:r>
              <w:rPr>
                <w:b/>
                <w:i/>
              </w:rPr>
              <w:t>kai kuriuose</w:t>
            </w:r>
            <w:r>
              <w:t xml:space="preserve"> ES darbo </w:t>
            </w:r>
            <w:r>
              <w:rPr>
                <w:b/>
                <w:i/>
              </w:rPr>
              <w:t>rinkos didelės rizikos sektoriuose</w:t>
            </w:r>
            <w:r>
              <w:t xml:space="preserve"> yra plačiai paplitusi ir neatidėliotina problema, </w:t>
            </w:r>
            <w:r>
              <w:rPr>
                <w:b/>
                <w:i/>
              </w:rPr>
              <w:t>įvardijama</w:t>
            </w:r>
            <w:r>
              <w:t xml:space="preserve"> įvairiais terminais, įskaitant su darbu susijusį nusikalstamumą, nedeklaruojamą darbą, šešėlinę ekonomiką, socialinį dempingą, išnaudojimą darbe ir šiuolaikinę vergovę, bet jais neapsiribojant; </w:t>
            </w:r>
            <w:r>
              <w:rPr>
                <w:b/>
                <w:i/>
              </w:rPr>
              <w:t>kadangi ši neteisėta praktika jau yra įtraukta į galiojančius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rinkoje yra plačiai paplitusi ir neatidėliotina problema, </w:t>
            </w:r>
            <w:r>
              <w:rPr>
                <w:b/>
                <w:i/>
              </w:rPr>
              <w:t>pasireiškianti</w:t>
            </w:r>
            <w:r>
              <w:t xml:space="preserve">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t>A.</w:t>
            </w:r>
            <w:r>
              <w:tab/>
            </w:r>
            <w:r>
              <w:t xml:space="preserve">kadangi išnaudojimas darbe ir piktnaudžiavimas </w:t>
            </w:r>
            <w:r>
              <w:rPr>
                <w:b/>
                <w:i/>
              </w:rPr>
              <w:t>tam tikrais atvejais ir riziką keliančiuose sektoriuose</w:t>
            </w:r>
            <w:r>
              <w:t xml:space="preserve"> ES darbo rinkoje yra plačiai paplitusi ir neatidėliotina problema, </w:t>
            </w:r>
            <w:r>
              <w:rPr>
                <w:b/>
                <w:i/>
              </w:rPr>
              <w:t>vadinama nelegaliu darbu, įvardijama</w:t>
            </w:r>
            <w:r>
              <w:t xml:space="preserve"> įvairiais terminais, įskaitant su darbu susijusį nusikalstamumą, nedeklaruojamą darbą, šešėlinę ekonomiką, socialinį dempingą, išnaudojimą darbe ir šiuolaikinę vergovę, bet jais neapsiribojant;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rinkoje yra plačiai paplitusi ir neatidėliotina problema, </w:t>
            </w:r>
            <w:r>
              <w:rPr>
                <w:b/>
                <w:i/>
              </w:rPr>
              <w:t>pasireiškianti</w:t>
            </w:r>
            <w:r>
              <w:t xml:space="preserve">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t>A.</w:t>
            </w:r>
            <w:r>
              <w:tab/>
            </w:r>
            <w:r>
              <w:t xml:space="preserve">kadangi išnaudojimas darbe ir piktnaudžiavimas ES darbo rinkoje yra plačiai paplitusi ir neatidėliotina problema, </w:t>
            </w:r>
            <w:r>
              <w:rPr>
                <w:b/>
                <w:i/>
              </w:rPr>
              <w:t>įvardijama</w:t>
            </w:r>
            <w:r>
              <w:t xml:space="preserve"> įvairiais terminais, įskaitant su darbu susijusį nusikalstamumą, nedeklaruojamą darbą, šešėlinę ekonomiką, socialinį dempingą </w:t>
            </w:r>
            <w:r>
              <w:rPr>
                <w:b/>
                <w:i/>
              </w:rPr>
              <w:t>ir neteisėtą migraciją</w:t>
            </w:r>
            <w:r>
              <w:t>, išnaudojimą darbe ir šiuolaikinę vergovę, bet jais neapsiribojant;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rinkoje yra </w:t>
            </w:r>
            <w:r>
              <w:rPr>
                <w:b/>
                <w:i/>
              </w:rPr>
              <w:t>plačiai paplitusi ir neatidėliotina</w:t>
            </w:r>
            <w:r>
              <w:t xml:space="preserve"> problema, pasireiškianti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t>A.</w:t>
            </w:r>
            <w:r>
              <w:tab/>
            </w:r>
            <w:r>
              <w:t>kadangi išnaudojimas darbe ir piktnaudžiavimas ES darbo rinkoje yra problema</w:t>
            </w:r>
            <w:r>
              <w:rPr>
                <w:b/>
                <w:i/>
              </w:rPr>
              <w:t>, kuri labiau pastebima tam tikruose sektoriuose ir kai kuriose valstybėse narėse</w:t>
            </w:r>
            <w:r>
              <w:t xml:space="preserve">, pasireiškianti </w:t>
            </w:r>
            <w:r>
              <w:rPr>
                <w:b/>
                <w:i/>
              </w:rPr>
              <w:t>įvairiomis formomis ir įvardijama</w:t>
            </w:r>
            <w:r>
              <w:t xml:space="preserve"> įvairiais terminais, įskaitant su darbu susijusį nusikalstamumą, nedeklaruojamą darbą, šešėlinę ekonomiką, socialinį dempingą, išnaudojimą darbe ir šiuolaikinę vergovę, bet jais neapsiribojant;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rinkoje yra </w:t>
            </w:r>
            <w:r>
              <w:rPr>
                <w:b/>
                <w:i/>
              </w:rPr>
              <w:t>plačiai paplitusi ir neatidėliotina</w:t>
            </w:r>
            <w:r>
              <w:t xml:space="preserve"> problema, pasireiškianti įvairiais terminais, įskaitant su darbu susijusį nusikalstamumą, nedeklaruojamą darbą, šešėlinę ekonomiką, socialinį dempingą</w:t>
            </w:r>
            <w:r>
              <w:rPr>
                <w:b/>
                <w:i/>
              </w:rPr>
              <w:t>,</w:t>
            </w:r>
            <w:r>
              <w:t xml:space="preserve"> išnaudojimą darbe </w:t>
            </w:r>
            <w:r>
              <w:rPr>
                <w:b/>
                <w:i/>
              </w:rPr>
              <w:t>ir šiuolaikinę vergovę</w:t>
            </w:r>
            <w:r>
              <w:t>, bet jais neapsiribojant;</w:t>
            </w:r>
          </w:p>
        </w:tc>
        <w:tc>
          <w:tcPr>
            <w:tcW w:w="4876" w:type="dxa"/>
            <w:tcBorders>
              <w:top w:val="nil"/>
              <w:left w:val="nil"/>
              <w:bottom w:val="nil"/>
              <w:right w:val="nil"/>
            </w:tcBorders>
          </w:tcPr>
          <w:p>
            <w:pPr>
              <w:pStyle w:val="Normal6a"/>
            </w:pPr>
            <w:r>
              <w:t>A.</w:t>
            </w:r>
            <w:r>
              <w:tab/>
            </w:r>
            <w:r>
              <w:t xml:space="preserve">kadangi išnaudojimas darbe ir piktnaudžiavimas ES darbo rinkoje yra problema, pasireiškianti įvairiais terminais, įskaitant su darbu susijusį nusikalstamumą, nedeklaruojamą darbą, šešėlinę ekonomiką, socialinį dempingą </w:t>
            </w:r>
            <w:r>
              <w:rPr>
                <w:b/>
                <w:i/>
              </w:rPr>
              <w:t>ir</w:t>
            </w:r>
            <w:r>
              <w:t xml:space="preserve"> išnaudojimą darbe, bet jais neapsiribojant;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išnaudojimas darbe ir piktnaudžiavimas ES darbo rinkoje yra </w:t>
            </w:r>
            <w:r>
              <w:rPr>
                <w:b/>
                <w:i/>
              </w:rPr>
              <w:t>plačiai paplitusi ir neatidėliotina</w:t>
            </w:r>
            <w:r>
              <w:t xml:space="preserve"> problema, </w:t>
            </w:r>
            <w:r>
              <w:rPr>
                <w:b/>
                <w:i/>
              </w:rPr>
              <w:t>pasireiškianti</w:t>
            </w:r>
            <w:r>
              <w:t xml:space="preserve"> įvairiais terminais, įskaitant su darbu susijusį nusikalstamumą, nedeklaruojamą darbą, šešėlinę ekonomiką, socialinį dempingą, išnaudojimą darbe ir šiuolaikinę vergovę, bet jais neapsiribojant;</w:t>
            </w:r>
          </w:p>
        </w:tc>
        <w:tc>
          <w:tcPr>
            <w:tcW w:w="4876" w:type="dxa"/>
            <w:tcBorders>
              <w:top w:val="nil"/>
              <w:left w:val="nil"/>
              <w:bottom w:val="nil"/>
              <w:right w:val="nil"/>
            </w:tcBorders>
          </w:tcPr>
          <w:p>
            <w:pPr>
              <w:pStyle w:val="Normal6a"/>
            </w:pPr>
            <w:r>
              <w:t>A.</w:t>
            </w:r>
            <w:r>
              <w:tab/>
            </w:r>
            <w:r>
              <w:t xml:space="preserve">kadangi išnaudojimas darbe ir piktnaudžiavimas ES darbo rinkoje yra problema, </w:t>
            </w:r>
            <w:r>
              <w:rPr>
                <w:b/>
                <w:i/>
              </w:rPr>
              <w:t>įvardijama</w:t>
            </w:r>
            <w:r>
              <w:t xml:space="preserve"> įvairiais terminais, įskaitant su darbu susijusį nusikalstamumą, nedeklaruojamą darbą, šešėlinę ekonomiką, socialinį dempingą, išnaudojimą darbe ir šiuolaikinę vergovę, bet jais neapsiribojant;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sektoriai, kuriuose nuolat kyla didelė rizika visose valstybėse narėse, apima statybos, žemės ūkio, apgyvendinimo ir maitinimo paslaugų, namų ūkio darbų, transporto ir logistikos, mėsos ir maisto perdirbimo, valymo ir priežiūros paslaugų sektorius;</w:t>
            </w:r>
            <w:r>
              <w:t xml:space="preserve"> </w:t>
            </w:r>
            <w:r>
              <w:rPr>
                <w:b/>
                <w:i/>
              </w:rPr>
              <w:t>kadangi statybų sektoriuje ypač susiduriama su didėjančiu darbo jėgos trūkumu, kurį dar labiau didina piktnaudžiavimas subrangos praktika;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išnaudojimo ir piktnaudžiavimo darbe pasekmės daro poveikį ne tik darbuotojams, kuriems taikomos nesąžiningos ir nesaugios darbo sąlygos, kurie gauna nepakankamą darbo užmokestį, gyvena labai prastos kokybės būste ir dirba mažų garantijų darbą, bet jos taip pat daro poveikį ir įmonėms, ypač MVĮ, kurios susiduria su nesąžininga konkurencija ir rinkos iškraipymais;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didžioji dalis šių pažeidimų ir trūkumų yra susiję su valstybėse narėse neteisėtai esančiais darbuotojais ir yra prieš juos nukreipti;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Europolas pabrėžia, kad 86 proc. didžiausią grėsmę keliančių nusikaltėlių tinklų, vykdydami nusikalstamą veiklą, naudojasi teisėtomis verslo struktūromis;</w:t>
            </w:r>
          </w:p>
        </w:tc>
        <w:tc>
          <w:tcPr>
            <w:tcW w:w="4876" w:type="dxa"/>
            <w:tcBorders>
              <w:top w:val="nil"/>
              <w:left w:val="nil"/>
              <w:bottom w:val="nil"/>
              <w:right w:val="nil"/>
            </w:tcBorders>
          </w:tcPr>
          <w:p>
            <w:pPr>
              <w:pStyle w:val="Normal6a"/>
            </w:pPr>
            <w:r>
              <w:t>B.</w:t>
            </w:r>
            <w:r>
              <w:tab/>
            </w:r>
            <w:r>
              <w:t xml:space="preserve">kadangi Europolas pabrėžia, kad 86 proc. didžiausią grėsmę keliančių nusikaltėlių tinklų, vykdydami nusikalstamą veiklą, naudojasi teisėtomis verslo struktūromis; </w:t>
            </w:r>
            <w:r>
              <w:rPr>
                <w:b/>
                <w:i/>
              </w:rPr>
              <w:t>kadangi Europos darbo institucijos analizė ir operatyvinė veikla rodo, kad padidėjo išnaudojimo ir piktnaudžiavimo darbe rizika, susijusi su ilgomis ir sudėtingomis subrangos grandinėmis, taip pat nesąžiningomis tarpininkavimo darbo srityje formomis, pasireiškianti kaip nesumokėtas darbo užmokestis ir socialinio draudimo įmokos, blogėjančios darbo sąlygos ir saugos standartai, priklausomybė ir nesaugumas, suskaidytos darbo vietos, informacijos ir konsultacijų trūkumas, darbdavio atsakomybės vengimas ir 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Europolas pabrėžia, kad 86 proc. didžiausią grėsmę keliančių nusikaltėlių tinklų, vykdydami nusikalstamą veiklą, naudojasi teisėtomis verslo struktūromis;</w:t>
            </w:r>
          </w:p>
        </w:tc>
        <w:tc>
          <w:tcPr>
            <w:tcW w:w="4876" w:type="dxa"/>
            <w:tcBorders>
              <w:top w:val="nil"/>
              <w:left w:val="nil"/>
              <w:bottom w:val="nil"/>
              <w:right w:val="nil"/>
            </w:tcBorders>
          </w:tcPr>
          <w:p>
            <w:pPr>
              <w:pStyle w:val="Normal6a"/>
            </w:pPr>
            <w:r>
              <w:t>B.</w:t>
            </w:r>
            <w:r>
              <w:tab/>
            </w:r>
            <w:r>
              <w:t>kadangi Europolas pabrėžia, kad 86 proc. didžiausią grėsmę keliančių nusikaltėlių tinklų, vykdydami nusikalstamą veiklą, naudojasi teisėtomis verslo struktūromis</w:t>
            </w:r>
            <w:r>
              <w:rPr>
                <w:b/>
                <w:i/>
              </w:rPr>
              <w:t>, o tai kelia didelę grėsmę sąžiningai konkurencijai Europos bendrojoje rinkoje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daugumoje sektorių, kuriems būdinga didelė išnaudojimo darbe rizika, dažniausias lemiamas veiksnys yra didelis darbo intensyvumas, taip pat priklausomybė nuo ilgų ir sudėtingų subrangos grandinių, piktnaudžiaujantys įdarbinimo tarpininkai, taip pat didelė priklausomybė nuo komandiruotų darbuotojų, ES mobiliųjų darbuotojų ir trečiųjų šalių piliečių;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daugumoje sektorių, kuriems būdinga didelė išnaudojimo darbe rizika, dažniausias lemiamas veiksnys yra didelis darbo intensyvumas, taip pat priklausomybė nuo ilgų ir sudėtingų subrangos grandinių, piktnaudžiaujantys įdarbinimo tarpininkai, taip pat didelė priklausomybė nuo komandiruotų darbuotojų, ES mobiliųjų darbuotojų ir trečiųjų šalių piliečių;</w:t>
            </w:r>
          </w:p>
        </w:tc>
        <w:tc>
          <w:tcPr>
            <w:tcW w:w="4876" w:type="dxa"/>
            <w:tcBorders>
              <w:top w:val="nil"/>
              <w:left w:val="nil"/>
              <w:bottom w:val="nil"/>
              <w:right w:val="nil"/>
            </w:tcBorders>
          </w:tcPr>
          <w:p>
            <w:pPr>
              <w:pStyle w:val="Normal6a"/>
            </w:pPr>
            <w:r>
              <w:t>C.</w:t>
            </w:r>
            <w:r>
              <w:tab/>
            </w:r>
            <w:r>
              <w:t xml:space="preserve">kadangi daugumoje sektorių, kuriems būdinga didelė išnaudojimo darbe rizika, dažniausias lemiamas veiksnys yra didelis darbo intensyvumas, taip pat priklausomybė nuo ilgų ir </w:t>
            </w:r>
            <w:r>
              <w:rPr>
                <w:b/>
                <w:i/>
              </w:rPr>
              <w:t>vertikaliai ir horizontaliai</w:t>
            </w:r>
            <w:r>
              <w:t xml:space="preserve"> sudėtingų subrangos grandinių, piktnaudžiaujantys įdarbinimo tarpininkai, taip pat didelė priklausomybė nuo komandiruotų darbuotojų, ES mobiliųjų darbuotojų ir trečiųjų šalių piliečių; </w:t>
            </w:r>
            <w:r>
              <w:rPr>
                <w:b/>
                <w:i/>
              </w:rPr>
              <w:t>kadangi rėmimasis nestandartinėmis užimtumo formomis ir sudėtingais tarpvalstybiniais susitarimais mažina darbuotojų teises ir darbdavių atsakomybę ir dar labiau apsunkina informuotumą apie darbo teisės aktus ir taikomas kolektyvines sutartis, jų stebėseną ir vykdymo užtikrinimą;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daugumoje sektorių, kuriems būdinga didelė išnaudojimo darbe rizika, dažniausias lemiamas veiksnys yra didelis darbo intensyvumas, taip pat priklausomybė nuo ilgų ir sudėtingų subrangos grandinių, piktnaudžiaujantys įdarbinimo tarpininkai, taip pat didelė priklausomybė nuo komandiruotų darbuotojų</w:t>
            </w:r>
            <w:r>
              <w:rPr>
                <w:b/>
                <w:i/>
              </w:rPr>
              <w:t>,</w:t>
            </w:r>
            <w:r>
              <w:t xml:space="preserve"> ES mobiliųjų darbuotojų </w:t>
            </w:r>
            <w:r>
              <w:rPr>
                <w:b/>
                <w:i/>
              </w:rPr>
              <w:t>ir</w:t>
            </w:r>
            <w:r>
              <w:t xml:space="preserve"> trečiųjų šalių </w:t>
            </w:r>
            <w:r>
              <w:rPr>
                <w:b/>
                <w:i/>
              </w:rPr>
              <w:t>piliečių</w:t>
            </w:r>
            <w:r>
              <w:t>;</w:t>
            </w:r>
          </w:p>
        </w:tc>
        <w:tc>
          <w:tcPr>
            <w:tcW w:w="4876" w:type="dxa"/>
            <w:tcBorders>
              <w:top w:val="nil"/>
              <w:left w:val="nil"/>
              <w:bottom w:val="nil"/>
              <w:right w:val="nil"/>
            </w:tcBorders>
          </w:tcPr>
          <w:p>
            <w:pPr>
              <w:pStyle w:val="Normal6a"/>
            </w:pPr>
            <w:r>
              <w:t>C.</w:t>
            </w:r>
            <w:r>
              <w:tab/>
            </w:r>
            <w:r>
              <w:t xml:space="preserve">kadangi daugumoje sektorių, kuriems būdinga didelė išnaudojimo darbe rizika, dažniausias lemiamas veiksnys yra didelis darbo intensyvumas, taip pat priklausomybė nuo ilgų ir sudėtingų subrangos grandinių, piktnaudžiaujantys įdarbinimo tarpininkai, taip pat didelė priklausomybė nuo komandiruotų darbuotojų </w:t>
            </w:r>
            <w:r>
              <w:rPr>
                <w:b/>
                <w:i/>
              </w:rPr>
              <w:t>ir</w:t>
            </w:r>
            <w:r>
              <w:t xml:space="preserve"> ES mobiliųjų darbuotojų </w:t>
            </w:r>
            <w:r>
              <w:rPr>
                <w:b/>
                <w:i/>
              </w:rPr>
              <w:t>mažumos, taip pat nuo didelės dalies darbuotojų, kurie yra</w:t>
            </w:r>
            <w:r>
              <w:t xml:space="preserve"> trečiųjų šalių </w:t>
            </w:r>
            <w:r>
              <w:rPr>
                <w:b/>
                <w:i/>
              </w:rPr>
              <w:t>piliečiai ir neteisėti migrantai, susiduriantys su vergijos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daugumoje sektorių, kuriems būdinga didelė išnaudojimo darbe rizika, dažniausias lemiamas veiksnys yra </w:t>
            </w:r>
            <w:r>
              <w:rPr>
                <w:b/>
                <w:i/>
              </w:rPr>
              <w:t>didelis darbo intensyvumas, taip pat priklausomybė nuo ilgų ir sudėtingų subrangos grandinių, piktnaudžiaujantys įdarbinimo tarpininkai, taip pat didelė priklausomybė nuo</w:t>
            </w:r>
            <w:r>
              <w:t xml:space="preserve"> komandiruotų darbuotojų, ES mobiliųjų darbuotojų ir trečiųjų šalių piliečių;</w:t>
            </w:r>
          </w:p>
        </w:tc>
        <w:tc>
          <w:tcPr>
            <w:tcW w:w="4876" w:type="dxa"/>
            <w:tcBorders>
              <w:top w:val="nil"/>
              <w:left w:val="nil"/>
              <w:bottom w:val="nil"/>
              <w:right w:val="nil"/>
            </w:tcBorders>
          </w:tcPr>
          <w:p>
            <w:pPr>
              <w:pStyle w:val="Normal6a"/>
            </w:pPr>
            <w:r>
              <w:t>C.</w:t>
            </w:r>
            <w:r>
              <w:tab/>
            </w:r>
            <w:r>
              <w:t xml:space="preserve">kadangi daugumoje sektorių, kuriems būdinga didelė išnaudojimo darbe rizika, dažniausias lemiamas veiksnys yra </w:t>
            </w:r>
            <w:r>
              <w:rPr>
                <w:b/>
                <w:i/>
              </w:rPr>
              <w:t>skaidrumo ir tinkamo vykdymo užtikrinimo trūkumas, visų pirma susijęs su</w:t>
            </w:r>
            <w:r>
              <w:t xml:space="preserve"> komandiruotų darbuotojų, ES mobiliųjų darbuotojų ir trečiųjų šalių piliečių </w:t>
            </w:r>
            <w:r>
              <w:rPr>
                <w:b/>
                <w:i/>
              </w:rPr>
              <w:t>leidimais, mokesčiais ir tapatybe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sukčiaujančių ir nusikalstamų subjektų buvimas Europos darbo vietose taip pat kelia pavojų saugumui, ypač kai tai daro poveikį ypatingos svarbos infrastruktūros sektoriams, pvz., transporto ir logistikos, statybos, energetikos ir sveikatos priežiūros sektoriams arba veiklai, kurią vykdant galima patekti į saugumo požiūriu svarbias darbo vietas, visų pirma valymo ir priežiūros paslaugų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subranga turėtų būti grindžiama specializuotų ekspertinių žinių poreikiu arba nepagrindinėms užduotims, kurios nėra susijusios su pagrindine įmonės veikla, perduoti atlikti rangovų arba subrangos įmonių įdarbintiems darbuotojams mažiau palankiomis sąlygomis, o ne naudojama įmonių pagrindinei veiklai vykdyti;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didelė dalis piktnaudžiavimo ir trūkumų, susijusių su darbo teise ir sąžininga darbuotojų konkurencija, visada buvo susijusi su komandiruotu darbu;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darbuotojų sveikatos ir saugos teisės aktų nesilaikymas yra sudedamoji išnaudojimo darbe dalis, todėl kenkiama požiūriui į nulinio su darbu susijusių mirčių skaičiaus viziją, kaip nustatyta Komisijos 2021–2027 m. ES darbuotojų sveikatos ir saugos strateginėje programoje;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EDI duomenimis, komandiruojama vis daugiau trečiųjų šalių </w:t>
            </w:r>
            <w:r>
              <w:rPr>
                <w:b/>
                <w:i/>
              </w:rPr>
              <w:t>piliečių</w:t>
            </w:r>
            <w:r>
              <w:t>, o 2022 m. vienas iš keturių komandiruotų darbuotojų buvo trečiosios šalies pilietis;</w:t>
            </w:r>
          </w:p>
        </w:tc>
        <w:tc>
          <w:tcPr>
            <w:tcW w:w="4876" w:type="dxa"/>
            <w:tcBorders>
              <w:top w:val="nil"/>
              <w:left w:val="nil"/>
              <w:bottom w:val="nil"/>
              <w:right w:val="nil"/>
            </w:tcBorders>
          </w:tcPr>
          <w:p>
            <w:pPr>
              <w:pStyle w:val="Normal6a"/>
            </w:pPr>
            <w:r>
              <w:t>D.</w:t>
            </w:r>
            <w:r>
              <w:tab/>
            </w:r>
            <w:r>
              <w:t xml:space="preserve">kadangi, EDI duomenimis, komandiruojama vis daugiau </w:t>
            </w:r>
            <w:r>
              <w:rPr>
                <w:b/>
                <w:i/>
              </w:rPr>
              <w:t>darbuotojų, kurie yra</w:t>
            </w:r>
            <w:r>
              <w:t xml:space="preserve"> trečiųjų šalių </w:t>
            </w:r>
            <w:r>
              <w:rPr>
                <w:b/>
                <w:i/>
              </w:rPr>
              <w:t>piliečiai</w:t>
            </w:r>
            <w:r>
              <w:t xml:space="preserve">, o 2022 m. vienas iš keturių komandiruotų darbuotojų buvo trečiosios šalies pilietis; </w:t>
            </w:r>
            <w:r>
              <w:rPr>
                <w:b/>
                <w:i/>
              </w:rPr>
              <w:t>kadangi mobilieji darbuotojai ir darbuotojai migrantai ypač dažnai susiduria su nesąžiningais tarpininkais, įsikūrusiais darbuotojų kilmės šalyse arba paskirties šalyse, ir kurie darbuotojus įsuka į neišbrendamą priklausomybės nuo vizų, pernelyg didelių mokesčių darbuotojams už įdarbinimą, keliones ir apgyvendinimą spiralę;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EDI duomenimis</w:t>
            </w:r>
            <w:r>
              <w:t>, komandiruojama vis daugiau trečiųjų šalių piliečių, o 2022 m. vienas iš keturių komandiruotų darbuotojų buvo trečiosios šalies pilietis;</w:t>
            </w:r>
          </w:p>
        </w:tc>
        <w:tc>
          <w:tcPr>
            <w:tcW w:w="4876" w:type="dxa"/>
            <w:tcBorders>
              <w:top w:val="nil"/>
              <w:left w:val="nil"/>
              <w:bottom w:val="nil"/>
              <w:right w:val="nil"/>
            </w:tcBorders>
          </w:tcPr>
          <w:p>
            <w:pPr>
              <w:pStyle w:val="Normal6a"/>
            </w:pPr>
            <w:r>
              <w:t>D.</w:t>
            </w:r>
            <w:r>
              <w:tab/>
            </w:r>
            <w:r>
              <w:t xml:space="preserve">kadangi, </w:t>
            </w:r>
            <w:r>
              <w:rPr>
                <w:b/>
                <w:i/>
              </w:rPr>
              <w:t>remiantis EDI neišsamiu tyrimu</w:t>
            </w:r>
            <w:r>
              <w:t xml:space="preserve">, </w:t>
            </w:r>
            <w:r>
              <w:rPr>
                <w:b/>
                <w:i/>
              </w:rPr>
              <w:t>kuriame dėmesys sutelktas tik į labai ribotai atrinktus sektorius, pasirinktuose sektoriuose</w:t>
            </w:r>
            <w:r>
              <w:t xml:space="preserve"> komandiruojama vis daugiau trečiųjų šalių piliečių, o 2022 m. vienas iš keturių komandiruotų darbuotojų buvo trečiosios šalies pilietis; </w:t>
            </w:r>
            <w:r>
              <w:rPr>
                <w:b/>
                <w:i/>
              </w:rPr>
              <w:t>kadangi komandiruoti darbuotojai saugomi komandiravimo teisės aktais;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EDI duomenimis, komandiruojama vis daugiau trečiųjų šalių piliečių, o 2022 m. vienas iš keturių komandiruotų darbuotojų buvo trečiosios šalies pilietis;</w:t>
            </w:r>
          </w:p>
        </w:tc>
        <w:tc>
          <w:tcPr>
            <w:tcW w:w="4876" w:type="dxa"/>
            <w:tcBorders>
              <w:top w:val="nil"/>
              <w:left w:val="nil"/>
              <w:bottom w:val="nil"/>
              <w:right w:val="nil"/>
            </w:tcBorders>
          </w:tcPr>
          <w:p>
            <w:pPr>
              <w:pStyle w:val="Normal6a"/>
            </w:pPr>
            <w:r>
              <w:t>D.</w:t>
            </w:r>
            <w:r>
              <w:tab/>
            </w:r>
            <w:r>
              <w:t>kadangi, EDI duomenimis, komandiruojama vis daugiau trečiųjų šalių piliečių, o 2022 m. vienas iš keturių komandiruotų darbuotojų buvo trečiosios šalies pilietis</w:t>
            </w:r>
            <w:r>
              <w:rPr>
                <w:b/>
                <w:i/>
              </w:rPr>
              <w:t>, sprendžiant pagal tyrimo metodiką, kurioje atsižvelgta tik į statybų ir vidaus sektorius tam tikrose bylų tyrimo šalyse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EDI duomenimis, komandiruojama vis daugiau trečiųjų šalių piliečių, o 2022 m. vienas iš keturių komandiruotų darbuotojų buvo trečiosios šalies pilietis;</w:t>
            </w:r>
          </w:p>
        </w:tc>
        <w:tc>
          <w:tcPr>
            <w:tcW w:w="4876" w:type="dxa"/>
            <w:tcBorders>
              <w:top w:val="nil"/>
              <w:left w:val="nil"/>
              <w:bottom w:val="nil"/>
              <w:right w:val="nil"/>
            </w:tcBorders>
          </w:tcPr>
          <w:p>
            <w:pPr>
              <w:pStyle w:val="Normal6a"/>
            </w:pPr>
            <w:r>
              <w:t>D.</w:t>
            </w:r>
            <w:r>
              <w:tab/>
            </w:r>
            <w:r>
              <w:t xml:space="preserve">kadangi, EDI duomenimis, komandiruojama vis daugiau trečiųjų šalių piliečių, o 2022 m. vienas iš keturių komandiruotų darbuotojų buvo trečiosios šalies pilietis; </w:t>
            </w:r>
            <w:r>
              <w:rPr>
                <w:b/>
                <w:i/>
              </w:rPr>
              <w:t>kadangi trečiųjų šalių piliečiams profesinės sąjungos paprastai atstovauja mažiau ir jiems sunkiau ginti savo teises ir naudotis teisingumo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EDI duomenimis, komandiruojama vis daugiau trečiųjų šalių </w:t>
            </w:r>
            <w:r>
              <w:rPr>
                <w:b/>
                <w:i/>
              </w:rPr>
              <w:t>piliečių</w:t>
            </w:r>
            <w:r>
              <w:t>, o 2022 m. vienas iš keturių komandiruotų darbuotojų buvo trečiosios šalies pilietis;</w:t>
            </w:r>
          </w:p>
        </w:tc>
        <w:tc>
          <w:tcPr>
            <w:tcW w:w="4876" w:type="dxa"/>
            <w:tcBorders>
              <w:top w:val="nil"/>
              <w:left w:val="nil"/>
              <w:bottom w:val="nil"/>
              <w:right w:val="nil"/>
            </w:tcBorders>
          </w:tcPr>
          <w:p>
            <w:pPr>
              <w:pStyle w:val="Normal6a"/>
            </w:pPr>
            <w:r>
              <w:t>D.</w:t>
            </w:r>
            <w:r>
              <w:tab/>
            </w:r>
            <w:r>
              <w:t xml:space="preserve">kadangi, EDI duomenimis, komandiruojama vis daugiau </w:t>
            </w:r>
            <w:r>
              <w:rPr>
                <w:b/>
                <w:i/>
              </w:rPr>
              <w:t>darbuotojų, kurie yra</w:t>
            </w:r>
            <w:r>
              <w:t xml:space="preserve"> trečiųjų šalių </w:t>
            </w:r>
            <w:r>
              <w:rPr>
                <w:b/>
                <w:i/>
              </w:rPr>
              <w:t>piliečiai ir kurie sudaro ypač pažeidžiamą darbuotojų grupę</w:t>
            </w:r>
            <w:r>
              <w:t>, o 2022 m. vienas iš keturių komandiruotų darbuotojų buvo trečiosios šalies pilietis;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EDI duomenimis, </w:t>
            </w:r>
            <w:r>
              <w:rPr>
                <w:b/>
                <w:i/>
              </w:rPr>
              <w:t>komandiruojama vis daugiau trečiųjų šalių piliečių, o</w:t>
            </w:r>
            <w:r>
              <w:t xml:space="preserve"> 2022 m. vienas iš keturių komandiruotų darbuotojų </w:t>
            </w:r>
            <w:r>
              <w:rPr>
                <w:b/>
                <w:i/>
              </w:rPr>
              <w:t>buvo trečiosios šalies pilietis</w:t>
            </w:r>
            <w:r>
              <w:t>;</w:t>
            </w:r>
          </w:p>
        </w:tc>
        <w:tc>
          <w:tcPr>
            <w:tcW w:w="4876" w:type="dxa"/>
            <w:tcBorders>
              <w:top w:val="nil"/>
              <w:left w:val="nil"/>
              <w:bottom w:val="nil"/>
              <w:right w:val="nil"/>
            </w:tcBorders>
          </w:tcPr>
          <w:p>
            <w:pPr>
              <w:pStyle w:val="Normal6a"/>
            </w:pPr>
            <w:r>
              <w:t>D.</w:t>
            </w:r>
            <w:r>
              <w:tab/>
            </w:r>
            <w:r>
              <w:t xml:space="preserve">kadangi </w:t>
            </w:r>
            <w:r>
              <w:rPr>
                <w:b/>
                <w:i/>
              </w:rPr>
              <w:t>komandiruoti trečiųjų šalių piliečiai vis dažniau įdarbinami mažos rizikos sektoriuose ir</w:t>
            </w:r>
            <w:r>
              <w:t xml:space="preserve">, EDI duomenimis, </w:t>
            </w:r>
            <w:r>
              <w:rPr>
                <w:b/>
                <w:i/>
              </w:rPr>
              <w:t>tokių darbuotojų</w:t>
            </w:r>
            <w:r>
              <w:t xml:space="preserve"> 2022 m. </w:t>
            </w:r>
            <w:r>
              <w:rPr>
                <w:b/>
                <w:i/>
              </w:rPr>
              <w:t>buvo</w:t>
            </w:r>
            <w:r>
              <w:t xml:space="preserve"> vienas iš keturių komandiruotų darbuotojų;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EDI</w:t>
            </w:r>
            <w:r>
              <w:t xml:space="preserve"> duomenimis, komandiruojama vis daugiau trečiųjų šalių piliečių</w:t>
            </w:r>
            <w:r>
              <w:rPr>
                <w:b/>
                <w:i/>
              </w:rPr>
              <w:t>, o</w:t>
            </w:r>
            <w:r>
              <w:t xml:space="preserve"> 2022 m. vienas iš keturių komandiruotų darbuotojų buvo trečiosios šalies pilietis;</w:t>
            </w:r>
          </w:p>
        </w:tc>
        <w:tc>
          <w:tcPr>
            <w:tcW w:w="4876" w:type="dxa"/>
            <w:tcBorders>
              <w:top w:val="nil"/>
              <w:left w:val="nil"/>
              <w:bottom w:val="nil"/>
              <w:right w:val="nil"/>
            </w:tcBorders>
          </w:tcPr>
          <w:p>
            <w:pPr>
              <w:pStyle w:val="Normal6a"/>
            </w:pPr>
            <w:r>
              <w:t>D.</w:t>
            </w:r>
            <w:r>
              <w:tab/>
            </w:r>
            <w:r>
              <w:t xml:space="preserve">kadangi, </w:t>
            </w:r>
            <w:r>
              <w:rPr>
                <w:b/>
                <w:i/>
              </w:rPr>
              <w:t>Europos darbo institucijos (EDI)</w:t>
            </w:r>
            <w:r>
              <w:t xml:space="preserve"> duomenimis, </w:t>
            </w:r>
            <w:r>
              <w:rPr>
                <w:b/>
                <w:i/>
              </w:rPr>
              <w:t>dėl nuolatinio įgūdžių ir darbo jėgos trūkumo ES</w:t>
            </w:r>
            <w:r>
              <w:t xml:space="preserve"> komandiruojama vis daugiau trečiųjų šalių piliečių </w:t>
            </w:r>
            <w:r>
              <w:rPr>
                <w:b/>
                <w:i/>
              </w:rPr>
              <w:t>ir</w:t>
            </w:r>
            <w:r>
              <w:t xml:space="preserve"> 2022 m. vienas iš keturių komandiruotų darbuotojų buvo trečiosios šalies pilietis;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ekonomikoje subrangovams tenka esminis vaidmuo;</w:t>
            </w:r>
            <w:r>
              <w:t xml:space="preserve"> </w:t>
            </w:r>
            <w:r>
              <w:rPr>
                <w:b/>
                <w:i/>
              </w:rPr>
              <w:t>kadangi įvairiuose sektoriuose ir įmonėse naudojimasis subranga labai skiriasi;</w:t>
            </w:r>
            <w:r>
              <w:t xml:space="preserve"> </w:t>
            </w:r>
            <w:r>
              <w:rPr>
                <w:b/>
                <w:i/>
              </w:rPr>
              <w:t>kadangi dauguma įmonių tam tikrai veiklai, kuri nėra pagrindinė jų įmonės veikla, naudojasi viena ar daugiau subrangos formų;</w:t>
            </w:r>
            <w:r>
              <w:t xml:space="preserve"> </w:t>
            </w:r>
            <w:r>
              <w:rPr>
                <w:b/>
                <w:i/>
              </w:rPr>
              <w:t>kadangi galimybė teikti ekspertines žinias didelėms įmonėms teikiant subrangos paslaugas suteikia daug galimybių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vis dažniau pastebima nesąžininga praktika, kai trečiųjų šalių piliečiai įdarbinami dirbti ne siunčiančiojoje valstybėje narėje, o tik tam, kad būtų komandiruoti dirbti kitoje valstybėje narėje;</w:t>
            </w:r>
            <w:r>
              <w:t xml:space="preserve"> </w:t>
            </w:r>
            <w:r>
              <w:rPr>
                <w:b/>
                <w:i/>
              </w:rPr>
              <w:t>kadangi EDI nustatė, kad tai yra didėjanti vykdymo užtikrinimo problema, ypač statybos, priežiūros, transporto ir logistikos srityse;</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EDI ataskaita „Trečiųjų šalių piliečių komandiravimas:</w:t>
            </w:r>
            <w:r>
              <w:t xml:space="preserve"> </w:t>
            </w:r>
            <w:r>
              <w:rPr>
                <w:b/>
                <w:i/>
              </w:rPr>
              <w:t>rangos sutarčių grandinės, įdarbinimo modeliai ir vykdymo užtikrinimo klausimai“, 2025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Europos socialinių teisių ramsčio 5 principe primenama, kad darbuotojai, nesvarbu, kokia jų darbo santykių rūšis ir trukmė, turi teisę į sąžiningą ir vienodą požiūrį, kiek tai susiję su darbo sąlygomis, galimybe naudotis socialine apsauga ir galimybe mokytis;</w:t>
            </w:r>
            <w:r>
              <w:t xml:space="preserve"> </w:t>
            </w:r>
            <w:r>
              <w:rPr>
                <w:b/>
                <w:i/>
              </w:rPr>
              <w:t>kadangi darbo santykiai, kuriuose sudaromos mažų garantijų darbo sąlygos, turi būti neleidžiami;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laisvė teikti paslaugas ES yra viena iš keturių laisvių, taigi ir vidaus rinkos kertinis akmuo;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subranga yra gerai veikianti ir svarbi praktika daugelyje sektorių, palengvinanti galimybes gauti specializuotų ekspertinių žinių; kadangi ilgos ir sudėtingos subrangos grandinės vis dėlto gali padidinti riziką, susijusią su sukčiavimu, nusikaltėlių įsiskverbimu, darbuotojų profesine sauga ir sveikata ir su nesąžininga konkurencija įmonių, ypač mažųjų ir vidutinių įmonių (MVĮ), atžvilgiu;</w:t>
            </w:r>
          </w:p>
        </w:tc>
        <w:tc>
          <w:tcPr>
            <w:tcW w:w="4876" w:type="dxa"/>
            <w:tcBorders>
              <w:top w:val="nil"/>
              <w:left w:val="nil"/>
              <w:bottom w:val="nil"/>
              <w:right w:val="nil"/>
            </w:tcBorders>
          </w:tcPr>
          <w:p>
            <w:pPr>
              <w:pStyle w:val="Normal6a"/>
            </w:pPr>
            <w:r>
              <w:t>E.</w:t>
            </w:r>
            <w:r>
              <w:tab/>
            </w:r>
            <w:r>
              <w:t xml:space="preserve">kadangi subranga yra gerai veikianti ir svarbi praktika daugelyje sektorių, palengvinanti galimybes gauti specializuotų ekspertinių žinių; kadangi ilgos ir sudėtingos subrangos grandinės vis dėlto gali </w:t>
            </w:r>
            <w:r>
              <w:rPr>
                <w:b/>
                <w:i/>
              </w:rPr>
              <w:t>iškraipyti sąžiningą konkurenciją, užgožti atskaitomybę,</w:t>
            </w:r>
            <w:r>
              <w:t xml:space="preserve"> padidinti riziką, susijusią su sukčiavimu</w:t>
            </w:r>
            <w:r>
              <w:rPr>
                <w:b/>
                <w:i/>
              </w:rPr>
              <w:t>, išnaudojimu darbe ir sukčiavimu, ypač didelės rizikos sektoriuose ir tarpvalstybinio darbo atvejais</w:t>
            </w:r>
            <w:r>
              <w:t xml:space="preserve">, nusikaltėlių įsiskverbimu, darbuotojų profesine sauga ir sveikata ir su nesąžininga konkurencija įmonių, ypač mažųjų ir vidutinių įmonių (MVĮ), atžvilgiu; </w:t>
            </w:r>
            <w:r>
              <w:rPr>
                <w:b/>
                <w:i/>
              </w:rPr>
              <w:t>kadangi dėl skaidrumo ir priežiūros trūkumo išplėstiniuose subrangos susitarimuose darbdaviams tampa sunkiau užtikrinti taikytinos ES ir nacionalinės teisės laikymąsi;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subranga yra gerai veikianti ir svarbi praktika daugelyje sektorių, palengvinanti galimybes gauti specializuotų ekspertinių žinių; kadangi ilgos ir sudėtingos subrangos grandinės </w:t>
            </w:r>
            <w:r>
              <w:rPr>
                <w:b/>
                <w:i/>
              </w:rPr>
              <w:t>vis dėlto</w:t>
            </w:r>
            <w:r>
              <w:t xml:space="preserve"> gali padidinti riziką, susijusią su sukčiavimu, nusikaltėlių įsiskverbimu, darbuotojų profesine sauga ir sveikata ir su nesąžininga konkurencija įmonių, ypač mažųjų ir vidutinių įmonių (MVĮ), atžvilgiu;</w:t>
            </w:r>
          </w:p>
        </w:tc>
        <w:tc>
          <w:tcPr>
            <w:tcW w:w="4876" w:type="dxa"/>
            <w:tcBorders>
              <w:top w:val="nil"/>
              <w:left w:val="nil"/>
              <w:bottom w:val="nil"/>
              <w:right w:val="nil"/>
            </w:tcBorders>
          </w:tcPr>
          <w:p>
            <w:pPr>
              <w:pStyle w:val="Normal6a"/>
            </w:pPr>
            <w:r>
              <w:t>E.</w:t>
            </w:r>
            <w:r>
              <w:tab/>
            </w:r>
            <w:r>
              <w:t xml:space="preserve">kadangi subranga yra gerai veikianti ir svarbi praktika daugelyje sektorių, palengvinanti galimybes gauti specializuotų ekspertinių žinių </w:t>
            </w:r>
            <w:r>
              <w:rPr>
                <w:b/>
                <w:i/>
              </w:rPr>
              <w:t>ir atlieka esminį vaidmenį ekonomikoje</w:t>
            </w:r>
            <w:r>
              <w:t xml:space="preserve">; kadangi ilgos ir sudėtingos subrangos grandinės </w:t>
            </w:r>
            <w:r>
              <w:rPr>
                <w:b/>
                <w:i/>
              </w:rPr>
              <w:t>tam tikruose sektoriuose ir konkrečiais atvejais</w:t>
            </w:r>
            <w:r>
              <w:t xml:space="preserve"> gali padidinti riziką, susijusią su sukčiavimu, nusikaltėlių įsiskverbimu, darbuotojų profesine sauga ir sveikata ir su nesąžininga konkurencija įmonių, ypač mažųjų ir vidutinių įmonių (MVĮ), atžvilgiu; </w:t>
            </w:r>
            <w:r>
              <w:rPr>
                <w:b/>
                <w:i/>
              </w:rPr>
              <w:t>kadangi MVĮ paprastai gali siūlyti ekspertines žinias didesnėms įmonėms;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subranga yra gerai veikianti ir svarbi praktika </w:t>
            </w:r>
            <w:r>
              <w:rPr>
                <w:b/>
                <w:i/>
              </w:rPr>
              <w:t>daugelyje sektorių, palengvinanti galimybes gauti specializuotų ekspertinių žinių</w:t>
            </w:r>
            <w:r>
              <w:t>; kadangi ilgos ir sudėtingos subrangos grandinės vis dėlto gali padidinti riziką, susijusią su sukčiavimu, nusikaltėlių įsiskverbimu, darbuotojų profesine sauga ir sveikata ir su nesąžininga konkurencija įmonių, ypač mažųjų ir vidutinių įmonių (MVĮ), atžvilgiu;</w:t>
            </w:r>
          </w:p>
        </w:tc>
        <w:tc>
          <w:tcPr>
            <w:tcW w:w="4876" w:type="dxa"/>
            <w:tcBorders>
              <w:top w:val="nil"/>
              <w:left w:val="nil"/>
              <w:bottom w:val="nil"/>
              <w:right w:val="nil"/>
            </w:tcBorders>
          </w:tcPr>
          <w:p>
            <w:pPr>
              <w:pStyle w:val="Normal6a"/>
            </w:pPr>
            <w:r>
              <w:t>E.</w:t>
            </w:r>
            <w:r>
              <w:tab/>
            </w:r>
            <w:r>
              <w:t>kadangi</w:t>
            </w:r>
            <w:r>
              <w:rPr>
                <w:b/>
                <w:i/>
              </w:rPr>
              <w:t> daugelyje sektorių</w:t>
            </w:r>
            <w:r>
              <w:t xml:space="preserve"> subranga yra gerai veikianti ir svarbi praktika</w:t>
            </w:r>
            <w:r>
              <w:rPr>
                <w:b/>
                <w:i/>
              </w:rPr>
              <w:t>, kuri visų pirma leidžia patenkinti specialybių, pajėgumų ar strategijos trūkumą</w:t>
            </w:r>
            <w:r>
              <w:t>; kadangi ilgos ir sudėtingos subrangos grandinės vis dėlto gali padidinti riziką, susijusią su sukčiavimu, nusikaltėlių įsiskverbimu, darbuotojų profesine sauga ir sveikata ir su nesąžininga konkurencija įmonių, ypač mažųjų ir vidutinių įmonių (MVĮ), atžvilgiu;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subranga yra gerai veikianti ir svarbi praktika daugelyje sektorių, palengvinanti galimybes gauti specializuotų ekspertinių žinių; kadangi ilgos ir sudėtingos subrangos grandinės vis dėlto gali padidinti riziką, susijusią su sukčiavimu, nusikaltėlių įsiskverbimu, darbuotojų profesine sauga ir sveikata ir su nesąžininga konkurencija įmonių</w:t>
            </w:r>
            <w:r>
              <w:rPr>
                <w:b/>
                <w:i/>
              </w:rPr>
              <w:t>, ypač mažųjų ir vidutinių įmonių (MVĮ),</w:t>
            </w:r>
            <w:r>
              <w:t xml:space="preserve"> atžvilgiu;</w:t>
            </w:r>
          </w:p>
        </w:tc>
        <w:tc>
          <w:tcPr>
            <w:tcW w:w="4876" w:type="dxa"/>
            <w:tcBorders>
              <w:top w:val="nil"/>
              <w:left w:val="nil"/>
              <w:bottom w:val="nil"/>
              <w:right w:val="nil"/>
            </w:tcBorders>
          </w:tcPr>
          <w:p>
            <w:pPr>
              <w:pStyle w:val="Normal6a"/>
            </w:pPr>
            <w:r>
              <w:t>E.</w:t>
            </w:r>
            <w:r>
              <w:tab/>
            </w:r>
            <w:r>
              <w:t xml:space="preserve">kadangi subranga yra gerai veikianti ir svarbi praktika daugelyje sektorių, palengvinanti galimybes gauti specializuotų ekspertinių žinių </w:t>
            </w:r>
            <w:r>
              <w:rPr>
                <w:b/>
                <w:i/>
              </w:rPr>
              <w:t>ir yra itin svarbi, kad MVĮ galėtų klestėti</w:t>
            </w:r>
            <w:r>
              <w:t>; kadangi ilgos ir sudėtingos subrangos grandinės vis dėlto gali padidinti riziką, susijusią su sukčiavimu, nusikaltėlių įsiskverbimu, darbuotojų profesine sauga ir sveikata ir su nesąžininga konkurencija įmonių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subranga </w:t>
            </w:r>
            <w:r>
              <w:rPr>
                <w:b/>
                <w:i/>
              </w:rPr>
              <w:t>yra gerai veikianti ir svarbi praktika daugelyje sektorių, palengvinanti galimybes gauti</w:t>
            </w:r>
            <w:r>
              <w:t xml:space="preserve"> specializuotų ekspertinių žinių; kadangi </w:t>
            </w:r>
            <w:r>
              <w:rPr>
                <w:b/>
                <w:i/>
              </w:rPr>
              <w:t>ilgos ir sudėtingos subrangos grandinės vis dėlto gali padidinti riziką, susijusią su sukčiavimu, nusikaltėlių įsiskverbimu, darbuotojų profesine sauga ir sveikata ir su nesąžininga konkurencija įmonių, ypač mažųjų ir vidutinių įmonių (MVĮ), atžvilgiu</w:t>
            </w:r>
            <w:r>
              <w:t>;</w:t>
            </w:r>
          </w:p>
        </w:tc>
        <w:tc>
          <w:tcPr>
            <w:tcW w:w="4876" w:type="dxa"/>
            <w:tcBorders>
              <w:top w:val="nil"/>
              <w:left w:val="nil"/>
              <w:bottom w:val="nil"/>
              <w:right w:val="nil"/>
            </w:tcBorders>
          </w:tcPr>
          <w:p>
            <w:pPr>
              <w:pStyle w:val="Normal6a"/>
            </w:pPr>
            <w:r>
              <w:t>E.</w:t>
            </w:r>
            <w:r>
              <w:tab/>
            </w:r>
            <w:r>
              <w:t xml:space="preserve">kadangi subranga </w:t>
            </w:r>
            <w:r>
              <w:rPr>
                <w:b/>
                <w:i/>
              </w:rPr>
              <w:t>turėtų būti ribojama ir grindžiama</w:t>
            </w:r>
            <w:r>
              <w:t xml:space="preserve"> specializuotų ekspertinių žinių </w:t>
            </w:r>
            <w:r>
              <w:rPr>
                <w:b/>
                <w:i/>
              </w:rPr>
              <w:t>ar techninių įgūdžių, kurių įmonė neturi, poreikiu arba poreikiu deleguoti neesmines užduotis, kurios nepatenka į pagrindinę įmonės veiklos sritį</w:t>
            </w:r>
            <w:r>
              <w:t xml:space="preserve">; kadangi </w:t>
            </w:r>
            <w:r>
              <w:rPr>
                <w:b/>
                <w:i/>
              </w:rPr>
              <w:t>pagrindines įmonės funkcijas turėtų vykdyti tik darbuotojai, tiesiogiai pavaldūs pagrindinei įmonei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per pastaruosius tris dešimtmečius vykdant ES vidaus rinkos integraciją subranga tapo verslo modeliu, kuris vis dažniau naudojamas pagrindinei įmonių veiklai vykdyti, siekiant vienintelio tikslo – atskirti galią ir pelną nuo rizikos ir atsakomybės, taip pakenkiant deramam darbui ir sąžiningai konkurencijai;</w:t>
            </w:r>
            <w:r>
              <w:t xml:space="preserve"> </w:t>
            </w:r>
            <w:r>
              <w:rPr>
                <w:b/>
                <w:i/>
              </w:rPr>
              <w:t>kadangi sudėtingos subrangos grandinės didina riziką darbuotojų sveikatai ir saugai dėl neaiškios atsakomybės, o pagal TDO konvenciją Nr. 167 pagrindiniams rangovams yra nustatyta pareiga koordinuoti darbuotojų saugos ir sveikatos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daugelyje sektorių subranga naudojama kaip bendras verslo modelis, skatinantis konkurenciją darbo užmokesčio srityje, dėl kurios yra mažinamas darbo užmokestis, blogėja darbo sąlygos, mažėja pagrindinių rangovų atskaitomybė, taip pat didėja didelių įmonių kontrolė mažųjų įmonių atžvilgiu ir sukuriama fiktyviai savarankiškai dirbančių asmenų;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visoje Europoje darbo vietose pasitaiko išnaudojimo darbe ir piktnaudžiavimo atvejų, tačiau tam tikruose darbo rinkos sektoriuose, įskaitant statybos, žemės ūkio, apgyvendinimo ir maitinimo paslaugų, namų ūkio darbų, transporto ir logistikos, mėsos ir maisto perdirbimo, valymo paslaugų ir priežiūros darbo sektorius, kyla didesnė rizika nei kituose;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nesąžiningos prekybos praktika ilgesnėse ir sudėtingose subrangos grandinėse būna nepastebima, todėl ji nesustabdoma, todėl didėja nelygybė ir sudaromos palankesnės sąlygos neteisėtai praktikai, taikomai darbuotojams ir mažesnėms subrangos įmonėms, ypač žemės ūkio maisto produktų sektoriuje;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subranga skirtingų įmonių ir ekonomikos sektorių atvejais labai skiriasi;</w:t>
            </w:r>
            <w:r>
              <w:t xml:space="preserve"> </w:t>
            </w:r>
            <w:r>
              <w:rPr>
                <w:b/>
                <w:i/>
              </w:rPr>
              <w:t>kadangi nėra jokio neatsiejamo ryšio tarp subrangos ir nelegalaus darbo, o subranga negali būti automatiškai suvokiama kaip probleminis dalykas;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subranga yra naudinga verslo praktika, leidžianti įmonėms naudotis specializuotomis ekspertinėmis žiniomis ir ekonomiškai efektyviai reaguoti į paklausos lankstumą;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dėl subrangos grandinių apribojimų sektoriuose, kuriuose nelegalus darbas yra labai retas arba jo visai nėra, gali būti padaryta didesnė žala įmonėms, ypač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kai kurios valstybės narės yra priėmusios teisės aktus, kuriais ribojamas subrangos grandinių ilgis tam tikruose sektoriuose; kadangi Komisija </w:t>
            </w:r>
            <w:r>
              <w:rPr>
                <w:b/>
                <w:i/>
              </w:rPr>
              <w:t>mano, jog subrangos lygių apribojimas ir atsakomybės subrangos atveju išplėtimas įtraukiant visą grandinę yra gera valstybių narių praktika</w:t>
            </w:r>
            <w:r>
              <w:t>; kadangi taip pat yra įmonių, kurios savanoriškai apribojo savo subrangos grandinių ilgį;</w:t>
            </w:r>
          </w:p>
        </w:tc>
        <w:tc>
          <w:tcPr>
            <w:tcW w:w="4876" w:type="dxa"/>
            <w:tcBorders>
              <w:top w:val="nil"/>
              <w:left w:val="nil"/>
              <w:bottom w:val="nil"/>
              <w:right w:val="nil"/>
            </w:tcBorders>
          </w:tcPr>
          <w:p>
            <w:pPr>
              <w:pStyle w:val="Normal6a"/>
            </w:pPr>
            <w:r>
              <w:t>F.</w:t>
            </w:r>
            <w:r>
              <w:tab/>
            </w:r>
            <w:r>
              <w:t>kadangi kai kurios valstybės narės yra priėmusios teisės aktus, kuriais ribojamas subrangos grandinių ilgis tam tikruose sektoriuose</w:t>
            </w:r>
            <w:r>
              <w:rPr>
                <w:b/>
                <w:i/>
              </w:rPr>
              <w:t>, tačiau jų rezultatai ir įgyvendinimas yra labai nevienodi</w:t>
            </w:r>
            <w:r>
              <w:t xml:space="preserve">; kadangi Komisija </w:t>
            </w:r>
            <w:r>
              <w:rPr>
                <w:b/>
                <w:i/>
              </w:rPr>
              <w:t>svarsto tarpininkų skaičiaus apribojimo neigiamas ir teigiamas pasekmes ir tai, ar esama gerosios patirties šioje srityje</w:t>
            </w:r>
            <w:r>
              <w:t>; kadangi taip pat yra įmonių, kurios savanoriškai apribojo savo subrangos grandinių ilgį;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kai kurios valstybės narės yra priėmusios teisės aktus, kuriais ribojamas subrangos grandinių ilgis tam tikruose sektoriuose; kadangi Komisija mano, jog subrangos lygių apribojimas ir atsakomybės subrangos atveju išplėtimas įtraukiant visą grandinę yra gera valstybių narių praktika; kadangi taip pat yra įmonių, kurios savanoriškai apribojo savo subrangos grandinių ilgį;</w:t>
            </w:r>
          </w:p>
        </w:tc>
        <w:tc>
          <w:tcPr>
            <w:tcW w:w="4876" w:type="dxa"/>
            <w:tcBorders>
              <w:top w:val="nil"/>
              <w:left w:val="nil"/>
              <w:bottom w:val="nil"/>
              <w:right w:val="nil"/>
            </w:tcBorders>
          </w:tcPr>
          <w:p>
            <w:pPr>
              <w:pStyle w:val="Normal6a"/>
            </w:pPr>
            <w:r>
              <w:t>F.</w:t>
            </w:r>
            <w:r>
              <w:tab/>
            </w:r>
            <w:r>
              <w:t xml:space="preserve">kadangi kai kurios valstybės narės yra priėmusios teisės aktus, kuriais ribojamas subrangos grandinių ilgis </w:t>
            </w:r>
            <w:r>
              <w:rPr>
                <w:b/>
                <w:i/>
              </w:rPr>
              <w:t>apskritai arba tik</w:t>
            </w:r>
            <w:r>
              <w:t xml:space="preserve"> tam tikruose sektoriuose; kadangi Komisija mano, jog subrangos lygių apribojimas ir atsakomybės subrangos atveju išplėtimas įtraukiant visą grandinę yra gera valstybių narių praktika; kadangi taip pat yra įmonių, kurios savanoriškai apribojo savo subrangos grandinių ilgį;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kai kurios valstybės narės priėmė teisės aktų nuostatas, draudžiančias subrangos sutartis tam tikruose sektoriuose, leidžiančias tiesiogiai įdarbinti daug žmonių, leidžiančias kovoti su socialiniu dempingu ir padidinti darbuotojų garantijų lygį nedarant neigiamo poveikio įmonių, kurioms daromi šie pokyčiai, konkurencingumui;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E. Lettos pranešime pabrėžiama, kad būtina reglamentuoti subrangos praktiką, siekiant užkirsti kelią išnaudojimui ir piktnaudžiavimui;</w:t>
            </w:r>
            <w:r>
              <w:t xml:space="preserve"> </w:t>
            </w:r>
            <w:r>
              <w:rPr>
                <w:b/>
                <w:i/>
              </w:rPr>
              <w:t>kadangi EDI ir Komisija įspėja, kad ilgomis ir sudėtingomis subrangos grandinėmis dažnai piktnaudžiaujama siekiant pakenkti atskaitomybei ir darbuotojų teisėms;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kadangi tarpininkavimas darbo srityje nėra apibrėžtas teisės aktuose ir gali būti įvairių formų, pradedant stambesnėmis įsitvirtinusiomis bendrovėmis ir baigiant individualiomis įdarbinimo agentūromis, neoficialiais tarpininkais ir net abejotinos reputacijos tarpininkais;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w:t>
            </w:r>
            <w:r>
              <w:rPr>
                <w:b/>
                <w:i/>
              </w:rPr>
              <w:t>, neoficialiais tarpininkais</w:t>
            </w:r>
            <w:r>
              <w:t xml:space="preserve"> ir net abejotinos reputacijos tarpininkais;</w:t>
            </w:r>
          </w:p>
        </w:tc>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w:t>
            </w:r>
            <w:r>
              <w:rPr>
                <w:b/>
                <w:i/>
              </w:rPr>
              <w:t>;</w:t>
            </w:r>
            <w:r>
              <w:t xml:space="preserve"> </w:t>
            </w:r>
            <w:r>
              <w:rPr>
                <w:b/>
                <w:i/>
              </w:rPr>
              <w:t>kadangi neoficialūs tarpininkai</w:t>
            </w:r>
            <w:r>
              <w:t xml:space="preserve"> ir net abejotinos reputacijos </w:t>
            </w:r>
            <w:r>
              <w:rPr>
                <w:b/>
                <w:i/>
              </w:rPr>
              <w:t>tarpininkai negali būti vadinami įdarbinimo</w:t>
            </w:r>
            <w:r>
              <w:t xml:space="preserve"> tarpininkais</w:t>
            </w:r>
            <w:r>
              <w:rPr>
                <w:b/>
                <w:i/>
              </w:rPr>
              <w:t>, nes jų tikslas toli gražu nėra būti tiltu tarp darbo ieškančio asmens ir darbdavio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 neoficialiais tarpininkais ir net abejotinos reputacijos tarpininkais;</w:t>
            </w:r>
          </w:p>
        </w:tc>
        <w:tc>
          <w:tcPr>
            <w:tcW w:w="4876" w:type="dxa"/>
            <w:tcBorders>
              <w:top w:val="nil"/>
              <w:left w:val="nil"/>
              <w:bottom w:val="nil"/>
              <w:right w:val="nil"/>
            </w:tcBorders>
          </w:tcPr>
          <w:p>
            <w:pPr>
              <w:pStyle w:val="Normal6a"/>
            </w:pPr>
            <w:r>
              <w:t>G.</w:t>
            </w:r>
            <w:r>
              <w:tab/>
            </w:r>
            <w:r>
              <w:t xml:space="preserve">kadangi tarpininkavimas darbo srityje nėra apibrėžtas teisės aktuose ir gali būti įvairių formų, pradedant stambesnėmis įsitvirtinusiomis bendrovėmis ir baigiant individualiomis įdarbinimo agentūromis, neoficialiais tarpininkais ir net abejotinos reputacijos tarpininkais; </w:t>
            </w:r>
            <w:r>
              <w:rPr>
                <w:b/>
                <w:i/>
              </w:rPr>
              <w:t>kadangi priėmus Darbo per laikinojo įdarbinimo įmones direktyvą visose valstybėse narėse galioja nacionalinės teisės aktai dėl darbuotojų įdarbinimo;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 neoficialiais tarpininkais ir net abejotinos reputacijos tarpininkais;</w:t>
            </w:r>
          </w:p>
        </w:tc>
        <w:tc>
          <w:tcPr>
            <w:tcW w:w="4876" w:type="dxa"/>
            <w:tcBorders>
              <w:top w:val="nil"/>
              <w:left w:val="nil"/>
              <w:bottom w:val="nil"/>
              <w:right w:val="nil"/>
            </w:tcBorders>
          </w:tcPr>
          <w:p>
            <w:pPr>
              <w:pStyle w:val="Normal6a"/>
            </w:pPr>
            <w:r>
              <w:t>G.</w:t>
            </w:r>
            <w:r>
              <w:tab/>
            </w:r>
            <w:r>
              <w:t xml:space="preserve">kadangi tarpininkavimas darbo srityje nėra apibrėžtas teisės aktuose ir gali būti įvairių formų, pradedant stambesnėmis įsitvirtinusiomis bendrovėmis ir baigiant individualiomis įdarbinimo agentūromis, neoficialiais tarpininkais ir net abejotinos reputacijos </w:t>
            </w:r>
            <w:r>
              <w:rPr>
                <w:b/>
                <w:i/>
              </w:rPr>
              <w:t>darbo jėgos</w:t>
            </w:r>
            <w:r>
              <w:t xml:space="preserve"> tarpininkais </w:t>
            </w:r>
            <w:r>
              <w:rPr>
                <w:b/>
                <w:i/>
              </w:rPr>
              <w:t>bei šių laikų prekiautojais vergais – Viduržemio jūros regione neteisėtai žmones gabenančiais asmenimis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w:t>
            </w:r>
            <w:r>
              <w:rPr>
                <w:b/>
                <w:i/>
              </w:rPr>
              <w:t>, neoficialiais</w:t>
            </w:r>
            <w:r>
              <w:t xml:space="preserve"> tarpininkais ir net abejotinos reputacijos tarpininkais;</w:t>
            </w:r>
          </w:p>
        </w:tc>
        <w:tc>
          <w:tcPr>
            <w:tcW w:w="4876" w:type="dxa"/>
            <w:tcBorders>
              <w:top w:val="nil"/>
              <w:left w:val="nil"/>
              <w:bottom w:val="nil"/>
              <w:right w:val="nil"/>
            </w:tcBorders>
          </w:tcPr>
          <w:p>
            <w:pPr>
              <w:pStyle w:val="Normal6a"/>
            </w:pPr>
            <w:r>
              <w:t>G.</w:t>
            </w:r>
            <w:r>
              <w:tab/>
            </w:r>
            <w:r>
              <w:t>kadangi tarpininkavimas darbo srityje nėra apibrėžtas teisės aktuose ir gali būti įvairių formų, pradedant stambesnėmis įsitvirtinusiomis bendrovėmis ir baigiant individualiomis įdarbinimo agentūromis</w:t>
            </w:r>
            <w:r>
              <w:rPr>
                <w:b/>
                <w:i/>
              </w:rPr>
              <w:t>;</w:t>
            </w:r>
            <w:r>
              <w:t xml:space="preserve"> </w:t>
            </w:r>
            <w:r>
              <w:rPr>
                <w:b/>
                <w:i/>
              </w:rPr>
              <w:t>kadangi neoficialūs</w:t>
            </w:r>
            <w:r>
              <w:t xml:space="preserve"> tarpininkais ir net abejotinos reputacijos </w:t>
            </w:r>
            <w:r>
              <w:rPr>
                <w:b/>
                <w:i/>
              </w:rPr>
              <w:t>tarpininkai gali apsimesti įdarbinimo</w:t>
            </w:r>
            <w:r>
              <w:t xml:space="preserve"> tarpininkais;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įdarbinimo tarpininkai, kurie nėra nei </w:t>
            </w:r>
            <w:r>
              <w:rPr>
                <w:b/>
                <w:i/>
              </w:rPr>
              <w:t>įregistruoti</w:t>
            </w:r>
            <w:r>
              <w:t>, nei licencijuoti ar sertifikuoti, dažnai naudojami siekiant nuslėpti ir apeiti darbo teisę ir darbdavio atsakomybę;</w:t>
            </w:r>
          </w:p>
        </w:tc>
        <w:tc>
          <w:tcPr>
            <w:tcW w:w="4876" w:type="dxa"/>
            <w:tcBorders>
              <w:top w:val="nil"/>
              <w:left w:val="nil"/>
              <w:bottom w:val="nil"/>
              <w:right w:val="nil"/>
            </w:tcBorders>
          </w:tcPr>
          <w:p>
            <w:pPr>
              <w:pStyle w:val="Normal6a"/>
            </w:pPr>
            <w:r>
              <w:t>H.</w:t>
            </w:r>
            <w:r>
              <w:tab/>
            </w:r>
            <w:r>
              <w:t xml:space="preserve">kadangi </w:t>
            </w:r>
            <w:r>
              <w:rPr>
                <w:b/>
                <w:i/>
              </w:rPr>
              <w:t>neoficialus įdarbinimo procesas, kurį vykdo</w:t>
            </w:r>
            <w:r>
              <w:t xml:space="preserve"> įdarbinimo tarpininkai, kurie nėra nei </w:t>
            </w:r>
            <w:r>
              <w:rPr>
                <w:b/>
                <w:i/>
              </w:rPr>
              <w:t>reglamentuojami, nei registruoti</w:t>
            </w:r>
            <w:r>
              <w:t>, nei licencijuoti ar sertifikuoti, dažnai naudojami siekiant nuslėpti ir apeiti darbo teisę ir darbdavio atsakomybę</w:t>
            </w:r>
            <w:r>
              <w:rPr>
                <w:b/>
                <w:i/>
              </w:rPr>
              <w:t>, taip, be to, gerokai padidinant darbuotojų priklausomybę ir išnaudojimo darbe, sukčiavimo ir piktnaudžiavimo riziką</w:t>
            </w:r>
            <w:r>
              <w:t xml:space="preserve">; </w:t>
            </w:r>
            <w:r>
              <w:rPr>
                <w:b/>
                <w:i/>
              </w:rPr>
              <w:t>kadangi piktnaudžiaujamojo pobūdžio įdarbinimo ir tarpininkavimo praktika gali apimti informacijos nepateikimą ar klastojimą, rašytinių sutarčių nepateikimą, apgaulingų įdarbinimo mokesčių nustatymą, pernelyg didelių apgyvendinimo išlaidų atskaitymą iš darbo užmokesčio, darbuotojų apmokestinimą už transportą, mokymą, įrangą ar darbo leidimus, pasų konfiskavimą arba priverstinį darbą ar profesinių sąjungų veiklos ardymą;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įdarbinimo</w:t>
            </w:r>
            <w:r>
              <w:t xml:space="preserve"> tarpininkai</w:t>
            </w:r>
            <w:r>
              <w:rPr>
                <w:b/>
                <w:i/>
              </w:rPr>
              <w:t>, kurie nėra nei įregistruoti, nei licencijuoti ar sertifikuoti, dažnai</w:t>
            </w:r>
            <w:r>
              <w:t xml:space="preserve"> naudojami siekiant nuslėpti ir apeiti darbo teisę ir </w:t>
            </w:r>
            <w:r>
              <w:rPr>
                <w:b/>
                <w:i/>
              </w:rPr>
              <w:t>darbdavio</w:t>
            </w:r>
            <w:r>
              <w:t xml:space="preserve"> atsakomybę;</w:t>
            </w:r>
          </w:p>
        </w:tc>
        <w:tc>
          <w:tcPr>
            <w:tcW w:w="4876" w:type="dxa"/>
            <w:tcBorders>
              <w:top w:val="nil"/>
              <w:left w:val="nil"/>
              <w:bottom w:val="nil"/>
              <w:right w:val="nil"/>
            </w:tcBorders>
          </w:tcPr>
          <w:p>
            <w:pPr>
              <w:pStyle w:val="Normal6a"/>
            </w:pPr>
            <w:r>
              <w:t>H.</w:t>
            </w:r>
            <w:r>
              <w:tab/>
            </w:r>
            <w:r>
              <w:t xml:space="preserve">kadangi </w:t>
            </w:r>
            <w:r>
              <w:rPr>
                <w:b/>
                <w:i/>
              </w:rPr>
              <w:t>šie neoficialūs</w:t>
            </w:r>
            <w:r>
              <w:t xml:space="preserve"> tarpininkai </w:t>
            </w:r>
            <w:r>
              <w:rPr>
                <w:b/>
                <w:i/>
              </w:rPr>
              <w:t>ir abejotinos reputacijos tarpininkai kartais</w:t>
            </w:r>
            <w:r>
              <w:t xml:space="preserve"> naudojami </w:t>
            </w:r>
            <w:r>
              <w:rPr>
                <w:b/>
                <w:i/>
              </w:rPr>
              <w:t>kai kuriuose rizikos sektoriuose</w:t>
            </w:r>
            <w:r>
              <w:t xml:space="preserve"> siekiant nuslėpti ir apeiti darbo teisę ir </w:t>
            </w:r>
            <w:r>
              <w:rPr>
                <w:b/>
                <w:i/>
              </w:rPr>
              <w:t>darbdavių</w:t>
            </w:r>
            <w:r>
              <w:t xml:space="preserve"> atsakomybę; </w:t>
            </w:r>
            <w:r>
              <w:rPr>
                <w:b/>
                <w:i/>
              </w:rPr>
              <w:t>kadangi geresnis galiojančių taisyklių vykdymo užtikrinimas ir tiksliniai patikrinimai galėtų padėti kovoti su neteisėtu darbu;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įdarbinimo tarpininkai, kurie nėra </w:t>
            </w:r>
            <w:r>
              <w:rPr>
                <w:b/>
                <w:i/>
              </w:rPr>
              <w:t>nei</w:t>
            </w:r>
            <w:r>
              <w:t xml:space="preserve"> įregistruoti</w:t>
            </w:r>
            <w:r>
              <w:rPr>
                <w:b/>
                <w:i/>
              </w:rPr>
              <w:t>, nei</w:t>
            </w:r>
            <w:r>
              <w:t xml:space="preserve"> licencijuoti </w:t>
            </w:r>
            <w:r>
              <w:rPr>
                <w:b/>
                <w:i/>
              </w:rPr>
              <w:t>ar sertifikuoti, dažnai</w:t>
            </w:r>
            <w:r>
              <w:t xml:space="preserve"> naudojami siekiant nuslėpti ir apeiti darbo teisę ir darbdavio atsakomybę;</w:t>
            </w:r>
          </w:p>
        </w:tc>
        <w:tc>
          <w:tcPr>
            <w:tcW w:w="4876" w:type="dxa"/>
            <w:tcBorders>
              <w:top w:val="nil"/>
              <w:left w:val="nil"/>
              <w:bottom w:val="nil"/>
              <w:right w:val="nil"/>
            </w:tcBorders>
          </w:tcPr>
          <w:p>
            <w:pPr>
              <w:pStyle w:val="Normal6a"/>
            </w:pPr>
            <w:r>
              <w:t>H.</w:t>
            </w:r>
            <w:r>
              <w:tab/>
            </w:r>
            <w:r>
              <w:t xml:space="preserve">kadangi įdarbinimo tarpininkai, kurie nėra įregistruoti </w:t>
            </w:r>
            <w:r>
              <w:rPr>
                <w:b/>
                <w:i/>
              </w:rPr>
              <w:t>ar nėra pagal reikalavimus</w:t>
            </w:r>
            <w:r>
              <w:t xml:space="preserve"> licencijuoti</w:t>
            </w:r>
            <w:r>
              <w:rPr>
                <w:b/>
                <w:i/>
              </w:rPr>
              <w:t>, gal būti</w:t>
            </w:r>
            <w:r>
              <w:t xml:space="preserve"> naudojami siekiant nuslėpti ir apeiti darbo teisę ir darbdavio atsakomybę;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įdarbinimo tarpininkai, kurie nėra nei įregistruoti, nei licencijuoti ar sertifikuoti, dažnai naudojami siekiant nuslėpti ir apeiti darbo teisę ir darbdavio atsakomybę;</w:t>
            </w:r>
          </w:p>
        </w:tc>
        <w:tc>
          <w:tcPr>
            <w:tcW w:w="4876" w:type="dxa"/>
            <w:tcBorders>
              <w:top w:val="nil"/>
              <w:left w:val="nil"/>
              <w:bottom w:val="nil"/>
              <w:right w:val="nil"/>
            </w:tcBorders>
          </w:tcPr>
          <w:p>
            <w:pPr>
              <w:pStyle w:val="Normal6a"/>
            </w:pPr>
            <w:r>
              <w:t>H.</w:t>
            </w:r>
            <w:r>
              <w:tab/>
            </w:r>
            <w:r>
              <w:t xml:space="preserve">kadangi </w:t>
            </w:r>
            <w:r>
              <w:rPr>
                <w:b/>
                <w:i/>
              </w:rPr>
              <w:t>apsimetėliai</w:t>
            </w:r>
            <w:r>
              <w:t xml:space="preserve"> įdarbinimo tarpininkai, kurie nėra nei įregistruoti, nei licencijuoti ar sertifikuoti, </w:t>
            </w:r>
            <w:r>
              <w:rPr>
                <w:b/>
                <w:i/>
              </w:rPr>
              <w:t>yra neteisėti ir</w:t>
            </w:r>
            <w:r>
              <w:t xml:space="preserve"> dažnai naudojami siekiant nuslėpti ir apeiti darbo teisę ir darbdavio atsakomybę;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įdarbinimo tarpininkai, kurie nėra nei įregistruoti, nei licencijuoti ar sertifikuoti, dažnai naudojami siekiant nuslėpti ir apeiti darbo teisę ir darbdavio atsakomybę;</w:t>
            </w:r>
          </w:p>
        </w:tc>
        <w:tc>
          <w:tcPr>
            <w:tcW w:w="4876" w:type="dxa"/>
            <w:tcBorders>
              <w:top w:val="nil"/>
              <w:left w:val="nil"/>
              <w:bottom w:val="nil"/>
              <w:right w:val="nil"/>
            </w:tcBorders>
          </w:tcPr>
          <w:p>
            <w:pPr>
              <w:pStyle w:val="Normal6a"/>
            </w:pPr>
            <w:r>
              <w:t>H.</w:t>
            </w:r>
            <w:r>
              <w:tab/>
            </w:r>
            <w:r>
              <w:t xml:space="preserve">kadangi įdarbinimo tarpininkai, kurie nėra nei įregistruoti, nei licencijuoti ar sertifikuoti, dažnai naudojami siekiant nuslėpti ir apeiti darbo teisę ir darbdavio atsakomybę </w:t>
            </w:r>
            <w:r>
              <w:rPr>
                <w:b/>
                <w:i/>
              </w:rPr>
              <w:t>ir sumažinti sąnaudas pasitelkiant importuotą darbo jėgą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mobilieji darbuotojai ir darbuotojai migrantai, įskaitant darbuotojus iš trečiųjų šalių, ypač dažnai susiduria su nesąžiningais tarpininkais, įsikūrusiais darbuotojų kilmės šalyse arba paskirties šalyse, ir kurie darbuotojus įsuka į neišbrendamą priklausomybės nuo vizų, darbo leidimų, apgyvendinimo ir kelionių tvarkos spiralę;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reaguodamos į šiuos iššūkius kelios Europos šalys priėmė nacionalinius veiksmų planus ir politiką, kuriais siekiama kovoti su išnaudojimu darbe, įskaitant veiksmus, kuriais siekiama spręsti piktnaudžiavimo subrangos grandinėse ir įdarbinimo tarpininkų piktnaudžiavimo problemą;</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Švedija:</w:t>
            </w:r>
            <w:r>
              <w:t xml:space="preserve"> </w:t>
            </w:r>
            <w:r>
              <w:rPr>
                <w:b/>
                <w:i/>
              </w:rPr>
              <w:t>https://www.regeringen.se/contentassets/f6f461b310984b598ee4f7a2d83350d0/nationell-strategi-mot-arbetslivskriminalitet.pdf, Suomija:</w:t>
            </w:r>
            <w:r>
              <w:t xml:space="preserve"> </w:t>
            </w:r>
            <w:r>
              <w:rPr>
                <w:b/>
                <w:i/>
              </w:rPr>
              <w:t>https://julkaisut.valtioneuvosto.fi/bitstream/handle/10024/165395/TEM_2024_5.pdf, Italija:</w:t>
            </w:r>
            <w:r>
              <w:t xml:space="preserve"> </w:t>
            </w:r>
            <w:r>
              <w:rPr>
                <w:b/>
                <w:i/>
              </w:rPr>
              <w:t>https://www.lavoro.gov.it/strumenti-e-servizi/Attuazione-Interventi-PNRR/Documents/DM-58-del-06042023-Aggiornamento-Piano-Lavoro-Sommerso.pdf?utm, Vokietija:</w:t>
            </w:r>
            <w:r>
              <w:t xml:space="preserve"> </w:t>
            </w:r>
            <w:r>
              <w:rPr>
                <w:b/>
                <w:i/>
              </w:rPr>
              <w:t>https://www.bmas.de/DE/Service/Presse/Meldungen/2025/nationaler-aktionsplan-gegen-arbeitsausbeutung-und-zwangsarbeit-beschlossen.html, Ispanija:</w:t>
            </w:r>
            <w:r>
              <w:t xml:space="preserve"> </w:t>
            </w:r>
            <w:r>
              <w:rPr>
                <w:b/>
                <w:i/>
              </w:rPr>
              <w:t>https://www.mites.gob.es/itss/ITSS/ITSS_Descargas/Atencion_ciudadano/Normativa_documentacion/Docum_ITSS/Plan_accion_TF_ingl.pdf, Norvegija:</w:t>
            </w:r>
            <w:r>
              <w:t xml:space="preserve"> </w:t>
            </w:r>
            <w:r>
              <w:rPr>
                <w:b/>
                <w:i/>
              </w:rPr>
              <w:t>https://www.regjeringen.no/no/dokumenter/strategi-mot-arbeidslivskriminalitet-2021/id2831867/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kadangi reaguodami į šiuos iššūkius socialiniai partneriai Europos, nacionaliniu ir vietos lygmenimis, taip pat sektorių ir tarpsektoriniu lygmeniu ėmėsi priemonių problemoms, susijusioms su piktnaudžiavimu subranga ir įdarbinimo tarpininkavimu, spręsti, be kita ko, vykdydami kolektyvines derybas ir kitas bendras iniciatyvas, kuriomis saugomos darbo vietos ir apsaugomos rimtos įmonės ir darbuotojų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kadangi Komisijos ataskaitoje „Veiksmingų socialiai atsakingų viešųjų pirkimų užtikrinimas.</w:t>
            </w:r>
            <w:r>
              <w:t xml:space="preserve"> </w:t>
            </w:r>
            <w:r>
              <w:rPr>
                <w:b/>
                <w:i/>
              </w:rPr>
              <w:t>71 gerosios praktikos atvejis“ atkreipiamas dėmesys į Norvegijos Šieno modelį, kurį bendrai parengė Šieno savivaldybė, profesinės sąjungos ir darbdavių organizacijos ir kuriame nustatomi griežti apribojimai, susiję su ilgomis subrangos pakopomis, privalomu kvalifikuotų darbuotojų ir pameistrių naudojimu ir išankstiniu laikinos darbo jėgos patvirtinimu, siekiant užtikrinti atskaitomybę ir deramas darbo sąlygas didelės rizikos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kadangi E. Lettos pranešime „Daug daugiau nei rinka“ pabrėžiama, kad būtina skubiai reglamentuoti subrangos praktiką, siekiant užkirsti kelią išnaudojimui ir piktnaudžiavimui;</w:t>
            </w:r>
            <w:r>
              <w:t xml:space="preserve"> </w:t>
            </w:r>
            <w:r>
              <w:rPr>
                <w:b/>
                <w:i/>
              </w:rPr>
              <w:t>kadangi jame įspėjama, kad nekontroliuojamos subrangos grandinės gali lemti darbo standartų blogėjimą, socialinį dempingą ir kenkimą sąžiningai konkurencijai, taip pat pareigų sveikatos ir saugos srityje pažeidimus;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kadangi pagal Direktyvos 2014/67/ES 12 straipsnį valstybės narės privalo nustatyti subrangos atsakomybę statybos sektoriuje su galimybe ją taikyti ir kitiems sektoriams ir nustatyti griežtesnes atsakomybės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kadangi bendroji ir individualioji atsakomybė subrangos grandinėse atlieka dvejopą vaidmenį – teikti pagalbą darbuotojams, kurie buvo išnaudojami, ir skatinti rangovus visoje grandinėje dalyvauti savireguliacijos veikloje;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h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kadangi valstybės narės, Komisija ir socialiniai partneriai La Hulpės deklaracijoje įsipareigojo ypatingą dėmesį skirti priemonėms subrangos ir agentūrų darbo srityse, pripažindami bendrus iššūkius, kylančius dėl šių dviejų reiškinių Europos darbo rinkose;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kadangi subrangos grandinių ir įdarbinimo tarpininkų reguliavimas nacionaliniu lygmeniu valstybėms narėms gali būti ilgas ir sudėtingas, be kita ko, dėl teisinių neaiškumų, kylančių dėl vidaus rinkos taisyklių;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subrangos grandinių ir įdarbinimo tarpininkų </w:t>
            </w:r>
            <w:r>
              <w:rPr>
                <w:b/>
                <w:i/>
              </w:rPr>
              <w:t>reguliavimas</w:t>
            </w:r>
            <w:r>
              <w:t xml:space="preserve"> nacionaliniu lygmeniu </w:t>
            </w:r>
            <w:r>
              <w:rPr>
                <w:b/>
                <w:i/>
              </w:rPr>
              <w:t>valstybėms narėms gali būti ilgas ir sudėtingas, be kita ko, dėl teisinių neaiškumų, kylančių dėl vidaus rinkos taisyklių</w:t>
            </w:r>
            <w:r>
              <w:t>;</w:t>
            </w:r>
          </w:p>
        </w:tc>
        <w:tc>
          <w:tcPr>
            <w:tcW w:w="4876" w:type="dxa"/>
            <w:tcBorders>
              <w:top w:val="nil"/>
              <w:left w:val="nil"/>
              <w:bottom w:val="nil"/>
              <w:right w:val="nil"/>
            </w:tcBorders>
          </w:tcPr>
          <w:p>
            <w:pPr>
              <w:pStyle w:val="Normal6a"/>
            </w:pPr>
            <w:r>
              <w:t>I.</w:t>
            </w:r>
            <w:r>
              <w:tab/>
            </w:r>
            <w:r>
              <w:t xml:space="preserve">kadangi subrangos grandinių ir įdarbinimo tarpininkų </w:t>
            </w:r>
            <w:r>
              <w:rPr>
                <w:b/>
                <w:i/>
              </w:rPr>
              <w:t>reguliavimą geriausiai atlieka valstybės narės</w:t>
            </w:r>
            <w:r>
              <w:t xml:space="preserve"> nacionaliniu lygmeniu</w:t>
            </w:r>
            <w:r>
              <w:rPr>
                <w:b/>
                <w:i/>
              </w:rPr>
              <w:t>, nes turi geriausias galimybes prisitaikyti prie nacionalinių sąlygų ir ypatumų, taip pat užtikrinti tokio reglamentavimo vykdymą, kadangi šis klausimas priklauso nacionalinei kompetencijai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subrangos grandinių ir įdarbinimo tarpininkų reguliavimas nacionaliniu lygmeniu valstybėms narėms gali būti ilgas ir sudėtingas, be kita ko, dėl teisinių neaiškumų, kylančių dėl vidaus rinkos taisyklių;</w:t>
            </w:r>
          </w:p>
        </w:tc>
        <w:tc>
          <w:tcPr>
            <w:tcW w:w="4876" w:type="dxa"/>
            <w:tcBorders>
              <w:top w:val="nil"/>
              <w:left w:val="nil"/>
              <w:bottom w:val="nil"/>
              <w:right w:val="nil"/>
            </w:tcBorders>
          </w:tcPr>
          <w:p>
            <w:pPr>
              <w:pStyle w:val="Normal6a"/>
            </w:pPr>
            <w:r>
              <w:t>I.</w:t>
            </w:r>
            <w:r>
              <w:tab/>
            </w:r>
            <w:r>
              <w:t xml:space="preserve">kadangi subrangos grandinių ir įdarbinimo tarpininkų reguliavimas nacionaliniu lygmeniu valstybėms narėms gali būti ilgas ir sudėtingas, be kita ko, dėl teisinių neaiškumų, kylančių dėl vidaus rinkos taisyklių </w:t>
            </w:r>
            <w:r>
              <w:rPr>
                <w:b/>
                <w:i/>
              </w:rPr>
              <w:t>ir pažeidžiamų ir nestabilių vyriausybių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subrangos grandinių ir įdarbinimo tarpininkų </w:t>
            </w:r>
            <w:r>
              <w:rPr>
                <w:b/>
                <w:i/>
              </w:rPr>
              <w:t>reguliavimas</w:t>
            </w:r>
            <w:r>
              <w:t xml:space="preserve"> nacionaliniu lygmeniu </w:t>
            </w:r>
            <w:r>
              <w:rPr>
                <w:b/>
                <w:i/>
              </w:rPr>
              <w:t>valstybėms narėms gali būti ilgas ir sudėtingas, be kita ko, dėl teisinių neaiškumų, kylančių dėl vidaus rinkos taisyklių</w:t>
            </w:r>
            <w:r>
              <w:t>;</w:t>
            </w:r>
          </w:p>
        </w:tc>
        <w:tc>
          <w:tcPr>
            <w:tcW w:w="4876" w:type="dxa"/>
            <w:tcBorders>
              <w:top w:val="nil"/>
              <w:left w:val="nil"/>
              <w:bottom w:val="nil"/>
              <w:right w:val="nil"/>
            </w:tcBorders>
          </w:tcPr>
          <w:p>
            <w:pPr>
              <w:pStyle w:val="Normal6a"/>
            </w:pPr>
            <w:r>
              <w:t>I.</w:t>
            </w:r>
            <w:r>
              <w:tab/>
            </w:r>
            <w:r>
              <w:t xml:space="preserve">kadangi </w:t>
            </w:r>
            <w:r>
              <w:rPr>
                <w:b/>
                <w:i/>
              </w:rPr>
              <w:t>dauguma valstybių narių yra nustačiusios taisykles dėl</w:t>
            </w:r>
            <w:r>
              <w:t xml:space="preserve"> subrangos grandinių ir įdarbinimo tarpininkų nacionaliniu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subrangos grandinių ir įdarbinimo tarpininkų reguliavimas nacionaliniu lygmeniu </w:t>
            </w:r>
            <w:r>
              <w:rPr>
                <w:b/>
                <w:i/>
              </w:rPr>
              <w:t>valstybėms narėms gali būti ilgas ir sudėtingas, be kita ko, dėl teisinių neaiškumų, kylančių dėl vidaus</w:t>
            </w:r>
            <w:r>
              <w:t xml:space="preserve"> rinkos </w:t>
            </w:r>
            <w:r>
              <w:rPr>
                <w:b/>
                <w:i/>
              </w:rPr>
              <w:t>taisyklių</w:t>
            </w:r>
            <w:r>
              <w:t>;</w:t>
            </w:r>
          </w:p>
        </w:tc>
        <w:tc>
          <w:tcPr>
            <w:tcW w:w="4876" w:type="dxa"/>
            <w:tcBorders>
              <w:top w:val="nil"/>
              <w:left w:val="nil"/>
              <w:bottom w:val="nil"/>
              <w:right w:val="nil"/>
            </w:tcBorders>
          </w:tcPr>
          <w:p>
            <w:pPr>
              <w:pStyle w:val="Normal6a"/>
            </w:pPr>
            <w:r>
              <w:t>I.</w:t>
            </w:r>
            <w:r>
              <w:tab/>
            </w:r>
            <w:r>
              <w:t xml:space="preserve">kadangi subrangos grandinių ir įdarbinimo tarpininkų reguliavimas nacionaliniu lygmeniu </w:t>
            </w:r>
            <w:r>
              <w:rPr>
                <w:b/>
                <w:i/>
              </w:rPr>
              <w:t>įvairiose valstybėse narėse labai skiriasi, o tai lemia bendrosios</w:t>
            </w:r>
            <w:r>
              <w:t xml:space="preserve"> rinkos </w:t>
            </w:r>
            <w:r>
              <w:rPr>
                <w:b/>
                <w:i/>
              </w:rPr>
              <w:t>susiskaidymą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subrangos </w:t>
            </w:r>
            <w:r>
              <w:rPr>
                <w:b/>
                <w:i/>
              </w:rPr>
              <w:t>grandinių</w:t>
            </w:r>
            <w:r>
              <w:t xml:space="preserve"> ir įdarbinimo </w:t>
            </w:r>
            <w:r>
              <w:rPr>
                <w:b/>
                <w:i/>
              </w:rPr>
              <w:t>tarpininkų reguliavimas</w:t>
            </w:r>
            <w:r>
              <w:t xml:space="preserve"> nacionaliniu lygmeniu </w:t>
            </w:r>
            <w:r>
              <w:rPr>
                <w:b/>
                <w:i/>
              </w:rPr>
              <w:t>valstybėms narėms gali būti ilgas ir sudėtingas, be kita ko, dėl teisinių neaiškumų, kylančių dėl vidaus rinkos taisyklių</w:t>
            </w:r>
            <w:r>
              <w:t>;</w:t>
            </w:r>
          </w:p>
        </w:tc>
        <w:tc>
          <w:tcPr>
            <w:tcW w:w="4876" w:type="dxa"/>
            <w:tcBorders>
              <w:top w:val="nil"/>
              <w:left w:val="nil"/>
              <w:bottom w:val="nil"/>
              <w:right w:val="nil"/>
            </w:tcBorders>
          </w:tcPr>
          <w:p>
            <w:pPr>
              <w:pStyle w:val="Normal6a"/>
            </w:pPr>
            <w:r>
              <w:t>I.</w:t>
            </w:r>
            <w:r>
              <w:tab/>
            </w:r>
            <w:r>
              <w:t xml:space="preserve">kadangi subrangos </w:t>
            </w:r>
            <w:r>
              <w:rPr>
                <w:b/>
                <w:i/>
              </w:rPr>
              <w:t>grandinės</w:t>
            </w:r>
            <w:r>
              <w:t xml:space="preserve"> ir įdarbinimo </w:t>
            </w:r>
            <w:r>
              <w:rPr>
                <w:b/>
                <w:i/>
              </w:rPr>
              <w:t>tarpininkai pirmiausia turėtų būti reguliuojami</w:t>
            </w:r>
            <w:r>
              <w:t xml:space="preserve"> nacionaliniu lygmeniu</w:t>
            </w:r>
            <w:r>
              <w:rPr>
                <w:b/>
                <w:i/>
              </w:rPr>
              <w:t>, tačiau su dviem ar daugiau valstybių narių susijusiais atvejais taip pat galėtų būti nustatytas tam tikras Sąjungos reglamentavimas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kovojant su nedeklaruojamu darbu, prekyba žmonėmis ir išnaudojimu darbe reikia griežtų nacionalinių patikrinimų, tarpvalstybinės kontrolės ir griežto tarpininkų licencijavimo ir (arba) registravimo, ypatingą dėmesį skiriant mažosioms ir vidutinėms įmonėms (MVĮ);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subrangos procesu neturėtų būti naudojamasi siekiant pakenkti socialinių partnerių vaidmeniui ir turėtų būti laikomasi galiojančių kolektyvinių sutarčių ir demokratijos darbe;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ES turi išsaugoti ir didinti savo, kaip vietos, kurioje įmonės gali klestėti tiek Europoje, tiek pasaulinėje arenoje,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paslaugų teikimas yra pagrindinis ES ir jos vidaus rinkos ramstis;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kadangi taisyklės, kuriomis ribojama subranga, galėtų pakenkti įmonių gebėjimui organizuoti veiksmingas ir novatoriškas vertės grandines, ypač sektoriuose, kurie susiduria su pasauline konkurencija;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kadangi sudėtingos tiekimo ir subrangos struktūros yra būtinos didelio masto tarpvalstybiniams projektams ir tam, kad mažosios ir vidutinės įmonės (MVĮ) galėtų dalyvauti Europos ir tarptautinėse rinkose;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kadangi galiojančių taisyklių vykdymo užtikrinimas, geresnis valstybių narių bendradarbiavimas ir tikslinė parama darbo inspekcijoms gali padėti išspręsti daugelį susirūpinimą keliančių klausimų, susijusių su ilgomis subrangos grandinėmis, netaikant griežtų apribojimų;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kadangi ES turėtų skatinti geresnį reglamentavimą, kad būtų sukurtos aiškios, proporcingos ir įrodymais pagrįstos taisyklės, kurios padėtų mažinti nereikalinga naštą, stiprinti vykdymo užtikrinimą ir remti konkurencingumą bei MVĮ dalyvavimą bendrojoje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reikia visapusiško Europos požiūrio į išnaudojimą darbe apskritai ir ypač į piktnaudžiaujamojo pobūdžio subrangą ir tarpininkavimą darbo srityje, todėl ragina parengti Europos kovos su išnaudojimu darbe strategiją;</w:t>
            </w:r>
          </w:p>
        </w:tc>
        <w:tc>
          <w:tcPr>
            <w:tcW w:w="4876" w:type="dxa"/>
            <w:tcBorders>
              <w:top w:val="nil"/>
              <w:left w:val="nil"/>
              <w:bottom w:val="nil"/>
              <w:right w:val="nil"/>
            </w:tcBorders>
          </w:tcPr>
          <w:p>
            <w:pPr>
              <w:pStyle w:val="Normal6a"/>
            </w:pPr>
            <w:r>
              <w:t>1.</w:t>
            </w:r>
            <w:r>
              <w:tab/>
            </w:r>
            <w:r>
              <w:rPr>
                <w:b/>
                <w:i/>
              </w:rPr>
              <w:t>palankiai vertina Komisijos įsipareigojimą savo 2025 m. gegužės 21 d. bendrosios rinkos strategijoje 2026 m. pateikti Sąžiningo judumo dokumentų rinkinį;</w:t>
            </w:r>
            <w:r>
              <w:t xml:space="preserve"> </w:t>
            </w:r>
            <w:r>
              <w:rPr>
                <w:b/>
                <w:i/>
              </w:rPr>
              <w:t>pabrėžia, kad dėl bendrų supaprastinimo ir administracinės naštos mažinimo šalinant nepagrįstas kliūtis bendrojoje rinkoje tikslų neturi sumažėti piliečių ir (arba) darbuotojų bei vartotojų apsauga;</w:t>
            </w:r>
            <w:r>
              <w:t xml:space="preserve"> pabrėžia, kad reikia visapusiško Europos požiūrio į išnaudojimą darbe apskritai ir ypač į piktnaudžiaujamojo pobūdžio subrangą ir tarpininkavimą darbo srityje, todėl ragina parengti Europos kovos su išnaudojimu darbe </w:t>
            </w:r>
            <w:r>
              <w:rPr>
                <w:b/>
                <w:i/>
              </w:rPr>
              <w:t>ir tiesioginių darbo santykių skatinimo</w:t>
            </w:r>
            <w:r>
              <w:t xml:space="preserve"> strategiją</w:t>
            </w:r>
            <w:r>
              <w:rPr>
                <w:b/>
                <w:i/>
              </w:rPr>
              <w:t>, kuri būtų būsimų Komisijos kokybiškų darbo vietų kūrimo gairių dalis</w:t>
            </w:r>
            <w:r>
              <w:t xml:space="preserve">; </w:t>
            </w:r>
            <w:r>
              <w:rPr>
                <w:b/>
                <w:i/>
              </w:rPr>
              <w:t>pabrėžia, kad į šią strategiją taip pat turėtų būti įtraukti aplinkosaugos aspektai, pripažįstant, kad išnaudojimo darbe modeliai sutampa su aplinkai pavojinga praktika;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reikia visapusiško Europos požiūrio į </w:t>
            </w:r>
            <w:r>
              <w:rPr>
                <w:b/>
                <w:i/>
              </w:rPr>
              <w:t>išnaudojimą</w:t>
            </w:r>
            <w:r>
              <w:t xml:space="preserve"> darbe </w:t>
            </w:r>
            <w:r>
              <w:rPr>
                <w:b/>
                <w:i/>
              </w:rPr>
              <w:t>apskritai ir ypač į</w:t>
            </w:r>
            <w:r>
              <w:t xml:space="preserve"> piktnaudžiaujamojo pobūdžio subrangą ir tarpininkavimą darbo srityje</w:t>
            </w:r>
            <w:r>
              <w:rPr>
                <w:b/>
                <w:i/>
              </w:rPr>
              <w:t>, todėl ragina parengti Europos kovos</w:t>
            </w:r>
            <w:r>
              <w:t xml:space="preserve"> su išnaudojimu darbe </w:t>
            </w:r>
            <w:r>
              <w:rPr>
                <w:b/>
                <w:i/>
              </w:rPr>
              <w:t>strategiją</w:t>
            </w:r>
            <w:r>
              <w:t>;</w:t>
            </w:r>
          </w:p>
        </w:tc>
        <w:tc>
          <w:tcPr>
            <w:tcW w:w="4876" w:type="dxa"/>
            <w:tcBorders>
              <w:top w:val="nil"/>
              <w:left w:val="nil"/>
              <w:bottom w:val="nil"/>
              <w:right w:val="nil"/>
            </w:tcBorders>
          </w:tcPr>
          <w:p>
            <w:pPr>
              <w:pStyle w:val="Normal6a"/>
            </w:pPr>
            <w:r>
              <w:t>1.</w:t>
            </w:r>
            <w:r>
              <w:tab/>
            </w:r>
            <w:r>
              <w:t xml:space="preserve">pabrėžia, kad reikia visapusiško Europos požiūrio į </w:t>
            </w:r>
            <w:r>
              <w:rPr>
                <w:b/>
                <w:i/>
              </w:rPr>
              <w:t>kovą su tarpvalstybiniu organizuotu nusikalstamumu, susijusiu su išnaudojimu</w:t>
            </w:r>
            <w:r>
              <w:t xml:space="preserve"> darbe </w:t>
            </w:r>
            <w:r>
              <w:rPr>
                <w:b/>
                <w:i/>
              </w:rPr>
              <w:t>ir</w:t>
            </w:r>
            <w:r>
              <w:t xml:space="preserve"> piktnaudžiaujamojo pobūdžio </w:t>
            </w:r>
            <w:r>
              <w:rPr>
                <w:b/>
                <w:i/>
              </w:rPr>
              <w:t>verslo praktika;</w:t>
            </w:r>
            <w:r>
              <w:t xml:space="preserve"> </w:t>
            </w:r>
            <w:r>
              <w:rPr>
                <w:b/>
                <w:i/>
              </w:rPr>
              <w:t>pabrėžia, kad už</w:t>
            </w:r>
            <w:r>
              <w:t xml:space="preserve"> subrangą ir tarpininkavimą darbo srityje </w:t>
            </w:r>
            <w:r>
              <w:rPr>
                <w:b/>
                <w:i/>
              </w:rPr>
              <w:t>ir toliau turėtų būti atsakingos valstybės narės, siekiant užtikrinti veiksmingus, lanksčius ir konkrečiomis aplinkybėmis tinkamus sprendimus, pritaikytus kiekvienai valstybei narei, siekiant kovoti</w:t>
            </w:r>
            <w:r>
              <w:t xml:space="preserve"> su išnaudojimu darbe </w:t>
            </w:r>
            <w:r>
              <w:rPr>
                <w:b/>
                <w:i/>
              </w:rPr>
              <w:t>ir piktnaudžiaujamojo pobūdžio verslo praktika</w:t>
            </w:r>
            <w:r>
              <w:t xml:space="preserve">; </w:t>
            </w:r>
            <w:r>
              <w:rPr>
                <w:b/>
                <w:i/>
              </w:rPr>
              <w:t>pabrėžia, kad ES turėtų sutelkti dėmesį į Europos įmonių konkurencingumo apsaugą, remti tarpvalstybinį teisėsaugos bendradarbiavimą ir keitimąsi informacija, o ne parengti išsamius darbo rinkos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reikia visapusiško Europos požiūrio į išnaudojimą darbe apskritai ir ypač į piktnaudžiaujamojo pobūdžio subrangą ir tarpininkavimą darbo srityje, todėl ragina parengti Europos kovos su išnaudojimu darbe strategiją;</w:t>
            </w:r>
          </w:p>
        </w:tc>
        <w:tc>
          <w:tcPr>
            <w:tcW w:w="4876" w:type="dxa"/>
            <w:tcBorders>
              <w:top w:val="nil"/>
              <w:left w:val="nil"/>
              <w:bottom w:val="nil"/>
              <w:right w:val="nil"/>
            </w:tcBorders>
          </w:tcPr>
          <w:p>
            <w:pPr>
              <w:pStyle w:val="Normal6a"/>
            </w:pPr>
            <w:r>
              <w:t>1.</w:t>
            </w:r>
            <w:r>
              <w:tab/>
            </w:r>
            <w:r>
              <w:t xml:space="preserve">pabrėžia, kad reikia visapusiško Europos požiūrio į išnaudojimą darbe apskritai ir ypač į piktnaudžiaujamojo pobūdžio subrangą ir tarpininkavimą darbo srityje, todėl ragina parengti Europos kovos su išnaudojimu darbe </w:t>
            </w:r>
            <w:r>
              <w:rPr>
                <w:b/>
                <w:i/>
              </w:rPr>
              <w:t>ir neteisėtu darbu</w:t>
            </w:r>
            <w:r>
              <w:t xml:space="preserve"> strategiją; </w:t>
            </w:r>
            <w:r>
              <w:rPr>
                <w:b/>
                <w:i/>
              </w:rPr>
              <w:t>pabrėžia, kad išnaudojimas darbe yra ne tik darbuotojų teisių ir žmogaus teisių pažeidimas, bet ir kenkia sąžiningai įmonių konkurencijai;</w:t>
            </w:r>
            <w:r>
              <w:t xml:space="preserve"> </w:t>
            </w:r>
            <w:r>
              <w:rPr>
                <w:b/>
                <w:i/>
              </w:rPr>
              <w:t>atsižvelgdamas į tai pabrėžia, kad reikia griežčiau užtikrinti galiojančių darbo teisės aktų vykdymą, kad būtų garantuota veiksminga darbuotojų teisių apsauga ir sudarytos vienodos sąlygos;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reikia </w:t>
            </w:r>
            <w:r>
              <w:rPr>
                <w:b/>
                <w:i/>
              </w:rPr>
              <w:t>visapusiško Europos požiūrio</w:t>
            </w:r>
            <w:r>
              <w:t xml:space="preserve"> į išnaudojimą darbe apskritai </w:t>
            </w:r>
            <w:r>
              <w:rPr>
                <w:b/>
                <w:i/>
              </w:rPr>
              <w:t>ir</w:t>
            </w:r>
            <w:r>
              <w:t xml:space="preserve"> ypač į piktnaudžiaujamojo pobūdžio subrangą ir tarpininkavimą darbo srityje, </w:t>
            </w:r>
            <w:r>
              <w:rPr>
                <w:b/>
                <w:i/>
              </w:rPr>
              <w:t>todėl</w:t>
            </w:r>
            <w:r>
              <w:t xml:space="preserve"> ragina parengti Europos </w:t>
            </w:r>
            <w:r>
              <w:rPr>
                <w:b/>
                <w:i/>
              </w:rPr>
              <w:t>kovos su išnaudojimu darbe</w:t>
            </w:r>
            <w:r>
              <w:t xml:space="preserve"> strategiją;</w:t>
            </w:r>
          </w:p>
        </w:tc>
        <w:tc>
          <w:tcPr>
            <w:tcW w:w="4876" w:type="dxa"/>
            <w:tcBorders>
              <w:top w:val="nil"/>
              <w:left w:val="nil"/>
              <w:bottom w:val="nil"/>
              <w:right w:val="nil"/>
            </w:tcBorders>
          </w:tcPr>
          <w:p>
            <w:pPr>
              <w:pStyle w:val="Normal6a"/>
            </w:pPr>
            <w:r>
              <w:t>1.</w:t>
            </w:r>
            <w:r>
              <w:tab/>
            </w:r>
            <w:r>
              <w:t xml:space="preserve">pabrėžia, kad reikia </w:t>
            </w:r>
            <w:r>
              <w:rPr>
                <w:b/>
                <w:i/>
              </w:rPr>
              <w:t>remti nacionalinį požiūrį</w:t>
            </w:r>
            <w:r>
              <w:t xml:space="preserve"> į išnaudojimą darbe apskritai</w:t>
            </w:r>
            <w:r>
              <w:rPr>
                <w:b/>
                <w:i/>
              </w:rPr>
              <w:t>, kuris skirtingose valstybėse narėse ir sektoriuose gali skirtis,</w:t>
            </w:r>
            <w:r>
              <w:t xml:space="preserve"> </w:t>
            </w:r>
            <w:r>
              <w:rPr>
                <w:b/>
                <w:i/>
              </w:rPr>
              <w:t>taip pat</w:t>
            </w:r>
            <w:r>
              <w:t xml:space="preserve"> ypač į piktnaudžiaujamojo pobūdžio subrangą ir tarpininkavimą darbo srityje, </w:t>
            </w:r>
            <w:r>
              <w:rPr>
                <w:b/>
                <w:i/>
              </w:rPr>
              <w:t>ir kartu</w:t>
            </w:r>
            <w:r>
              <w:t xml:space="preserve"> ragina parengti Europos strategiją</w:t>
            </w:r>
            <w:r>
              <w:rPr>
                <w:b/>
                <w:i/>
              </w:rPr>
              <w:t>, kuri padėtų valstybėms narėms koordinuoti ir stiprinti savo pastangas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reikia visapusiško Europos požiūrio į išnaudojimą darbe apskritai ir ypač į piktnaudžiaujamojo pobūdžio subrangą ir tarpininkavimą darbo srityje, todėl ragina parengti Europos kovos su išnaudojimu darbe strategiją;</w:t>
            </w:r>
          </w:p>
        </w:tc>
        <w:tc>
          <w:tcPr>
            <w:tcW w:w="4876" w:type="dxa"/>
            <w:tcBorders>
              <w:top w:val="nil"/>
              <w:left w:val="nil"/>
              <w:bottom w:val="nil"/>
              <w:right w:val="nil"/>
            </w:tcBorders>
          </w:tcPr>
          <w:p>
            <w:pPr>
              <w:pStyle w:val="Normal6a"/>
            </w:pPr>
            <w:r>
              <w:t>1.</w:t>
            </w:r>
            <w:r>
              <w:tab/>
            </w:r>
            <w:r>
              <w:rPr>
                <w:b/>
                <w:i/>
              </w:rPr>
              <w:t>Palankiai vertina tai, kad 2026 m. Komisija pateiks sąžiningo judumo dokumentų rinkinį;</w:t>
            </w:r>
            <w:r>
              <w:t xml:space="preserve"> </w:t>
            </w:r>
            <w:r>
              <w:rPr>
                <w:b/>
                <w:i/>
              </w:rPr>
              <w:t>ragina Komisiją pateikti pasiūlymą dėl ES direktyvos, kuria būtų reglamentuojama subranga ir darbo jėgos tarpininkavimas;</w:t>
            </w:r>
            <w:r>
              <w:t xml:space="preserve"> pabrėžia, kad reikia visapusiško Europos požiūrio į išnaudojimą darbe apskritai ir ypač į piktnaudžiaujamojo pobūdžio subrangą ir tarpininkavimą darbo srityje, todėl ragina parengti Europos kovos su išnaudojimu darbe strategiją;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reikia visapusiško Europos požiūrio į išnaudojimą darbe apskritai ir ypač į piktnaudžiaujamojo pobūdžio subrangą ir tarpininkavimą darbo srityje, todėl ragina </w:t>
            </w:r>
            <w:r>
              <w:rPr>
                <w:b/>
                <w:i/>
              </w:rPr>
              <w:t>parengti</w:t>
            </w:r>
            <w:r>
              <w:t xml:space="preserve"> Europos </w:t>
            </w:r>
            <w:r>
              <w:rPr>
                <w:b/>
                <w:i/>
              </w:rPr>
              <w:t>kovos</w:t>
            </w:r>
            <w:r>
              <w:t xml:space="preserve"> su išnaudojimu darbe </w:t>
            </w:r>
            <w:r>
              <w:rPr>
                <w:b/>
                <w:i/>
              </w:rPr>
              <w:t>strategiją</w:t>
            </w:r>
            <w:r>
              <w:t>;</w:t>
            </w:r>
          </w:p>
        </w:tc>
        <w:tc>
          <w:tcPr>
            <w:tcW w:w="4876" w:type="dxa"/>
            <w:tcBorders>
              <w:top w:val="nil"/>
              <w:left w:val="nil"/>
              <w:bottom w:val="nil"/>
              <w:right w:val="nil"/>
            </w:tcBorders>
          </w:tcPr>
          <w:p>
            <w:pPr>
              <w:pStyle w:val="Normal6a"/>
            </w:pPr>
            <w:r>
              <w:t>1.</w:t>
            </w:r>
            <w:r>
              <w:tab/>
            </w:r>
            <w:r>
              <w:t xml:space="preserve">pabrėžia, kad </w:t>
            </w:r>
            <w:r>
              <w:rPr>
                <w:b/>
                <w:i/>
              </w:rPr>
              <w:t>kartu su valstybėmis narėmis</w:t>
            </w:r>
            <w:r>
              <w:t xml:space="preserve"> reikia visapusiško Europos požiūrio į išnaudojimą darbe apskritai ir ypač į piktnaudžiaujamojo pobūdžio subrangą ir tarpininkavimą darbo srityje, todėl ragina </w:t>
            </w:r>
            <w:r>
              <w:rPr>
                <w:b/>
                <w:i/>
              </w:rPr>
              <w:t>bendradarbiauti</w:t>
            </w:r>
            <w:r>
              <w:t xml:space="preserve"> Europos </w:t>
            </w:r>
            <w:r>
              <w:rPr>
                <w:b/>
                <w:i/>
              </w:rPr>
              <w:t>lygmeniu siekiant kovoti</w:t>
            </w:r>
            <w:r>
              <w:t xml:space="preserve"> su išnaudojimu darbe;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reikia </w:t>
            </w:r>
            <w:r>
              <w:rPr>
                <w:b/>
                <w:i/>
              </w:rPr>
              <w:t>visapusiško Europos požiūrio į</w:t>
            </w:r>
            <w:r>
              <w:t xml:space="preserve"> išnaudojimą darbe apskritai ir ypač į piktnaudžiaujamojo pobūdžio subrangą ir tarpininkavimą darbo srityje</w:t>
            </w:r>
            <w:r>
              <w:rPr>
                <w:b/>
                <w:i/>
              </w:rPr>
              <w:t>, todėl ragina parengti Europos kovos su išnaudojimu darbe strategiją</w:t>
            </w:r>
            <w:r>
              <w:t>;</w:t>
            </w:r>
          </w:p>
        </w:tc>
        <w:tc>
          <w:tcPr>
            <w:tcW w:w="4876" w:type="dxa"/>
            <w:tcBorders>
              <w:top w:val="nil"/>
              <w:left w:val="nil"/>
              <w:bottom w:val="nil"/>
              <w:right w:val="nil"/>
            </w:tcBorders>
          </w:tcPr>
          <w:p>
            <w:pPr>
              <w:pStyle w:val="Normal6a"/>
            </w:pPr>
            <w:r>
              <w:t>1.</w:t>
            </w:r>
            <w:r>
              <w:tab/>
            </w:r>
            <w:r>
              <w:t xml:space="preserve">pabrėžia, kad reikia </w:t>
            </w:r>
            <w:r>
              <w:rPr>
                <w:b/>
                <w:i/>
              </w:rPr>
              <w:t>išsamiau Europoje ištirti</w:t>
            </w:r>
            <w:r>
              <w:t xml:space="preserve"> išnaudojimą darbe apskritai ir ypač į piktnaudžiaujamojo pobūdžio subrangą ir tarpininkavimą darbo srityje;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reikia visapusiško Europos požiūrio į išnaudojimą darbe apskritai ir ypač į piktnaudžiaujamojo pobūdžio subrangą ir tarpininkavimą darbo srityje, todėl ragina parengti Europos kovos su išnaudojimu darbe strategiją;</w:t>
            </w:r>
          </w:p>
        </w:tc>
        <w:tc>
          <w:tcPr>
            <w:tcW w:w="4876" w:type="dxa"/>
            <w:tcBorders>
              <w:top w:val="nil"/>
              <w:left w:val="nil"/>
              <w:bottom w:val="nil"/>
              <w:right w:val="nil"/>
            </w:tcBorders>
          </w:tcPr>
          <w:p>
            <w:pPr>
              <w:pStyle w:val="Normal6a"/>
            </w:pPr>
            <w:r>
              <w:t>1.</w:t>
            </w:r>
            <w:r>
              <w:tab/>
            </w:r>
            <w:r>
              <w:t>pabrėžia, kad reikia visapusiško Europos požiūrio į išnaudojimą darbe apskritai ir ypač į piktnaudžiaujamojo pobūdžio subrangą ir tarpininkavimą darbo srityje, todėl ragina parengti Europos kovos su išnaudojimu darbe strategiją</w:t>
            </w:r>
            <w:r>
              <w:rPr>
                <w:b/>
                <w:i/>
              </w:rPr>
              <w:t>, kartu apsaugant Europos įmonių konkurencingumą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reikia </w:t>
            </w:r>
            <w:r>
              <w:rPr>
                <w:b/>
                <w:i/>
              </w:rPr>
              <w:t>visapusiško Europos</w:t>
            </w:r>
            <w:r>
              <w:t xml:space="preserve"> požiūrio </w:t>
            </w:r>
            <w:r>
              <w:rPr>
                <w:b/>
                <w:i/>
              </w:rPr>
              <w:t>į išnaudojimą darbe apskritai ir</w:t>
            </w:r>
            <w:r>
              <w:t xml:space="preserve"> ypač į piktnaudžiaujamojo pobūdžio subrangą ir tarpininkavimą darbo srityje, </w:t>
            </w:r>
            <w:r>
              <w:rPr>
                <w:b/>
                <w:i/>
              </w:rPr>
              <w:t>todėl</w:t>
            </w:r>
            <w:r>
              <w:t xml:space="preserve"> ragina </w:t>
            </w:r>
            <w:r>
              <w:rPr>
                <w:b/>
                <w:i/>
              </w:rPr>
              <w:t>parengti</w:t>
            </w:r>
            <w:r>
              <w:t xml:space="preserve"> Europos </w:t>
            </w:r>
            <w:r>
              <w:rPr>
                <w:b/>
                <w:i/>
              </w:rPr>
              <w:t>kovos su išnaudojimu darbe strategiją</w:t>
            </w:r>
            <w:r>
              <w:t>;</w:t>
            </w:r>
          </w:p>
        </w:tc>
        <w:tc>
          <w:tcPr>
            <w:tcW w:w="4876" w:type="dxa"/>
            <w:tcBorders>
              <w:top w:val="nil"/>
              <w:left w:val="nil"/>
              <w:bottom w:val="nil"/>
              <w:right w:val="nil"/>
            </w:tcBorders>
          </w:tcPr>
          <w:p>
            <w:pPr>
              <w:pStyle w:val="Normal6a"/>
            </w:pPr>
            <w:r>
              <w:t>1.</w:t>
            </w:r>
            <w:r>
              <w:tab/>
            </w:r>
            <w:r>
              <w:t xml:space="preserve">pabrėžia, kad reikia </w:t>
            </w:r>
            <w:r>
              <w:rPr>
                <w:b/>
                <w:i/>
              </w:rPr>
              <w:t>ir toliau laikytis nacionalinio</w:t>
            </w:r>
            <w:r>
              <w:t xml:space="preserve"> požiūrio ypač į piktnaudžiaujamojo pobūdžio subrangą ir tarpininkavimą darbo srityje, </w:t>
            </w:r>
            <w:r>
              <w:rPr>
                <w:b/>
                <w:i/>
              </w:rPr>
              <w:t>ir</w:t>
            </w:r>
            <w:r>
              <w:t xml:space="preserve"> ragina </w:t>
            </w:r>
            <w:r>
              <w:rPr>
                <w:b/>
                <w:i/>
              </w:rPr>
              <w:t>teikti</w:t>
            </w:r>
            <w:r>
              <w:t xml:space="preserve"> Europos </w:t>
            </w:r>
            <w:r>
              <w:rPr>
                <w:b/>
                <w:i/>
              </w:rPr>
              <w:t>masto paramą valstybėms narėms dalijantis geriausia patirtimi ir informacija apie tinkamas nacionalines priemones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w:t>
            </w:r>
            <w:r>
              <w:rPr>
                <w:b/>
                <w:i/>
              </w:rPr>
              <w:t>reikia visapusiško</w:t>
            </w:r>
            <w:r>
              <w:t xml:space="preserve"> Europos </w:t>
            </w:r>
            <w:r>
              <w:rPr>
                <w:b/>
                <w:i/>
              </w:rPr>
              <w:t>požiūrio</w:t>
            </w:r>
            <w:r>
              <w:t xml:space="preserve"> į išnaudojimą darbe </w:t>
            </w:r>
            <w:r>
              <w:rPr>
                <w:b/>
                <w:i/>
              </w:rPr>
              <w:t>apskritai ir ypač į</w:t>
            </w:r>
            <w:r>
              <w:t xml:space="preserve"> piktnaudžiaujamojo pobūdžio subrangą ir tarpininkavimą darbo srityje</w:t>
            </w:r>
            <w:r>
              <w:rPr>
                <w:b/>
                <w:i/>
              </w:rPr>
              <w:t>, todėl ragina parengti Europos kovos su išnaudojimu darbe strategiją</w:t>
            </w:r>
            <w:r>
              <w:t>;</w:t>
            </w:r>
          </w:p>
        </w:tc>
        <w:tc>
          <w:tcPr>
            <w:tcW w:w="4876" w:type="dxa"/>
            <w:tcBorders>
              <w:top w:val="nil"/>
              <w:left w:val="nil"/>
              <w:bottom w:val="nil"/>
              <w:right w:val="nil"/>
            </w:tcBorders>
          </w:tcPr>
          <w:p>
            <w:pPr>
              <w:pStyle w:val="Normal6a"/>
            </w:pPr>
            <w:r>
              <w:t>1.</w:t>
            </w:r>
            <w:r>
              <w:tab/>
            </w:r>
            <w:r>
              <w:t xml:space="preserve">pabrėžia, kad </w:t>
            </w:r>
            <w:r>
              <w:rPr>
                <w:b/>
                <w:i/>
              </w:rPr>
              <w:t>tikslinga išanalizuoti galimybę taikyti</w:t>
            </w:r>
            <w:r>
              <w:t xml:space="preserve"> Europos </w:t>
            </w:r>
            <w:r>
              <w:rPr>
                <w:b/>
                <w:i/>
              </w:rPr>
              <w:t>požiūrį</w:t>
            </w:r>
            <w:r>
              <w:t xml:space="preserve"> į išnaudojimą darbe </w:t>
            </w:r>
            <w:r>
              <w:rPr>
                <w:b/>
                <w:i/>
              </w:rPr>
              <w:t>pasitelkiant</w:t>
            </w:r>
            <w:r>
              <w:t xml:space="preserve"> piktnaudžiaujamojo pobūdžio subrangą ir tarpininkavimą darbo srityje </w:t>
            </w:r>
            <w:r>
              <w:rPr>
                <w:b/>
                <w:i/>
              </w:rPr>
              <w:t>tais atvejais, kai dalyvauja dvi valstybės narės ar daugiau valstybių narių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atkreipia dėmesį į tai, kad subranga yra įprasta ir svarbi verslo praktika;</w:t>
            </w:r>
            <w:r>
              <w:t xml:space="preserve"> </w:t>
            </w:r>
            <w:r>
              <w:rPr>
                <w:b/>
                <w:i/>
              </w:rPr>
              <w:t>pabrėžia, kad ji yra būtina siekiant užtikrinti gerai veikiantį konkurencingumą Europos Sąjungoje ir vieną iš laisvių užsiimti verslu ir įsisteigti;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pabrėžia, kad bet kokia iniciatyva, kuria siekiama kovoti su išnaudojimu darbe ir apriboti sudėtingas subrangos grandines, turėtų būti rengiama glaudžiai bendradarbiaujant su socialiniais partneriais ir pritaikyta prie konkrečių sektorių realijų;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ragina Komisiją kitoje ES darbuotojų saugos ir sveikatos strateginėje programoje atkreipti dėmesį į poreikį visiems darbuotojams užtikrinti saugias ir sveikas darbo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pabrėžia, kad Europos kovos su išnaudojimu darbe strategija turėtų būti įtraukta į Komisijos paskelbtą Sąžiningo judumo dokumentų rinkinį;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apgailestauja, kad trūksta aiškumo dėl</w:t>
            </w:r>
            <w:r>
              <w:t xml:space="preserve"> valstybių narių </w:t>
            </w:r>
            <w:r>
              <w:rPr>
                <w:b/>
                <w:i/>
              </w:rPr>
              <w:t>galimybės</w:t>
            </w:r>
            <w:r>
              <w:t xml:space="preserve"> reguliuoti </w:t>
            </w:r>
            <w:r>
              <w:rPr>
                <w:b/>
                <w:i/>
              </w:rPr>
              <w:t>ilgas ir sudėtingas subrangos grandines;</w:t>
            </w:r>
            <w:r>
              <w:t xml:space="preserve"> </w:t>
            </w:r>
            <w:r>
              <w:rPr>
                <w:b/>
                <w:i/>
              </w:rPr>
              <w:t>ragina Komisiją paaiškinti, kad ES vidaus rinkos taisyklėmis valstybėms narėms nedraudžiama priimti teisės aktų, kuriais būtų sprendžiami ilgų ir sudėtingų subrangos grandinių klausimai, be kita ko, reikalaujant, kad</w:t>
            </w:r>
            <w:r>
              <w:t xml:space="preserve"> didelės rizikos </w:t>
            </w:r>
            <w:r>
              <w:rPr>
                <w:b/>
                <w:i/>
              </w:rPr>
              <w:t>sektoriuose</w:t>
            </w:r>
            <w:r>
              <w:t>, kai tai įmanoma ir pagrįsta įrodymais</w:t>
            </w:r>
            <w:r>
              <w:rPr>
                <w:b/>
                <w:i/>
              </w:rPr>
              <w:t>, būtų taikomi tiesioginiai darbo santykiai</w:t>
            </w:r>
            <w:r>
              <w:t>;</w:t>
            </w:r>
          </w:p>
        </w:tc>
        <w:tc>
          <w:tcPr>
            <w:tcW w:w="4876" w:type="dxa"/>
            <w:tcBorders>
              <w:top w:val="nil"/>
              <w:left w:val="nil"/>
              <w:bottom w:val="nil"/>
              <w:right w:val="nil"/>
            </w:tcBorders>
          </w:tcPr>
          <w:p>
            <w:pPr>
              <w:pStyle w:val="Normal6a"/>
            </w:pPr>
            <w:r>
              <w:t>2.</w:t>
            </w:r>
            <w:r>
              <w:tab/>
            </w:r>
            <w:r>
              <w:rPr>
                <w:b/>
                <w:i/>
              </w:rPr>
              <w:t>atkreipia dėmesį į</w:t>
            </w:r>
            <w:r>
              <w:t xml:space="preserve"> valstybių narių </w:t>
            </w:r>
            <w:r>
              <w:rPr>
                <w:b/>
                <w:i/>
              </w:rPr>
              <w:t>galimybę</w:t>
            </w:r>
            <w:r>
              <w:t xml:space="preserve"> reguliuoti didelės rizikos </w:t>
            </w:r>
            <w:r>
              <w:rPr>
                <w:b/>
                <w:i/>
              </w:rPr>
              <w:t>sektorius</w:t>
            </w:r>
            <w:r>
              <w:t>, kai tai įmanoma ir pagrįsta įrodymais;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ragina Komisiją </w:t>
            </w:r>
            <w:r>
              <w:rPr>
                <w:b/>
                <w:i/>
              </w:rPr>
              <w:t>paaiškinti, kad ES vidaus rinkos taisyklėmis valstybėms narėms nedraudžiama priimti teisės aktų, kuriais būtų sprendžiami</w:t>
            </w:r>
            <w:r>
              <w:t xml:space="preserve"> ilgų ir sudėtingų subrangos grandinių </w:t>
            </w:r>
            <w:r>
              <w:rPr>
                <w:b/>
                <w:i/>
              </w:rPr>
              <w:t>klausimai</w:t>
            </w:r>
            <w:r>
              <w:t>, be kita ko, reikalaujant, kad didelės rizikos sektoriuose</w:t>
            </w:r>
            <w:r>
              <w:rPr>
                <w:b/>
                <w:i/>
              </w:rPr>
              <w:t>, kai tai įmanoma ir pagrįsta įrodymais,</w:t>
            </w:r>
            <w:r>
              <w:t xml:space="preserve"> būtų taikomi tiesioginiai darbo santykiai;</w:t>
            </w:r>
          </w:p>
        </w:tc>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w:t>
            </w:r>
            <w:r>
              <w:rPr>
                <w:b/>
                <w:i/>
              </w:rPr>
              <w:t>pabrėžia, kad dėl nepakankamo reglamentavimo atsirado darbo rinkų, kuriose įmonės negali veiksmingai užtikrinti darbuotojų teisių ir saugių darbo vietų;</w:t>
            </w:r>
            <w:r>
              <w:t xml:space="preserve"> ragina Komisiją </w:t>
            </w:r>
            <w:r>
              <w:rPr>
                <w:b/>
                <w:i/>
              </w:rPr>
              <w:t>skatinti valstybes nares spręsti problemas, kylančias dėl</w:t>
            </w:r>
            <w:r>
              <w:t xml:space="preserve"> ilgų ir sudėtingų subrangos grandinių</w:t>
            </w:r>
            <w:r>
              <w:rPr>
                <w:b/>
                <w:i/>
              </w:rPr>
              <w:t>, priimant teisės aktus</w:t>
            </w:r>
            <w:r>
              <w:t>, be kita ko, reikalaujant, kad didelės rizikos sektoriuose būtų taikomi tiesioginiai darbo santykiai;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apgailestauja, kad trūksta aiškumo dėl valstybių narių galimybės reguliuoti ilgas ir sudėtingas subrangos grandines;</w:t>
            </w:r>
            <w:r>
              <w:t xml:space="preserve"> ragina Komisiją </w:t>
            </w:r>
            <w:r>
              <w:rPr>
                <w:b/>
                <w:i/>
              </w:rPr>
              <w:t>paaiškinti</w:t>
            </w:r>
            <w:r>
              <w:t xml:space="preserve">, kad ES vidaus rinkos taisyklėmis valstybėms narėms nedraudžiama </w:t>
            </w:r>
            <w:r>
              <w:rPr>
                <w:b/>
                <w:i/>
              </w:rPr>
              <w:t>priimti teisės aktų, kuriais būtų sprendžiami ilgų ir sudėtingų subrangos grandinių klausimai, be kita ko, reikalaujant, kad</w:t>
            </w:r>
            <w:r>
              <w:t xml:space="preserve"> didelės rizikos sektoriuose, kai </w:t>
            </w:r>
            <w:r>
              <w:rPr>
                <w:b/>
                <w:i/>
              </w:rPr>
              <w:t>tai įmanoma ir</w:t>
            </w:r>
            <w:r>
              <w:t xml:space="preserve"> pagrįsta </w:t>
            </w:r>
            <w:r>
              <w:rPr>
                <w:b/>
                <w:i/>
              </w:rPr>
              <w:t>įrodymais, būtų taikomi tiesioginiai</w:t>
            </w:r>
            <w:r>
              <w:t xml:space="preserve"> darbo </w:t>
            </w:r>
            <w:r>
              <w:rPr>
                <w:b/>
                <w:i/>
              </w:rPr>
              <w:t>santykiai</w:t>
            </w:r>
            <w:r>
              <w:t>;</w:t>
            </w:r>
          </w:p>
        </w:tc>
        <w:tc>
          <w:tcPr>
            <w:tcW w:w="4876" w:type="dxa"/>
            <w:tcBorders>
              <w:top w:val="nil"/>
              <w:left w:val="nil"/>
              <w:bottom w:val="nil"/>
              <w:right w:val="nil"/>
            </w:tcBorders>
          </w:tcPr>
          <w:p>
            <w:pPr>
              <w:pStyle w:val="Normal6a"/>
            </w:pPr>
            <w:r>
              <w:t>2.</w:t>
            </w:r>
            <w:r>
              <w:tab/>
            </w:r>
            <w:r>
              <w:t xml:space="preserve">ragina Komisiją </w:t>
            </w:r>
            <w:r>
              <w:rPr>
                <w:b/>
                <w:i/>
              </w:rPr>
              <w:t>paskelbti aiškinamąjį komunikatą, kuriame būtų išdėstyta</w:t>
            </w:r>
            <w:r>
              <w:t xml:space="preserve">, kad ES vidaus rinkos taisyklėmis valstybėms narėms nedraudžiama didelės rizikos sektoriuose </w:t>
            </w:r>
            <w:r>
              <w:rPr>
                <w:b/>
                <w:i/>
              </w:rPr>
              <w:t>nustatyti a) maksimalų subrangos lygį</w:t>
            </w:r>
            <w:r>
              <w:t>,</w:t>
            </w:r>
            <w:r>
              <w:rPr>
                <w:b/>
                <w:i/>
              </w:rPr>
              <w:t xml:space="preserve"> b)</w:t>
            </w:r>
            <w:r>
              <w:t xml:space="preserve"> kai pagrįsta</w:t>
            </w:r>
            <w:r>
              <w:rPr>
                <w:b/>
                <w:i/>
              </w:rPr>
              <w:t>, reikalavimą dėl tiesioginių</w:t>
            </w:r>
            <w:r>
              <w:t xml:space="preserve"> darbo </w:t>
            </w:r>
            <w:r>
              <w:rPr>
                <w:b/>
                <w:i/>
              </w:rPr>
              <w:t>santykių ir c) solidariąją atsakomybę visoje grandinėje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apgailestauja, kad trūksta aiškumo dėl valstybių narių galimybės reguliuoti ilgas ir sudėtingas subrangos grandines;</w:t>
            </w:r>
            <w:r>
              <w:t xml:space="preserve"> ragina Komisiją paaiškinti, </w:t>
            </w:r>
            <w:r>
              <w:rPr>
                <w:b/>
                <w:i/>
              </w:rPr>
              <w:t>kad</w:t>
            </w:r>
            <w:r>
              <w:t xml:space="preserve"> ES vidaus rinkos taisyklėmis valstybėms narėms </w:t>
            </w:r>
            <w:r>
              <w:rPr>
                <w:b/>
                <w:i/>
              </w:rPr>
              <w:t>nedraudžiama</w:t>
            </w:r>
            <w:r>
              <w:t xml:space="preserve"> priimti teisės </w:t>
            </w:r>
            <w:r>
              <w:rPr>
                <w:b/>
                <w:i/>
              </w:rPr>
              <w:t>aktų</w:t>
            </w:r>
            <w:r>
              <w:t xml:space="preserve">, kuriais būtų sprendžiami ilgų ir sudėtingų subrangos grandinių klausimai, </w:t>
            </w:r>
            <w:r>
              <w:rPr>
                <w:b/>
                <w:i/>
              </w:rPr>
              <w:t>be kita ko, reikalaujant, kad didelės rizikos sektoriuose,</w:t>
            </w:r>
            <w:r>
              <w:t xml:space="preserve"> kai tai įmanoma ir pagrįsta įrodymais</w:t>
            </w:r>
            <w:r>
              <w:rPr>
                <w:b/>
                <w:i/>
              </w:rPr>
              <w:t>, būtų taikomi tiesioginiai darbo santykiai</w:t>
            </w:r>
            <w:r>
              <w:t>;</w:t>
            </w:r>
          </w:p>
        </w:tc>
        <w:tc>
          <w:tcPr>
            <w:tcW w:w="4876" w:type="dxa"/>
            <w:tcBorders>
              <w:top w:val="nil"/>
              <w:left w:val="nil"/>
              <w:bottom w:val="nil"/>
              <w:right w:val="nil"/>
            </w:tcBorders>
          </w:tcPr>
          <w:p>
            <w:pPr>
              <w:pStyle w:val="Normal6a"/>
            </w:pPr>
            <w:r>
              <w:t>2.</w:t>
            </w:r>
            <w:r>
              <w:tab/>
            </w:r>
            <w:r>
              <w:t xml:space="preserve">ragina Komisiją paaiškinti, </w:t>
            </w:r>
            <w:r>
              <w:rPr>
                <w:b/>
                <w:i/>
              </w:rPr>
              <w:t>ar</w:t>
            </w:r>
            <w:r>
              <w:t xml:space="preserve"> ES vidaus rinkos taisyklėmis valstybėms narėms </w:t>
            </w:r>
            <w:r>
              <w:rPr>
                <w:b/>
                <w:i/>
              </w:rPr>
              <w:t>draudžiama</w:t>
            </w:r>
            <w:r>
              <w:t xml:space="preserve"> priimti teisės </w:t>
            </w:r>
            <w:r>
              <w:rPr>
                <w:b/>
                <w:i/>
              </w:rPr>
              <w:t>aktus</w:t>
            </w:r>
            <w:r>
              <w:t xml:space="preserve">, kuriais būtų sprendžiami ilgų ir sudėtingų subrangos grandinių klausimai, kai tai </w:t>
            </w:r>
            <w:r>
              <w:rPr>
                <w:b/>
                <w:i/>
              </w:rPr>
              <w:t>proporcinga,</w:t>
            </w:r>
            <w:r>
              <w:t xml:space="preserve"> įmanoma ir pagrįsta įrodymais;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ragina Komisiją </w:t>
            </w:r>
            <w:r>
              <w:rPr>
                <w:b/>
                <w:i/>
              </w:rPr>
              <w:t>paaiškinti, kad ES vidaus rinkos taisyklėmis</w:t>
            </w:r>
            <w:r>
              <w:t xml:space="preserve"> valstybėms narėms </w:t>
            </w:r>
            <w:r>
              <w:rPr>
                <w:b/>
                <w:i/>
              </w:rPr>
              <w:t>nedraudžiama</w:t>
            </w:r>
            <w:r>
              <w:t xml:space="preserve"> priimti teisės </w:t>
            </w:r>
            <w:r>
              <w:rPr>
                <w:b/>
                <w:i/>
              </w:rPr>
              <w:t>aktų</w:t>
            </w:r>
            <w:r>
              <w:t>, kuriais būtų sprendžiami ilgų ir sudėtingų subrangos grandinių klausimai, be kita ko, reikalaujant</w:t>
            </w:r>
            <w:r>
              <w:rPr>
                <w:b/>
                <w:i/>
              </w:rPr>
              <w:t>, kad didelės rizikos sektoriuose, kai tai įmanoma ir pagrįsta įrodymais, būtų taikomi tiesioginiai</w:t>
            </w:r>
            <w:r>
              <w:t xml:space="preserve"> darbo </w:t>
            </w:r>
            <w:r>
              <w:rPr>
                <w:b/>
                <w:i/>
              </w:rPr>
              <w:t>santykiai</w:t>
            </w:r>
            <w:r>
              <w:t>;</w:t>
            </w:r>
          </w:p>
        </w:tc>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ragina Komisiją </w:t>
            </w:r>
            <w:r>
              <w:rPr>
                <w:b/>
                <w:i/>
              </w:rPr>
              <w:t>teisiškai išaiškinti galimybę</w:t>
            </w:r>
            <w:r>
              <w:t xml:space="preserve"> valstybėms narėms priimti teisės </w:t>
            </w:r>
            <w:r>
              <w:rPr>
                <w:b/>
                <w:i/>
              </w:rPr>
              <w:t>aktus</w:t>
            </w:r>
            <w:r>
              <w:t xml:space="preserve">, kuriais būtų sprendžiami ilgų ir sudėtingų subrangos grandinių klausimai, </w:t>
            </w:r>
            <w:r>
              <w:rPr>
                <w:b/>
                <w:i/>
              </w:rPr>
              <w:t>netrukdant joms to daryti taikant ES vidaus rinkos taisykles,</w:t>
            </w:r>
            <w:r>
              <w:t xml:space="preserve"> be kita ko, reikalaujant </w:t>
            </w:r>
            <w:r>
              <w:rPr>
                <w:b/>
                <w:i/>
              </w:rPr>
              <w:t>taikyti tiesioginius</w:t>
            </w:r>
            <w:r>
              <w:t xml:space="preserve"> darbo </w:t>
            </w:r>
            <w:r>
              <w:rPr>
                <w:b/>
                <w:i/>
              </w:rPr>
              <w:t>santykius tais atvejais, kai kalbama apie pagrindinę įmonės veiklą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apgailestauja, kad trūksta aiškumo dėl valstybių narių galimybės reguliuoti</w:t>
            </w:r>
            <w:r>
              <w:t xml:space="preserve"> ilgas ir sudėtingas subrangos grandines; ragina Komisiją paaiškinti, kad ES vidaus rinkos taisyklėmis valstybėms narėms nedraudžiama priimti teisės aktų, kuriais būtų sprendžiami ilgų ir sudėtingų subrangos grandinių klausimai</w:t>
            </w:r>
            <w:r>
              <w:rPr>
                <w:b/>
                <w:i/>
              </w:rPr>
              <w:t>, be kita ko, reikalaujant, kad didelės rizikos sektoriuose, kai tai įmanoma ir pagrįsta įrodymais, būtų taikomi tiesioginiai darbo santykiai</w:t>
            </w:r>
            <w:r>
              <w:t>;</w:t>
            </w:r>
          </w:p>
        </w:tc>
        <w:tc>
          <w:tcPr>
            <w:tcW w:w="4876" w:type="dxa"/>
            <w:tcBorders>
              <w:top w:val="nil"/>
              <w:left w:val="nil"/>
              <w:bottom w:val="nil"/>
              <w:right w:val="nil"/>
            </w:tcBorders>
          </w:tcPr>
          <w:p>
            <w:pPr>
              <w:pStyle w:val="Normal6a"/>
            </w:pPr>
            <w:r>
              <w:t>2.</w:t>
            </w:r>
            <w:r>
              <w:tab/>
            </w:r>
            <w:r>
              <w:rPr>
                <w:b/>
                <w:i/>
              </w:rPr>
              <w:t>pabrėžia galimybę laikytis Sąjungos požiūrio į</w:t>
            </w:r>
            <w:r>
              <w:t xml:space="preserve"> ilgas ir sudėtingas subrangos grandines </w:t>
            </w:r>
            <w:r>
              <w:rPr>
                <w:b/>
                <w:i/>
              </w:rPr>
              <w:t>tais atvejais, kai dalyvauja dvi valstybės narės ar daugiau valstybių narių</w:t>
            </w:r>
            <w:r>
              <w:t>; ragina Komisiją paaiškinti, kad ES vidaus rinkos taisyklėmis valstybėms narėms nedraudžiama priimti teisės aktų, kuriais būtų sprendžiami ilgų ir sudėtingų subrangos grandinių klausimai;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ragina Komisiją </w:t>
            </w:r>
            <w:r>
              <w:rPr>
                <w:b/>
                <w:i/>
              </w:rPr>
              <w:t>paaiškinti</w:t>
            </w:r>
            <w:r>
              <w:t xml:space="preserve">, kad ES vidaus rinkos taisyklėmis valstybėms narėms </w:t>
            </w:r>
            <w:r>
              <w:rPr>
                <w:b/>
                <w:i/>
              </w:rPr>
              <w:t>nedraudžiama</w:t>
            </w:r>
            <w:r>
              <w:t xml:space="preserve"> priimti teisės aktų, kuriais būtų sprendžiami ilgų ir sudėtingų subrangos grandinių klausimai, be kita ko, reikalaujant, kad didelės rizikos sektoriuose, kai tai įmanoma ir pagrįsta įrodymais, būtų taikomi tiesioginiai darbo santykiai;</w:t>
            </w:r>
          </w:p>
        </w:tc>
        <w:tc>
          <w:tcPr>
            <w:tcW w:w="4876" w:type="dxa"/>
            <w:tcBorders>
              <w:top w:val="nil"/>
              <w:left w:val="nil"/>
              <w:bottom w:val="nil"/>
              <w:right w:val="nil"/>
            </w:tcBorders>
          </w:tcPr>
          <w:p>
            <w:pPr>
              <w:pStyle w:val="Normal6a"/>
            </w:pPr>
            <w:r>
              <w:t>2.</w:t>
            </w:r>
            <w:r>
              <w:tab/>
            </w:r>
            <w:r>
              <w:t xml:space="preserve">apgailestauja, kad trūksta aiškumo dėl valstybių narių galimybės reguliuoti ilgas ir sudėtingas subrangos grandines; ragina Komisiją </w:t>
            </w:r>
            <w:r>
              <w:rPr>
                <w:b/>
                <w:i/>
              </w:rPr>
              <w:t>imtis reikiamų priemonių</w:t>
            </w:r>
            <w:r>
              <w:t xml:space="preserve">, kad ES vidaus rinkos taisyklėmis valstybėms narėms </w:t>
            </w:r>
            <w:r>
              <w:rPr>
                <w:b/>
                <w:i/>
              </w:rPr>
              <w:t>nebūtų draudžiama</w:t>
            </w:r>
            <w:r>
              <w:t xml:space="preserve"> priimti teisės aktų, kuriais būtų sprendžiami ilgų ir sudėtingų subrangos grandinių klausimai, be kita ko, reikalaujant, kad didelės rizikos sektoriuose, kai tai įmanoma ir pagrįsta įrodymais, būtų taikomi tiesioginiai darbo santykiai;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apgailestauja, kad trūksta aiškumo dėl</w:t>
            </w:r>
            <w:r>
              <w:t xml:space="preserve"> valstybių narių </w:t>
            </w:r>
            <w:r>
              <w:rPr>
                <w:b/>
                <w:i/>
              </w:rPr>
              <w:t>galimybės reguliuoti ilgas ir sudėtingas</w:t>
            </w:r>
            <w:r>
              <w:t xml:space="preserve"> subrangos </w:t>
            </w:r>
            <w:r>
              <w:rPr>
                <w:b/>
                <w:i/>
              </w:rPr>
              <w:t>grandines</w:t>
            </w:r>
            <w:r>
              <w:t>; ragina Komisiją paaiškinti</w:t>
            </w:r>
            <w:r>
              <w:rPr>
                <w:b/>
                <w:i/>
              </w:rPr>
              <w:t>, kad ES vidaus rinkos taisyklėmis valstybėms narėms nedraudžiama</w:t>
            </w:r>
            <w:r>
              <w:t xml:space="preserve"> priimti teisės </w:t>
            </w:r>
            <w:r>
              <w:rPr>
                <w:b/>
                <w:i/>
              </w:rPr>
              <w:t>aktų</w:t>
            </w:r>
            <w:r>
              <w:t xml:space="preserve">, kuriais būtų </w:t>
            </w:r>
            <w:r>
              <w:rPr>
                <w:b/>
                <w:i/>
              </w:rPr>
              <w:t>sprendžiami</w:t>
            </w:r>
            <w:r>
              <w:t xml:space="preserve"> ilgų ir sudėtingų subrangos grandinių </w:t>
            </w:r>
            <w:r>
              <w:rPr>
                <w:b/>
                <w:i/>
              </w:rPr>
              <w:t>klausimai, be kita ko, reikalaujant, kad</w:t>
            </w:r>
            <w:r>
              <w:t xml:space="preserve"> didelės rizikos sektoriuose</w:t>
            </w:r>
            <w:r>
              <w:rPr>
                <w:b/>
                <w:i/>
              </w:rPr>
              <w:t>, kai tai įmanoma ir pagrįsta įrodymais, būtų taikomi tiesioginiai darbo santykiai</w:t>
            </w:r>
            <w:r>
              <w:t>;</w:t>
            </w:r>
          </w:p>
        </w:tc>
        <w:tc>
          <w:tcPr>
            <w:tcW w:w="4876" w:type="dxa"/>
            <w:tcBorders>
              <w:top w:val="nil"/>
              <w:left w:val="nil"/>
              <w:bottom w:val="nil"/>
              <w:right w:val="nil"/>
            </w:tcBorders>
          </w:tcPr>
          <w:p>
            <w:pPr>
              <w:pStyle w:val="Normal6a"/>
            </w:pPr>
            <w:r>
              <w:t>2.</w:t>
            </w:r>
            <w:r>
              <w:tab/>
            </w:r>
            <w:r>
              <w:rPr>
                <w:b/>
                <w:i/>
              </w:rPr>
              <w:t>primena iššūkius, su kuriais susiduria kai kurios</w:t>
            </w:r>
            <w:r>
              <w:t xml:space="preserve"> valstybių narių </w:t>
            </w:r>
            <w:r>
              <w:rPr>
                <w:b/>
                <w:i/>
              </w:rPr>
              <w:t>iniciatyvos nustatyti</w:t>
            </w:r>
            <w:r>
              <w:t xml:space="preserve"> subrangos </w:t>
            </w:r>
            <w:r>
              <w:rPr>
                <w:b/>
                <w:i/>
              </w:rPr>
              <w:t>grandinių ilgio apribojimus</w:t>
            </w:r>
            <w:r>
              <w:t xml:space="preserve">; ragina Komisiją paaiškinti </w:t>
            </w:r>
            <w:r>
              <w:rPr>
                <w:b/>
                <w:i/>
              </w:rPr>
              <w:t>ir paskelbti gaires dėl galimybių</w:t>
            </w:r>
            <w:r>
              <w:t xml:space="preserve"> priimti </w:t>
            </w:r>
            <w:r>
              <w:rPr>
                <w:b/>
                <w:i/>
              </w:rPr>
              <w:t>nacionalinės</w:t>
            </w:r>
            <w:r>
              <w:t xml:space="preserve"> teisės </w:t>
            </w:r>
            <w:r>
              <w:rPr>
                <w:b/>
                <w:i/>
              </w:rPr>
              <w:t>aktus</w:t>
            </w:r>
            <w:r>
              <w:t xml:space="preserve">, kuriais būtų </w:t>
            </w:r>
            <w:r>
              <w:rPr>
                <w:b/>
                <w:i/>
              </w:rPr>
              <w:t>mažinama rizika, kylanti dėl</w:t>
            </w:r>
            <w:r>
              <w:t xml:space="preserve"> ilgų ir sudėtingų subrangos grandinių</w:t>
            </w:r>
            <w:r>
              <w:rPr>
                <w:b/>
                <w:i/>
              </w:rPr>
              <w:t>, ir pateikti pasiūlymų dėl teisėkūros ir ne teisėkūros procedūra priimamų aktų siekiant kovoti su išnaudojimu darbe, ypač</w:t>
            </w:r>
            <w:r>
              <w:t xml:space="preserve"> didelės rizikos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kad taikant bet kokias nacionalines priemones turi būti visapusiškai gerbiama ES vidaus rinka, kuri yra pagrindinis Sąjungos ramstis;</w:t>
            </w:r>
            <w:r>
              <w:t xml:space="preserve"> </w:t>
            </w:r>
            <w:r>
              <w:rPr>
                <w:b/>
                <w:i/>
              </w:rPr>
              <w:t>ragina valstybes nares užtikrinti, kad jų teisės aktai, susiję su subranga ir darbo santykiais, būtų suderinami su laisvo paslaugų ir darbuotojų judėjimo principais, taip pat įsisteigimo laisve ir nesukurtų nereikalingų tarpvalstybinės verslo veiklos kliūčių, kurios trukdytų inovacijoms ir konkurencingumui;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apgailestauja dėl nepakankamo valstybių narių ir nacionalinių valdžios institucijų bendradarbiavimo ir koordinavimo kovojant su nusikaltimais, neatsižvelgiant į tai, ar jie organizuoti, ar 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pakartoja savo raginimą</w:t>
            </w:r>
            <w:r>
              <w:rPr>
                <w:b/>
                <w:i/>
                <w:vertAlign w:val="superscript"/>
              </w:rPr>
              <w:t>11</w:t>
            </w:r>
            <w:r>
              <w:rPr>
                <w:b/>
                <w:i/>
              </w:rPr>
              <w:t>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pakartoja savo raginimą</w:t>
            </w:r>
            <w:r>
              <w:rPr>
                <w:b/>
                <w:i/>
                <w:vertAlign w:val="superscript"/>
              </w:rPr>
              <w:t>11</w:t>
            </w:r>
            <w:r>
              <w:rPr>
                <w:b/>
                <w:i/>
              </w:rPr>
              <w:t>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pakartoja savo raginimą</w:t>
            </w:r>
            <w:r>
              <w:rPr>
                <w:b/>
                <w:i/>
                <w:vertAlign w:val="superscript"/>
              </w:rPr>
              <w:t>11</w:t>
            </w:r>
            <w:r>
              <w:rPr>
                <w:b/>
                <w:i/>
              </w:rPr>
              <w:t>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pakartoja savo raginimą</w:t>
            </w:r>
            <w:r>
              <w:rPr>
                <w:b/>
                <w:i/>
                <w:vertAlign w:val="superscript"/>
              </w:rPr>
              <w:t>11</w:t>
            </w:r>
            <w:r>
              <w:rPr>
                <w:b/>
                <w:i/>
              </w:rPr>
              <w:t>Komisijai apsvarstyti galimybę priimti</w:t>
            </w:r>
            <w:r>
              <w:t xml:space="preserve"> pagrindų direktyvą, kuria būtų sprendžiamos problemos, susijusios su piktnaudžiaujamojo pobūdžio subranga ir tarpininkavimu darbo srityje Europoje, ir kad šia pagrindų direktyva būtų nustatyta bendra teisinė sistema, kuria būtų ribojama subranga </w:t>
            </w:r>
            <w:r>
              <w:rPr>
                <w:b/>
                <w:i/>
              </w:rPr>
              <w:t>ir užtikrinama solidarioji atsakomybė</w:t>
            </w:r>
            <w:r>
              <w:t xml:space="preserve"> visoje subrangos grandinėje, taip pat </w:t>
            </w:r>
            <w:r>
              <w:rPr>
                <w:b/>
                <w:i/>
              </w:rPr>
              <w:t>nustatytos priemonės</w:t>
            </w:r>
            <w:r>
              <w:t>,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t>3.</w:t>
            </w:r>
            <w:r>
              <w:tab/>
            </w:r>
            <w:r>
              <w:rPr>
                <w:b/>
                <w:i/>
              </w:rPr>
              <w:t>pabrėžia, kad gerai reglamentuojama subranga labai svarbi užtikrinant sąžiningą MVĮ konkurenciją ir galimybes pasinaudoti specializuotomis žiniomis;</w:t>
            </w:r>
            <w:r>
              <w:t xml:space="preserve"> </w:t>
            </w:r>
            <w:r>
              <w:rPr>
                <w:b/>
                <w:i/>
              </w:rPr>
              <w:t>vis dėlto pripažįsta, kad dėl kelių subrangos sluoksnių gali sumažėti atskaitomybė, didėti darbo teisės pažeidimų rizika, mažėti spaudimas darbuotojų darbo sąlygoms subrangos grandinėje ir būti trukdoma veiksmingai užtikrinti teisės aktų vykdymą;</w:t>
            </w:r>
            <w:r>
              <w:t xml:space="preserve"> </w:t>
            </w:r>
            <w:r>
              <w:rPr>
                <w:b/>
                <w:i/>
              </w:rPr>
              <w:t>pabrėžia, kad viešojo pirkimo taisyklėmis turėtų būti skatinamas tiesioginių darbo vietų kūrimas;</w:t>
            </w:r>
            <w:r>
              <w:t xml:space="preserve"> </w:t>
            </w:r>
            <w:r>
              <w:rPr>
                <w:b/>
                <w:i/>
              </w:rPr>
              <w:t>ragina Komisiją, siekiant nutraukti piktnaudžiavimą subranga ir apsaugoti darbuotojų teises, taip pat padidinti skaidrumą ir atsakomybę visoje tiekimo grandinėje, pasiūlyti</w:t>
            </w:r>
            <w:r>
              <w:t xml:space="preserve"> pagrindų direktyvą, kuria būtų sprendžiamos problemos, susijusios su piktnaudžiaujamojo pobūdžio subranga ir tarpininkavimu darbo srityje Europoje, ir kad šia pagrindų direktyva būtų nustatyta bendra teisinė sistema, kuria būtų ribojama </w:t>
            </w:r>
            <w:r>
              <w:rPr>
                <w:b/>
                <w:i/>
              </w:rPr>
              <w:t>daugiasluoksnė</w:t>
            </w:r>
            <w:r>
              <w:t xml:space="preserve"> subranga</w:t>
            </w:r>
            <w:r>
              <w:rPr>
                <w:b/>
                <w:i/>
              </w:rPr>
              <w:t>;</w:t>
            </w:r>
            <w:r>
              <w:t xml:space="preserve"> </w:t>
            </w:r>
            <w:r>
              <w:rPr>
                <w:b/>
                <w:i/>
              </w:rPr>
              <w:t>taip pat ragina nustatyti aiškiai apibrėžtą ekonominės veiklos vykdytojų ir subrangovų solidariosios atsakomybės tvarką, užtikrinant solidariąją atsakomybę</w:t>
            </w:r>
            <w:r>
              <w:t xml:space="preserve"> visoje subrangos grandinėje, </w:t>
            </w:r>
            <w:r>
              <w:rPr>
                <w:b/>
                <w:i/>
              </w:rPr>
              <w:t>įskaitant visas galimas teisines užsakomųjų paslaugų formas,</w:t>
            </w:r>
            <w:r>
              <w:t xml:space="preserve"> taip pat </w:t>
            </w:r>
            <w:r>
              <w:rPr>
                <w:b/>
                <w:i/>
              </w:rPr>
              <w:t>nustatyti priemones</w:t>
            </w:r>
            <w:r>
              <w:t xml:space="preserve">, kuriomis būtų reguliuojamas įdarbinimo tarpininkų, išskyrus laikinojo įdarbinimo agentūras, vaidmuo ir atsakomybė; </w:t>
            </w:r>
            <w:r>
              <w:rPr>
                <w:b/>
                <w:i/>
              </w:rPr>
              <w:t>be to, ragina viešųjų pirkimų atveju užtikrinti susijusių subrangovų ir sutarties dalies, kurią rangovas ketina perduoti vykdyti subrangovams, skaidrumą;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pakartoja savo raginimą</w:t>
            </w:r>
            <w:r>
              <w:rPr>
                <w:b/>
                <w:i/>
                <w:vertAlign w:val="superscript"/>
              </w:rPr>
              <w:t>11</w:t>
            </w:r>
            <w:r>
              <w:rPr>
                <w:b/>
                <w:i/>
              </w:rPr>
              <w:t>Komisijai apsvarstyti galimybę priimti pagrindų direktyvą, kuria būtų sprendžiamos problemos, susijusios su</w:t>
            </w:r>
            <w:r>
              <w:t xml:space="preserve"> piktnaudžiaujamojo pobūdžio </w:t>
            </w:r>
            <w:r>
              <w:rPr>
                <w:b/>
                <w:i/>
              </w:rPr>
              <w:t>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r>
              <w:t>;</w:t>
            </w:r>
          </w:p>
        </w:tc>
        <w:tc>
          <w:tcPr>
            <w:tcW w:w="4876" w:type="dxa"/>
            <w:tcBorders>
              <w:top w:val="nil"/>
              <w:left w:val="nil"/>
              <w:bottom w:val="nil"/>
              <w:right w:val="nil"/>
            </w:tcBorders>
          </w:tcPr>
          <w:p>
            <w:pPr>
              <w:pStyle w:val="Normal6a"/>
            </w:pPr>
            <w:r>
              <w:t>3.</w:t>
            </w:r>
            <w:r>
              <w:tab/>
            </w:r>
            <w:r>
              <w:rPr>
                <w:b/>
                <w:i/>
              </w:rPr>
              <w:t>ragina Komisiją pateikti rekomendaciją ir vadinamąjį vykdymo užtikrinimo priemonių rinkinį, skirtą</w:t>
            </w:r>
            <w:r>
              <w:t xml:space="preserve"> piktnaudžiaujamojo pobūdžio </w:t>
            </w:r>
            <w:r>
              <w:rPr>
                <w:b/>
                <w:i/>
              </w:rPr>
              <w:t>subrangai ir (arba) tarpininkavimui, visapusiškai pasinaudojant galiojančiu acquis (96/71/EB, 2014/67/ES, 2011/36/ES), o ne rengti naujus horizontaliuosius teisės aktus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Komisijai apsvarstyti </w:t>
            </w:r>
            <w:r>
              <w:rPr>
                <w:b/>
                <w:i/>
              </w:rPr>
              <w:t>galimybę priimti pagrindų direktyvą, kuria būtų sprendžiamos problemos, susijusios</w:t>
            </w:r>
            <w:r>
              <w:t xml:space="preserve"> su piktnaudžiaujamojo pobūdžio subranga ir tarpininkavimu darbo srityje Europoje</w:t>
            </w:r>
            <w:r>
              <w:rPr>
                <w:b/>
                <w:i/>
              </w:rPr>
              <w:t>,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r>
              <w:t>;</w:t>
            </w:r>
          </w:p>
        </w:tc>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 Komisijai apsvarstyti </w:t>
            </w:r>
            <w:r>
              <w:rPr>
                <w:b/>
                <w:i/>
              </w:rPr>
              <w:t>rekomendaciją, kaip spręsti problemas, susijusias</w:t>
            </w:r>
            <w:r>
              <w:t xml:space="preserve"> su piktnaudžiaujamojo pobūdžio subranga ir tarpininkavimu darbo srityje Europoje;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pPr>
              <w:pStyle w:val="Normal6a"/>
            </w:pPr>
            <w:r>
              <w:rPr>
                <w:vertAlign w:val="superscript"/>
              </w:rPr>
              <w:t>11</w:t>
            </w:r>
            <w:r>
              <w:t xml:space="preserve"> </w:t>
            </w:r>
            <w:r>
              <w:t>2025 m. kovo 13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Komisijai apsvarstyti </w:t>
            </w:r>
            <w:r>
              <w:rPr>
                <w:b/>
                <w:i/>
              </w:rPr>
              <w:t>galimybę priimti pagrindų direktyvą, kuria būtų sprendžiamos problemos, susijusios</w:t>
            </w:r>
            <w:r>
              <w:t xml:space="preserve"> su piktnaudžiaujamojo pobūdžio subranga ir tarpininkavimu darbo srityje Europoje</w:t>
            </w:r>
            <w:r>
              <w:rPr>
                <w:b/>
                <w:i/>
              </w:rPr>
              <w:t>,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r>
              <w:t>;</w:t>
            </w:r>
          </w:p>
        </w:tc>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 Komisijai apsvarstyti </w:t>
            </w:r>
            <w:r>
              <w:rPr>
                <w:b/>
                <w:i/>
              </w:rPr>
              <w:t>rekomendaciją, kaip spręsti problemas, susijusias</w:t>
            </w:r>
            <w:r>
              <w:t xml:space="preserve"> su piktnaudžiaujamojo pobūdžio subranga ir tarpininkavimu darbo srityje Europoje;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pPr>
              <w:pStyle w:val="Normal6a"/>
            </w:pPr>
            <w:r>
              <w:rPr>
                <w:vertAlign w:val="superscript"/>
              </w:rPr>
              <w:t>11</w:t>
            </w:r>
            <w:r>
              <w:t xml:space="preserve"> </w:t>
            </w:r>
            <w:r>
              <w:t>2025 m. kovo 13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Komisijai apsvarstyti galimybę priimti pagrindų direktyvą, kuria būtų sprendžiamos problemos, susijusios su piktnaudžiaujamojo pobūdžio subranga ir tarpininkavimu darbo srityje </w:t>
            </w:r>
            <w:r>
              <w:rPr>
                <w:b/>
                <w:i/>
              </w:rPr>
              <w:t>Europoje, ir kad šia pagrindų</w:t>
            </w:r>
            <w:r>
              <w:t xml:space="preserve"> direktyva </w:t>
            </w:r>
            <w:r>
              <w:rPr>
                <w:b/>
                <w:i/>
              </w:rPr>
              <w:t>būtų nustatyta bendra teisinė sistema, kuria būtų ribojama subranga ir užtikrinama solidarioji atsakomybė</w:t>
            </w:r>
            <w:r>
              <w:t xml:space="preserve"> visoje subrangos grandinėje, taip pat </w:t>
            </w:r>
            <w:r>
              <w:rPr>
                <w:b/>
                <w:i/>
              </w:rPr>
              <w:t>nustatytos priemonės</w:t>
            </w:r>
            <w:r>
              <w:t>,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 Komisijai apsvarstyti galimybę priimti pagrindų direktyvą, kuria būtų sprendžiamos problemos, susijusios su piktnaudžiaujamojo pobūdžio subranga ir tarpininkavimu darbo srityje </w:t>
            </w:r>
            <w:r>
              <w:rPr>
                <w:b/>
                <w:i/>
              </w:rPr>
              <w:t>ES;</w:t>
            </w:r>
            <w:r>
              <w:t xml:space="preserve"> </w:t>
            </w:r>
            <w:r>
              <w:rPr>
                <w:b/>
                <w:i/>
              </w:rPr>
              <w:t>ragina šia</w:t>
            </w:r>
            <w:r>
              <w:t xml:space="preserve"> direktyva </w:t>
            </w:r>
            <w:r>
              <w:rPr>
                <w:b/>
                <w:i/>
              </w:rPr>
              <w:t>išplėsti solidariąją atsakomybę</w:t>
            </w:r>
            <w:r>
              <w:t xml:space="preserve"> visoje subrangos grandinėje, </w:t>
            </w:r>
            <w:r>
              <w:rPr>
                <w:b/>
                <w:i/>
              </w:rPr>
              <w:t>užtikrinti skaidrumą subrangos grandinėje naudojant privalomą ir skaitmeninį registrą, reikalauti paskirti koordinatorių, kuris apžvelgtų visus skirtingus subrangos grandinės subjektus, ir nustatyti subrangos ribojimo didelės rizikos sektoriuose sistemą,</w:t>
            </w:r>
            <w:r>
              <w:t xml:space="preserve"> taip pat </w:t>
            </w:r>
            <w:r>
              <w:rPr>
                <w:b/>
                <w:i/>
              </w:rPr>
              <w:t>nustatyti priemones</w:t>
            </w:r>
            <w:r>
              <w:t>, kuriomis būtų reguliuojamas įdarbinimo tarpininkų, išskyrus laikinojo įdarbinimo agentūras, vaidmuo ir atsakomybė</w:t>
            </w:r>
            <w:r>
              <w:rPr>
                <w:b/>
                <w:i/>
              </w:rPr>
              <w:t>, siekiant kovoti su nesąžiningu elgesiu ir priedangos įmonėmis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pPr>
              <w:pStyle w:val="Normal6a"/>
            </w:pPr>
            <w:r>
              <w:rPr>
                <w:vertAlign w:val="superscript"/>
              </w:rPr>
              <w:t>11</w:t>
            </w:r>
            <w:r>
              <w:t xml:space="preserve"> </w:t>
            </w:r>
            <w:r>
              <w:t>2025 m. kovo 13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pakartoja savo raginimą</w:t>
            </w:r>
            <w:r>
              <w:rPr>
                <w:vertAlign w:val="superscript"/>
              </w:rPr>
              <w:t>11</w:t>
            </w:r>
            <w:r>
              <w:t>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 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r>
              <w:rPr>
                <w:b/>
                <w:i/>
              </w:rPr>
              <w:t>, atsižvelgiant į subrangos grandines, kuriose įdarbinami trečiųjų šalių piliečiai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pPr>
              <w:pStyle w:val="Normal6a"/>
            </w:pPr>
            <w:r>
              <w:rPr>
                <w:vertAlign w:val="superscript"/>
              </w:rPr>
              <w:t>11</w:t>
            </w:r>
            <w:r>
              <w:t xml:space="preserve"> </w:t>
            </w:r>
            <w:r>
              <w:t>2025 m. kovo 13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Komisijai apsvarstyti galimybę </w:t>
            </w:r>
            <w:r>
              <w:rPr>
                <w:b/>
                <w:i/>
              </w:rPr>
              <w:t>priimti</w:t>
            </w:r>
            <w:r>
              <w:t xml:space="preserve"> pagrindų </w:t>
            </w:r>
            <w:r>
              <w:rPr>
                <w:b/>
                <w:i/>
              </w:rPr>
              <w:t>direktyvą, kuria būtų sprendžiamos problemos, susijusios su piktnaudžiaujamojo pobūdžio subranga ir tarpininkavimu darbo srityje Europoje, ir kad šia pagrindų direktyva būtų nustatyta bendra teisinė sistema</w:t>
            </w:r>
            <w:r>
              <w:t>, kuria būtų ribojama subranga ir užtikrinama solidarioji atsakomybė visoje subrangos grandinėje</w:t>
            </w:r>
            <w:r>
              <w:rPr>
                <w:b/>
                <w:i/>
              </w:rPr>
              <w:t>, taip pat nustatytos priemonės</w:t>
            </w:r>
            <w:r>
              <w:t>,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t>3.</w:t>
            </w:r>
            <w:r>
              <w:tab/>
            </w:r>
            <w:r>
              <w:t>pakartoja savo raginimą</w:t>
            </w:r>
            <w:r>
              <w:rPr>
                <w:vertAlign w:val="superscript"/>
              </w:rPr>
              <w:t>11</w:t>
            </w:r>
            <w:r>
              <w:t xml:space="preserve"> Komisijai apsvarstyti galimybę </w:t>
            </w:r>
            <w:r>
              <w:rPr>
                <w:b/>
                <w:i/>
              </w:rPr>
              <w:t>būsimoje</w:t>
            </w:r>
            <w:r>
              <w:t xml:space="preserve"> pagrindų </w:t>
            </w:r>
            <w:r>
              <w:rPr>
                <w:b/>
                <w:i/>
              </w:rPr>
              <w:t>direktyvoje nustatyti bendrą teisinę sistemą</w:t>
            </w:r>
            <w:r>
              <w:t xml:space="preserve">, kuria būtų ribojama subranga ir užtikrinama solidarioji atsakomybė visoje subrangos grandinėje </w:t>
            </w:r>
            <w:r>
              <w:rPr>
                <w:b/>
                <w:i/>
              </w:rPr>
              <w:t>nacionaliniu ir tarpvalstybiniu atvejais, ir į ją įtraukti priemones</w:t>
            </w:r>
            <w:r>
              <w:t>, kuriomis būtų reguliuojamas įdarbinimo tarpininkų, išskyrus laikinojo įdarbinimo agentūras, vaidmuo ir atsakomybė;</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pPr>
              <w:pStyle w:val="Normal6a"/>
            </w:pPr>
            <w:r>
              <w:rPr>
                <w:vertAlign w:val="superscript"/>
              </w:rPr>
              <w:t>11</w:t>
            </w:r>
            <w:r>
              <w:t xml:space="preserve"> </w:t>
            </w:r>
            <w:r>
              <w:t>2025 m. kovo 13 d. rezoliucija.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pakartoja savo raginimą</w:t>
            </w:r>
            <w:r>
              <w:rPr>
                <w:vertAlign w:val="superscript"/>
              </w:rPr>
              <w:t>11</w:t>
            </w:r>
            <w:r>
              <w:rPr>
                <w:b/>
                <w:i/>
              </w:rPr>
              <w:t>Komisijai apsvarstyti galimybę priimti pagrindų direktyvą, kuria būtų sprendžiamos problemos, susijusios su piktnaudžiaujamojo pobūdžio subranga ir tarpininkavimu darbo srityje Europoje, ir kad šia pagrindų direktyva būtų nustatyta bendra teisinė sistema, kuria būtų ribojama subranga ir užtikrinama solidarioji atsakomybė visoje subrangos grandinėje, taip pat nustatytos priemonės, kuriomis būtų reguliuojamas įdarbinimo tarpininkų, išskyrus laikinojo įdarbinimo agentūras, vaidmuo ir atsakomybė;</w:t>
            </w:r>
          </w:p>
        </w:tc>
        <w:tc>
          <w:tcPr>
            <w:tcW w:w="4876" w:type="dxa"/>
            <w:tcBorders>
              <w:top w:val="nil"/>
              <w:left w:val="nil"/>
              <w:bottom w:val="nil"/>
              <w:right w:val="nil"/>
            </w:tcBorders>
          </w:tcPr>
          <w:p>
            <w:pPr>
              <w:pStyle w:val="Normal6a"/>
            </w:pPr>
            <w:r>
              <w:t>3.</w:t>
            </w:r>
            <w:r>
              <w:tab/>
            </w:r>
            <w:r>
              <w:rPr>
                <w:b/>
                <w:i/>
              </w:rPr>
              <w:t>(Tekstas lietuvių kalba nekeičiamas.)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2025 m. kovo 13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Pascal Arimont,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atkreipia dėmesį į tai, kad subrangos grandinių pakopinės atsakomybės principas gali būti būdas užtikrinti, kad pagrindiniam rangovui tektų bendra atsakomybė už paslaugas, teikiamas visoje subrangos grandinėje;</w:t>
            </w:r>
            <w:r>
              <w:t xml:space="preserve"> </w:t>
            </w:r>
            <w:r>
              <w:rPr>
                <w:b/>
                <w:i/>
              </w:rPr>
              <w:t>mano, kad taikant tokį principą galima užtikrinti, jog kokybė, veiklos rezultatai ir atitiktis darbo, socialiniams ir saugos standartams būtų garantuoti sutartimi visais subrangos grandinės lygmenimis;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pakartoja savo poziciją</w:t>
            </w:r>
            <w:r>
              <w:rPr>
                <w:b/>
                <w:i/>
                <w:vertAlign w:val="superscript"/>
              </w:rPr>
              <w:t>1b</w:t>
            </w:r>
            <w:r>
              <w:rPr>
                <w:b/>
                <w:i/>
              </w:rPr>
              <w:t>, kad viešųjų pirkimų taisyklėmis turėtų būti skatinama kurti tiesiogines darbo vietas, ir savo raginimą Komisijai apriboti subrangos sluoksnius, taip pat apsvarstyti galimybę nustatyti aiškiai apibrėžtą solidariosios atsakomybės tvarką ir užtikrinti skaidrumą atsižvelgiant į susijusius subrangovus ir sutarties dalį, kurią rangovas ketina pavesti vykdyti subrangovams;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https://www.europarl.europa.eu/doceo/document/EMPL-AD-770193_LT.pdf.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pabrėžia, kad reikia pripažinti pagrindinį nesąžiningos prekybos praktikos vaidmenį skatinant neteisėtą subrangą ir susijusius darbuotojų teisių pažeidimus, ypač žemės ūkio maisto produktų sektoriuje;</w:t>
            </w:r>
            <w:r>
              <w:t xml:space="preserve"> </w:t>
            </w:r>
            <w:r>
              <w:rPr>
                <w:b/>
                <w:i/>
              </w:rPr>
              <w:t>ragina Komisiją įvertinti, kaip kovoti su šia (nesąžiningos prekybos) praktika, be kita ko, priimant žemės ūkio ir maisto tiekimo grandinės srities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pabrėžia, kad didžiąją dalį veiklos, kuriai taikoma sutartis, turi vykdyti rangovas su savo tiesioginiais darbuotojais ir kad pasiūlymų teikimo etape turėtų būti aiškiai nurodytos subrangovams vykdyti atiteksiančios sutarties dalys ir įmonės, su kuriomis konkurso dalyvis ketina sudaryti subrangos sutartis;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ragina Komisiją, siekiant kovoti su išnaudojimu darbe ir neteisėtu darbu didelės rizikos sektoriuose, imtis sektorių iniciatyvų, grindžiamų didelės rizikos sektorių, kurie turi būti nustatyti kartu su nacionalinėmis valdžios institucijomis ir socialiniais partneriais, identifikavimu;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ragina Komisiją, laikantis savo supaprastinimo darbotvarkės, sumažinti administracinę naštą įmonėms, ypač su rizika nesusijusiuose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primena, kad subrangos apribojimai turi būti subalansuoti atsižvelgiant į intervencines priemones, kurios sukuriamos teisei užsiimti verslu požiūriu;</w:t>
            </w:r>
            <w:r>
              <w:t xml:space="preserve"> </w:t>
            </w:r>
            <w:r>
              <w:rPr>
                <w:b/>
                <w:i/>
              </w:rPr>
              <w:t>yra susirūpinęs dėl to, kad subrangos apribojimas iki tam tikro pakopų lygio yra drastiškas įsikišimas į šią teisę, ir ragina Komisiją įvertinti tokių apribojimų galimybę tik tuo atveju, jei nesama jokių kitų priemonių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primena, jog Europos Sąjungos Teisingumo Teismas (ESTT), atsižvelgdamas į bendruosius SESV principus, nusprendė, kad valstybės narės vyriausybės taikomas subrangos grandinės apribojimas yra neteisėta kliūtis laisvam judėjimui</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w:t>
            </w:r>
            <w:r>
              <w:rPr>
                <w:b/>
                <w:i/>
              </w:rPr>
              <w:t>apriboti subrangos lygius;</w:t>
            </w:r>
            <w:r>
              <w:t xml:space="preserve"> </w:t>
            </w:r>
            <w:r>
              <w:rPr>
                <w:b/>
                <w:i/>
              </w:rPr>
              <w:t>ragina Komisiją pateikti pasiūlymų nustatyti bendrą taisyklę, pagal kurią sektoriuose, kuriuose kyla didelė išnaudojimo darbe rizika, subrangos sutartys būtų sudaromos ne daugiau kaip dviejų lygių pradedant nuo pagrindinio rangovo;</w:t>
            </w:r>
            <w:r>
              <w:t xml:space="preserve"> </w:t>
            </w:r>
            <w:r>
              <w:rPr>
                <w:b/>
                <w:i/>
              </w:rPr>
              <w:t>pabrėžia, kad už nacionalinių didelės rizikos sektorių nustatymą ir nukrypimo nuo bendrosios taisyklės tinkamai pagrįstais atvejais proceso nustatymą turėtų būti atsakingos valstybės narės, bendradarbiaudamos su socialiniais partneriais</w:t>
            </w:r>
            <w:r>
              <w:t>;</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w:t>
            </w:r>
            <w:r>
              <w:rPr>
                <w:b/>
                <w:i/>
              </w:rPr>
              <w:t>kovoti su piktnaudžiavimu subranga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w:t>
            </w:r>
            <w:r>
              <w:rPr>
                <w:b/>
                <w:i/>
              </w:rPr>
              <w:t>ragina Komisiją pateikti pasiūlymų nustatyti bendrą taisyklę, pagal kurią sektoriuose, kuriuose kyla didelė išnaudojimo darbe rizika, subrangos sutartys būtų sudaromos ne daugiau kaip dviejų lygių pradedant nuo pagrindinio rangovo;</w:t>
            </w:r>
            <w:r>
              <w:t xml:space="preserve"> pabrėžia, kad už nacionalinių didelės rizikos sektorių </w:t>
            </w:r>
            <w:r>
              <w:rPr>
                <w:b/>
                <w:i/>
              </w:rPr>
              <w:t>nustatymą ir nukrypimo nuo bendrosios taisyklės tinkamai pagrįstais atvejais proceso</w:t>
            </w:r>
            <w:r>
              <w:t xml:space="preserve">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 pabrėžia, kad už nacionalinių didelės rizikos sektorių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w:t>
            </w:r>
            <w:r>
              <w:rPr>
                <w:b/>
                <w:i/>
              </w:rPr>
              <w:t>ragina Komisiją pateikti pasiūlymų nustatyti bendrą taisyklę, pagal kurią sektoriuose, kuriuose kyla didelė išnaudojimo darbe rizika, subrangos sutartys būtų sudaromos ne daugiau kaip dviejų lygių pradedant nuo pagrindinio rangovo;</w:t>
            </w:r>
            <w:r>
              <w:t xml:space="preserve"> pabrėžia, kad už nacionalinių didelės rizikos sektorių </w:t>
            </w:r>
            <w:r>
              <w:rPr>
                <w:b/>
                <w:i/>
              </w:rPr>
              <w:t>nustatymą ir nukrypimo nuo bendrosios taisyklės tinkamai pagrįstais atvejais proceso</w:t>
            </w:r>
            <w:r>
              <w:t xml:space="preserve">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 pabrėžia, kad už nacionalinių didelės rizikos sektorių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dviejų lygių pradedant nuo pagrindinio rangovo; pabrėžia, kad už nacionalinių didelės rizikos sektorių nustatymą ir nukrypimo nuo bendrosios taisyklės tinkamai pagrįstais atvejais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dviejų lygių pradedant nuo pagrindinio rangovo; </w:t>
            </w:r>
            <w:r>
              <w:rPr>
                <w:b/>
                <w:i/>
              </w:rPr>
              <w:t>ragina Komisiją, ateityje persvarstant viešųjų pirkimų sistemą, nustatyti privalomą draudimą ekonominės veiklos vykdytojams, nuteistiems už darbo sąlygų taisyklių ir darbuotojų sveikatos ir saugos taisyklių nesilaikymą, dalyvauti viešuosiuose pirkimuose;</w:t>
            </w:r>
            <w:r>
              <w:t xml:space="preserve"> pabrėžia, kad už nacionalinių didelės rizikos sektorių nustatymą ir nukrypimo nuo bendrosios taisyklės tinkamai pagrįstais atvejais proceso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w:t>
            </w:r>
            <w:r>
              <w:rPr>
                <w:b/>
                <w:i/>
              </w:rPr>
              <w:t>pasiūlymų nustatyti bendrą taisyklę, pagal kurią</w:t>
            </w:r>
            <w:r>
              <w:t xml:space="preserve"> sektoriuose, kuriuose </w:t>
            </w:r>
            <w:r>
              <w:rPr>
                <w:b/>
                <w:i/>
              </w:rPr>
              <w:t>kyla</w:t>
            </w:r>
            <w:r>
              <w:t xml:space="preserve"> didelė išnaudojimo darbe rizika</w:t>
            </w:r>
            <w:r>
              <w:rPr>
                <w:b/>
                <w:i/>
              </w:rPr>
              <w:t>, subrangos sutartys būtų sudaromos ne daugiau kaip dviejų lygių pradedant nuo pagrindinio rangovo</w:t>
            </w:r>
            <w:r>
              <w:t>; pabrėžia, kad už nacionalinių didelės rizikos sektorių nustatymą ir nukrypimo nuo bendrosios taisyklės tinkamai pagrįstais atvejais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w:t>
            </w:r>
            <w:r>
              <w:rPr>
                <w:b/>
                <w:i/>
              </w:rPr>
              <w:t>pasiūlymą dėl mechanizmo, kuriuo būtų nustatytos subrangos ribos</w:t>
            </w:r>
            <w:r>
              <w:t xml:space="preserve"> sektoriuose, kuriuose </w:t>
            </w:r>
            <w:r>
              <w:rPr>
                <w:b/>
                <w:i/>
              </w:rPr>
              <w:t>yra</w:t>
            </w:r>
            <w:r>
              <w:t xml:space="preserve"> didelė išnaudojimo darbe rizika; pabrėžia, kad už nacionalinių didelės rizikos sektorių nustatymą</w:t>
            </w:r>
            <w:r>
              <w:rPr>
                <w:b/>
                <w:i/>
              </w:rPr>
              <w:t>, mechanizmo aktyvavimo sąlygas</w:t>
            </w:r>
            <w:r>
              <w:t xml:space="preserve"> ir nukrypimo nuo bendrosios taisyklės tinkamai pagrįstais atvejais proceso nustatymą turėtų būti atsakingos valstybės narės, bendradarbiaudamos su socialiniais partneriais; </w:t>
            </w:r>
            <w:r>
              <w:rPr>
                <w:b/>
                <w:i/>
              </w:rPr>
              <w:t>pabrėžia, kad tokie sprendimai turi būti grindžiami tiksliais ir naujausiais duomenimis, įskaitant duomenis apie tarpvalstybinius atvejus;</w:t>
            </w:r>
            <w:r>
              <w:t xml:space="preserve"> </w:t>
            </w:r>
            <w:r>
              <w:rPr>
                <w:b/>
                <w:i/>
              </w:rPr>
              <w:t>pabrėžia Europos darbo institucijos (EDI) veiklos vaidmenį teikiant patikimą informaciją apie piktnaudžiavimą ir bendras tendencijas;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pabrėžia, kad socialiniai partneriai, įskaitant MVĮ atstovus, dažnai kartu yra inicijavę nacionalinę ir regioninę politiką, kuria siekiama apriboti subrangos lygius;</w:t>
            </w:r>
            <w:r>
              <w:t xml:space="preserve"> ragina Komisiją </w:t>
            </w:r>
            <w:r>
              <w:rPr>
                <w:b/>
                <w:i/>
              </w:rPr>
              <w:t>pateikti pasiūlymų</w:t>
            </w:r>
            <w:r>
              <w:t xml:space="preserve"> nustatyti </w:t>
            </w:r>
            <w:r>
              <w:rPr>
                <w:b/>
                <w:i/>
              </w:rPr>
              <w:t>bendrą taisyklę, pagal kurią</w:t>
            </w:r>
            <w:r>
              <w:t xml:space="preserve"> sektoriuose</w:t>
            </w:r>
            <w:r>
              <w:rPr>
                <w:b/>
                <w:i/>
              </w:rPr>
              <w:t>, kuriuose kyla didelė išnaudojimo darbe rizika,</w:t>
            </w:r>
            <w:r>
              <w:t xml:space="preserve"> subrangos sutartys būtų sudaromos ne daugiau kaip dviejų lygių </w:t>
            </w:r>
            <w:r>
              <w:rPr>
                <w:b/>
                <w:i/>
              </w:rPr>
              <w:t>pradedant nuo pagrindinio rangovo;</w:t>
            </w:r>
            <w:r>
              <w:t xml:space="preserve"> </w:t>
            </w:r>
            <w:r>
              <w:rPr>
                <w:b/>
                <w:i/>
              </w:rPr>
              <w:t>pabrėžia, kad už nacionalinių didelės rizikos sektorių nustatymą ir nukrypimo nuo bendrosios taisyklės</w:t>
            </w:r>
            <w:r>
              <w:t xml:space="preserve"> tinkamai </w:t>
            </w:r>
            <w:r>
              <w:rPr>
                <w:b/>
                <w:i/>
              </w:rPr>
              <w:t>pagrįstais atvejais proceso nustatymą turėtų būti atsakingos valstybės narės, bendradarbiaudamos su socialiniais partneriais</w:t>
            </w:r>
            <w:r>
              <w:t>;</w:t>
            </w:r>
          </w:p>
        </w:tc>
        <w:tc>
          <w:tcPr>
            <w:tcW w:w="4876" w:type="dxa"/>
            <w:tcBorders>
              <w:top w:val="nil"/>
              <w:left w:val="nil"/>
              <w:bottom w:val="nil"/>
              <w:right w:val="nil"/>
            </w:tcBorders>
          </w:tcPr>
          <w:p>
            <w:pPr>
              <w:pStyle w:val="Normal6a"/>
            </w:pPr>
            <w:r>
              <w:t>4.</w:t>
            </w:r>
            <w:r>
              <w:tab/>
            </w:r>
            <w:r>
              <w:t xml:space="preserve">ragina Komisiją </w:t>
            </w:r>
            <w:r>
              <w:rPr>
                <w:b/>
                <w:i/>
              </w:rPr>
              <w:t>padėti valstybėms narėms</w:t>
            </w:r>
            <w:r>
              <w:t xml:space="preserve"> nustatyti </w:t>
            </w:r>
            <w:r>
              <w:rPr>
                <w:b/>
                <w:i/>
              </w:rPr>
              <w:t>ribą, kad didelės rizikos</w:t>
            </w:r>
            <w:r>
              <w:t xml:space="preserve"> sektoriuose subrangos sutartys būtų sudaromos ne daugiau kaip dviejų lygių</w:t>
            </w:r>
            <w:r>
              <w:rPr>
                <w:b/>
                <w:i/>
              </w:rPr>
              <w:t>, numatant galimybę taikyti</w:t>
            </w:r>
            <w:r>
              <w:t xml:space="preserve"> tinkamai </w:t>
            </w:r>
            <w:r>
              <w:rPr>
                <w:b/>
                <w:i/>
              </w:rPr>
              <w:t>pagrįstas nukrypti leidžiančias nuostatas, dėl kurių susitaria socialiniai partneriai;</w:t>
            </w:r>
            <w:r>
              <w:t xml:space="preserve"> </w:t>
            </w:r>
            <w:r>
              <w:rPr>
                <w:b/>
                <w:i/>
              </w:rPr>
              <w:t>be to, ragina nustatyti solidariąją atsakomybę visoje subrangos grandinėje ir nustatyti išsamaus patikrinimo prievolę subrangovams ir jų grandinėms, įskaitant sandorio šalių identifikavimą ir tikrinimą, sutarčių atsekamumą ir periodinį atitikties vertinimą</w:t>
            </w:r>
            <w:r>
              <w:t xml:space="preserve">; </w:t>
            </w:r>
            <w:r>
              <w:rPr>
                <w:b/>
                <w:i/>
              </w:rPr>
              <w:t>pirmiau nurodyti ir supaprastinti reikalavimai proporcingai taikomi MVĮ;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w:t>
            </w:r>
            <w:r>
              <w:rPr>
                <w:b/>
                <w:i/>
              </w:rPr>
              <w:t>ragina Komisiją pateikti pasiūlymų nustatyti bendrą taisyklę, pagal kurią sektoriuose, kuriuose kyla didelė išnaudojimo darbe rizika, subrangos sutartys būtų sudaromos ne daugiau kaip dviejų lygių pradedant nuo pagrindinio rangovo</w:t>
            </w:r>
            <w:r>
              <w:t xml:space="preserve">; pabrėžia, kad už nacionalinių didelės rizikos sektorių nustatymą </w:t>
            </w:r>
            <w:r>
              <w:rPr>
                <w:b/>
                <w:i/>
              </w:rPr>
              <w:t>ir nukrypimo nuo bendrosios taisyklės tinkamai pagrįstais atvejais proceso nustatymą</w:t>
            </w:r>
            <w:r>
              <w:t xml:space="preserve">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w:t>
            </w:r>
            <w:r>
              <w:rPr>
                <w:b/>
                <w:i/>
              </w:rPr>
              <w:t>pabrėžia, kad šių susitarimų turėtų būti laikomasi</w:t>
            </w:r>
            <w:r>
              <w:t xml:space="preserve">; pabrėžia, kad už nacionalinių didelės rizikos sektorių nustatymą </w:t>
            </w:r>
            <w:r>
              <w:rPr>
                <w:b/>
                <w:i/>
              </w:rPr>
              <w:t>visada</w:t>
            </w:r>
            <w:r>
              <w:t xml:space="preserve">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w:t>
            </w:r>
            <w:r>
              <w:rPr>
                <w:b/>
                <w:i/>
              </w:rPr>
              <w:t>sektoriuose, kuriuose kyla didelė išnaudojimo darbe rizika,</w:t>
            </w:r>
            <w:r>
              <w:t xml:space="preserve"> subrangos sutartys </w:t>
            </w:r>
            <w:r>
              <w:rPr>
                <w:b/>
                <w:i/>
              </w:rPr>
              <w:t>būtų sudaromos ne daugiau kaip dviejų lygių pradedant nuo pagrindinio rangovo</w:t>
            </w:r>
            <w:r>
              <w:t>; pabrėžia, kad už nacionalinių didelės rizikos sektorių nustatymą ir nukrypimo nuo bendrosios taisyklės tinkamai pagrįstais atvejais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 ragina Komisiją pateikti pasiūlymų</w:t>
            </w:r>
            <w:r>
              <w:rPr>
                <w:b/>
                <w:i/>
              </w:rPr>
              <w:t>, atsižvelgiant į nacionalinę kompetenciją ir apsaugant nacionalines MVĮ,</w:t>
            </w:r>
            <w:r>
              <w:t xml:space="preserve"> nustatyti bendrą taisyklę, pagal kurią </w:t>
            </w:r>
            <w:r>
              <w:rPr>
                <w:b/>
                <w:i/>
              </w:rPr>
              <w:t>būtų ribojamos</w:t>
            </w:r>
            <w:r>
              <w:t xml:space="preserve"> subrangos sutartys </w:t>
            </w:r>
            <w:r>
              <w:rPr>
                <w:b/>
                <w:i/>
              </w:rPr>
              <w:t>tų rangovų, kurių apyvarta yra didesnė negu nustatyta apyvarta ir kurie anksčiau buvo nuteisti dėl išnaudojimo darbe atvejų</w:t>
            </w:r>
            <w:r>
              <w:t>; pabrėžia, kad už nacionalinių didelės rizikos sektorių nustatymą ir nukrypimo nuo bendrosios taisyklės tinkamai pagrįstais atvejais proceso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w:t>
            </w:r>
            <w:r>
              <w:rPr>
                <w:b/>
                <w:i/>
              </w:rPr>
              <w:t>;</w:t>
            </w:r>
            <w:r>
              <w:t xml:space="preserve"> </w:t>
            </w:r>
            <w:r>
              <w:rPr>
                <w:b/>
                <w:i/>
              </w:rPr>
              <w:t>ragina Komisiją pateikti pasiūlymų nustatyti bendrą taisyklę, pagal kurią sektoriuose, kuriuose kyla didelė išnaudojimo darbe rizika, subrangos sutartys būtų sudaromos ne daugiau kaip dviejų lygių pradedant nuo pagrindinio rangovo</w:t>
            </w:r>
            <w:r>
              <w:t xml:space="preserve">; pabrėžia, kad už nacionalinių didelės rizikos sektorių </w:t>
            </w:r>
            <w:r>
              <w:rPr>
                <w:b/>
                <w:i/>
              </w:rPr>
              <w:t>nustatymą ir nukrypimo nuo bendrosios taisyklės</w:t>
            </w:r>
            <w:r>
              <w:t xml:space="preserve"> tinkamai pagrįstais atvejais </w:t>
            </w:r>
            <w:r>
              <w:rPr>
                <w:b/>
                <w:i/>
              </w:rPr>
              <w:t>proceso</w:t>
            </w:r>
            <w:r>
              <w:t xml:space="preserve">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w:t>
            </w:r>
            <w:r>
              <w:rPr>
                <w:b/>
                <w:i/>
              </w:rPr>
              <w:t>, ir tai pakenkė kai kurioms pramonės šakoms, kurioms būdingos sudėtingos ir itin specializuotos procedūros ir produktai</w:t>
            </w:r>
            <w:r>
              <w:t xml:space="preserve">; pabrėžia, kad už nacionalinių didelės rizikos sektorių </w:t>
            </w:r>
            <w:r>
              <w:rPr>
                <w:b/>
                <w:i/>
              </w:rPr>
              <w:t>identifikavimą ir specialių taisyklių</w:t>
            </w:r>
            <w:r>
              <w:t xml:space="preserve"> tinkamai pagrįstais atvejais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w:t>
            </w:r>
            <w:r>
              <w:rPr>
                <w:b/>
                <w:i/>
              </w:rPr>
              <w:t>pasiūlymų</w:t>
            </w:r>
            <w:r>
              <w:t xml:space="preserve"> nustatyti bendrą taisyklę, pagal kurią </w:t>
            </w:r>
            <w:r>
              <w:rPr>
                <w:b/>
                <w:i/>
              </w:rPr>
              <w:t>sektoriuose, kuriuose kyla didelė išnaudojimo darbe rizika,</w:t>
            </w:r>
            <w:r>
              <w:t xml:space="preserve"> subrangos sutartys būtų sudaromos ne daugiau kaip dviejų </w:t>
            </w:r>
            <w:r>
              <w:rPr>
                <w:b/>
                <w:i/>
              </w:rPr>
              <w:t>lygių</w:t>
            </w:r>
            <w:r>
              <w:t xml:space="preserve"> pradedant nuo pagrindinio rangovo; pabrėžia, kad </w:t>
            </w:r>
            <w:r>
              <w:rPr>
                <w:b/>
                <w:i/>
              </w:rPr>
              <w:t>už</w:t>
            </w:r>
            <w:r>
              <w:t xml:space="preserve"> nacionalinių didelės rizikos sektorių </w:t>
            </w:r>
            <w:r>
              <w:rPr>
                <w:b/>
                <w:i/>
              </w:rPr>
              <w:t>nustatymą</w:t>
            </w:r>
            <w:r>
              <w:t xml:space="preserve"> ir nukrypimo nuo bendrosios taisyklės tinkamai pagrįstais atvejais proceso </w:t>
            </w:r>
            <w:r>
              <w:rPr>
                <w:b/>
                <w:i/>
              </w:rPr>
              <w:t>nustatymą</w:t>
            </w:r>
            <w:r>
              <w:t xml:space="preserve"> turėtų </w:t>
            </w:r>
            <w:r>
              <w:rPr>
                <w:b/>
                <w:i/>
              </w:rPr>
              <w:t>būti atsakingos</w:t>
            </w:r>
            <w:r>
              <w:t xml:space="preserve"> valstybės narės</w:t>
            </w:r>
            <w:r>
              <w:rPr>
                <w:b/>
                <w:i/>
              </w:rPr>
              <w:t>, bendradarbiaudamos su socialiniais partneriais</w:t>
            </w:r>
            <w:r>
              <w:t>;</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w:t>
            </w:r>
            <w:r>
              <w:rPr>
                <w:b/>
                <w:i/>
              </w:rPr>
              <w:t>pasiūlymą dėl teisėkūros procedūra priimamo akto</w:t>
            </w:r>
            <w:r>
              <w:t xml:space="preserve"> nustatyti bendrą taisyklę, pagal kurią subrangos sutartys būtų sudaromos ne daugiau kaip dviejų </w:t>
            </w:r>
            <w:r>
              <w:rPr>
                <w:b/>
                <w:i/>
              </w:rPr>
              <w:t>sublygių</w:t>
            </w:r>
            <w:r>
              <w:t xml:space="preserve"> pradedant nuo pagrindinio rangovo</w:t>
            </w:r>
            <w:r>
              <w:rPr>
                <w:b/>
                <w:i/>
              </w:rPr>
              <w:t>, ypatingą dėmesį skiriant sektorių, kuriuose kyla didelė išnaudojimo darbe rizika, poreikiams</w:t>
            </w:r>
            <w:r>
              <w:t xml:space="preserve">; pabrėžia, kad </w:t>
            </w:r>
            <w:r>
              <w:rPr>
                <w:b/>
                <w:i/>
              </w:rPr>
              <w:t>dėl</w:t>
            </w:r>
            <w:r>
              <w:t xml:space="preserve"> nacionalinių didelės rizikos sektorių </w:t>
            </w:r>
            <w:r>
              <w:rPr>
                <w:b/>
                <w:i/>
              </w:rPr>
              <w:t>nustatymo</w:t>
            </w:r>
            <w:r>
              <w:t xml:space="preserve"> ir nukrypimo nuo bendrosios taisyklės tinkamai pagrįstais atvejais proceso </w:t>
            </w:r>
            <w:r>
              <w:rPr>
                <w:b/>
                <w:i/>
              </w:rPr>
              <w:t>nustatymo</w:t>
            </w:r>
            <w:r>
              <w:t xml:space="preserve"> turėtų </w:t>
            </w:r>
            <w:r>
              <w:rPr>
                <w:b/>
                <w:i/>
              </w:rPr>
              <w:t>susitarti</w:t>
            </w:r>
            <w:r>
              <w:t xml:space="preserve"> valstybės narės </w:t>
            </w:r>
            <w:r>
              <w:rPr>
                <w:b/>
                <w:i/>
              </w:rPr>
              <w:t>ir socialiniai partneriai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dviejų lygių pradedant nuo pagrindinio rangovo; pabrėžia, kad už nacionalinių didelės rizikos sektorių nustatymą ir nukrypimo nuo bendrosios taisyklės </w:t>
            </w:r>
            <w:r>
              <w:rPr>
                <w:b/>
                <w:i/>
              </w:rPr>
              <w:t>tinkamai pagrįstais atvejais</w:t>
            </w:r>
            <w:r>
              <w:t xml:space="preserve">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dviejų lygių pradedant nuo pagrindinio rangovo; pabrėžia, kad už nacionalinių didelės rizikos sektorių nustatymą ir nukrypimo nuo bendrosios taisyklės proceso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w:t>
            </w:r>
            <w:r>
              <w:rPr>
                <w:b/>
                <w:i/>
              </w:rPr>
              <w:t>dviejų lygių</w:t>
            </w:r>
            <w:r>
              <w:t xml:space="preserve"> pradedant nuo pagrindinio rangovo; pabrėžia, kad už nacionalinių didelės rizikos sektorių nustatymą ir nukrypimo nuo bendrosios taisyklės tinkamai pagrįstais atvejais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sektoriuose, kuriuose kyla didelė išnaudojimo darbe rizika, subrangos sutartys būtų sudaromos ne daugiau kaip </w:t>
            </w:r>
            <w:r>
              <w:rPr>
                <w:b/>
                <w:i/>
              </w:rPr>
              <w:t>vieno lygio</w:t>
            </w:r>
            <w:r>
              <w:t xml:space="preserve"> pradedant nuo pagrindinio rangovo; pabrėžia, kad už nacionalinių didelės rizikos sektorių nustatymą ir nukrypimo nuo bendrosios taisyklės tinkamai pagrįstais atvejais proceso nustatymą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w:t>
            </w:r>
            <w:r>
              <w:rPr>
                <w:b/>
                <w:i/>
              </w:rPr>
              <w:t>apriboti subrangos lygius</w:t>
            </w:r>
            <w:r>
              <w:t xml:space="preserve">; ragina Komisiją </w:t>
            </w:r>
            <w:r>
              <w:rPr>
                <w:b/>
                <w:i/>
              </w:rPr>
              <w:t>pateikti pasiūlymų</w:t>
            </w:r>
            <w:r>
              <w:t xml:space="preserve"> nustatyti </w:t>
            </w:r>
            <w:r>
              <w:rPr>
                <w:b/>
                <w:i/>
              </w:rPr>
              <w:t>bendrą taisyklę, pagal kurią sektoriuose, kuriuose kyla didelė išnaudojimo darbe rizika, subrangos sutartys būtų sudaromos ne daugiau kaip dviejų lygių pradedant nuo pagrindinio rangovo</w:t>
            </w:r>
            <w:r>
              <w:t>; pabrėžia, kad už nacionalinių didelės rizikos sektorių nustatymą ir nukrypimo nuo bendrosios taisyklės tinkamai pagrįstais atvejais proceso nustatymą turėtų būti atsakingos valstybės narės, bendradarbiaudamos su socialiniais partneriais;</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w:t>
            </w:r>
            <w:r>
              <w:rPr>
                <w:b/>
                <w:i/>
              </w:rPr>
              <w:t>kovoti su nusikaltimais darbo vietoje;</w:t>
            </w:r>
            <w:r>
              <w:t xml:space="preserve"> </w:t>
            </w:r>
            <w:r>
              <w:rPr>
                <w:b/>
                <w:i/>
              </w:rPr>
              <w:t>pabrėžia, kad šių susitarimų turėtų būti laikomasi</w:t>
            </w:r>
            <w:r>
              <w:t xml:space="preserve">; ragina Komisiją nustatyti </w:t>
            </w:r>
            <w:r>
              <w:rPr>
                <w:b/>
                <w:i/>
              </w:rPr>
              <w:t>ES ir nacionalinių valdžios institucijų koordinavimo ir bendradarbiavimo tvarką siekiant kovoti su nusikaltimais darbo vietoje</w:t>
            </w:r>
            <w:r>
              <w:t xml:space="preserve">; pabrėžia, kad už nacionalinių didelės rizikos sektorių nustatymą ir nukrypimo nuo bendrosios taisyklės tinkamai pagrįstais atvejais proceso nustatymą </w:t>
            </w:r>
            <w:r>
              <w:rPr>
                <w:b/>
                <w:i/>
              </w:rPr>
              <w:t>visada</w:t>
            </w:r>
            <w:r>
              <w:t xml:space="preserve"> turėtų būti atsakingos valstybės narės, bendradarbiaudamos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w:t>
            </w:r>
            <w:r>
              <w:rPr>
                <w:b/>
                <w:i/>
              </w:rPr>
              <w:t>sektoriuose, kuriuose kyla didelė išnaudojimo darbe rizika,</w:t>
            </w:r>
            <w:r>
              <w:t xml:space="preserve"> subrangos sutartys būtų sudaromos ne daugiau kaip dviejų lygių pradedant nuo pagrindinio rangovo; </w:t>
            </w:r>
            <w:r>
              <w:rPr>
                <w:b/>
                <w:i/>
              </w:rPr>
              <w:t>pabrėžia, kad už nacionalinių didelės rizikos sektorių nustatymą ir nukrypimo nuo bendrosios taisyklės tinkamai pagrįstais atvejais proceso nustatymą turėtų būti atsakingos valstybės narės, bendradarbiaudamos su socialiniais partneriais</w:t>
            </w:r>
            <w:r>
              <w:t>;</w:t>
            </w:r>
          </w:p>
        </w:tc>
        <w:tc>
          <w:tcPr>
            <w:tcW w:w="4876" w:type="dxa"/>
            <w:tcBorders>
              <w:top w:val="nil"/>
              <w:left w:val="nil"/>
              <w:bottom w:val="nil"/>
              <w:right w:val="nil"/>
            </w:tcBorders>
          </w:tcPr>
          <w:p>
            <w:pPr>
              <w:pStyle w:val="Normal6a"/>
            </w:pPr>
            <w:r>
              <w:t>4.</w:t>
            </w:r>
            <w:r>
              <w:tab/>
            </w:r>
            <w:r>
              <w:t xml:space="preserve">pabrėžia, kad socialiniai partneriai, įskaitant MVĮ atstovus, dažnai kartu yra inicijavę nacionalinę ir regioninę politiką, kuria siekiama apriboti subrangos lygius; ragina Komisiją pateikti pasiūlymų nustatyti bendrą taisyklę, pagal kurią subrangos sutartys būtų sudaromos ne daugiau kaip dviejų lygių pradedant nuo pagrindinio rangovo; </w:t>
            </w:r>
            <w:r>
              <w:rPr>
                <w:b/>
                <w:i/>
              </w:rPr>
              <w:t>ragina apriboti subrangos sutarčių sudarymą iki tam tikro lygio sektoriuose, kuriuose įvyksta daug nelaimingų atsitikimų, ar sektoriuose, kuriuose aiškiai pastebima darbo teisės aktų nesilaikymo atvejų</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Leila Chaibi, Anthony Smith,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ragina Komisiją pasiūlyti direktyvų 2014/24/ES, 2014/25/ES (ir, jei tinkama, 2014/23/ES) pakeitimų, kuriais perkančiosioms organizacijoms būtų aiškiai leidžiama apriboti subrangos grandinių lygmenų ilgį ir skaičių, apriboti sutarties dalį, kurią vykdyti gali būti pavesta subrangovams, ir nustatyti visišką perkančiosios organizacijos atsakomybę, visų pirma už nelaimingus atsitikimus darbe, profesines ligas ir pakartotinius darbo teisės aktų nesilaikymo atvejus visoje subrangos grandinėje;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palankiai vertina tai, kad kelios valstybės narės nusprendė priimti griežtesnes atsakomybės taisykles subrangos grandinėse, nei Direktyvos 2014/67/ES 12 straipsnyje nustatytos minimalios taisyklės;</w:t>
            </w:r>
            <w:r>
              <w:t xml:space="preserve"> </w:t>
            </w:r>
            <w:r>
              <w:rPr>
                <w:b/>
                <w:i/>
              </w:rPr>
              <w:t>ragina Komisiją užtikrinti solidariąją atsakomybę visoje rizikos sektorių subrangos grandinėje, įskaitant darbo užmokestį ir socialinio draudimo įmokas, taip pat atitinkamų darbuotojų teisę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ragina sukurti minimalią įdarbinimo tarpininkų, turinčių viešąjį registrą, ES licencijavimo ir (arba) registravimo sistemą, uždrausti mokesčius darbuotojams (pagal TDO konvenciją Nr. 181) ir taikyti atgrasomąsias sankcijas, įskaitant draudimą dalyvauti viešuosiuose pirkimuose;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ragina Komisiją įvertinti, ar valstybės narės veiksmingai naudojasi Vidaus rinkos informacine sistema (IMI) atsižvelgiant į Direktyvą 2014/67/ES (Vykdymo užtikrinimo direktyva), ypač kiek tai susiję su teisėto komandiravimo kontrolės mechanizmu;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ragina užtikrinti skaidrumą, susijusį su viešuosiuose pirkimuose dalyvaujančiais subrangovais ir sutarties dalimi, kurią rangovas ketina pavesti vykdyti subrangovams, atskleidžiant informaciją prieš pradedant vykdyti sutartį ir atnaujinant informaciją per visą sutarties vykdymo laikotarpį;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atkreipia dėmesį į labai mažų įmonių ir MVĮ, ypač statybos sektoriuje, raginimus spręsti vadinamosios finansinės subrangos klausimą, kai pagrindinis rangovas sudaro subrangos sutartis dėl visų darbų;</w:t>
            </w:r>
            <w:r>
              <w:t xml:space="preserve"> </w:t>
            </w:r>
            <w:r>
              <w:rPr>
                <w:b/>
                <w:i/>
              </w:rPr>
              <w:t>ragina Komisiją persvarstant Viešųjų pirkimų direktyvą pasiūlyti griežtesnes taisykles, kuriomis būtų užtikrinama, kad pagrindiniai rangovai turėtų pajėgumų patys vykdyti dalį sutarties, įskaitant darbų, kuriuos galima pavesti vykdyti subrangovams, vertės ar rūšies apribojimus;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pažymi, kad vis dažnesnis subrangos naudojimas pagrindinėje verslo veikloje gali lemti darbo vietų susiskaidymą ir didesnę riziką, kad darbuotojai turės dirbti daugiau valandų, gaus mažesnį darbo užmokestį ir patirs netikrumą dėl darbo santykių;</w:t>
            </w:r>
            <w:r>
              <w:t xml:space="preserve"> </w:t>
            </w:r>
            <w:r>
              <w:rPr>
                <w:b/>
                <w:i/>
              </w:rPr>
              <w:t>atsižvelgdamas į tai, ragina Komisija užtikrinti vienodą požiūrį į vienodą darbą ir skatinti tiesioginius darbo santykius sektoriuose, kuriuose kyla tokia rizika;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Komisija</w:t>
            </w:r>
            <w:r>
              <w:t xml:space="preserve"> užtikrinti vienodą požiūrį į vienodą darbą ir </w:t>
            </w:r>
            <w:r>
              <w:rPr>
                <w:b/>
                <w:i/>
              </w:rPr>
              <w:t>skatinti tiesioginius darbo santykius sektoriuose, kuriuose kyla tokia rizika</w:t>
            </w:r>
            <w:r>
              <w:t>;</w:t>
            </w:r>
          </w:p>
        </w:tc>
        <w:tc>
          <w:tcPr>
            <w:tcW w:w="4876" w:type="dxa"/>
            <w:tcBorders>
              <w:top w:val="nil"/>
              <w:left w:val="nil"/>
              <w:bottom w:val="nil"/>
              <w:right w:val="nil"/>
            </w:tcBorders>
          </w:tcPr>
          <w:p>
            <w:pPr>
              <w:pStyle w:val="Normal6a"/>
            </w:pPr>
            <w:r>
              <w:t>5.</w:t>
            </w:r>
            <w:r>
              <w:tab/>
            </w:r>
            <w:r>
              <w:t>pažymi, kad vis dažnesnis subrangos naudojimas pagrindinėje verslo veikloje gali lemti darbo vietų susiskaidymą ir didesnę riziką, kad darbuotojai turės dirbti daugiau valandų, gaus mažesnį darbo užmokestį</w:t>
            </w:r>
            <w:r>
              <w:rPr>
                <w:b/>
                <w:i/>
              </w:rPr>
              <w:t>, nesilaikys darbo teisės ar kolektyvinių sutarčių</w:t>
            </w:r>
            <w:r>
              <w:t xml:space="preserve"> ir patirs netikrumą dėl darbo santykių; atsižvelgdamas į tai, ragina </w:t>
            </w:r>
            <w:r>
              <w:rPr>
                <w:b/>
                <w:i/>
              </w:rPr>
              <w:t>Komisiją</w:t>
            </w:r>
            <w:r>
              <w:t xml:space="preserve"> užtikrinti vienodą požiūrį į vienodą darbą ir </w:t>
            </w:r>
            <w:r>
              <w:rPr>
                <w:b/>
                <w:i/>
              </w:rPr>
              <w:t>taip uždrausti pagrindiniam rangovui sudaryti subrangos sutartis savo pagrindinei veiklai vykdyti;</w:t>
            </w:r>
            <w:r>
              <w:t xml:space="preserve"> </w:t>
            </w:r>
            <w:r>
              <w:rPr>
                <w:b/>
                <w:i/>
              </w:rPr>
              <w:t>ragina Komisiją užtikrinti, kad sektorių socialinio dialogo komitetai nustatytų įvairių sektorių pagrindinės veiklos apibrėžtis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Komisija</w:t>
            </w:r>
            <w:r>
              <w:t xml:space="preserve"> užtikrinti vienodą požiūrį į vienodą darbą ir skatinti tiesioginius darbo santykius sektoriuose, kuriuose kyla tokia rizika;</w:t>
            </w:r>
          </w:p>
        </w:tc>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Komisiją</w:t>
            </w:r>
            <w:r>
              <w:t xml:space="preserve"> užtikrinti vienodą požiūrį į vienodą darbą ir skatinti tiesioginius darbo santykius sektoriuose, kuriuose kyla tokia rizika</w:t>
            </w:r>
            <w:r>
              <w:rPr>
                <w:b/>
                <w:i/>
              </w:rPr>
              <w:t>, ir nustatyti, kad 30 proc. pagrindinių užduočių turi atlikti pagrindinis rangovas, nes tai taip pat atitinka ESTT sprendimus (žr. Sprendimą Vitali SpA / Autostrade per l’Italia SpA, C-63/18)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w:t>
            </w:r>
            <w:r>
              <w:rPr>
                <w:b/>
                <w:i/>
              </w:rPr>
              <w:t>atsižvelgdamas į tai, ragina Komisija užtikrinti vienodą požiūrį į vienodą darbą ir skatinti tiesioginius darbo santykius sektoriuose, kuriuose kyla tokia rizika;</w:t>
            </w:r>
          </w:p>
        </w:tc>
        <w:tc>
          <w:tcPr>
            <w:tcW w:w="4876" w:type="dxa"/>
            <w:tcBorders>
              <w:top w:val="nil"/>
              <w:left w:val="nil"/>
              <w:bottom w:val="nil"/>
              <w:right w:val="nil"/>
            </w:tcBorders>
          </w:tcPr>
          <w:p>
            <w:pPr>
              <w:pStyle w:val="Normal6a"/>
            </w:pPr>
            <w:r>
              <w:t>5.</w:t>
            </w:r>
            <w:r>
              <w:tab/>
            </w:r>
            <w:r>
              <w:t>pažymi, kad vis dažnesnis subrangos naudojimas pagrindinėje verslo veikloje gali lemti darbo vietų susiskaidymą ir didesnę riziką, kad darbuotojai turės dirbti daugiau valandų, gaus mažesnį darbo užmokestį ir patirs netikrumą dėl darbo santykių;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w:t>
            </w:r>
            <w:r>
              <w:rPr>
                <w:b/>
                <w:i/>
              </w:rPr>
              <w:t>gali lemti</w:t>
            </w:r>
            <w:r>
              <w:t xml:space="preserve"> darbo vietų </w:t>
            </w:r>
            <w:r>
              <w:rPr>
                <w:b/>
                <w:i/>
              </w:rPr>
              <w:t>susiskaidymą ir didesnę riziką</w:t>
            </w:r>
            <w:r>
              <w:t>, kad darbuotojai turės dirbti daugiau valandų, gaus mažesnį darbo užmokestį ir patirs netikrumą dėl darbo santykių; atsižvelgdamas į tai, ragina Komisija užtikrinti vienodą požiūrį į vienodą darbą ir skatinti tiesioginius darbo santykius sektoriuose, kuriuose kyla tokia rizika;</w:t>
            </w:r>
          </w:p>
        </w:tc>
        <w:tc>
          <w:tcPr>
            <w:tcW w:w="4876" w:type="dxa"/>
            <w:tcBorders>
              <w:top w:val="nil"/>
              <w:left w:val="nil"/>
              <w:bottom w:val="nil"/>
              <w:right w:val="nil"/>
            </w:tcBorders>
          </w:tcPr>
          <w:p>
            <w:pPr>
              <w:pStyle w:val="Normal6a"/>
            </w:pPr>
            <w:r>
              <w:t>5.</w:t>
            </w:r>
            <w:r>
              <w:tab/>
            </w:r>
            <w:r>
              <w:t>pažymi, kad vis dažnesnis subrangos naudojimas pagrindinėje verslo veikloje </w:t>
            </w:r>
            <w:r>
              <w:rPr>
                <w:b/>
                <w:i/>
              </w:rPr>
              <w:t>lemia darbuotojų išnaudojimą dėl nesaugių sąlygų ir nedeklaruojamo darbo, susiskaidžiusių ir nesaugių</w:t>
            </w:r>
            <w:r>
              <w:t xml:space="preserve"> darbo vietų</w:t>
            </w:r>
            <w:r>
              <w:rPr>
                <w:b/>
                <w:i/>
              </w:rPr>
              <w:t>, didesnės rizikos</w:t>
            </w:r>
            <w:r>
              <w:t>, kad darbuotojai turės dirbti daugiau valandų, gaus mažesnį darbo užmokestį ir patirs netikrumą dėl darbo santykių</w:t>
            </w:r>
            <w:r>
              <w:rPr>
                <w:b/>
                <w:i/>
              </w:rPr>
              <w:t>, taip pat mažesnės atskaitomybės ir skaidrumo</w:t>
            </w:r>
            <w:r>
              <w:t>; atsižvelgdamas į tai, ragina Komisija užtikrinti vienodą požiūrį į vienodą darbą ir skatinti tiesioginius darbo santykius sektoriuose, kuriuose kyla tokia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w:t>
            </w:r>
            <w:r>
              <w:rPr>
                <w:b/>
                <w:i/>
              </w:rPr>
              <w:t>pagrindinėje verslo veikloje</w:t>
            </w:r>
            <w:r>
              <w:t xml:space="preserve"> gali lemti </w:t>
            </w:r>
            <w:r>
              <w:rPr>
                <w:b/>
                <w:i/>
              </w:rPr>
              <w:t>darbo vietų susiskaidymą ir didesnę riziką, kad</w:t>
            </w:r>
            <w:r>
              <w:t xml:space="preserve"> darbuotojai </w:t>
            </w:r>
            <w:r>
              <w:rPr>
                <w:b/>
                <w:i/>
              </w:rPr>
              <w:t>turės dirbti</w:t>
            </w:r>
            <w:r>
              <w:t xml:space="preserve"> daugiau </w:t>
            </w:r>
            <w:r>
              <w:rPr>
                <w:b/>
                <w:i/>
              </w:rPr>
              <w:t>valandų, gaus mažesnį darbo užmokestį ir patirs netikrumą</w:t>
            </w:r>
            <w:r>
              <w:t xml:space="preserve"> dėl darbo santykių; </w:t>
            </w:r>
            <w:r>
              <w:rPr>
                <w:b/>
                <w:i/>
              </w:rPr>
              <w:t>atsižvelgdamas į tai,</w:t>
            </w:r>
            <w:r>
              <w:t xml:space="preserve"> ragina </w:t>
            </w:r>
            <w:r>
              <w:rPr>
                <w:b/>
                <w:i/>
              </w:rPr>
              <w:t>Komisija užtikrinti vienodą požiūrį į vienodą darbą ir</w:t>
            </w:r>
            <w:r>
              <w:t xml:space="preserve"> skatinti </w:t>
            </w:r>
            <w:r>
              <w:rPr>
                <w:b/>
                <w:i/>
              </w:rPr>
              <w:t>tiesioginius</w:t>
            </w:r>
            <w:r>
              <w:t xml:space="preserve"> darbo </w:t>
            </w:r>
            <w:r>
              <w:rPr>
                <w:b/>
                <w:i/>
              </w:rPr>
              <w:t>santykius sektoriuose, kuriuose kyla tokia rizika</w:t>
            </w:r>
            <w:r>
              <w:t>;</w:t>
            </w:r>
          </w:p>
        </w:tc>
        <w:tc>
          <w:tcPr>
            <w:tcW w:w="4876" w:type="dxa"/>
            <w:tcBorders>
              <w:top w:val="nil"/>
              <w:left w:val="nil"/>
              <w:bottom w:val="nil"/>
              <w:right w:val="nil"/>
            </w:tcBorders>
          </w:tcPr>
          <w:p>
            <w:pPr>
              <w:pStyle w:val="Normal6a"/>
            </w:pPr>
            <w:r>
              <w:t>5.</w:t>
            </w:r>
            <w:r>
              <w:tab/>
            </w:r>
            <w:r>
              <w:t xml:space="preserve">pažymi, kad vis dažnesnis subrangos </w:t>
            </w:r>
            <w:r>
              <w:rPr>
                <w:b/>
                <w:i/>
              </w:rPr>
              <w:t>ir specializacijos</w:t>
            </w:r>
            <w:r>
              <w:t xml:space="preserve"> naudojimas gali lemti </w:t>
            </w:r>
            <w:r>
              <w:rPr>
                <w:b/>
                <w:i/>
              </w:rPr>
              <w:t>MVĮ klestėjimą ir dinamišką bei novatorišką paslaugų teikėjų rinką, kartu atsižvelgiant į tai, kad didelės rizikos sektoriuose dėl šių pokyčių</w:t>
            </w:r>
            <w:r>
              <w:t xml:space="preserve"> darbuotojai </w:t>
            </w:r>
            <w:r>
              <w:rPr>
                <w:b/>
                <w:i/>
              </w:rPr>
              <w:t>galėtų patirti</w:t>
            </w:r>
            <w:r>
              <w:t xml:space="preserve"> daugiau </w:t>
            </w:r>
            <w:r>
              <w:rPr>
                <w:b/>
                <w:i/>
              </w:rPr>
              <w:t>netikrumo</w:t>
            </w:r>
            <w:r>
              <w:t xml:space="preserve"> dėl darbo santykių; ragina </w:t>
            </w:r>
            <w:r>
              <w:rPr>
                <w:b/>
                <w:i/>
              </w:rPr>
              <w:t>atsakingas valdžios institucijas ir subjektus toliau dirbti siekiant</w:t>
            </w:r>
            <w:r>
              <w:t xml:space="preserve"> skatinti </w:t>
            </w:r>
            <w:r>
              <w:rPr>
                <w:b/>
                <w:i/>
              </w:rPr>
              <w:t>sąžiningas</w:t>
            </w:r>
            <w:r>
              <w:t xml:space="preserve"> darbo </w:t>
            </w:r>
            <w:r>
              <w:rPr>
                <w:b/>
                <w:i/>
              </w:rPr>
              <w:t>sąlygas ir saugią aplinką visiems darbuotojams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w:t>
            </w:r>
            <w:r>
              <w:rPr>
                <w:b/>
                <w:i/>
              </w:rPr>
              <w:t>ragina Komisija užtikrinti vienodą požiūrį</w:t>
            </w:r>
            <w:r>
              <w:t xml:space="preserve"> į vienodą darbą </w:t>
            </w:r>
            <w:r>
              <w:rPr>
                <w:b/>
                <w:i/>
              </w:rPr>
              <w:t>ir skatinti tiesioginius darbo santykius sektoriuose, kuriuose kyla tokia rizika</w:t>
            </w:r>
            <w:r>
              <w:t>;</w:t>
            </w:r>
          </w:p>
        </w:tc>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w:t>
            </w:r>
            <w:r>
              <w:rPr>
                <w:b/>
                <w:i/>
              </w:rPr>
              <w:t>primena vienodo požiūrio</w:t>
            </w:r>
            <w:r>
              <w:t xml:space="preserve"> į vienodą darbą </w:t>
            </w:r>
            <w:r>
              <w:rPr>
                <w:b/>
                <w:i/>
              </w:rPr>
              <w:t>principą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Komisija</w:t>
            </w:r>
            <w:r>
              <w:t xml:space="preserve"> užtikrinti vienodą požiūrį į vienodą darbą </w:t>
            </w:r>
            <w:r>
              <w:rPr>
                <w:b/>
                <w:i/>
              </w:rPr>
              <w:t>ir skatinti tiesioginius darbo santykius sektoriuose, kuriuose kyla tokia rizika</w:t>
            </w:r>
            <w:r>
              <w:t>;</w:t>
            </w:r>
          </w:p>
        </w:tc>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Komisiją</w:t>
            </w:r>
            <w:r>
              <w:t xml:space="preserve"> užtikrinti vienodą požiūrį į vienodą darbą;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Komisija</w:t>
            </w:r>
            <w:r>
              <w:t xml:space="preserve"> užtikrinti vienodą požiūrį į vienodą darbą ir skatinti tiesioginius darbo santykius sektoriuose, kuriuose kyla tokia rizika;</w:t>
            </w:r>
          </w:p>
        </w:tc>
        <w:tc>
          <w:tcPr>
            <w:tcW w:w="4876" w:type="dxa"/>
            <w:tcBorders>
              <w:top w:val="nil"/>
              <w:left w:val="nil"/>
              <w:bottom w:val="nil"/>
              <w:right w:val="nil"/>
            </w:tcBorders>
          </w:tcPr>
          <w:p>
            <w:pPr>
              <w:pStyle w:val="Normal6a"/>
            </w:pPr>
            <w:r>
              <w:t>5.</w:t>
            </w:r>
            <w:r>
              <w:tab/>
            </w:r>
            <w:r>
              <w:t xml:space="preserve">pažymi, kad vis dažnesnis subrangos naudojimas pagrindinėje verslo veikloje gali lemti darbo vietų susiskaidymą ir didesnę riziką, kad darbuotojai turės dirbti daugiau valandų, gaus mažesnį darbo užmokestį ir patirs netikrumą dėl darbo santykių; atsižvelgdamas į tai, ragina </w:t>
            </w:r>
            <w:r>
              <w:rPr>
                <w:b/>
                <w:i/>
              </w:rPr>
              <w:t>valstybes nares</w:t>
            </w:r>
            <w:r>
              <w:t xml:space="preserve"> užtikrinti vienodą požiūrį į vienodą darbą ir skatinti tiesioginius darbo santykius sektoriuose, kuriuose kyla tokia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pažymi, kad </w:t>
            </w:r>
            <w:r>
              <w:rPr>
                <w:b/>
                <w:i/>
              </w:rPr>
              <w:t>vis dažnesnis subrangos naudojimas pagrindinėje verslo veikloje</w:t>
            </w:r>
            <w:r>
              <w:t xml:space="preserve"> gali lemti darbo vietų susiskaidymą ir didesnę riziką, kad darbuotojai turės dirbti daugiau valandų, gaus mažesnį darbo užmokestį ir patirs netikrumą dėl darbo santykių</w:t>
            </w:r>
            <w:r>
              <w:rPr>
                <w:b/>
                <w:i/>
              </w:rPr>
              <w:t>;</w:t>
            </w:r>
            <w:r>
              <w:t xml:space="preserve"> </w:t>
            </w:r>
            <w:r>
              <w:rPr>
                <w:b/>
                <w:i/>
              </w:rPr>
              <w:t>atsižvelgdamas į tai, ragina Komisija</w:t>
            </w:r>
            <w:r>
              <w:t xml:space="preserve"> užtikrinti </w:t>
            </w:r>
            <w:r>
              <w:rPr>
                <w:b/>
                <w:i/>
              </w:rPr>
              <w:t>vienodą požiūrį į vienodą darbą ir skatinti tiesioginius darbo santykius sektoriuose, kuriuose kyla tokia rizika</w:t>
            </w:r>
            <w:r>
              <w:t>;</w:t>
            </w:r>
          </w:p>
        </w:tc>
        <w:tc>
          <w:tcPr>
            <w:tcW w:w="4876" w:type="dxa"/>
            <w:tcBorders>
              <w:top w:val="nil"/>
              <w:left w:val="nil"/>
              <w:bottom w:val="nil"/>
              <w:right w:val="nil"/>
            </w:tcBorders>
          </w:tcPr>
          <w:p>
            <w:pPr>
              <w:pStyle w:val="Normal6a"/>
            </w:pPr>
            <w:r>
              <w:t>5.</w:t>
            </w:r>
            <w:r>
              <w:tab/>
            </w:r>
            <w:r>
              <w:t xml:space="preserve">pažymi, kad </w:t>
            </w:r>
            <w:r>
              <w:rPr>
                <w:b/>
                <w:i/>
              </w:rPr>
              <w:t>nusikaltimai darbo vietoje</w:t>
            </w:r>
            <w:r>
              <w:t xml:space="preserve"> gali lemti darbo vietų susiskaidymą ir didesnę riziką, kad darbuotojai turės dirbti daugiau valandų, gaus mažesnį darbo užmokestį ir patirs netikrumą dėl darbo santykių</w:t>
            </w:r>
            <w:r>
              <w:rPr>
                <w:b/>
                <w:i/>
              </w:rPr>
              <w:t>, o subranga suteikia galimybę specializuotis, diegti inovacijas, kurti darbo vietas, taigi ir</w:t>
            </w:r>
            <w:r>
              <w:t xml:space="preserve"> užtikrinti </w:t>
            </w:r>
            <w:r>
              <w:rPr>
                <w:b/>
                <w:i/>
              </w:rPr>
              <w:t>veiksmingesnes bei konkurencingesnes įmones, be kita ko, steigti kitas MVĮ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ragina valstybes nares užtikrinti, kad darbuotojų atstovai būtų informuojami ir su jais būtų konsultuojamasi tais atvejais, kai įmonė ketina sudaryti subrangos sutartis;</w:t>
            </w:r>
            <w:r>
              <w:t xml:space="preserve"> </w:t>
            </w:r>
            <w:r>
              <w:rPr>
                <w:b/>
                <w:i/>
              </w:rPr>
              <w:t>taip pat ragina Komisiją užtikrinti, kad būtų laikomasi teisės į informaciją ir konsultacijas principo visų asmenų, dirbančių visoje subrangos grandinėje, atžvilgiu dėl esminių jų darbo aspektų;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tik tarpvalstybinio bendradarbiavimo mastu kovojant su nusikaltėlių tinklais galima veiksmingai sumažinti darbuotojų išnaudojimą;</w:t>
            </w:r>
            <w:r>
              <w:t xml:space="preserve"> </w:t>
            </w:r>
            <w:r>
              <w:rPr>
                <w:b/>
                <w:i/>
              </w:rPr>
              <w:t>remia glaudesnį Europolo, nacionalinių valdžios institucijų ir socialinių partnerių bendradarbiavimą kovojant su organizuotu nusikalstamumu, o ne įprastą subrangos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pažymi, kad dėl subrangos grandinių ilgumo ir sudėtingumo darbo inspekcijoms kyla didelių sunkumų nustatant teisinę atsakomybę ES ir nacionalinių darbo teisės aktų nesilaikymo atveju;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pabrėžia, kad darbdavio, esančio padėtyje, susijusioje su subrangos grandine, apibrėžtis yra nustatyta 2020 m. liepos 16d. Europos Sąjungos Teisingumo Teismo sprendime AFMB Ltd ir kt./Raad van bestuur van de Sociale verzekeringsbank, kuriame yra nurodyta, kad darbdavys yra įmonė, kuriai darbuotojas yra atskaitingas, kuriai tenka atitinkama darbo užmokesčio našta ir kuri faktiškai gali jį atleisti, o ne įmonė, su kuria darbuotojas yra sudaręs darbo sutartį ir kuri toje sutartyje oficialiai nurodyta kaip to paties darbuotojo darbdavys;</w:t>
            </w:r>
            <w:r>
              <w:t xml:space="preserve"> </w:t>
            </w:r>
            <w:r>
              <w:rPr>
                <w:b/>
                <w:i/>
              </w:rPr>
              <w:t>ragina Komisiją laikytis šios apibrėžties būsimoje direktyvoje;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ragina Komisiją ir valstybes nares užtikrinti, kad didelės rizikos sektoriuose, pvz., statybos, žemės ūkio ir transporto, tiesioginių darbo santykių skatinimas būtų papildytas aiškiais reikalavimais dėl tvarių gamybos metodų ir klimatui nekenkiančios praktikos, įskaitant efektyviai energiją vartojančių medžiagų naudojimą, mažesnį išmetamųjų teršalų kiekį ir atsakingą atliekų tvarkymą;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pabrėžia, kad subrangos ir tarpininkavimo darbe, ypač priežiūros, valymo ir apgyvendinimo bei maitinimo paslaugų sektoriuose, neproporcingai atstovaujama moterims ir pažeidžiamoje padėtyje esančioms grupėms;</w:t>
            </w:r>
            <w:r>
              <w:t xml:space="preserve"> </w:t>
            </w:r>
            <w:r>
              <w:rPr>
                <w:b/>
                <w:i/>
              </w:rPr>
              <w:t>ragina Komisiją ir valstybes nares į bet kokią naują sistemą įtraukti nuostatas, kuriomis atsižvelgiama į lyčių aspektą;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w:t>
            </w:r>
            <w:r>
              <w:rPr>
                <w:b/>
                <w:i/>
              </w:rPr>
              <w:t>to, kad trūksta</w:t>
            </w:r>
            <w:r>
              <w:t xml:space="preserve"> teisinio aiškumo, susijusio su tikro ir </w:t>
            </w:r>
            <w:r>
              <w:rPr>
                <w:b/>
                <w:i/>
              </w:rPr>
              <w:t>fiktyvaus</w:t>
            </w:r>
            <w:r>
              <w:t xml:space="preserve"> trečiųjų šalių piliečių komandiravimo </w:t>
            </w:r>
            <w:r>
              <w:rPr>
                <w:b/>
                <w:i/>
              </w:rPr>
              <w:t>atskyrimu</w:t>
            </w:r>
            <w:r>
              <w:t xml:space="preserve">; ragina Komisiją, atsižvelgiant į E. Letta </w:t>
            </w:r>
            <w:r>
              <w:rPr>
                <w:b/>
                <w:i/>
              </w:rPr>
              <w:t>pranešimą</w:t>
            </w:r>
            <w:r>
              <w:t xml:space="preserve">, peržiūrėti vykdymo užtikrinimo problemas ir imtis atitinkamos iniciatyvos </w:t>
            </w:r>
            <w:r>
              <w:rPr>
                <w:b/>
                <w:i/>
              </w:rPr>
              <w:t>nustatytoms teisės aktų spragoms pašalinti</w:t>
            </w:r>
            <w:r>
              <w:t>;</w:t>
            </w:r>
          </w:p>
        </w:tc>
        <w:tc>
          <w:tcPr>
            <w:tcW w:w="4876" w:type="dxa"/>
            <w:tcBorders>
              <w:top w:val="nil"/>
              <w:left w:val="nil"/>
              <w:bottom w:val="nil"/>
              <w:right w:val="nil"/>
            </w:tcBorders>
          </w:tcPr>
          <w:p>
            <w:pPr>
              <w:pStyle w:val="Normal6a"/>
            </w:pPr>
            <w:r>
              <w:t>6.</w:t>
            </w:r>
            <w:r>
              <w:tab/>
            </w:r>
            <w:r>
              <w:t xml:space="preserve">yra susirūpinęs dėl </w:t>
            </w:r>
            <w:r>
              <w:rPr>
                <w:b/>
                <w:i/>
              </w:rPr>
              <w:t>piktnaudžiavimo ir nepakankamo</w:t>
            </w:r>
            <w:r>
              <w:t xml:space="preserve"> teisinio aiškumo, susijusio su tikro ir </w:t>
            </w:r>
            <w:r>
              <w:rPr>
                <w:b/>
                <w:i/>
              </w:rPr>
              <w:t>apgaulingo</w:t>
            </w:r>
            <w:r>
              <w:t xml:space="preserve"> trečiųjų šalių piliečių komandiravimo </w:t>
            </w:r>
            <w:r>
              <w:rPr>
                <w:b/>
                <w:i/>
              </w:rPr>
              <w:t>diferencijavimu, nes ES paslaugų teikimo taisyklės vis dažniau naudojamos siekiant apeiti nacionalines darbo ir migracijos taisykles komandiruotus darbuotojus priimančiose valstybėse narėse</w:t>
            </w:r>
            <w:r>
              <w:t xml:space="preserve">; ragina Komisiją, atsižvelgiant į E. Letta </w:t>
            </w:r>
            <w:r>
              <w:rPr>
                <w:b/>
                <w:i/>
              </w:rPr>
              <w:t>ataskaitą</w:t>
            </w:r>
            <w:r>
              <w:t>, peržiūrėti vykdymo užtikrinimo problemas ir imtis atitinkamos iniciatyvos</w:t>
            </w:r>
            <w:r>
              <w:rPr>
                <w:b/>
                <w:i/>
              </w:rPr>
              <w:t>, kad būtų nutrauktas nustatytas tarpvalstybinis bendradarbiavimas ir trūkumai, kad būtų užtikrintas vienodas požiūris į komandiruotus trečiųjų šalių piliečius ir užkirstas kelias neteisėtam komandiravimui be jokio realaus ryšio su siunčiančiąja valstybe nare</w:t>
            </w:r>
            <w:r>
              <w:t xml:space="preserve">; </w:t>
            </w:r>
            <w:r>
              <w:rPr>
                <w:b/>
                <w:i/>
              </w:rPr>
              <w:t>ragina Komisiją spręsti tarpvalstybinio piktnaudžiavimo Direktyva dėl darbo per laikinojo įdarbinimo įmones (2008/104) problemą, ypač komandiravimo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w:t>
            </w:r>
            <w:r>
              <w:rPr>
                <w:b/>
                <w:i/>
              </w:rPr>
              <w:t>atskyrimu</w:t>
            </w:r>
            <w:r>
              <w:t xml:space="preserve">; ragina Komisiją, atsižvelgiant į E. Letta </w:t>
            </w:r>
            <w:r>
              <w:rPr>
                <w:b/>
                <w:i/>
              </w:rPr>
              <w:t>pranešimą</w:t>
            </w:r>
            <w:r>
              <w:t xml:space="preserve">, peržiūrėti </w:t>
            </w:r>
            <w:r>
              <w:rPr>
                <w:b/>
                <w:i/>
              </w:rPr>
              <w:t>vykdymo užtikrinimo</w:t>
            </w:r>
            <w:r>
              <w:t xml:space="preserve"> problemas ir imtis </w:t>
            </w:r>
            <w:r>
              <w:rPr>
                <w:b/>
                <w:i/>
              </w:rPr>
              <w:t>atitinkamos iniciatyvos nustatytoms teisės aktų spragoms pašalinti</w:t>
            </w:r>
            <w:r>
              <w:t>;</w:t>
            </w:r>
          </w:p>
        </w:tc>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w:t>
            </w:r>
            <w:r>
              <w:rPr>
                <w:b/>
                <w:i/>
              </w:rPr>
              <w:t>atvejų atskyrimo dėl netinkamo vykdymo ir skaidrumo</w:t>
            </w:r>
            <w:r>
              <w:t xml:space="preserve">; ragina Komisiją, atsižvelgiant į E. Letta </w:t>
            </w:r>
            <w:r>
              <w:rPr>
                <w:b/>
                <w:i/>
              </w:rPr>
              <w:t>ataskaitą</w:t>
            </w:r>
            <w:r>
              <w:t xml:space="preserve">, peržiūrėti </w:t>
            </w:r>
            <w:r>
              <w:rPr>
                <w:b/>
                <w:i/>
              </w:rPr>
              <w:t>susijusias</w:t>
            </w:r>
            <w:r>
              <w:t xml:space="preserve"> problemas ir imtis </w:t>
            </w:r>
            <w:r>
              <w:rPr>
                <w:b/>
                <w:i/>
              </w:rPr>
              <w:t>atitinkamų priemonių, pvz., stiprinti valstybių narių ir Europolo bendradarbiavimą kovojant su nusikalstamomis organizacijomis, kurios naudojasi komandiravimo taisyklėmis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w:t>
            </w:r>
            <w:r>
              <w:rPr>
                <w:b/>
                <w:i/>
              </w:rPr>
              <w:t>pranešimą</w:t>
            </w:r>
            <w:r>
              <w:t>, peržiūrėti vykdymo užtikrinimo problemas ir imtis atitinkamos iniciatyvos nustatytoms teisės aktų spragoms pašalinti;</w:t>
            </w:r>
          </w:p>
        </w:tc>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w:t>
            </w:r>
            <w:r>
              <w:rPr>
                <w:b/>
                <w:i/>
              </w:rPr>
              <w:t>ataskaitą</w:t>
            </w:r>
            <w:r>
              <w:t>, peržiūrėti vykdymo užtikrinimo problemas ir imtis atitinkamos iniciatyvos nustatytoms teisės aktų spragoms pašalinti</w:t>
            </w:r>
            <w:r>
              <w:rPr>
                <w:b/>
                <w:i/>
              </w:rPr>
              <w:t>, be kita ko, reaguojant jei esama daugiau kaip dviejų socialinės ir darbo teisės pažeidimų atveju, taip pat nustatant trejų metų senaties terminą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yra susirūpinęs dėl to, kad trūksta teisinio aiškumo, susijusio su tikro ir fiktyvaus trečiųjų šalių piliečių komandiravimo atskyrimu; ragina Komisiją, atsižvelgiant į E. Letta pranešimą, peržiūrėti vykdymo užtikrinimo problemas ir imtis atitinkamos iniciatyvos nustatytoms teisės aktų spragoms pašalinti;</w:t>
            </w:r>
          </w:p>
        </w:tc>
        <w:tc>
          <w:tcPr>
            <w:tcW w:w="4876" w:type="dxa"/>
            <w:tcBorders>
              <w:top w:val="nil"/>
              <w:left w:val="nil"/>
              <w:bottom w:val="nil"/>
              <w:right w:val="nil"/>
            </w:tcBorders>
          </w:tcPr>
          <w:p>
            <w:pPr>
              <w:pStyle w:val="Normal6a"/>
            </w:pPr>
            <w:r>
              <w:t>6.</w:t>
            </w:r>
            <w:r>
              <w:tab/>
            </w:r>
            <w:r>
              <w:t>yra susirūpinęs dėl to, kad trūksta teisinio aiškumo, susijusio su tikro ir fiktyvaus trečiųjų šalių piliečių komandiravimo atskyrimu</w:t>
            </w:r>
            <w:r>
              <w:rPr>
                <w:b/>
                <w:i/>
              </w:rPr>
              <w:t>;</w:t>
            </w:r>
            <w:r>
              <w:t xml:space="preserve"> </w:t>
            </w:r>
            <w:r>
              <w:rPr>
                <w:b/>
                <w:i/>
              </w:rPr>
              <w:t>pabrėžia, kad nesąžiningas komandiravimas kenkia bendrosios rinkos socialinei struktūrai ir išnaudoja pažeidžiamiausių asmenų padėtį</w:t>
            </w:r>
            <w:r>
              <w:t>; ragina Komisiją, atsižvelgiant į E. Letta pranešimą, peržiūrėti vykdymo užtikrinimo problemas ir imtis atitinkamos iniciatyvos nustatytoms teisės aktų spragoms pašalinti;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pranešimą, peržiūrėti vykdymo užtikrinimo problemas ir imtis </w:t>
            </w:r>
            <w:r>
              <w:rPr>
                <w:b/>
                <w:i/>
              </w:rPr>
              <w:t>atitinkamos iniciatyvos nustatytoms</w:t>
            </w:r>
            <w:r>
              <w:t xml:space="preserve"> teisės aktų </w:t>
            </w:r>
            <w:r>
              <w:rPr>
                <w:b/>
                <w:i/>
              </w:rPr>
              <w:t>spragoms pašalinti</w:t>
            </w:r>
            <w:r>
              <w:t>;</w:t>
            </w:r>
          </w:p>
        </w:tc>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pranešimą, peržiūrėti vykdymo užtikrinimo problemas ir </w:t>
            </w:r>
            <w:r>
              <w:rPr>
                <w:b/>
                <w:i/>
              </w:rPr>
              <w:t>pateikti savo išvadas valstybėms narėms, kad jos galėtų</w:t>
            </w:r>
            <w:r>
              <w:t xml:space="preserve"> imtis </w:t>
            </w:r>
            <w:r>
              <w:rPr>
                <w:b/>
                <w:i/>
              </w:rPr>
              <w:t>reikiamų iniciatyvų, kad būtų pašalintos</w:t>
            </w:r>
            <w:r>
              <w:t xml:space="preserve"> teisės aktų </w:t>
            </w:r>
            <w:r>
              <w:rPr>
                <w:b/>
                <w:i/>
              </w:rPr>
              <w:t>spragos, nustatytos kiekviename nacionalinės teisės akte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w:t>
            </w:r>
            <w:r>
              <w:rPr>
                <w:b/>
                <w:i/>
              </w:rPr>
              <w:t>to, kad trūksta teisinio aiškumo, susijusio su</w:t>
            </w:r>
            <w:r>
              <w:t xml:space="preserve"> tikro ir fiktyvaus trečiųjų šalių piliečių komandiravimo atskyrimu</w:t>
            </w:r>
            <w:r>
              <w:rPr>
                <w:b/>
                <w:i/>
              </w:rPr>
              <w:t>;</w:t>
            </w:r>
            <w:r>
              <w:t xml:space="preserve"> </w:t>
            </w:r>
            <w:r>
              <w:rPr>
                <w:b/>
                <w:i/>
              </w:rPr>
              <w:t>ragina Komisiją, atsižvelgiant į E.</w:t>
            </w:r>
            <w:r>
              <w:t xml:space="preserve"> </w:t>
            </w:r>
            <w:r>
              <w:rPr>
                <w:b/>
                <w:i/>
              </w:rPr>
              <w:t>Letta pranešimą, peržiūrėti vykdymo užtikrinimo problemas ir imtis atitinkamos iniciatyvos nustatytoms teisės aktų spragoms pašalinti</w:t>
            </w:r>
            <w:r>
              <w:t>;</w:t>
            </w:r>
          </w:p>
        </w:tc>
        <w:tc>
          <w:tcPr>
            <w:tcW w:w="4876" w:type="dxa"/>
            <w:tcBorders>
              <w:top w:val="nil"/>
              <w:left w:val="nil"/>
              <w:bottom w:val="nil"/>
              <w:right w:val="nil"/>
            </w:tcBorders>
          </w:tcPr>
          <w:p>
            <w:pPr>
              <w:pStyle w:val="Normal6a"/>
            </w:pPr>
            <w:r>
              <w:t>6.</w:t>
            </w:r>
            <w:r>
              <w:tab/>
            </w:r>
            <w:r>
              <w:t xml:space="preserve">yra susirūpinęs dėl tikro ir fiktyvaus trečiųjų šalių piliečių komandiravimo </w:t>
            </w:r>
            <w:r>
              <w:rPr>
                <w:b/>
                <w:i/>
              </w:rPr>
              <w:t>atskyrimo;</w:t>
            </w:r>
            <w:r>
              <w:t xml:space="preserve"> </w:t>
            </w:r>
            <w:r>
              <w:rPr>
                <w:b/>
                <w:i/>
              </w:rPr>
              <w:t>pabrėžia, kad priimant sprendimus, susijusius su tokiu</w:t>
            </w:r>
            <w:r>
              <w:t xml:space="preserve"> atskyrimu</w:t>
            </w:r>
            <w:r>
              <w:rPr>
                <w:b/>
                <w:i/>
              </w:rPr>
              <w:t>, turi būti atsižvelgiama į nacionalinę kompetenciją migracijos srityje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w:t>
            </w:r>
            <w:r>
              <w:rPr>
                <w:b/>
                <w:i/>
              </w:rPr>
              <w:t>pranešimą</w:t>
            </w:r>
            <w:r>
              <w:t xml:space="preserve">, peržiūrėti vykdymo užtikrinimo </w:t>
            </w:r>
            <w:r>
              <w:rPr>
                <w:b/>
                <w:i/>
              </w:rPr>
              <w:t>problemas ir imtis atitinkamos iniciatyvos nustatytoms teisės aktų spragoms pašalinti</w:t>
            </w:r>
            <w:r>
              <w:t>;</w:t>
            </w:r>
          </w:p>
        </w:tc>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atskyrimu; ragina Komisiją, atsižvelgiant į E. Letta </w:t>
            </w:r>
            <w:r>
              <w:rPr>
                <w:b/>
                <w:i/>
              </w:rPr>
              <w:t>ataskaitą</w:t>
            </w:r>
            <w:r>
              <w:t xml:space="preserve">, peržiūrėti vykdymo užtikrinimo </w:t>
            </w:r>
            <w:r>
              <w:rPr>
                <w:b/>
                <w:i/>
              </w:rPr>
              <w:t>iššūkius, kartu atsižvelgiant į bendrą E. Letta ataskaitos išvadą, kad būtų padidintas bendrosios rinkos konkurencingumas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w:t>
            </w:r>
            <w:r>
              <w:rPr>
                <w:b/>
                <w:i/>
              </w:rPr>
              <w:t>atskyrimu</w:t>
            </w:r>
            <w:r>
              <w:t xml:space="preserve">; ragina Komisiją, atsižvelgiant į E. Letta pranešimą, peržiūrėti vykdymo užtikrinimo problemas ir imtis </w:t>
            </w:r>
            <w:r>
              <w:rPr>
                <w:b/>
                <w:i/>
              </w:rPr>
              <w:t>atitinkamos iniciatyvos nustatytoms teisės aktų spragoms pašalinti</w:t>
            </w:r>
            <w:r>
              <w:t>;</w:t>
            </w:r>
          </w:p>
        </w:tc>
        <w:tc>
          <w:tcPr>
            <w:tcW w:w="4876" w:type="dxa"/>
            <w:tcBorders>
              <w:top w:val="nil"/>
              <w:left w:val="nil"/>
              <w:bottom w:val="nil"/>
              <w:right w:val="nil"/>
            </w:tcBorders>
          </w:tcPr>
          <w:p>
            <w:pPr>
              <w:pStyle w:val="Normal6a"/>
            </w:pPr>
            <w:r>
              <w:t>6.</w:t>
            </w:r>
            <w:r>
              <w:tab/>
            </w:r>
            <w:r>
              <w:t xml:space="preserve">yra susirūpinęs dėl to, kad trūksta teisinio aiškumo, susijusio su tikro ir fiktyvaus trečiųjų šalių piliečių komandiravimo </w:t>
            </w:r>
            <w:r>
              <w:rPr>
                <w:b/>
                <w:i/>
              </w:rPr>
              <w:t>atskyrimo dėl netinkamo vykdymo ir skaidrumo trūkumo</w:t>
            </w:r>
            <w:r>
              <w:t xml:space="preserve">; ragina Komisiją, atsižvelgiant į E. Letta pranešimą, peržiūrėti vykdymo užtikrinimo problemas ir imtis </w:t>
            </w:r>
            <w:r>
              <w:rPr>
                <w:b/>
                <w:i/>
              </w:rPr>
              <w:t>atitinkamų priemonių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kad tais atvejais, kai būstą darbuotojui suteikia darbdavys, įskaitant subrangovą, tarpininkas darbo rinkoje ar bet kuris kitas asmuo, būsto sąlygos turi atitikti galiojančius kokybės standartus ir nediskriminavimo bei proporcingumo principus, ypač kiek tai susiję su darbuotojo patiriamomis išlaidomis;</w:t>
            </w:r>
            <w:r>
              <w:t xml:space="preserve"> </w:t>
            </w:r>
            <w:r>
              <w:rPr>
                <w:b/>
                <w:i/>
              </w:rPr>
              <w:t>pabrėžia, kad sutarčių nuostatos, kuriomis reglamentuojamas darbuotojų apgyvendinimas, turi būti teisiškai atskirtos nuo darbo sutarties, siekiant apriboti priklausomybę ir užtikrinti, kad nutraukus vieną sutartį nebūtų nedelsiant nutraukiama kita sutartis;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pažymi, kad yra konkrečių teisės aktų, kuriais reglamentuojama civilinės aviacijos subranga, įskaitant orlaivių nuomą, įgulą, techninę priežiūrą ir draudimą, dar vadinamą „nuoma su įgula“;</w:t>
            </w:r>
            <w:r>
              <w:t xml:space="preserve"> </w:t>
            </w:r>
            <w:r>
              <w:rPr>
                <w:b/>
                <w:i/>
              </w:rPr>
              <w:t>pažymi, kad padaugėjo nuomos su įgula naudojimo atvejų, taip pat ir ne pagal numatytą paskirtį, siekiant užpildyti pajėgumus piko metu;</w:t>
            </w:r>
            <w:r>
              <w:t xml:space="preserve"> </w:t>
            </w:r>
            <w:r>
              <w:rPr>
                <w:b/>
                <w:i/>
              </w:rPr>
              <w:t>ragina Komisiją ateityje persvarstant Oro susisiekimo paslaugų reglamentą (1008/2008) spręsti nuomos su įgula susijusias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kad komandiravimo srityje jau taikomi griežti reguliavimo ir vykdymo užtikrinimo mechanizmai, ir pabrėžia, kad reikia įtraukti valstybes nares, kad būtų užtikrintas veiksmingas įgyvendinimas ir vykdymo užtikrinimas;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jog reikia užtikrinti, kad subrangovai ir darbo rinkos tarpininkai gerbtų ir garantuotų darbuotojų teises į informaciją ir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reikia geriau reguliuoti įdarbinimo tarpininkus;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w:t>
            </w:r>
          </w:p>
        </w:tc>
        <w:tc>
          <w:tcPr>
            <w:tcW w:w="4876" w:type="dxa"/>
            <w:tcBorders>
              <w:top w:val="nil"/>
              <w:left w:val="nil"/>
              <w:bottom w:val="nil"/>
              <w:right w:val="nil"/>
            </w:tcBorders>
          </w:tcPr>
          <w:p>
            <w:pPr>
              <w:pStyle w:val="Normal6a"/>
            </w:pPr>
            <w:r>
              <w:t>7.</w:t>
            </w:r>
            <w:r>
              <w:tab/>
            </w:r>
            <w:r>
              <w:t xml:space="preserve">pabrėžia, kad reikia geriau reguliuoti įdarbinimo tarpininkus;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 </w:t>
            </w:r>
            <w:r>
              <w:rPr>
                <w:b/>
                <w:i/>
              </w:rPr>
              <w:t>pabrėžia, kad patvirtinimui turėtų būti taikomi būtiniausi sąžiningumo kriterijai, įskaitant tai, kad tarpininkas ar jo direktoriai nebuvo nuteisti už sunkius ar pakartotinius darbo standartų pažeidimus arba už nusikalstamas veikas, susijusias su išnaudojamo darbo sąlygomis;</w:t>
            </w:r>
            <w:r>
              <w:t xml:space="preserve"> </w:t>
            </w:r>
            <w:r>
              <w:rPr>
                <w:b/>
                <w:i/>
              </w:rPr>
              <w:t>be to, ragina užtikrinti tarpvalstybinę prieigą prie patvirtintų darbo tarpininkų nacionalinių registrų ir būtinuosius patvirtinimo sąžiningumo kriterijus;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reikia geriau </w:t>
            </w:r>
            <w:r>
              <w:rPr>
                <w:b/>
                <w:i/>
              </w:rPr>
              <w:t>reguliuoti</w:t>
            </w:r>
            <w:r>
              <w:t xml:space="preserve"> įdarbinimo tarpininkus; ragina Komisiją užtikrinti, kad </w:t>
            </w:r>
            <w:r>
              <w:rPr>
                <w:b/>
                <w:i/>
              </w:rPr>
              <w:t>ES veikiantiems</w:t>
            </w:r>
            <w:r>
              <w:t xml:space="preserve"> įdarbinimo </w:t>
            </w:r>
            <w:r>
              <w:rPr>
                <w:b/>
                <w:i/>
              </w:rPr>
              <w:t>tarpininkams būtų taikomos registracijos ir licencijavimo sistemos, ir, laikantis TDO konvencijos Nr. 181</w:t>
            </w:r>
            <w:r>
              <w:t>, uždrausti įdarbinimo tarpininkams tiesiogiai ar netiesiogiai, visiškai ar iš dalies darbuotojams nustatyti bet kokius mokesčius ar išlaidas;</w:t>
            </w:r>
          </w:p>
        </w:tc>
        <w:tc>
          <w:tcPr>
            <w:tcW w:w="4876" w:type="dxa"/>
            <w:tcBorders>
              <w:top w:val="nil"/>
              <w:left w:val="nil"/>
              <w:bottom w:val="nil"/>
              <w:right w:val="nil"/>
            </w:tcBorders>
          </w:tcPr>
          <w:p>
            <w:pPr>
              <w:pStyle w:val="Normal6a"/>
            </w:pPr>
            <w:r>
              <w:t>7.</w:t>
            </w:r>
            <w:r>
              <w:tab/>
            </w:r>
            <w:r>
              <w:t xml:space="preserve">pabrėžia, kad reikia geriau </w:t>
            </w:r>
            <w:r>
              <w:rPr>
                <w:b/>
                <w:i/>
              </w:rPr>
              <w:t>reglamentuoti</w:t>
            </w:r>
            <w:r>
              <w:t xml:space="preserve"> įdarbinimo tarpininkus</w:t>
            </w:r>
            <w:r>
              <w:rPr>
                <w:b/>
                <w:i/>
              </w:rPr>
              <w:t>, visų pirma apibrėžiant skirtingas kategorijas</w:t>
            </w:r>
            <w:r>
              <w:t xml:space="preserve">; ragina Komisiją </w:t>
            </w:r>
            <w:r>
              <w:rPr>
                <w:b/>
                <w:i/>
              </w:rPr>
              <w:t>būsimoje direktyvoje</w:t>
            </w:r>
            <w:r>
              <w:t xml:space="preserve"> užtikrinti, kad </w:t>
            </w:r>
            <w:r>
              <w:rPr>
                <w:b/>
                <w:i/>
              </w:rPr>
              <w:t>įdarbinimo tarpininkai būtų apibrėžiami kaip privačios</w:t>
            </w:r>
            <w:r>
              <w:t xml:space="preserve"> įdarbinimo </w:t>
            </w:r>
            <w:r>
              <w:rPr>
                <w:b/>
                <w:i/>
              </w:rPr>
              <w:t>agentūros, laikinojo įdarbinimo įmonės arba subrangovai ir todėl būtų įpareigoti laikytis šios srities teisės aktų, įskaitant TDO konvenciją Nr. 181, ir, vadovaujantis šia konvencija</w:t>
            </w:r>
            <w:r>
              <w:t xml:space="preserve">, uždrausti </w:t>
            </w:r>
            <w:r>
              <w:rPr>
                <w:b/>
                <w:i/>
              </w:rPr>
              <w:t>šiems</w:t>
            </w:r>
            <w:r>
              <w:t xml:space="preserve"> įdarbinimo tarpininkams</w:t>
            </w:r>
            <w:r>
              <w:rPr>
                <w:b/>
                <w:i/>
              </w:rPr>
              <w:t>, neatsižvelgiant į jų kategoriją,</w:t>
            </w:r>
            <w:r>
              <w:t xml:space="preserve"> tiesiogiai ar netiesiogiai, visiškai ar iš dalies darbuotojams nustatyti bet kokius mokesčius ar išlaidas;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reikia geriau reguliuoti </w:t>
            </w:r>
            <w:r>
              <w:rPr>
                <w:b/>
                <w:i/>
              </w:rPr>
              <w:t>įdarbinimo</w:t>
            </w:r>
            <w:r>
              <w:t xml:space="preserve"> tarpininkus;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w:t>
            </w:r>
          </w:p>
        </w:tc>
        <w:tc>
          <w:tcPr>
            <w:tcW w:w="4876" w:type="dxa"/>
            <w:tcBorders>
              <w:top w:val="nil"/>
              <w:left w:val="nil"/>
              <w:bottom w:val="nil"/>
              <w:right w:val="nil"/>
            </w:tcBorders>
          </w:tcPr>
          <w:p>
            <w:pPr>
              <w:pStyle w:val="Normal6a"/>
            </w:pPr>
            <w:r>
              <w:t>7.</w:t>
            </w:r>
            <w:r>
              <w:tab/>
            </w:r>
            <w:r>
              <w:t xml:space="preserve">pabrėžia, kad reikia geriau reguliuoti </w:t>
            </w:r>
            <w:r>
              <w:rPr>
                <w:b/>
                <w:i/>
              </w:rPr>
              <w:t>darbo rinkos</w:t>
            </w:r>
            <w:r>
              <w:t xml:space="preserve"> tarpininkus</w:t>
            </w:r>
            <w:r>
              <w:rPr>
                <w:b/>
                <w:i/>
              </w:rPr>
              <w:t>, kad būtų sustiprinta jų atskaitomybė, skaidrumo įsipareigojimai ir būtiniausių reikalavimų bei kokybės standartų laikymasis pagal TDO konvenciją Nr. 181 dėl privačių įdarbinimo agentūrų</w:t>
            </w:r>
            <w:r>
              <w:t>;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reikia geriau reguliuoti </w:t>
            </w:r>
            <w:r>
              <w:rPr>
                <w:b/>
                <w:i/>
              </w:rPr>
              <w:t>įdarbinimo</w:t>
            </w:r>
            <w:r>
              <w:t xml:space="preserve"> tarpininkus</w:t>
            </w:r>
            <w:r>
              <w:rPr>
                <w:b/>
                <w:i/>
              </w:rPr>
              <w:t>;</w:t>
            </w:r>
            <w:r>
              <w:t xml:space="preserve"> </w:t>
            </w:r>
            <w:r>
              <w:rPr>
                <w:b/>
                <w:i/>
              </w:rPr>
              <w:t>ragina Komisiją užtikrinti, kad ES veikiantiems įdarbinimo tarpininkams būtų taikomos</w:t>
            </w:r>
            <w:r>
              <w:t xml:space="preserve"> registracijos ir licencijavimo </w:t>
            </w:r>
            <w:r>
              <w:rPr>
                <w:b/>
                <w:i/>
              </w:rPr>
              <w:t>sistemos, ir, laikantis TDO konvencijos Nr. 181, uždrausti įdarbinimo tarpininkams tiesiogiai ar netiesiogiai, visiškai ar iš dalies darbuotojams nustatyti bet kokius</w:t>
            </w:r>
            <w:r>
              <w:t xml:space="preserve"> mokesčius ar išlaidas;</w:t>
            </w:r>
          </w:p>
        </w:tc>
        <w:tc>
          <w:tcPr>
            <w:tcW w:w="4876" w:type="dxa"/>
            <w:tcBorders>
              <w:top w:val="nil"/>
              <w:left w:val="nil"/>
              <w:bottom w:val="nil"/>
              <w:right w:val="nil"/>
            </w:tcBorders>
          </w:tcPr>
          <w:p>
            <w:pPr>
              <w:pStyle w:val="Normal6a"/>
            </w:pPr>
            <w:r>
              <w:t>7.</w:t>
            </w:r>
            <w:r>
              <w:tab/>
            </w:r>
            <w:r>
              <w:t xml:space="preserve">pabrėžia, kad reikia geriau reguliuoti </w:t>
            </w:r>
            <w:r>
              <w:rPr>
                <w:b/>
                <w:i/>
              </w:rPr>
              <w:t>darbo rinkos</w:t>
            </w:r>
            <w:r>
              <w:t xml:space="preserve"> tarpininkus</w:t>
            </w:r>
            <w:r>
              <w:rPr>
                <w:b/>
                <w:i/>
              </w:rPr>
              <w:t>, įskaitant</w:t>
            </w:r>
            <w:r>
              <w:t xml:space="preserve"> registracijos ir licencijavimo </w:t>
            </w:r>
            <w:r>
              <w:rPr>
                <w:b/>
                <w:i/>
              </w:rPr>
              <w:t>sistemas, taip pat</w:t>
            </w:r>
            <w:r>
              <w:t xml:space="preserve"> mokesčius ar išlaidas</w:t>
            </w:r>
            <w:r>
              <w:rPr>
                <w:b/>
                <w:i/>
              </w:rPr>
              <w:t>, kurias patiria darbuotojai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pabrėžia, kad reikia geriau reguliuoti įdarbinimo tarpininkus;</w:t>
            </w:r>
            <w:r>
              <w:t xml:space="preserve"> ragina Komisiją </w:t>
            </w:r>
            <w:r>
              <w:rPr>
                <w:b/>
                <w:i/>
              </w:rPr>
              <w:t>užtikrinti, kad ES veikiantiems įdarbinimo tarpininkams būtų taikomos registracijos ir</w:t>
            </w:r>
            <w:r>
              <w:t xml:space="preserve"> licencijavimo </w:t>
            </w:r>
            <w:r>
              <w:rPr>
                <w:b/>
                <w:i/>
              </w:rPr>
              <w:t>sistemos, ir, laikantis TDO konvencijos Nr. 181, uždrausti įdarbinimo tarpininkams tiesiogiai ar netiesiogiai, visiškai ar iš dalies darbuotojams nustatyti bet kokius mokesčius ar išlaidas</w:t>
            </w:r>
            <w:r>
              <w:t>;</w:t>
            </w:r>
          </w:p>
        </w:tc>
        <w:tc>
          <w:tcPr>
            <w:tcW w:w="4876" w:type="dxa"/>
            <w:tcBorders>
              <w:top w:val="nil"/>
              <w:left w:val="nil"/>
              <w:bottom w:val="nil"/>
              <w:right w:val="nil"/>
            </w:tcBorders>
          </w:tcPr>
          <w:p>
            <w:pPr>
              <w:pStyle w:val="Normal6a"/>
            </w:pPr>
            <w:r>
              <w:t>7.</w:t>
            </w:r>
            <w:r>
              <w:tab/>
            </w:r>
            <w:r>
              <w:t xml:space="preserve">ragina Komisiją </w:t>
            </w:r>
            <w:r>
              <w:rPr>
                <w:b/>
                <w:i/>
              </w:rPr>
              <w:t>išnagrinėti, ar esama nacionalinės praktikos ar teisės aktų, susijusių su ES veikiančių darbo tarpininkų veikimu, ir tokios praktikos poveikį</w:t>
            </w:r>
            <w:r>
              <w:t xml:space="preserve"> licencijavimo </w:t>
            </w:r>
            <w:r>
              <w:rPr>
                <w:b/>
                <w:i/>
              </w:rPr>
              <w:t>sistemoms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reikia </w:t>
            </w:r>
            <w:r>
              <w:rPr>
                <w:b/>
                <w:i/>
              </w:rPr>
              <w:t>geriau reguliuoti įdarbinimo tarpininkus</w:t>
            </w:r>
            <w:r>
              <w:t>;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w:t>
            </w:r>
          </w:p>
        </w:tc>
        <w:tc>
          <w:tcPr>
            <w:tcW w:w="4876" w:type="dxa"/>
            <w:tcBorders>
              <w:top w:val="nil"/>
              <w:left w:val="nil"/>
              <w:bottom w:val="nil"/>
              <w:right w:val="nil"/>
            </w:tcBorders>
          </w:tcPr>
          <w:p>
            <w:pPr>
              <w:pStyle w:val="Normal6a"/>
            </w:pPr>
            <w:r>
              <w:t>7.</w:t>
            </w:r>
            <w:r>
              <w:tab/>
            </w:r>
            <w:r>
              <w:t xml:space="preserve">pabrėžia, kad reikia </w:t>
            </w:r>
            <w:r>
              <w:rPr>
                <w:b/>
                <w:i/>
              </w:rPr>
              <w:t>tobulinti teisinę sistemą, kurioje veikia darbo rinkos tarpininkai</w:t>
            </w:r>
            <w:r>
              <w:t>; ragina Komisiją užtikrinti, kad ES veikiantiems įdarbinimo tarpininkams būtų taikomos registracijos ir licencijavimo sistemos, ir, laikantis TDO konvencijos Nr. 181, uždrausti įdarbinimo tarpininkams tiesiogiai ar netiesiogiai, visiškai ar iš dalies darbuotojams nustatyti bet kokius mokesčius ar išlaidas;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subrangovai ir komandiruoti darbuotojai susiduria su neproporcingai didele DSS rizika dėl suskaidytų atsakomybės grandinių ir neaiškaus koordinavimo, ypač statybos sektoriuje;</w:t>
            </w:r>
            <w:r>
              <w:t xml:space="preserve"> </w:t>
            </w:r>
            <w:r>
              <w:rPr>
                <w:b/>
                <w:i/>
              </w:rPr>
              <w:t>primena TDO konvenciją dėl saugos ir sveikatos statybos sektoriuje;</w:t>
            </w:r>
            <w:r>
              <w:t xml:space="preserve"> </w:t>
            </w:r>
            <w:r>
              <w:rPr>
                <w:b/>
                <w:i/>
              </w:rPr>
              <w:t>ragina Komisiją nedelsiant paskelbti gaires ir pradėti pažeidimo nagrinėjimo procedūrą tais atvejais, kai nesilaikoma įsipareigojimų;</w:t>
            </w:r>
            <w:r>
              <w:t xml:space="preserve"> </w:t>
            </w:r>
            <w:r>
              <w:rPr>
                <w:b/>
                <w:i/>
              </w:rPr>
              <w:t>taip pat ragina Komisiją įvertinti, ar Direktyva 92/57/EEB tinkamai apima visos grandinės DSS koordinavimą vykdant daugiapakopę subrangą, ir, jei ne, pasiūlyti tikslinius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darbuotojai turi gauti tinkamą informaciją apie savo teises ir pareigas ir stiprinti socialinių partnerių vaidmenį kuriant priemones bei rengiant mokymus šiems darbuotojams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pradėti kurti nacionalinius registrus, kuriuose visi įdarbinimo tarpininkai būtų registruojami pagal tris atskiras apibrėžtas kategorijas;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valstybės narės nustato viešą sąveikų licencijuotų tarpininkų registrą ir privalomą draudimą pažeidėjams dalyvauti viešuosiuose pirkimuose ir (arba) gauti dotacijas, kartu konfiskuojant neteisėtą pelną;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ragina Komisiją užtikrinti asmenų, dirbančių subrangos grandinėje ir per įdarbinimo tarpininką, individualių ir kolektyvinių duomenų apsaugą, be kita ko, darbo inspekcijoms atliekant tapatybės nustatymo patikras;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pabrėžia, kad, siekiant kovoti su išnaudojimu darbe, reikalingos veiksmingos ir pakankamai išteklių turinčius vykdymo užtikrinimo ir kontrolės sistemos;</w:t>
            </w:r>
            <w:r>
              <w:t xml:space="preserve"> </w:t>
            </w:r>
            <w:r>
              <w:rPr>
                <w:b/>
                <w:i/>
              </w:rPr>
              <w:t>palankiai vertina Komisijos EDI vertinimo ataskaitą ir pakartoja savo raginimą</w:t>
            </w:r>
            <w:r>
              <w:rPr>
                <w:b/>
                <w:i/>
                <w:vertAlign w:val="superscript"/>
              </w:rPr>
              <w:t>12</w:t>
            </w:r>
            <w:r>
              <w:rPr>
                <w:b/>
                <w:i/>
              </w:rPr>
              <w:t>Komisijai sustiprinti EDI įgaliojimus;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2024 m. sausio 18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vertAlign w:val="superscript"/>
              </w:rPr>
              <w:t>12</w:t>
            </w:r>
            <w:r>
              <w:t>Komisijai sustiprinti EDI įgaliojimus;</w:t>
            </w:r>
          </w:p>
        </w:tc>
        <w:tc>
          <w:tcPr>
            <w:tcW w:w="4876" w:type="dxa"/>
            <w:tcBorders>
              <w:top w:val="nil"/>
              <w:left w:val="nil"/>
              <w:bottom w:val="nil"/>
              <w:right w:val="nil"/>
            </w:tcBorders>
          </w:tcPr>
          <w:p>
            <w:pPr>
              <w:pStyle w:val="Normal6a"/>
            </w:pPr>
            <w:r>
              <w:t>8.</w:t>
            </w:r>
            <w:r>
              <w:tab/>
            </w:r>
            <w:r>
              <w:t>pabrėžia, kad, siekiant kovoti su išnaudojimu darbe</w:t>
            </w:r>
            <w:r>
              <w:rPr>
                <w:b/>
                <w:i/>
              </w:rPr>
              <w:t>, kai tai susiję su tarpvalstybiniais aspektais</w:t>
            </w:r>
            <w:r>
              <w:t>, reikalingos veiksmingos ir pakankamai išteklių turinčius vykdymo užtikrinimo ir kontrolės sistemos; palankiai vertina Komisijos EDI vertinimo ataskaitą ir pakartoja savo raginimą</w:t>
            </w:r>
            <w:r>
              <w:rPr>
                <w:vertAlign w:val="superscript"/>
              </w:rPr>
              <w:t>12</w:t>
            </w:r>
            <w:r>
              <w:t xml:space="preserve"> Komisijai </w:t>
            </w:r>
            <w:r>
              <w:rPr>
                <w:b/>
                <w:i/>
              </w:rPr>
              <w:t>iš esmės</w:t>
            </w:r>
            <w:r>
              <w:t xml:space="preserve"> sustiprinti EDI įgaliojimus </w:t>
            </w:r>
            <w:r>
              <w:rPr>
                <w:b/>
                <w:i/>
              </w:rPr>
              <w:t>leidžiant jai tirti įtariamus ES teisės pažeidimus arba jos netaikymą ir savo iniciatyva inicijuoti ir atlikti tarpvalstybinių bylų tyrimus ir patikrinimus, taip pat išplėsti agentūros įgaliojimų taikymo sritį, kad jie apimtų trečiųjų šalių piliečių darbo jėgos judumą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b/>
                <w:i/>
                <w:vertAlign w:val="superscript"/>
              </w:rPr>
              <w:t>12</w:t>
            </w:r>
            <w:r>
              <w:t>Komisijai sustiprinti EDI įgaliojimus;</w:t>
            </w:r>
          </w:p>
        </w:tc>
        <w:tc>
          <w:tcPr>
            <w:tcW w:w="4876" w:type="dxa"/>
            <w:tcBorders>
              <w:top w:val="nil"/>
              <w:left w:val="nil"/>
              <w:bottom w:val="nil"/>
              <w:right w:val="nil"/>
            </w:tcBorders>
          </w:tcPr>
          <w:p>
            <w:pPr>
              <w:pStyle w:val="Normal6a"/>
            </w:pPr>
            <w:r>
              <w:t>8.</w:t>
            </w:r>
            <w:r>
              <w:tab/>
            </w:r>
            <w:r>
              <w:t xml:space="preserve">pabrėžia, kad, siekiant kovoti su išnaudojimu darbe, reikalingos veiksmingos ir pakankamai išteklių turinčius vykdymo užtikrinimo ir kontrolės sistemos; </w:t>
            </w:r>
            <w:r>
              <w:rPr>
                <w:b/>
                <w:i/>
              </w:rPr>
              <w:t>be to, pabrėžia, kad darbo inspekcijos sistemos turėtų būti pasirengusios patikrinti, ar laikomasi ne tik socialinių ir užimtumo standartų, bet ir aplinkos bei profesinės sveikatos standartų, atsižvelgiant į jų tarpusavio poveikį darbuotojų gerovei;</w:t>
            </w:r>
            <w:r>
              <w:t xml:space="preserve"> palankiai vertina Komisijos EDI vertinimo ataskaitą ir pakartoja savo raginimą Komisijai sustiprinti EDI įgaliojimus;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2024 m. sausio 18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b/>
                <w:i/>
                <w:vertAlign w:val="superscript"/>
              </w:rPr>
              <w:t>12</w:t>
            </w:r>
            <w:r>
              <w:t>Komisijai sustiprinti EDI įgaliojimus;</w:t>
            </w:r>
          </w:p>
        </w:tc>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w:t>
            </w:r>
            <w:r>
              <w:rPr>
                <w:b/>
                <w:i/>
              </w:rPr>
              <w:t>, o taip pat būtina skatinti sąžiningą konkurenciją bendrojoje rinkoje</w:t>
            </w:r>
            <w:r>
              <w:t xml:space="preserve">; palankiai vertina Komisijos EDI vertinimo ataskaitą ir pakartoja savo raginimą Komisijai sustiprinti EDI įgaliojimus; </w:t>
            </w:r>
            <w:r>
              <w:rPr>
                <w:b/>
                <w:i/>
              </w:rPr>
              <w:t>taip pat ragina Komisiją sustiprinti Europolo įgaliojimus šioje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2024 m. sausio 18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vertAlign w:val="superscript"/>
              </w:rPr>
              <w:t>12</w:t>
            </w:r>
            <w:r>
              <w:t>Komisijai sustiprinti EDI įgaliojimus;</w:t>
            </w:r>
          </w:p>
        </w:tc>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vertAlign w:val="superscript"/>
              </w:rPr>
              <w:t>12</w:t>
            </w:r>
            <w:r>
              <w:t xml:space="preserve"> Komisijai sustiprinti EDI įgaliojimus </w:t>
            </w:r>
            <w:r>
              <w:rPr>
                <w:b/>
                <w:i/>
              </w:rPr>
              <w:t>ir suteikti EDI pakankamai išteklių, kad ji galėtų vykdyti savo užduotis, visų pirma patikrinimus vietoje, siekiant nustatyti darbo teisės pažeidimus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pabrėžia, kad, siekiant kovoti su išnaudojimu darbe, reikalingos veiksmingos </w:t>
            </w:r>
            <w:r>
              <w:rPr>
                <w:b/>
                <w:i/>
              </w:rPr>
              <w:t>ir pakankamai išteklių turinčius</w:t>
            </w:r>
            <w:r>
              <w:t xml:space="preserve"> vykdymo užtikrinimo ir kontrolės sistemos; </w:t>
            </w:r>
            <w:r>
              <w:rPr>
                <w:b/>
                <w:i/>
              </w:rPr>
              <w:t>palankiai vertina Komisijos EDI vertinimo ataskaitą ir pakartoja savo raginimą</w:t>
            </w:r>
            <w:r>
              <w:rPr>
                <w:b/>
                <w:i/>
                <w:vertAlign w:val="superscript"/>
              </w:rPr>
              <w:t>12</w:t>
            </w:r>
            <w:r>
              <w:rPr>
                <w:b/>
                <w:i/>
              </w:rPr>
              <w:t>Komisijai sustiprinti EDI įgaliojimus</w:t>
            </w:r>
            <w:r>
              <w:t>;</w:t>
            </w:r>
          </w:p>
        </w:tc>
        <w:tc>
          <w:tcPr>
            <w:tcW w:w="4876" w:type="dxa"/>
            <w:tcBorders>
              <w:top w:val="nil"/>
              <w:left w:val="nil"/>
              <w:bottom w:val="nil"/>
              <w:right w:val="nil"/>
            </w:tcBorders>
          </w:tcPr>
          <w:p>
            <w:pPr>
              <w:pStyle w:val="Normal6a"/>
            </w:pPr>
            <w:r>
              <w:t>8.</w:t>
            </w:r>
            <w:r>
              <w:tab/>
            </w:r>
            <w:r>
              <w:t xml:space="preserve">pabrėžia, kad, siekiant kovoti su išnaudojimu darbe, reikalingos veiksmingos vykdymo užtikrinimo ir kontrolės sistemos; </w:t>
            </w:r>
            <w:r>
              <w:rPr>
                <w:b/>
                <w:i/>
              </w:rPr>
              <w:t>ragina Komisiją nestiprinti EDI įgaliojimų</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2024 m. sausio 18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 palankiai vertina Komisijos EDI vertinimo ataskaitą ir pakartoja savo raginimą</w:t>
            </w:r>
            <w:r>
              <w:rPr>
                <w:vertAlign w:val="superscript"/>
              </w:rPr>
              <w:t>12</w:t>
            </w:r>
            <w:r>
              <w:t>Komisijai sustiprinti EDI įgaliojimus;</w:t>
            </w:r>
          </w:p>
        </w:tc>
        <w:tc>
          <w:tcPr>
            <w:tcW w:w="4876" w:type="dxa"/>
            <w:tcBorders>
              <w:top w:val="nil"/>
              <w:left w:val="nil"/>
              <w:bottom w:val="nil"/>
              <w:right w:val="nil"/>
            </w:tcBorders>
          </w:tcPr>
          <w:p>
            <w:pPr>
              <w:pStyle w:val="Normal6a"/>
            </w:pPr>
            <w:r>
              <w:t>8.</w:t>
            </w:r>
            <w:r>
              <w:tab/>
            </w:r>
            <w:r>
              <w:t>pabrėžia, kad, siekiant kovoti su išnaudojimu darbe, reikalingos veiksmingos ir pakankamai išteklių turinčius vykdymo užtikrinimo ir kontrolės sistemos</w:t>
            </w:r>
            <w:r>
              <w:rPr>
                <w:b/>
                <w:i/>
              </w:rPr>
              <w:t>, o taip pat būtina skatinti sąžiningą konkurenciją bendrojoje rinkoje</w:t>
            </w:r>
            <w:r>
              <w:t>; palankiai vertina Komisijos EDI vertinimo ataskaitą ir pakartoja savo raginimą</w:t>
            </w:r>
            <w:r>
              <w:rPr>
                <w:vertAlign w:val="superscript"/>
              </w:rPr>
              <w:t>12</w:t>
            </w:r>
            <w:r>
              <w:t xml:space="preserve"> Komisijai sustiprinti EDI įgaliojimus;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pabrėžia, kad, siekiant kovoti su išnaudojimu darbe, reikalingos veiksmingos ir pakankamai išteklių turinčius vykdymo užtikrinimo ir kontrolės sistemos; </w:t>
            </w:r>
            <w:r>
              <w:rPr>
                <w:b/>
                <w:i/>
              </w:rPr>
              <w:t>palankiai vertina</w:t>
            </w:r>
            <w:r>
              <w:t xml:space="preserve"> Komisijos EDI vertinimo </w:t>
            </w:r>
            <w:r>
              <w:rPr>
                <w:b/>
                <w:i/>
              </w:rPr>
              <w:t>ataskaitą</w:t>
            </w:r>
            <w:r>
              <w:t xml:space="preserve"> ir pakartoja savo raginimą</w:t>
            </w:r>
            <w:r>
              <w:rPr>
                <w:vertAlign w:val="superscript"/>
              </w:rPr>
              <w:t>12</w:t>
            </w:r>
            <w:r>
              <w:rPr>
                <w:b/>
                <w:i/>
              </w:rPr>
              <w:t>Komisijai sustiprinti EDI įgaliojimus</w:t>
            </w:r>
            <w:r>
              <w:t>;</w:t>
            </w:r>
          </w:p>
        </w:tc>
        <w:tc>
          <w:tcPr>
            <w:tcW w:w="4876" w:type="dxa"/>
            <w:tcBorders>
              <w:top w:val="nil"/>
              <w:left w:val="nil"/>
              <w:bottom w:val="nil"/>
              <w:right w:val="nil"/>
            </w:tcBorders>
          </w:tcPr>
          <w:p>
            <w:pPr>
              <w:pStyle w:val="Normal6a"/>
            </w:pPr>
            <w:r>
              <w:t>8.</w:t>
            </w:r>
            <w:r>
              <w:tab/>
            </w:r>
            <w:r>
              <w:t xml:space="preserve">pabrėžia, kad, siekiant kovoti su išnaudojimu darbe, reikalingos veiksmingos ir pakankamai išteklių turinčius vykdymo užtikrinimo ir kontrolės sistemos; </w:t>
            </w:r>
            <w:r>
              <w:rPr>
                <w:b/>
                <w:i/>
              </w:rPr>
              <w:t>todėl pabrėžia, kad EDI reikia geriau panaudoti išteklius, laikantis</w:t>
            </w:r>
            <w:r>
              <w:t xml:space="preserve"> Komisijos EDI vertinimo </w:t>
            </w:r>
            <w:r>
              <w:rPr>
                <w:b/>
                <w:i/>
              </w:rPr>
              <w:t>ataskaitos,</w:t>
            </w:r>
            <w:r>
              <w:t xml:space="preserve"> ir pakartoja savo raginimą</w:t>
            </w:r>
            <w:r>
              <w:rPr>
                <w:vertAlign w:val="superscript"/>
              </w:rPr>
              <w:t>12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c>
          <w:tcPr>
            <w:tcW w:w="4876" w:type="dxa"/>
            <w:tcBorders>
              <w:top w:val="nil"/>
              <w:left w:val="nil"/>
              <w:bottom w:val="nil"/>
              <w:right w:val="nil"/>
            </w:tcBorders>
          </w:tcPr>
          <w:p>
            <w:pPr>
              <w:pStyle w:val="Normal6a"/>
            </w:pPr>
            <w:r>
              <w:rPr>
                <w:vertAlign w:val="superscript"/>
              </w:rPr>
              <w:t>12</w:t>
            </w:r>
            <w:r>
              <w:t xml:space="preserve"> </w:t>
            </w:r>
            <w:r>
              <w:t>2024 m. sausio 18 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w:t>
            </w:r>
            <w:r>
              <w:rPr>
                <w:b/>
                <w:i/>
              </w:rPr>
              <w:t>, siekiant kovoti su išnaudojimu darbe, reikalingos veiksmingos ir</w:t>
            </w:r>
            <w:r>
              <w:t xml:space="preserve"> pakankamai </w:t>
            </w:r>
            <w:r>
              <w:rPr>
                <w:b/>
                <w:i/>
              </w:rPr>
              <w:t>išteklių turinčius vykdymo užtikrinimo ir kontrolės sistemos;</w:t>
            </w:r>
            <w:r>
              <w:t xml:space="preserve"> </w:t>
            </w:r>
            <w:r>
              <w:rPr>
                <w:b/>
                <w:i/>
              </w:rPr>
              <w:t>palankiai vertina Komisijos EDI vertinimo ataskaitą ir pakartoja savo raginimą</w:t>
            </w:r>
            <w:r>
              <w:rPr>
                <w:b/>
                <w:i/>
                <w:vertAlign w:val="superscript"/>
              </w:rPr>
              <w:t>12</w:t>
            </w:r>
            <w:r>
              <w:rPr>
                <w:b/>
                <w:i/>
              </w:rPr>
              <w:t>Komisijai sustiprinti EDI įgaliojimus</w:t>
            </w:r>
            <w:r>
              <w:t>;</w:t>
            </w:r>
          </w:p>
        </w:tc>
        <w:tc>
          <w:tcPr>
            <w:tcW w:w="4876" w:type="dxa"/>
            <w:tcBorders>
              <w:top w:val="nil"/>
              <w:left w:val="nil"/>
              <w:bottom w:val="nil"/>
              <w:right w:val="nil"/>
            </w:tcBorders>
          </w:tcPr>
          <w:p>
            <w:pPr>
              <w:pStyle w:val="Normal6a"/>
            </w:pPr>
            <w:r>
              <w:t>8.</w:t>
            </w:r>
            <w:r>
              <w:tab/>
            </w:r>
            <w:r>
              <w:t xml:space="preserve">pabrėžia, kad </w:t>
            </w:r>
            <w:r>
              <w:rPr>
                <w:b/>
                <w:i/>
              </w:rPr>
              <w:t>norint užtikrinti veiksmingą vykdymo užtikrinimą reikia</w:t>
            </w:r>
            <w:r>
              <w:t xml:space="preserve"> pakankamai </w:t>
            </w:r>
            <w:r>
              <w:rPr>
                <w:b/>
                <w:i/>
              </w:rPr>
              <w:t>darbuotojų turinčių nacionalinių inspekcijų bei koordinuoti tarpvalstybinę kontrolę; EDI daugiausia dėmesio turėtų skirti koordinavimui ir (arba) paramai bei keitimuisi informacija nenustatant naujų vykdomųjų įgaliojimų, glaudžiau bendradarbiaujant su Europolu ir (arba) Eurojustu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2024 m. sausio 18 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ES priėmė keletą teisės aktų, kuriais siekiama kovoti su išnaudojimu darbe ir nelegaliu darbu, kurių taikymą reikia gerinti nacionaliniu lygmeniu;</w:t>
            </w:r>
            <w:r>
              <w:t xml:space="preserve"> </w:t>
            </w:r>
            <w:r>
              <w:rPr>
                <w:b/>
                <w:i/>
              </w:rPr>
              <w:t>ragina Komisiją įvertinti, kaip taikomos dabartinės taisyklės, ypač didelės rizikos sektoriuose, ir imtis konkrečių priemonių siekiant sustiprinti savo vykdymo užtikrinimo įgaliojimus valstybių narių, kurios neišsprendžia šio klausimo,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Europos Komisiją ir valstybes nares geriau įgyvendinti Vykdymo užtikrinimo direktyvos 2014/67/ES 9 ir 12 straipsnius, kuriais valstybėms narėms suteikta galimybė taikant nacionalinę pranešimo sistemą kontroliuoti komandiruotiems darbuotojams taikomas taisykles ir užtikrinti jų vykdymą, kartu leidžiant valstybėms narėms imtis papildomų priemonių, kad būtų sukurta tiesioginio subrangovo atsakomybės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palankiai vertina Europos darbo institucijos darbą ir ragina stiprinti jos vaidmenį ir operatyvinės rizikos analizės pajėgumus, kad ji galėtų veikti kaip ES socialinio dempingo ir su darbu susijusių nusikaltimų observatorija;</w:t>
            </w:r>
            <w:r>
              <w:t xml:space="preserve"> </w:t>
            </w:r>
            <w:r>
              <w:rPr>
                <w:b/>
                <w:i/>
              </w:rPr>
              <w:t>ragina įsteigti konkretiems sektoriams skirtus vykdymo užtikrinimo padalinius, visų pirma statybos sektoriuje, siekiant stiprinti bendradarbiavimą su sektorių socialiniais partneriais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informacijos apie subrangos grandinių sudėtį lygis visoje Europoje skiriasi ir tai yra iššūkis tiek vykdymo užtikrinimui, tiek politikos formavimui;</w:t>
            </w:r>
            <w:r>
              <w:t xml:space="preserve"> </w:t>
            </w:r>
            <w:r>
              <w:rPr>
                <w:b/>
                <w:i/>
              </w:rPr>
              <w:t>ragina Komisiją gerinti duomenų apie subrangos sutartis rinkimą;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reikia toliau derinti ir paprastinti darbo jėgos judumo reglamentus ir kontrolės procedūras, įskaitant vienodus kontrolės standartus, bendrus patikrinimus ir keitimąsi informacija, vadovaujant EDI;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primena, kad Sankcijų direktyvos 14 straipsnyje reikalaujama, jog valstybės narės užtikrintų, kad jų teritorijoje būtų atliekami veiksmingi ir tinkami patikrinimai siekiant kontroliuoti nelegaliai esančių trečiųjų šalių piliečių įdarbinimą, ir ragina Europos Komisiją ir valstybių narių kompetentingas nacionalines institucijas geriau užtikrinti galiojančio reglamento vykdymą;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ragina stiprinti EDI operacinės rizikos analizės pajėgumus ir įsteigti konkretiems sektoriams skirtus vykdymo užtikrinimo padalinius, visų pirma skirtus statybai, siekiant stiprinti bendradarbiavimą su sektorių socialiniais partneriais ir bendrus patikrinimus;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pabrėžia, kad reikia kovoti su piktnaudžiavimu subranga, kai naudojamasi dirbtiniais susitarimais, pvz., priedangos įmonėmis ir fiktyviu darbu per laikinojo įdarbinimo įmones;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primena, kad Direktyvoje 2006/22/EB</w:t>
            </w:r>
            <w:r>
              <w:rPr>
                <w:b/>
                <w:i/>
                <w:vertAlign w:val="superscript"/>
              </w:rPr>
              <w:t>13</w:t>
            </w:r>
            <w:r>
              <w:rPr>
                <w:b/>
                <w:i/>
              </w:rPr>
              <w:t>jau nustatytos būtiniausios taisyklės, pagal kurias tikrinama, kaip laikomasi socialinės teisės aktų kelių transporto srityje, ir ragina Komisiją pateikti teisėkūros iniciatyvą, kuria būtų reikalaujama, jog valstybės narės užtikrintų tinkamus būtiniausius darbo inspekcijos pajėgumus visuose didelės rizikos sektoriuose, laikantis TDO kriterijaus, pagal kurį 10 000 darbuotojų tenka vienas darbo inspektorius;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2006 m. kovo 15 d.</w:t>
            </w:r>
            <w:r>
              <w:t xml:space="preserve"> </w:t>
            </w:r>
            <w:r>
              <w:rPr>
                <w:b/>
                <w:i/>
              </w:rPr>
              <w:t>Europos Parlamento ir Tarybos direktyva 2006/22/EB dėl būtiniausių sąlygų Tarybos reglamentams (EEB) Nr. 3820/85 ir (EEB) Nr. 3821/85 dėl su kelių transporto veikla susijusių socialinių teisės aktų įgyvendinti ir panaikinanti Direktyvą 88/599/EEB (OL L 102, 2006 4 11, p.</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primena, kad Direktyvoje 2006/22/EB</w:t>
            </w:r>
            <w:r>
              <w:rPr>
                <w:b/>
                <w:i/>
                <w:vertAlign w:val="superscript"/>
              </w:rPr>
              <w:t>13</w:t>
            </w:r>
            <w:r>
              <w:rPr>
                <w:b/>
                <w:i/>
              </w:rPr>
              <w:t>jau nustatytos būtiniausios taisyklės, pagal kurias tikrinama, kaip laikomasi socialinės teisės aktų kelių transporto srityje, ir ragina Komisiją pateikti teisėkūros iniciatyvą, kuria būtų reikalaujama, jog valstybės narės užtikrintų tinkamus būtiniausius darbo inspekcijos pajėgumus visuose didelės rizikos sektoriuose, laikantis TDO kriterijaus, pagal kurį 10 000 darbuotojų tenka vienas darbo inspektorius;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2006 m. kovo 15 d.</w:t>
            </w:r>
            <w:r>
              <w:t xml:space="preserve"> </w:t>
            </w:r>
            <w:r>
              <w:rPr>
                <w:b/>
                <w:i/>
              </w:rPr>
              <w:t>Europos Parlamento ir Tarybos direktyva 2006/22/EB dėl būtiniausių sąlygų Tarybos reglamentams (EEB) Nr. 3820/85 ir (EEB) Nr. 3821/85 dėl su kelių transporto veikla susijusių socialinių teisės aktų įgyvendinti ir panaikinanti Direktyvą 88/599/EEB (OL L 102, 2006 4 11, p.</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w:t>
            </w:r>
            <w:r>
              <w:rPr>
                <w:b/>
                <w:i/>
              </w:rPr>
              <w:t>socialinės</w:t>
            </w:r>
            <w:r>
              <w:t xml:space="preserve"> teisės aktų kelių transporto srityje</w:t>
            </w:r>
            <w:r>
              <w:rPr>
                <w:b/>
                <w:i/>
              </w:rPr>
              <w:t>, ir</w:t>
            </w:r>
            <w:r>
              <w:t xml:space="preserve"> ragina Komisiją </w:t>
            </w:r>
            <w:r>
              <w:rPr>
                <w:b/>
                <w:i/>
              </w:rPr>
              <w:t>pateikti teisėkūros iniciatyvą, kuria būtų reikalaujama, jog</w:t>
            </w:r>
            <w:r>
              <w:t xml:space="preserve"> valstybės narės </w:t>
            </w:r>
            <w:r>
              <w:rPr>
                <w:b/>
                <w:i/>
              </w:rPr>
              <w:t>užtikrintų</w:t>
            </w:r>
            <w:r>
              <w:t xml:space="preserve"> tinkamus </w:t>
            </w:r>
            <w:r>
              <w:rPr>
                <w:b/>
                <w:i/>
              </w:rPr>
              <w:t>būtiniausius</w:t>
            </w:r>
            <w:r>
              <w:t xml:space="preserve"> darbo </w:t>
            </w:r>
            <w:r>
              <w:rPr>
                <w:b/>
                <w:i/>
              </w:rPr>
              <w:t>inspekcijos</w:t>
            </w:r>
            <w:r>
              <w:t xml:space="preserve"> pajėgumus visuose didelės rizikos sektoriuose, laikantis TDO kriterijaus, pagal kurį </w:t>
            </w:r>
            <w:r>
              <w:rPr>
                <w:b/>
                <w:i/>
              </w:rPr>
              <w:t>10 000</w:t>
            </w:r>
            <w:r>
              <w:t xml:space="preserve"> darbuotojų tenka vienas darbo inspektorius;</w:t>
            </w:r>
          </w:p>
        </w:tc>
        <w:tc>
          <w:tcPr>
            <w:tcW w:w="4876" w:type="dxa"/>
            <w:tcBorders>
              <w:top w:val="nil"/>
              <w:left w:val="nil"/>
              <w:bottom w:val="nil"/>
              <w:right w:val="nil"/>
            </w:tcBorders>
          </w:tcPr>
          <w:p>
            <w:pPr>
              <w:pStyle w:val="Normal6a"/>
            </w:pPr>
            <w:r>
              <w:t>9.</w:t>
            </w:r>
            <w:r>
              <w:tab/>
            </w:r>
            <w:r>
              <w:rPr>
                <w:b/>
                <w:i/>
              </w:rPr>
              <w:t>pabrėžia itin svarbų darbo inspekcijų vaidmenį nustatant išnaudojimo darbe atvejus ir užkertant jiems kelią, taip pat apskritai laikantis darbo teisės aktų;</w:t>
            </w:r>
            <w:r>
              <w:t xml:space="preserve"> </w:t>
            </w:r>
            <w:r>
              <w:rPr>
                <w:b/>
                <w:i/>
              </w:rPr>
              <w:t>primygtinai ragina valstybes nares padidinti darbo inspektorių skaičių ir jų paramą darbo inspekcijoms;</w:t>
            </w:r>
            <w:r>
              <w:t xml:space="preserve"> primena, kad Direktyvoje 2006/22/EB</w:t>
            </w:r>
            <w:r>
              <w:rPr>
                <w:vertAlign w:val="superscript"/>
              </w:rPr>
              <w:t>13</w:t>
            </w:r>
            <w:r>
              <w:t xml:space="preserve"> jau nustatytos būtiniausios taisyklės, pagal kurias tikrinama, kaip laikomasi </w:t>
            </w:r>
            <w:r>
              <w:rPr>
                <w:b/>
                <w:i/>
              </w:rPr>
              <w:t>socialinių</w:t>
            </w:r>
            <w:r>
              <w:t xml:space="preserve"> teisės aktų kelių transporto srityje</w:t>
            </w:r>
            <w:r>
              <w:rPr>
                <w:b/>
                <w:i/>
              </w:rPr>
              <w:t>;</w:t>
            </w:r>
            <w:r>
              <w:t xml:space="preserve"> ragina Komisiją </w:t>
            </w:r>
            <w:r>
              <w:rPr>
                <w:b/>
                <w:i/>
              </w:rPr>
              <w:t>į savo direktyvą įtraukti priemones, kuriomis būtų galima užtikrinti, kad</w:t>
            </w:r>
            <w:r>
              <w:t xml:space="preserve"> valstybės narės </w:t>
            </w:r>
            <w:r>
              <w:rPr>
                <w:b/>
                <w:i/>
              </w:rPr>
              <w:t>turėtų</w:t>
            </w:r>
            <w:r>
              <w:t xml:space="preserve"> tinkamus </w:t>
            </w:r>
            <w:r>
              <w:rPr>
                <w:b/>
                <w:i/>
              </w:rPr>
              <w:t>minimalius</w:t>
            </w:r>
            <w:r>
              <w:t xml:space="preserve"> darbo </w:t>
            </w:r>
            <w:r>
              <w:rPr>
                <w:b/>
                <w:i/>
              </w:rPr>
              <w:t>inspekcijų</w:t>
            </w:r>
            <w:r>
              <w:t xml:space="preserve"> pajėgumus visuose didelės rizikos sektoriuose, laikantis TDO kriterijaus, pagal kurį </w:t>
            </w:r>
            <w:r>
              <w:rPr>
                <w:b/>
                <w:i/>
              </w:rPr>
              <w:t>10000</w:t>
            </w:r>
            <w:r>
              <w:t xml:space="preserve"> darbuotojų tenka </w:t>
            </w:r>
            <w:r>
              <w:rPr>
                <w:b/>
                <w:i/>
              </w:rPr>
              <w:t>bent</w:t>
            </w:r>
            <w:r>
              <w:t xml:space="preserve"> vienas darbo inspektorius;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w:t>
            </w:r>
            <w:r>
              <w:rPr>
                <w:b/>
                <w:i/>
              </w:rPr>
              <w:t>socialinės</w:t>
            </w:r>
            <w:r>
              <w:t xml:space="preserve"> teisės aktų kelių transporto srityje, </w:t>
            </w:r>
            <w:r>
              <w:rPr>
                <w:b/>
                <w:i/>
              </w:rPr>
              <w:t>ir ragina Komisiją pateikti teisėkūros iniciatyvą, kuria būtų reikalaujama, jog valstybės narės užtikrintų tinkamus būtiniausius</w:t>
            </w:r>
            <w:r>
              <w:t xml:space="preserve"> darbo </w:t>
            </w:r>
            <w:r>
              <w:rPr>
                <w:b/>
                <w:i/>
              </w:rPr>
              <w:t>inspekcijos pajėgumus visuose didelės rizikos sektoriuose, laikantis TDO kriterijaus, pagal kurį 10 000 darbuotojų tenka vienas darbo inspektorius</w:t>
            </w:r>
            <w:r>
              <w:t>;</w:t>
            </w:r>
          </w:p>
        </w:tc>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 jau nustatytos būtiniausios taisyklės, pagal kurias tikrinama, kaip laikomasi </w:t>
            </w:r>
            <w:r>
              <w:rPr>
                <w:b/>
                <w:i/>
              </w:rPr>
              <w:t>socialinių</w:t>
            </w:r>
            <w:r>
              <w:t xml:space="preserve"> teisės aktų kelių transporto srityje, </w:t>
            </w:r>
            <w:r>
              <w:rPr>
                <w:b/>
                <w:i/>
              </w:rPr>
              <w:t>įskaitant</w:t>
            </w:r>
            <w:r>
              <w:t xml:space="preserve"> darbo </w:t>
            </w:r>
            <w:r>
              <w:rPr>
                <w:b/>
                <w:i/>
              </w:rPr>
              <w:t>inspekciją valstybėse narėse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socialinės teisės aktų kelių transporto srityje, ir ragina Komisiją pateikti teisėkūros iniciatyvą, kuria būtų reikalaujama, jog valstybės narės užtikrintų tinkamus būtiniausius darbo inspekcijos pajėgumus visuose didelės rizikos sektoriuose, laikantis TDO kriterijaus, pagal kurį </w:t>
            </w:r>
            <w:r>
              <w:rPr>
                <w:b/>
                <w:i/>
              </w:rPr>
              <w:t>10 000</w:t>
            </w:r>
            <w:r>
              <w:t xml:space="preserve"> darbuotojų tenka vienas darbo inspektorius;</w:t>
            </w:r>
          </w:p>
        </w:tc>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 jau nustatytos būtiniausios taisyklės, pagal kurias tikrinama, kaip laikomasi socialinės teisės aktų kelių transporto srityje, ir ragina Komisiją pateikti teisėkūros iniciatyvą, kuria būtų reikalaujama, jog valstybės narės </w:t>
            </w:r>
            <w:r>
              <w:rPr>
                <w:b/>
                <w:i/>
              </w:rPr>
              <w:t>gerintų darbo inspekcijų kokybę ir dažnumą ir</w:t>
            </w:r>
            <w:r>
              <w:t xml:space="preserve"> užtikrintų tinkamus būtiniausius darbo inspekcijos pajėgumus visuose didelės rizikos sektoriuose, laikantis TDO kriterijaus, pagal kurį </w:t>
            </w:r>
            <w:r>
              <w:rPr>
                <w:b/>
                <w:i/>
              </w:rPr>
              <w:t>10 000</w:t>
            </w:r>
            <w:r>
              <w:t xml:space="preserve"> darbuotojų tenka vienas darbo inspektorius;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socialinės teisės aktų kelių transporto srityje, ir ragina Komisiją pateikti teisėkūros iniciatyvą, kuria būtų reikalaujama, jog valstybės narės užtikrintų tinkamus būtiniausius darbo inspekcijos pajėgumus </w:t>
            </w:r>
            <w:r>
              <w:rPr>
                <w:b/>
                <w:i/>
              </w:rPr>
              <w:t>visuose didelės rizikos sektoriuose</w:t>
            </w:r>
            <w:r>
              <w:t xml:space="preserve">, laikantis TDO kriterijaus, pagal kurį </w:t>
            </w:r>
            <w:r>
              <w:rPr>
                <w:b/>
                <w:i/>
              </w:rPr>
              <w:t>10 000</w:t>
            </w:r>
            <w:r>
              <w:t xml:space="preserve"> darbuotojų tenka vienas darbo inspektorius;</w:t>
            </w:r>
          </w:p>
        </w:tc>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 jau nustatytos būtiniausios taisyklės, pagal kurias tikrinama, kaip laikomasi socialinės teisės aktų kelių transporto srityje, ir ragina Komisiją pateikti teisėkūros iniciatyvą, kuria būtų reikalaujama, jog valstybės narės užtikrintų tinkamus būtiniausius darbo inspekcijos pajėgumus, laikantis TDO kriterijaus, pagal kurį </w:t>
            </w:r>
            <w:r>
              <w:rPr>
                <w:b/>
                <w:i/>
              </w:rPr>
              <w:t>10 000</w:t>
            </w:r>
            <w:r>
              <w:t xml:space="preserve"> darbuotojų tenka vienas darbo inspektorius </w:t>
            </w:r>
            <w:r>
              <w:rPr>
                <w:b/>
                <w:i/>
              </w:rPr>
              <w:t>ir stengiantis pasiekti, kad vienas darbo inspektorius tektų 5 000 darbuotojų</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2006 m. kovo 15 d. Europos Parlamento ir Tarybos direktyva 2006/22/EB dėl būtiniausių sąlygų Tarybos reglamentams (EEB) Nr. 3820/85 ir (EEB) Nr. 3821/85 dėl su kelių transporto veikla susijusių socialinių teisės aktų įgyvendinti ir panaikinanti Direktyvą 88/599/EEB (OL L 102, 2006 4 11,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2006 m. kovo 15 d. Europos Parlamento ir Tarybos direktyva 2006/22/EB dėl būtiniausių sąlygų Tarybos reglamentams (EEB) Nr. 3820/85 ir (EEB) Nr. 3821/85 dėl su kelių transporto veikla susijusių socialinių teisės aktų įgyvendinti ir panaikinanti Direktyvą 88/599/EEB (OL L 102, 2006 4 11, p. 35, ELI: http://data.europa.eu/eli/dir/2006/22/oj).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socialinės teisės aktų kelių transporto srityje, ir ragina </w:t>
            </w:r>
            <w:r>
              <w:rPr>
                <w:b/>
                <w:i/>
              </w:rPr>
              <w:t>Komisiją pateikti teisėkūros iniciatyvą, kuria būtų reikalaujama</w:t>
            </w:r>
            <w:r>
              <w:t xml:space="preserve">, jog valstybės narės užtikrintų tinkamus būtiniausius darbo inspekcijos pajėgumus visuose didelės rizikos sektoriuose, laikantis TDO kriterijaus, pagal kurį </w:t>
            </w:r>
            <w:r>
              <w:rPr>
                <w:b/>
                <w:i/>
              </w:rPr>
              <w:t>10 000</w:t>
            </w:r>
            <w:r>
              <w:t xml:space="preserve"> darbuotojų tenka vienas darbo inspektorius;</w:t>
            </w:r>
          </w:p>
        </w:tc>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 jau nustatytos būtiniausios taisyklės, pagal kurias tikrinama, kaip laikomasi socialinės teisės aktų kelių transporto srityje, ir ragina, jog valstybės narės užtikrintų tinkamus būtiniausius darbo inspekcijos pajėgumus visuose didelės rizikos sektoriuose, laikantis TDO kriterijaus, pagal kurį </w:t>
            </w:r>
            <w:r>
              <w:rPr>
                <w:b/>
                <w:i/>
              </w:rPr>
              <w:t>10 000</w:t>
            </w:r>
            <w:r>
              <w:t xml:space="preserve"> darbuotojų tenka vienas darbo inspektorius;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jau nustatytos būtiniausios taisyklės, pagal kurias tikrinama, kaip laikomasi socialinės teisės aktų kelių transporto srityje, ir ragina Komisiją pateikti </w:t>
            </w:r>
            <w:r>
              <w:rPr>
                <w:b/>
                <w:i/>
              </w:rPr>
              <w:t>teisėkūros iniciatyvą, kuria būtų reikalaujama</w:t>
            </w:r>
            <w:r>
              <w:t xml:space="preserve">, jog valstybės narės užtikrintų tinkamus būtiniausius darbo inspekcijos pajėgumus visuose didelės rizikos sektoriuose, laikantis TDO kriterijaus, pagal kurį </w:t>
            </w:r>
            <w:r>
              <w:rPr>
                <w:b/>
                <w:i/>
              </w:rPr>
              <w:t>10 000</w:t>
            </w:r>
            <w:r>
              <w:t xml:space="preserve"> darbuotojų tenka vienas darbo inspektorius;</w:t>
            </w:r>
          </w:p>
        </w:tc>
        <w:tc>
          <w:tcPr>
            <w:tcW w:w="4876" w:type="dxa"/>
            <w:tcBorders>
              <w:top w:val="nil"/>
              <w:left w:val="nil"/>
              <w:bottom w:val="nil"/>
              <w:right w:val="nil"/>
            </w:tcBorders>
          </w:tcPr>
          <w:p>
            <w:pPr>
              <w:pStyle w:val="Normal6a"/>
            </w:pPr>
            <w:r>
              <w:t>9.</w:t>
            </w:r>
            <w:r>
              <w:tab/>
            </w:r>
            <w:r>
              <w:t>primena, kad Direktyvoje 2006/22/EB</w:t>
            </w:r>
            <w:r>
              <w:rPr>
                <w:vertAlign w:val="superscript"/>
              </w:rPr>
              <w:t>13</w:t>
            </w:r>
            <w:r>
              <w:t xml:space="preserve"> jau nustatytos būtiniausios taisyklės, pagal kurias tikrinama, kaip laikomasi socialinės teisės aktų kelių transporto srityje, ir ragina Komisiją pateikti </w:t>
            </w:r>
            <w:r>
              <w:rPr>
                <w:b/>
                <w:i/>
              </w:rPr>
              <w:t>rekomendacijas, prašant</w:t>
            </w:r>
            <w:r>
              <w:t xml:space="preserve">, jog valstybės narės užtikrintų tinkamus būtiniausius darbo inspekcijos pajėgumus visuose didelės rizikos sektoriuose, laikantis TDO kriterijaus, pagal kurį </w:t>
            </w:r>
            <w:r>
              <w:rPr>
                <w:b/>
                <w:i/>
              </w:rPr>
              <w:t>10 000</w:t>
            </w:r>
            <w:r>
              <w:t xml:space="preserve"> darbuotojų tenka vienas darbo inspektorius;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w:t>
            </w:r>
            <w:r>
              <w:rPr>
                <w:b/>
                <w:i/>
              </w:rPr>
              <w:t>2006 4 11</w:t>
            </w:r>
            <w:r>
              <w:t>, p. 35, ELI:http://data.europa.eu/eli/dir/2006/22/oj).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Komisiją nustatyti ir spręsti strateginio bankroto ir įmonių užsidarymo atvejus, ypač tarpvalstybiniais atvejais, ir sukčiavimo subjektų piktnaudžiavimą bankrotais, leidžiantiems jiems išvengti darbo užmokesčio ir socialinio draudimo įmokų mokėjimo, apmokestinimo ir bet kokių sankcijų;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Komisiją sukurti finansinių sankcijų, taikomų pažeidimą padariusioms įmonėms už darbuotojų teisių pažeidimus, sistemą, numatant dvigubą mechanizmą, pagal kurį būtų derinama minimali vienkartinė suma ir sudedamoji dalis, proporcinga pažeidimą padariusios įmonės apyvartai, galinti siekti iki 10 proc. metinės pasaulinės apyvartos, 20 proc. pakartotinio pažeidimo atveju, greta atitinkamai įmonei suteiktos viešosios pagalbos grąžinimo, o kraštutiniu atveju – draudimą vykdyti veiklą Europos Sąjungoje;</w:t>
            </w:r>
            <w:r>
              <w:t xml:space="preserve"> </w:t>
            </w:r>
            <w:r>
              <w:rPr>
                <w:b/>
                <w:i/>
              </w:rPr>
              <w:t>be to, pabrėžia, kad reikia gerinti baudų, žalos atlyginimo ir nesumokėto darbo užmokesčio bei socialinio draudimo įmokų taikymą ir išieškojimą tarpvalstybiniais atvejais;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pakartoja savo raginimą</w:t>
            </w:r>
            <w:r>
              <w:rPr>
                <w:b/>
                <w:i/>
                <w:vertAlign w:val="superscript"/>
              </w:rPr>
              <w:t>14</w:t>
            </w:r>
            <w:r>
              <w:rPr>
                <w:b/>
                <w:i/>
              </w:rP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2021 m. lapkričio 25d.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pakartoja savo raginimą</w:t>
            </w:r>
            <w:r>
              <w:rPr>
                <w:vertAlign w:val="superscript"/>
              </w:rPr>
              <w:t>14</w:t>
            </w:r>
            <w: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t>10.</w:t>
            </w:r>
            <w:r>
              <w:tab/>
            </w:r>
            <w:r>
              <w:t>pakartoja savo raginimą</w:t>
            </w:r>
            <w:r>
              <w:rPr>
                <w:vertAlign w:val="superscript"/>
              </w:rPr>
              <w:t>14</w:t>
            </w:r>
            <w:r>
              <w:t xml:space="preserve"> 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 </w:t>
            </w:r>
            <w:r>
              <w:rPr>
                <w:b/>
                <w:i/>
              </w:rPr>
              <w:t>ragina užtikrinti abipusį pripažinimą ir priimti Europos teisės aktus, kad sektorių socialinės tapatybės kortelių sistemos būtų sujungtos, suderinant jas su Europos socialinės apsaugos paso sistema;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pakartoja savo raginimą</w:t>
            </w:r>
            <w:r>
              <w:rPr>
                <w:vertAlign w:val="superscript"/>
              </w:rPr>
              <w:t>14</w:t>
            </w:r>
            <w: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t>10.</w:t>
            </w:r>
            <w:r>
              <w:tab/>
            </w:r>
            <w:r>
              <w:t>pakartoja savo raginimą</w:t>
            </w:r>
            <w:r>
              <w:rPr>
                <w:vertAlign w:val="superscript"/>
              </w:rPr>
              <w:t>14</w:t>
            </w:r>
            <w:r>
              <w:t xml:space="preserve"> 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 </w:t>
            </w:r>
            <w:r>
              <w:rPr>
                <w:b/>
                <w:i/>
              </w:rPr>
              <w:t>pabrėžia, kad tokios priemonės turi būti sukurtos siekiant sumažinti administracinę naštą, supaprastinti reikalavimų laikymąsi įmonėms ir padėti nacionalinėms valdžios institucijoms kovoti su nusikalstama prievarta;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pakartoja savo raginimą</w:t>
            </w:r>
            <w:r>
              <w:rPr>
                <w:vertAlign w:val="superscript"/>
              </w:rPr>
              <w:t>14</w:t>
            </w:r>
            <w: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t>10.</w:t>
            </w:r>
            <w:r>
              <w:tab/>
            </w:r>
            <w:r>
              <w:t>pakartoja savo raginimą</w:t>
            </w:r>
            <w:r>
              <w:rPr>
                <w:vertAlign w:val="superscript"/>
              </w:rPr>
              <w:t>14</w:t>
            </w:r>
            <w:r>
              <w:t xml:space="preserve"> 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 </w:t>
            </w:r>
            <w:r>
              <w:rPr>
                <w:b/>
                <w:i/>
              </w:rPr>
              <w:t>užtikrinti tvirtą duomenų apsaugą, nekurti centrinės ES darbuotojų įrašų sistemos, naudoti esamas sąveikias sistemas (IMI/EESSI) ir kuo labiau sumažinti MVĮ patiriamas reikalavimų laikymosi išlaidas;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pakartoja savo raginimą</w:t>
            </w:r>
            <w:r>
              <w:rPr>
                <w:vertAlign w:val="superscript"/>
              </w:rPr>
              <w:t>14</w:t>
            </w:r>
            <w: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t>10.</w:t>
            </w:r>
            <w:r>
              <w:tab/>
            </w:r>
            <w:r>
              <w:t>pakartoja savo raginimą</w:t>
            </w:r>
            <w:r>
              <w:rPr>
                <w:vertAlign w:val="superscript"/>
              </w:rPr>
              <w:t>14</w:t>
            </w:r>
            <w:r>
              <w:t xml:space="preserve"> 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 </w:t>
            </w:r>
            <w:r>
              <w:rPr>
                <w:b/>
                <w:i/>
              </w:rPr>
              <w:t>mano, kad tai turėtų padėti didinti tarpvalstybinę socialinės apsaugos teisių apsaugą ir padidinti Europos darbo institucijos vykdymo užtikrinimo pajėgumą;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pakartoja savo raginimą</w:t>
            </w:r>
            <w:r>
              <w:rPr>
                <w:b/>
                <w:i/>
                <w:vertAlign w:val="superscript"/>
              </w:rPr>
              <w:t>14</w:t>
            </w:r>
            <w:r>
              <w:rPr>
                <w:b/>
                <w:i/>
              </w:rPr>
              <w:t>skubiai įdiegti Europos socialinės apsaugos paso (ESSPASS) sistemą ir pagerinti skaitmeninį</w:t>
            </w:r>
            <w:r>
              <w:t xml:space="preserve"> socialinės apsaugos </w:t>
            </w:r>
            <w:r>
              <w:rPr>
                <w:b/>
                <w:i/>
              </w:rPr>
              <w:t>teisių vykdymo užtikrinimą ir sąžiningą judumą, įskaitant tikrinimą tikruoju laiku ir keitimąsi informacija tarp vykdymo užtikrinimo institucijų, taip pat integruoti ESSPASS į esamas nacionalines darbuotojų kortelių sistemas</w:t>
            </w:r>
            <w:r>
              <w:t>;</w:t>
            </w:r>
          </w:p>
        </w:tc>
        <w:tc>
          <w:tcPr>
            <w:tcW w:w="4876" w:type="dxa"/>
            <w:tcBorders>
              <w:top w:val="nil"/>
              <w:left w:val="nil"/>
              <w:bottom w:val="nil"/>
              <w:right w:val="nil"/>
            </w:tcBorders>
          </w:tcPr>
          <w:p>
            <w:pPr>
              <w:pStyle w:val="Normal6a"/>
            </w:pPr>
            <w:r>
              <w:t>10.</w:t>
            </w:r>
            <w:r>
              <w:tab/>
            </w:r>
            <w:r>
              <w:rPr>
                <w:b/>
                <w:i/>
              </w:rPr>
              <w:t>pabrėžia, kad svarbu, jog nacionalinės vykdymo užtikrinimo institucijos tikruoju laiku tikrintų ir keistųsi informacija</w:t>
            </w:r>
            <w:r>
              <w:t xml:space="preserve"> socialinės apsaugos </w:t>
            </w:r>
            <w:r>
              <w:rPr>
                <w:b/>
                <w:i/>
              </w:rPr>
              <w:t>ir darbo leidimų srityse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2021 m. lapkričio 25d. rezoliucija.</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pakartoja savo raginimą</w:t>
            </w:r>
            <w:r>
              <w:rPr>
                <w:vertAlign w:val="superscript"/>
              </w:rPr>
              <w:t>14</w:t>
            </w:r>
            <w:r>
              <w:t>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integruoti ESSPASS į esamas nacionalines darbuotojų kortelių sistemas;</w:t>
            </w:r>
          </w:p>
        </w:tc>
        <w:tc>
          <w:tcPr>
            <w:tcW w:w="4876" w:type="dxa"/>
            <w:tcBorders>
              <w:top w:val="nil"/>
              <w:left w:val="nil"/>
              <w:bottom w:val="nil"/>
              <w:right w:val="nil"/>
            </w:tcBorders>
          </w:tcPr>
          <w:p>
            <w:pPr>
              <w:pStyle w:val="Normal6a"/>
            </w:pPr>
            <w:r>
              <w:t>10.</w:t>
            </w:r>
            <w:r>
              <w:tab/>
            </w:r>
            <w:r>
              <w:t>pakartoja savo raginimą</w:t>
            </w:r>
            <w:r>
              <w:rPr>
                <w:vertAlign w:val="superscript"/>
              </w:rPr>
              <w:t>14</w:t>
            </w:r>
            <w:r>
              <w:t xml:space="preserve"> skubiai įdiegti Europos socialinės apsaugos paso (ESSPASS) sistemą ir pagerinti skaitmeninį socialinės apsaugos teisių vykdymo užtikrinimą ir sąžiningą judumą, įskaitant tikrinimą tikruoju laiku ir keitimąsi informacija tarp vykdymo užtikrinimo institucijų, taip pat </w:t>
            </w:r>
            <w:r>
              <w:rPr>
                <w:b/>
                <w:i/>
              </w:rPr>
              <w:t>atskirais atvejais</w:t>
            </w:r>
            <w:r>
              <w:t xml:space="preserve"> integruoti ESSPASS į esamas nacionalines darbuotojų kortelių sistemas</w:t>
            </w:r>
            <w:r>
              <w:rPr>
                <w:b/>
                <w:i/>
              </w:rPr>
              <w:t>, atsižvelgiant į jų ypatumus ir glaudžiai bendradarbiaujant su atitinkamais nacionaliniais socialiniais partneriais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c>
          <w:tcPr>
            <w:tcW w:w="4876" w:type="dxa"/>
            <w:tcBorders>
              <w:top w:val="nil"/>
              <w:left w:val="nil"/>
              <w:bottom w:val="nil"/>
              <w:right w:val="nil"/>
            </w:tcBorders>
          </w:tcPr>
          <w:p>
            <w:pPr>
              <w:pStyle w:val="Normal6a"/>
            </w:pPr>
            <w:r>
              <w:rPr>
                <w:vertAlign w:val="superscript"/>
              </w:rPr>
              <w:t>14</w:t>
            </w:r>
            <w:r>
              <w:t xml:space="preserve"> </w:t>
            </w:r>
            <w:r>
              <w:t>2021 m. lapkričio 25d. rezoliucija.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atkreipia dėmesį į nacionalinių verslo registrų ir Europos verslo registrų sąveikos sistemos (BRIS) vertę įmonėms, siekiančioms gauti informacijos apie subrangovus, profesinėms sąjungoms, siekiančioms dalyvauti kolektyvinėse derybose, taip pat vykdymo užtikrinimo institucijoms;</w:t>
            </w:r>
            <w:r>
              <w:t xml:space="preserve"> </w:t>
            </w:r>
            <w:r>
              <w:rPr>
                <w:b/>
                <w:i/>
              </w:rPr>
              <w:t>apgailestauja, kad informacijos, prieinamos nacionaliniuose verslo registruose, lygis labai skiriasi;</w:t>
            </w:r>
            <w:r>
              <w:t xml:space="preserve"> </w:t>
            </w:r>
            <w:r>
              <w:rPr>
                <w:b/>
                <w:i/>
              </w:rPr>
              <w:t>ragina Komisiją peržiūrėti, kaip būtų galima pagerinti viešai prieinamos informacijos lygį, remiantis geriausia valstybių narių patirtimi;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pažymi, kad nacionaliniu ir sektorių lygmenimis sėkmingai įgyvendinamos socialinės tapatybės kortelės, skirtos darbo vietos identifikavimui;</w:t>
            </w:r>
            <w:r>
              <w:t xml:space="preserve"> </w:t>
            </w:r>
            <w:r>
              <w:rPr>
                <w:b/>
                <w:i/>
              </w:rPr>
              <w:t>ragina Komisiją pateikti pasiūlymą dėl teisėkūros procedūra priimamo akto, kuriuo būtų sukurta Europos sistema, grindžiama esamomis sistemomis, siekiant sukurti visiškai sąveikią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įtraukti būsto inspekciją į darbo inspekcijas sektoriuose, kuriuose dirba daug migrantų ir komandiruotų darbuotojų, kad būtų išvengta situacijų, kai darbuotojams sudaromos blogėjančios, nesaugios ar perpildytos sąlygos, kurias suteikia darbdaviai ar tarpininkai;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susirūpinęs atkreipia dėmesį į riziką, susijusią su komandiravimu, kartu su piktnaudžiaujamojo pobūdžio subranga ir tarpininkavimu darbo srityje;</w:t>
            </w:r>
            <w:r>
              <w:t xml:space="preserve"> </w:t>
            </w:r>
            <w:r>
              <w:rPr>
                <w:b/>
                <w:i/>
              </w:rPr>
              <w:t>ragina Komisiją išnagrinėti, kaip komandiruojant darbuotojus pasitelkti darbo tarpininkus ir laikinojo įdarbinimo įmones, įskaitant riziką, kad šiomis priemonėmis bus naudojamasi siekiant išvengti atsakomybės, apeiti socialinės apsaugos įsipareigojimus ir pažeisti sveikatos ir saugos standartus, ir imtis reikiamų iniciatyvų, kad būtų apribotas šių subjektų vaidmuo komandiruojant darbuotojus;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bendrajai rinkai; </w:t>
            </w:r>
            <w:r>
              <w:rPr>
                <w:b/>
                <w:i/>
              </w:rPr>
              <w:t>ragina Komisiją užtikrinti automatinį abipusį prekybos draudimų pripažinimą visose valstybėse narėse, taip pat savalaikį ir saugų keitimąsi atitinkama informacija tarp valstybių narių;</w:t>
            </w:r>
          </w:p>
        </w:tc>
        <w:tc>
          <w:tcPr>
            <w:tcW w:w="4876" w:type="dxa"/>
            <w:tcBorders>
              <w:top w:val="nil"/>
              <w:left w:val="nil"/>
              <w:bottom w:val="nil"/>
              <w:right w:val="nil"/>
            </w:tcBorders>
          </w:tcPr>
          <w:p>
            <w:pPr>
              <w:pStyle w:val="Normal6a"/>
            </w:pPr>
            <w:r>
              <w:t>11.</w:t>
            </w:r>
            <w:r>
              <w:tab/>
            </w:r>
            <w:r>
              <w:t>susirūpinęs pažymi, kad asmenys, kuriems vienoje valstybėje narėje taikomi prekybos draudimai, gali apeiti nacionalinius apribojimus užsiregistruodami ir vykdydami verslą kitoje valstybėje narėje, taip pakenkdami bendrajai rinkai;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susirūpinęs pažymi, kad asmenys, kuriems vienoje valstybėje narėje taikomi prekybos draudimai, gali apeiti nacionalinius apribojimus užsiregistruodami ir vykdydami verslą kitoje valstybėje narėje, taip pakenkdami bendrajai rinkai; ragina Komisiją užtikrinti automatinį abipusį prekybos draudimų pripažinimą visose valstybėse narėse, taip pat savalaikį ir saugų keitimąsi atitinkama informacija tarp valstybių narių;</w:t>
            </w:r>
          </w:p>
        </w:tc>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bendrajai rinkai; ragina Komisiją užtikrinti automatinį abipusį prekybos draudimų pripažinimą visose valstybėse narėse, taip pat savalaikį ir saugų keitimąsi atitinkama informacija tarp valstybių narių; </w:t>
            </w:r>
            <w:r>
              <w:rPr>
                <w:b/>
                <w:i/>
              </w:rPr>
              <w:t>taikant automatinį tarpusavio pripažinimą per IMI, teisingo bylos nagrinėjimo apsaugos priemones ir aiškius keitimosi informacija terminus;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w:t>
            </w:r>
            <w:r>
              <w:rPr>
                <w:b/>
                <w:i/>
              </w:rPr>
              <w:t>pakenkdami bendrajai rinkai</w:t>
            </w:r>
            <w:r>
              <w:t>; ragina Komisiją užtikrinti automatinį abipusį prekybos draudimų pripažinimą visose valstybėse narėse, taip pat savalaikį ir saugų keitimąsi atitinkama informacija tarp valstybių narių;</w:t>
            </w:r>
          </w:p>
        </w:tc>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w:t>
            </w:r>
            <w:r>
              <w:rPr>
                <w:b/>
                <w:i/>
              </w:rPr>
              <w:t>pakenkiant kovai su išnaudojimu darbe visoje bendrojoje rinkoje</w:t>
            </w:r>
            <w:r>
              <w:t>; ragina Komisiją užtikrinti automatinį abipusį prekybos draudimų pripažinimą visose valstybėse narėse, taip pat savalaikį ir saugų keitimąsi atitinkama informacija tarp valstybių narių;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bendrajai rinkai; ragina Komisiją užtikrinti </w:t>
            </w:r>
            <w:r>
              <w:rPr>
                <w:b/>
                <w:i/>
              </w:rPr>
              <w:t>automatinį abipusį prekybos draudimų pripažinimą visose valstybėse narėse, taip pat savalaikį ir saugų keitimąsi atitinkama informacija tarp</w:t>
            </w:r>
            <w:r>
              <w:t xml:space="preserve"> valstybių narių;</w:t>
            </w:r>
          </w:p>
        </w:tc>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w:t>
            </w:r>
            <w:r>
              <w:rPr>
                <w:b/>
                <w:i/>
              </w:rPr>
              <w:t>Europos</w:t>
            </w:r>
            <w:r>
              <w:t xml:space="preserve"> bendrajai rinkai; ragina Komisiją užtikrinti </w:t>
            </w:r>
            <w:r>
              <w:rPr>
                <w:b/>
                <w:i/>
              </w:rPr>
              <w:t>veiksmingesnį</w:t>
            </w:r>
            <w:r>
              <w:t xml:space="preserve"> valstybių narių </w:t>
            </w:r>
            <w:r>
              <w:rPr>
                <w:b/>
                <w:i/>
              </w:rPr>
              <w:t>keitimąsi informacija ir bendradarbiavimą, kad būtų sustabdyti nusikaltėliai, daugiausia dėmesio skiriant tarpvalstybiniam organizuotam nusikalstamumui, o ne papildomai naštai įmonėms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bendrajai rinkai; ragina Komisiją </w:t>
            </w:r>
            <w:r>
              <w:rPr>
                <w:b/>
                <w:i/>
              </w:rPr>
              <w:t>užtikrinti automatinį</w:t>
            </w:r>
            <w:r>
              <w:t xml:space="preserve"> abipusį prekybos draudimų pripažinimą visose valstybėse narėse, taip pat savalaikį ir saugų keitimąsi atitinkama informacija tarp valstybių narių;</w:t>
            </w:r>
          </w:p>
        </w:tc>
        <w:tc>
          <w:tcPr>
            <w:tcW w:w="4876" w:type="dxa"/>
            <w:tcBorders>
              <w:top w:val="nil"/>
              <w:left w:val="nil"/>
              <w:bottom w:val="nil"/>
              <w:right w:val="nil"/>
            </w:tcBorders>
          </w:tcPr>
          <w:p>
            <w:pPr>
              <w:pStyle w:val="Normal6a"/>
            </w:pPr>
            <w:r>
              <w:t>11.</w:t>
            </w:r>
            <w:r>
              <w:tab/>
            </w:r>
            <w:r>
              <w:t xml:space="preserve">susirūpinęs pažymi, kad asmenys, kuriems vienoje valstybėje narėje taikomi prekybos draudimai, gali apeiti nacionalinius apribojimus užsiregistruodami ir vykdydami verslą kitoje valstybėje narėje, taip pakenkdami bendrajai rinkai; ragina Komisiją </w:t>
            </w:r>
            <w:r>
              <w:rPr>
                <w:b/>
                <w:i/>
              </w:rPr>
              <w:t>skatinti</w:t>
            </w:r>
            <w:r>
              <w:t xml:space="preserve"> abipusį prekybos draudimų pripažinimą visose valstybėse narėse, taip pat </w:t>
            </w:r>
            <w:r>
              <w:rPr>
                <w:b/>
                <w:i/>
              </w:rPr>
              <w:t>abipusiškumo principą bei</w:t>
            </w:r>
            <w:r>
              <w:t xml:space="preserve"> savalaikį ir saugų keitimąsi atitinkama informacija tarp valstybių narių;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atkreipia dėmesį į problemą, susijusią su nesąžiningais ir nusikalstamais subjektais darbo rinkoje, kurie naudojasi bankrotais siekdami išvengti atsakomybės už nesumokėtą darbo užmokestį, mokesčius, socialinio draudimo įmokas ir administracines sankcijas;</w:t>
            </w:r>
            <w:r>
              <w:t xml:space="preserve"> </w:t>
            </w:r>
            <w:r>
              <w:rPr>
                <w:b/>
                <w:i/>
              </w:rPr>
              <w:t>ragina Komisiją išnagrinėti problemas, susijusias su strateginiais bankrotais ir dingusiomis įmonėmis, ypač tarpvalstybiniais atvejais, ir imtis reikiamų iniciatyvų, kad būtų sumažintas jų paplitimas;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pabrėžia, kad skundų nagrinėjimo mechanizmai yra svarbi priemonė siekiant užtikrinti tikslinius patikrinimus ir patraukti darbdavius atsakomybėn, tačiau jais vis dar nepakankamai naudojamasi ir jie neprieinami, ypač mobiliesiems darbuotojams ir darbuotojams migrantams;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yra susirūpinęs dėl nesąžiningų subjektų piktnaudžiavimo bankrotais siekiant išvengti darbo užmokesčio, mokesčių, socialinės apsaugos ir sankcijų, kenkiant vykdymo užtikrinimui ir kenkiant darbuotojams, viešiesiems finansams, klientams ir subrangovams;</w:t>
            </w:r>
            <w:r>
              <w:t xml:space="preserve"> </w:t>
            </w:r>
            <w:r>
              <w:rPr>
                <w:b/>
                <w:i/>
              </w:rPr>
              <w:t>ragina Komisiją nustatyti strateginius bankrotus ir įmonių dingimo atvejus, ypač tarpvalstybiniais atvejais, ir spręsti su jais susijusius klausimus;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siūlo sukurti bendrą ES masto draudimo dalyvauti procedūroje sąrašą, prieinamą kompetentingoms nacionalinėms institucijoms ir per Vidaus rinkos informacinę sistemą (IMI), skirtą asmenims ir įmonėms, kuriems taikomi prekybos draudimai arba baudžiamosios sankcijos, kad būtų užkirstas kelias apribojimų apėjimui;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pabrėžia, kad sankcijos už darbuotojų teises yra mažiau išplėtotos nei kitose ES teisės srityse, ir ragina Komisiją įvertinti jų susiejimą su įmonės dydžiu ar apyvarta, kad būtų padidintas jų veiksmingumas;</w:t>
            </w:r>
            <w:r>
              <w:t xml:space="preserve"> </w:t>
            </w:r>
            <w:r>
              <w:rPr>
                <w:b/>
                <w:i/>
              </w:rPr>
              <w:t>pabrėžia, kad reikia gerinti baudų, žalos ir nesumokėto darbo užmokesčio bei socialinio draudimo įmokų vykdymo užtikrinimą ir surinkimą tarpvalstybinėse bylose;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palankiai vertina socialinės paramos sąlygų taikymą nacionalinėse ir Europos finansavimo sistemose ir programose, pagal kurias mokėjimai susiejami su darbuotojų teisių paisymu;</w:t>
            </w:r>
            <w:r>
              <w:t xml:space="preserve"> </w:t>
            </w:r>
            <w:r>
              <w:rPr>
                <w:b/>
                <w:i/>
              </w:rPr>
              <w:t>ragina Komisiją remtis patirtimi, įgyta įtraukiant socialinės paramos sąlygas į bendrą žemės ūkio politiką, siekiant užtikrinti, kad į ES finansavimo programas būtų įtrauktos sąlygos, susijusios su Europos darbo standartais;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palankiai vertina </w:t>
            </w:r>
            <w:r>
              <w:rPr>
                <w:b/>
                <w:i/>
              </w:rPr>
              <w:t>socialinės paramos sąlygų taikymą</w:t>
            </w:r>
            <w:r>
              <w:t xml:space="preserve"> nacionalinėse ir Europos finansavimo sistemose ir programose</w:t>
            </w:r>
            <w:r>
              <w:rPr>
                <w:b/>
                <w:i/>
              </w:rPr>
              <w:t>, pagal kurias mokėjimai susiejami su</w:t>
            </w:r>
            <w:r>
              <w:t xml:space="preserve"> darbuotojų </w:t>
            </w:r>
            <w:r>
              <w:rPr>
                <w:b/>
                <w:i/>
              </w:rPr>
              <w:t>teisių paisymu</w:t>
            </w:r>
            <w:r>
              <w:t>; ragina Komisiją remtis patirtimi, įgyta įtraukiant socialinės paramos sąlygas į bendrą žemės ūkio politiką, siekiant užtikrinti, kad į ES finansavimo programas būtų įtrauktos sąlygos, susijusios su Europos darbo standartais;</w:t>
            </w:r>
          </w:p>
        </w:tc>
        <w:tc>
          <w:tcPr>
            <w:tcW w:w="4876" w:type="dxa"/>
            <w:tcBorders>
              <w:top w:val="nil"/>
              <w:left w:val="nil"/>
              <w:bottom w:val="nil"/>
              <w:right w:val="nil"/>
            </w:tcBorders>
          </w:tcPr>
          <w:p>
            <w:pPr>
              <w:pStyle w:val="Normal6a"/>
            </w:pPr>
            <w:r>
              <w:t>12.</w:t>
            </w:r>
            <w:r>
              <w:tab/>
            </w:r>
            <w:r>
              <w:t xml:space="preserve">palankiai vertina </w:t>
            </w:r>
            <w:r>
              <w:rPr>
                <w:b/>
                <w:i/>
              </w:rPr>
              <w:t>tai, kad</w:t>
            </w:r>
            <w:r>
              <w:t xml:space="preserve"> nacionalinėse ir Europos finansavimo sistemose ir programose </w:t>
            </w:r>
            <w:r>
              <w:rPr>
                <w:b/>
                <w:i/>
              </w:rPr>
              <w:t>taikomos socialinės sąlygos bei ragina išplėsti šias sąlygas įtraukiant aplinkos, lyčių ir būsto standartus, susiejant mokėjimus ne tik su pagarba</w:t>
            </w:r>
            <w:r>
              <w:t xml:space="preserve"> darbuotojų </w:t>
            </w:r>
            <w:r>
              <w:rPr>
                <w:b/>
                <w:i/>
              </w:rPr>
              <w:t>teisėms, bet ir su tinkamo būsto suteikimu darbuotojams, lyčių lygybės priemonėmis ir tvarumo kriterijų laikymusi visose subrangos grandinėse</w:t>
            </w:r>
            <w:r>
              <w:t>; ragina Komisiją remtis patirtimi, įgyta įtraukiant socialinės paramos sąlygas į bendrą žemės ūkio politiką, siekiant užtikrinti, kad į ES finansavimo programas būtų įtrauktos sąlygos, susijusios su Europos darbo standartais;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palankiai vertina socialinės paramos sąlygų taikymą nacionalinėse ir Europos</w:t>
            </w:r>
            <w:r>
              <w:t xml:space="preserve"> finansavimo </w:t>
            </w:r>
            <w:r>
              <w:rPr>
                <w:b/>
                <w:i/>
              </w:rPr>
              <w:t>sistemose ir programose, pagal kurias mokėjimai susiejami su darbuotojų teisių paisymu</w:t>
            </w:r>
            <w:r>
              <w:t xml:space="preserve">; </w:t>
            </w:r>
            <w:r>
              <w:rPr>
                <w:b/>
                <w:i/>
              </w:rPr>
              <w:t>ragina Komisiją remtis patirtimi, įgyta įtraukiant socialinės paramos sąlygas į bendrą žemės ūkio politiką, siekiant užtikrinti, kad į ES finansavimo programas būtų įtrauktos sąlygos, susijusios su Europos darbo standartais;</w:t>
            </w:r>
          </w:p>
        </w:tc>
        <w:tc>
          <w:tcPr>
            <w:tcW w:w="4876" w:type="dxa"/>
            <w:tcBorders>
              <w:top w:val="nil"/>
              <w:left w:val="nil"/>
              <w:bottom w:val="nil"/>
              <w:right w:val="nil"/>
            </w:tcBorders>
          </w:tcPr>
          <w:p>
            <w:pPr>
              <w:pStyle w:val="Normal6a"/>
            </w:pPr>
            <w:r>
              <w:t>12.</w:t>
            </w:r>
            <w:r>
              <w:tab/>
            </w:r>
            <w:r>
              <w:rPr>
                <w:b/>
                <w:i/>
              </w:rPr>
              <w:t>primena, kad viešojo</w:t>
            </w:r>
            <w:r>
              <w:t xml:space="preserve"> finansavimo </w:t>
            </w:r>
            <w:r>
              <w:rPr>
                <w:b/>
                <w:i/>
              </w:rPr>
              <w:t>schemos neturėtų būti prieinamos tais atvejais, kai piktnaudžiaujama prieš darbuotojus sudarant subrangos sutartis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palankiai vertina socialinės paramos sąlygų taikymą nacionalinėse ir Europos finansavimo sistemose ir programose, pagal kurias mokėjimai susiejami su</w:t>
            </w:r>
            <w:r>
              <w:t xml:space="preserve"> darbuotojų </w:t>
            </w:r>
            <w:r>
              <w:rPr>
                <w:b/>
                <w:i/>
              </w:rPr>
              <w:t>teisių paisymu;</w:t>
            </w:r>
            <w:r>
              <w:t xml:space="preserve"> </w:t>
            </w:r>
            <w:r>
              <w:rPr>
                <w:b/>
                <w:i/>
              </w:rPr>
              <w:t>ragina Komisiją remtis patirtimi, įgyta įtraukiant socialinės paramos sąlygas į bendrą žemės ūkio politiką, siekiant užtikrinti, kad į ES finansavimo programas būtų įtrauktos sąlygos, susijusios su Europos darbo standartais</w:t>
            </w:r>
            <w:r>
              <w:t>;</w:t>
            </w:r>
          </w:p>
        </w:tc>
        <w:tc>
          <w:tcPr>
            <w:tcW w:w="4876" w:type="dxa"/>
            <w:tcBorders>
              <w:top w:val="nil"/>
              <w:left w:val="nil"/>
              <w:bottom w:val="nil"/>
              <w:right w:val="nil"/>
            </w:tcBorders>
          </w:tcPr>
          <w:p>
            <w:pPr>
              <w:pStyle w:val="Normal6a"/>
            </w:pPr>
            <w:r>
              <w:t>12.</w:t>
            </w:r>
            <w:r>
              <w:tab/>
            </w:r>
            <w:r>
              <w:rPr>
                <w:b/>
                <w:i/>
              </w:rPr>
              <w:t>remia ES ir (arba) nacionalinių programų tikslines socialines sąlygas, daugiausia dėmesio skiriant sunkiems pažeidimams (prekybai žmonėmis, nedeklaruojamam darbui bei sistemingiems</w:t>
            </w:r>
            <w:r>
              <w:t xml:space="preserve"> darbuotojų </w:t>
            </w:r>
            <w:r>
              <w:rPr>
                <w:b/>
                <w:i/>
              </w:rPr>
              <w:t>saugos ir sveikatos (DSS) srities pažeidimams), nustatant aiškius ir proporcingus kriterijus ir greitai jas pašalinant reikalavimus atitinkančioms MVĮ</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palankiai vertina socialinės paramos sąlygų taikymą nacionalinėse ir Europos finansavimo sistemose ir programose, pagal </w:t>
            </w:r>
            <w:r>
              <w:rPr>
                <w:b/>
                <w:i/>
              </w:rPr>
              <w:t>kurias mokėjimai susiejami su darbuotojų teisių paisymu;</w:t>
            </w:r>
            <w:r>
              <w:t xml:space="preserve"> </w:t>
            </w:r>
            <w:r>
              <w:rPr>
                <w:b/>
                <w:i/>
              </w:rPr>
              <w:t>ragina Komisiją remtis patirtimi, įgyta įtraukiant socialinės paramos sąlygas į</w:t>
            </w:r>
            <w:r>
              <w:t xml:space="preserve"> bendrą žemės ūkio politiką</w:t>
            </w:r>
            <w:r>
              <w:rPr>
                <w:b/>
                <w:i/>
              </w:rPr>
              <w:t>, siekiant užtikrinti, kad į ES finansavimo programas būtų įtrauktos sąlygos, susijusios su Europos darbo standartais</w:t>
            </w:r>
            <w:r>
              <w:t>;</w:t>
            </w:r>
          </w:p>
        </w:tc>
        <w:tc>
          <w:tcPr>
            <w:tcW w:w="4876" w:type="dxa"/>
            <w:tcBorders>
              <w:top w:val="nil"/>
              <w:left w:val="nil"/>
              <w:bottom w:val="nil"/>
              <w:right w:val="nil"/>
            </w:tcBorders>
          </w:tcPr>
          <w:p>
            <w:pPr>
              <w:pStyle w:val="Normal6a"/>
            </w:pPr>
            <w:r>
              <w:t>12.</w:t>
            </w:r>
            <w:r>
              <w:tab/>
            </w:r>
            <w:r>
              <w:t xml:space="preserve">palankiai vertina socialinės paramos sąlygų taikymą nacionalinėse ir Europos finansavimo sistemose ir programose, pagal bendrą žemės ūkio politiką </w:t>
            </w:r>
            <w:r>
              <w:rPr>
                <w:b/>
                <w:i/>
              </w:rPr>
              <w:t>yra neįgyvendinamas, nes žemės ūkio sektorius labai skiriasi nuo ES verslo sektoriaus masto, užimtumo struktūros ir ekonominės priklausomybės požiūriu, nes žemės ūkis mažiau prisideda prie BVP, o verslo sektorius yra didesnis – jame veikia milijonai labai mažų ir mažųjų įmonių, sukuriančių kur kas didesnę pridėtinę vertę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Komisiją ir valstybes nares skatinti į viešuosius pirkimus ir ES finansuojamus projektus įtraukti nuostatas dėl naudos visuomenei, reikalaujant, kad subrangovai prisidėtų prie vietos įgūdžių ugdymo, socialinės integracijos iniciatyvų ir aplinkos atžvilgiu tvarios praktikos, taip užtikrinant, kad teigiamas viešųjų investicijų poveikis būtų daromas ne tik artimiausioje darbo vietoje;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atkreipia dėmesį į sankcijų režimų skirtumus įvairiose politikos srityse ir pažymi, kad kai kuriuose sektoriuose sankcijų lygiai yra susiję su įmonės dydžiu ar apyvarta, siekiant užtikrinti proporcingumą ir atgrasomąjį poveikį;</w:t>
            </w:r>
            <w:r>
              <w:t xml:space="preserve"> </w:t>
            </w:r>
            <w:r>
              <w:rPr>
                <w:b/>
                <w:i/>
              </w:rPr>
              <w:t>ragina Komisiją peržiūrėti, ar taikant panašius metodus būtų galima sustiprinti vykdymo užtikrinimą ir skatinti vienodas sąlygas darbuotojų saugos ir sveikatos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130</w:t>
    </w:r>
    <w:r>
      <w:fldChar w:fldCharType="end"/>
    </w:r>
    <w:r>
      <w:tab/>
    </w:r>
    <w:r>
      <w:rPr>
        <w:rStyle w:val="HideTWBExt"/>
      </w:rPr>
      <w:t>&lt;PathFdR&gt;</w:t>
    </w:r>
    <w:r>
      <w:t>AM\1327607LT.docx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AM\1327607LT.docx</w:t>
    </w:r>
    <w:r>
      <w:rPr>
        <w:rStyle w:val="HideTWBExt"/>
      </w:rPr>
      <w:t>&lt;/PathFdR&gt;</w:t>
    </w:r>
    <w:r>
      <w:tab/>
    </w:r>
    <w:r>
      <w:fldChar w:fldCharType="begin"/>
    </w:r>
    <w:r>
      <w:instrText xml:space="preserve"> PAGE </w:instrText>
    </w:r>
    <w:r>
      <w:fldChar w:fldCharType="separate"/>
    </w:r>
    <w:r>
      <w:t>129</w:t>
    </w:r>
    <w:r>
      <w:fldChar w:fldCharType="end"/>
    </w:r>
    <w:r>
      <w:t>/</w:t>
    </w:r>
    <w:r>
      <w:fldChar w:fldCharType="begin"/>
    </w:r>
    <w:r>
      <w:instrText xml:space="preserve"> NUMPAGES </w:instrText>
    </w:r>
    <w:r>
      <w:fldChar w:fldCharType="separate"/>
    </w:r>
    <w:r>
      <w:t>130</w:t>
    </w:r>
    <w:r>
      <w:fldChar w:fldCharType="end"/>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AM\1327607LT.docx</w:t>
    </w:r>
    <w:r>
      <w:rPr>
        <w:rStyle w:val="HideTWBExt"/>
      </w:rPr>
      <w:t>&lt;/PathFdR&gt;</w:t>
    </w:r>
    <w:r>
      <w:tab/>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130</Pages>
  <Words>24461</Words>
  <Characters>172984</Characters>
  <Application>Microsoft Office Word</Application>
  <DocSecurity>0</DocSecurity>
  <Lines>1</Lines>
  <Paragraphs>2341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248158</vt:lpwstr>
  </property>
  <property fmtid="{D5CDD505-2E9C-101B-9397-08002B2CF9AE}" pid="7" name="dmxml.render.traceId">
    <vt:lpwstr>68da8ad4c1ce5d004006d32ee25d3bd3</vt:lpwstr>
  </property>
  <property fmtid="{D5CDD505-2E9C-101B-9397-08002B2CF9AE}" pid="8" name="FooterPath">
    <vt:lpwstr>AM\1327607LT.docx</vt:lpwstr>
  </property>
  <property fmtid="{D5CDD505-2E9C-101B-9397-08002B2CF9AE}" pid="9" name="PE Number">
    <vt:lpwstr>776.975</vt:lpwstr>
  </property>
  <property fmtid="{D5CDD505-2E9C-101B-9397-08002B2CF9AE}" pid="10" name="UID">
    <vt:lpwstr>eu.europa.europarl-DIN1-2025-0000170531_02.00-lt-01.00_text-xml</vt:lpwstr>
  </property>
</Properties>
</file>