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Комисия по заетост и социални въпроси</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Яна Том</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Директива за справедлив преход в сферата на труда: гарантиране на създаването на работни места и съживяване на местните икономики</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като взе предвид член </w:t>
            </w:r>
            <w:r>
              <w:rPr>
                <w:b/>
                <w:i/>
              </w:rPr>
              <w:t>225</w:t>
            </w:r>
            <w:r>
              <w:t xml:space="preserve"> от Договора за функционирането на Европейския съюз (ДФЕС),</w:t>
            </w:r>
          </w:p>
        </w:tc>
        <w:tc>
          <w:tcPr>
            <w:tcW w:w="4876" w:type="dxa"/>
            <w:tcBorders>
              <w:top w:val="nil"/>
              <w:left w:val="nil"/>
              <w:bottom w:val="nil"/>
              <w:right w:val="nil"/>
            </w:tcBorders>
          </w:tcPr>
          <w:p>
            <w:pPr>
              <w:pStyle w:val="Normal6a"/>
            </w:pPr>
            <w:r>
              <w:rPr>
                <w:b/>
                <w:i/>
              </w:rPr>
              <w:t>–</w:t>
            </w:r>
            <w:r>
              <w:tab/>
            </w:r>
            <w:r>
              <w:t>като взе предвид член </w:t>
            </w:r>
            <w:r>
              <w:rPr>
                <w:b/>
                <w:i/>
              </w:rPr>
              <w:t>153</w:t>
            </w:r>
            <w:r>
              <w:t xml:space="preserve"> от Договора за функционирането на Европейския съюз (ДФЕС),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11 декември 2019 г., озаглавено „Европейският зелен пакт“ (COM(2019)0640),</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брифинга за оценка на европейската добавена стойност от септември 2025 г., озаглавен „Директива за справедлив преход в сферата на труда:</w:t>
            </w:r>
            <w:r>
              <w:t xml:space="preserve"> </w:t>
            </w:r>
            <w:r>
              <w:rPr>
                <w:b/>
                <w:i/>
              </w:rPr>
              <w:t>гарантиране на създаването на работни места и съживяване на местните икономики“;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12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резолюцията на Международната организация на труда (МОТ) относно справедлив преход към екологично устойчиви икономики и общества за всички</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ILC.111/Резолюция V, 16 юни 2023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12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доклада на Енрико Лета от 10 април 2024 г., озаглавен „Много повече от пазар“</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доклада на Марио Драги от септември 2024 г., озаглавен The Future of European Competitiveness (Бъдещето на европейската конкурентоспособност) (докладът „Драги“),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доклада на Марио Драги от септември 2024 г., озаглавен The Future of European Competitiveness (Бъдещето на европейската конкурентоспособност) (докладът „Драги“),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14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10 септември 2025 г. относно ролята на политиката на сближаване за подкрепа на справедливия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препоръката на Съвета относно справедлив преход към неутралност по отношение на климата от 2022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17 декември 2020 г. относно силна социална Европа за справедливи промени,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политическите насоки на Европейската комисия за периода 2024 – 2029 г.</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https://commission.europa.eu/document/download/e6cd4328-673c-4e7a-8683-f63ffb2cf648_bg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26 февруари 2025 г. относно Пакта за чиста промишленост (COM (2025) 85 final)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https://eur-lex.europa.eu/legal-content/BG/TXT/PDF/?uri=CELEX:52025DC0085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юли 2025 г., озаглавено „Рамка за мерки за държавна помощ в подкрепа на Пакта за чиста промишленост“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26 февруари 2025 г. относно Пакта за чиста промишленост (COM (2025) 85 final)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https://eur-lex.europa.eu/legal-content/BG/TXT/PDF/?uri=CELEX:52025DC0085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Декларацията от Ла Юлп относно бъдещето на Европейския стълб на социалните права от 16 април 2024 г.</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основните послания на Комитета по заетостта и Комитета за социална закрила относно изпълнението на препоръката на Съвета от 17 ноември 2023 г. относно гарантирането на справедлив преход към неутралност по отношение на климата</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становището на Комитета по заетостта (EMCO) към Съвета на Европейския съюз от 6 юни 2025 г. относно измеренията на качеството на работните места</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https://data.consilium.europa.eu/doc/document/ST-9417-2025-INIT/bg/pdf;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9 септември 2025 г. относно обществените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25 юни 2025 г., озаглавено „Рамка за мерки за държавна помощ в подкрепа на Пакта за чиста промишленост“</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https://eur-lex.europa.eu/legal-content/BG/TXT/HTML/?uri=OJ:C_202503602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з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основните послания на Комитета по заетостта и Комитета за социална закрила относно изпълнението на препоръката на Съвета от 17 ноември 2023 г. относно гарантирането на справедлив преход към неутралност по отношение на климата</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и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становището на Европейския икономически и социален комитет от 4 декември 2024 г., озаглавено „Към законодателно предложение за справедлив преход и политически инструменти на ЕС, които да дават възможност за по-социален Европейски зелен пакт“</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https://eur-lex.europa.eu/eli/C/2025/772/oj?locale=bg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зеленият и цифровият преход оказват дълбоко трансформиращо въздействие върху икономиките, регионите и работните места в Европа; като има предвид, че гарантирането на ефективен преход към </w:t>
            </w:r>
            <w:r>
              <w:rPr>
                <w:b/>
                <w:i/>
              </w:rPr>
              <w:t>неутрална по отношение на климата и</w:t>
            </w:r>
            <w:r>
              <w:t xml:space="preserve"> цифровизирана икономика и намаляване на зависимостта от енергийните доставки е </w:t>
            </w:r>
            <w:r>
              <w:rPr>
                <w:b/>
                <w:i/>
              </w:rPr>
              <w:t>от съществено значение</w:t>
            </w:r>
            <w:r>
              <w:t xml:space="preserve"> за устойчивостта, растежа и конкурентоспособността на Европа; </w:t>
            </w:r>
            <w:r>
              <w:rPr>
                <w:b/>
                <w:i/>
              </w:rPr>
              <w:t>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засегнатите региони;</w:t>
            </w:r>
          </w:p>
        </w:tc>
        <w:tc>
          <w:tcPr>
            <w:tcW w:w="4876" w:type="dxa"/>
            <w:tcBorders>
              <w:top w:val="nil"/>
              <w:left w:val="nil"/>
              <w:bottom w:val="nil"/>
              <w:right w:val="nil"/>
            </w:tcBorders>
          </w:tcPr>
          <w:p>
            <w:pPr>
              <w:pStyle w:val="Normal6a"/>
            </w:pPr>
            <w:r>
              <w:t>А.</w:t>
            </w:r>
            <w:r>
              <w:tab/>
            </w:r>
            <w:r>
              <w:t>като има предвид, че зеленият и цифровият преход оказват дълбоко трансформиращо въздействие върху икономиките, регионите и работните места в Европа</w:t>
            </w:r>
            <w:r>
              <w:rPr>
                <w:b/>
                <w:i/>
              </w:rPr>
              <w:t>, и като има предвид, че те представляват значителни разходи за тях</w:t>
            </w:r>
            <w:r>
              <w:t xml:space="preserve">; като има предвид, че гарантирането на ефективен преход към цифровизирана икономика и намаляване на зависимостта от енергийните доставки е </w:t>
            </w:r>
            <w:r>
              <w:rPr>
                <w:b/>
                <w:i/>
              </w:rPr>
              <w:t>необходимо</w:t>
            </w:r>
            <w:r>
              <w:t xml:space="preserve"> за устойчивостта, растежа и конкурентоспособността на Европа;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зеленият и цифровият преход оказват </w:t>
            </w:r>
            <w:r>
              <w:rPr>
                <w:b/>
                <w:i/>
              </w:rPr>
              <w:t>дълбоко</w:t>
            </w:r>
            <w:r>
              <w:t xml:space="preserve"> трансформиращо въздействие върху икономиките, регионите и работните места в Европа;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w:t>
            </w:r>
            <w:r>
              <w:rPr>
                <w:b/>
                <w:i/>
              </w:rPr>
              <w:t>от съществено значение за устойчивостта, растежа и конкурентоспособността на Европа</w:t>
            </w:r>
            <w:r>
              <w:t xml:space="preserve">; като има предвид, че крайният успех на двойния преход ще зависи в голяма степен от гарантирането, че </w:t>
            </w:r>
            <w:r>
              <w:rPr>
                <w:b/>
                <w:i/>
              </w:rPr>
              <w:t>преходът е справедлив и приобщаващ за</w:t>
            </w:r>
            <w:r>
              <w:t xml:space="preserve"> работниците, предприятията и засегнатите региони;</w:t>
            </w:r>
          </w:p>
        </w:tc>
        <w:tc>
          <w:tcPr>
            <w:tcW w:w="4876" w:type="dxa"/>
            <w:tcBorders>
              <w:top w:val="nil"/>
              <w:left w:val="nil"/>
              <w:bottom w:val="nil"/>
              <w:right w:val="nil"/>
            </w:tcBorders>
          </w:tcPr>
          <w:p>
            <w:pPr>
              <w:pStyle w:val="Normal6a"/>
            </w:pPr>
            <w:r>
              <w:t>А.</w:t>
            </w:r>
            <w:r>
              <w:tab/>
            </w:r>
            <w:r>
              <w:t xml:space="preserve">като има предвид, че зеленият и цифровият преход оказват </w:t>
            </w:r>
            <w:r>
              <w:rPr>
                <w:b/>
                <w:i/>
              </w:rPr>
              <w:t>силно неблагоприятно</w:t>
            </w:r>
            <w:r>
              <w:t xml:space="preserve"> трансформиращо въздействие върху икономиките, регионите и работните места в Европа;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w:t>
            </w:r>
            <w:r>
              <w:rPr>
                <w:b/>
                <w:i/>
              </w:rPr>
              <w:t>недоказана екологична фантазия, която е плод на неправилна преценка</w:t>
            </w:r>
            <w:r>
              <w:t xml:space="preserve">; като има предвид, че крайният успех на двойния преход ще зависи в голяма степен от гарантирането, че работниците, предприятията и засегнатите региони </w:t>
            </w:r>
            <w:r>
              <w:rPr>
                <w:b/>
                <w:i/>
              </w:rPr>
              <w:t>се подлагат на натиск да приемат своите загуби като нещо нормално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зеленият и цифровият преход оказват дълбоко трансформиращо въздействие върху икономиките, регионите и работните места в Европа;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w:t>
            </w:r>
            <w:r>
              <w:rPr>
                <w:b/>
                <w:i/>
              </w:rPr>
              <w:t>засегнатите региони</w:t>
            </w:r>
            <w:r>
              <w:t>;</w:t>
            </w:r>
          </w:p>
        </w:tc>
        <w:tc>
          <w:tcPr>
            <w:tcW w:w="4876" w:type="dxa"/>
            <w:tcBorders>
              <w:top w:val="nil"/>
              <w:left w:val="nil"/>
              <w:bottom w:val="nil"/>
              <w:right w:val="nil"/>
            </w:tcBorders>
          </w:tcPr>
          <w:p>
            <w:pPr>
              <w:pStyle w:val="Normal6a"/>
            </w:pPr>
            <w:r>
              <w:t>А.</w:t>
            </w:r>
            <w:r>
              <w:tab/>
            </w:r>
            <w:r>
              <w:t>като има предвид, че зеленият и цифровият преход оказват дълбоко трансформиращо въздействие върху икономиките, регионите и работните места в Европа</w:t>
            </w:r>
            <w:r>
              <w:rPr>
                <w:b/>
                <w:i/>
              </w:rPr>
              <w:t>, както и върху хората</w:t>
            </w:r>
            <w:r>
              <w:t xml:space="preserve">;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w:t>
            </w:r>
            <w:r>
              <w:rPr>
                <w:b/>
                <w:i/>
              </w:rPr>
              <w:t>регионите;</w:t>
            </w:r>
            <w:r>
              <w:t xml:space="preserve"> </w:t>
            </w:r>
            <w:r>
              <w:rPr>
                <w:b/>
                <w:i/>
              </w:rPr>
              <w:t>като има предвид, че само справедливият преход би могъл да донесе ползи в размер на 261 милиарда евро годишно, по-специално чрез преодоляване на социалните неравенства и регионалните различия</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зеленият и цифровият преход оказват дълбоко трансформиращо въздействие върху икономиките, регионите и работните места в Европа;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засегнатите региони;</w:t>
            </w:r>
          </w:p>
        </w:tc>
        <w:tc>
          <w:tcPr>
            <w:tcW w:w="4876" w:type="dxa"/>
            <w:tcBorders>
              <w:top w:val="nil"/>
              <w:left w:val="nil"/>
              <w:bottom w:val="nil"/>
              <w:right w:val="nil"/>
            </w:tcBorders>
          </w:tcPr>
          <w:p>
            <w:pPr>
              <w:pStyle w:val="Normal6a"/>
            </w:pPr>
            <w:r>
              <w:t>А.</w:t>
            </w:r>
            <w:r>
              <w:tab/>
            </w:r>
            <w:r>
              <w:t xml:space="preserve">като има предвид, че зеленият и цифровият преход оказват дълбоко трансформиращо въздействие върху икономиките, регионите и работните места в Европа;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засегнатите региони </w:t>
            </w:r>
            <w:r>
              <w:rPr>
                <w:b/>
                <w:i/>
              </w:rPr>
              <w:t>както в сферите с непосредствено въздействие, така и по глобалните вериги за създаване на стойност на веригите от дейности на компаниите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зеленият и цифровият преход оказват дълбоко трансформиращо въздействие върху </w:t>
            </w:r>
            <w:r>
              <w:rPr>
                <w:b/>
                <w:i/>
              </w:rPr>
              <w:t>икономиките, регионите и работните</w:t>
            </w:r>
            <w:r>
              <w:t xml:space="preserve"> места </w:t>
            </w:r>
            <w:r>
              <w:rPr>
                <w:b/>
                <w:i/>
              </w:rPr>
              <w:t>в Европа</w:t>
            </w:r>
            <w:r>
              <w:t>;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засегнатите региони;</w:t>
            </w:r>
          </w:p>
        </w:tc>
        <w:tc>
          <w:tcPr>
            <w:tcW w:w="4876" w:type="dxa"/>
            <w:tcBorders>
              <w:top w:val="nil"/>
              <w:left w:val="nil"/>
              <w:bottom w:val="nil"/>
              <w:right w:val="nil"/>
            </w:tcBorders>
          </w:tcPr>
          <w:p>
            <w:pPr>
              <w:pStyle w:val="Normal6a"/>
            </w:pPr>
            <w:r>
              <w:t>А.</w:t>
            </w:r>
            <w:r>
              <w:tab/>
            </w:r>
            <w:r>
              <w:t xml:space="preserve">като има предвид, че зеленият и цифровият преход оказват дълбоко трансформиращо въздействие върху </w:t>
            </w:r>
            <w:r>
              <w:rPr>
                <w:b/>
                <w:i/>
              </w:rPr>
              <w:t>европейските икономики, общества, региони и работни</w:t>
            </w:r>
            <w:r>
              <w:t xml:space="preserve"> места </w:t>
            </w:r>
            <w:r>
              <w:rPr>
                <w:b/>
                <w:i/>
              </w:rPr>
              <w:t>по различни начини, като изискват предприемането на всеобхватни социални мерки и мерки на политиката по заетостта с цел предотвратяване на неблагоприятни въздействия и насърчаване на икономическото, социалното и териториалното сближаване</w:t>
            </w:r>
            <w:r>
              <w:t xml:space="preserve">;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w:t>
            </w:r>
            <w:r>
              <w:rPr>
                <w:b/>
                <w:i/>
              </w:rPr>
              <w:t>дългосрочния просперитет, благополучието,</w:t>
            </w:r>
            <w:r>
              <w:t xml:space="preserve">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засегнатите региони</w:t>
            </w:r>
            <w:r>
              <w:rPr>
                <w:b/>
                <w:i/>
              </w:rPr>
              <w:t>, и че той допринася за социалната справедливост за всички хора, със специален акцент върху най-уязвимите лица, за да се гарантира, че никой няма да бъде изоставен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зеленият и цифровият преход оказват дълбоко трансформиращо въздействие върху икономиките, регионите и работните места в Европа;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засегнатите региони;</w:t>
            </w:r>
          </w:p>
        </w:tc>
        <w:tc>
          <w:tcPr>
            <w:tcW w:w="4876" w:type="dxa"/>
            <w:tcBorders>
              <w:top w:val="nil"/>
              <w:left w:val="nil"/>
              <w:bottom w:val="nil"/>
              <w:right w:val="nil"/>
            </w:tcBorders>
          </w:tcPr>
          <w:p>
            <w:pPr>
              <w:pStyle w:val="Normal6a"/>
            </w:pPr>
            <w:r>
              <w:t>А.</w:t>
            </w:r>
            <w:r>
              <w:tab/>
            </w:r>
            <w:r>
              <w:t>като има предвид, че зеленият и цифровият преход оказват дълбоко трансформиращо въздействие върху икономиките, регионите и работните места в Европа;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енергийните доставки е от съществено значение за устойчивостта, растежа и конкурентоспособността на Европа; като има предвид, че крайният успех на двойния преход ще зависи в голяма степен от гарантирането, че преходът е справедлив и приобщаващ за работниците, предприятията и засегнатите региони</w:t>
            </w:r>
            <w:r>
              <w:rPr>
                <w:b/>
                <w:i/>
              </w:rPr>
              <w:t>, и ще осигури достатъчно гъвкавост за държавите членки, за да могат те да следват пътищата, които са най-подходящи за техните икономически и социални реалности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Пал Секереш, Северин Вербрук, Никола Бартушек, Мелани Дидие, Мари Доши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разумното и осъществимо изпълнение на екологичния и цифровия преход може да доведе до дълбоки и устойчиви промени в европейските икономики, региони и пазари на труда;</w:t>
            </w:r>
            <w:r>
              <w:t xml:space="preserve"> </w:t>
            </w:r>
            <w:r>
              <w:rPr>
                <w:b/>
                <w:i/>
              </w:rPr>
              <w:t>като има предвид, че гарантирането на ефективен и финансово приемлив преход към развита и цифровизирана икономика, наред с намаляването на зависимостта от енергийни доставки от всички големи чуждестранни икономики, е наложително за дългосрочната устойчивост и икономически растеж на Европа;</w:t>
            </w:r>
            <w:r>
              <w:t xml:space="preserve"> </w:t>
            </w:r>
            <w:r>
              <w:rPr>
                <w:b/>
                <w:i/>
              </w:rPr>
              <w:t>като има предвид, че крайният успех на прехода зависи от това да се гарантира, че този преход се осъществява по справедлив и приобщаващ начин, като се вземат предвид интересите на засегнатите работници, предприятия и региони, и че преходът се подкрепя от финансово жизнеспособни иновативни технологии и общо достъпна енергия;</w:t>
            </w:r>
            <w:r>
              <w:t xml:space="preserve"> </w:t>
            </w:r>
            <w:r>
              <w:rPr>
                <w:b/>
                <w:i/>
              </w:rPr>
              <w:t>като има предвид, че следва допълнително да се подчертае, че настоящите предизвикателства, пред които е изправен европейският пазар на труда, се дължат отчасти на недостига на квалифицирана работна ръка и на притока от неквалифицирани незаконни мигранти, както се потвърждава в разкритата от Европейската комисия информация за това, че понастоящем в Европейския съюз пребивават повече от 7 милиона безработни мигранти</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В доклада на Европейската комисия от 2025 г. относно заетостта и социалните тенденции в Европа (ESDE) се посочва, че над седем милиона мигранти, дошли от държави извън ЕС, не са част от работната сила в ЕС. https://op.europa.eu/en/publication-detail/-/publication/17b34170-8138-11ef-a67d-01aa75ed71a1/language-en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въздействието на двойния преход върху заетостта е асиметрично в рамките на Съюза;</w:t>
            </w:r>
            <w:r>
              <w:t xml:space="preserve"> </w:t>
            </w:r>
            <w:r>
              <w:rPr>
                <w:b/>
                <w:i/>
              </w:rPr>
              <w:t>като има предвид, че декарбонизацията оказва по-силно неблагоприятно социално-икономическо въздействие върху регионите с висок дял на заетост в миннодобивния и добивния сектор;</w:t>
            </w:r>
            <w:r>
              <w:t xml:space="preserve"> </w:t>
            </w:r>
            <w:r>
              <w:rPr>
                <w:b/>
                <w:i/>
              </w:rPr>
              <w:t>като има предвид, че е по-вероятно положителното въздействие върху заетостта да се разпредели в различни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преходите трябва да се управляват по такъв начин, че да се гарантира социално приобщаване, да се намалят бедността и неравенствата, както и да се оползотвори потенциалът за създаване на качествени работни места, да се насърчи демокрацията на работното място, да се осигурят качествена заетост и достойни условия на труд, да се защитят правата на работниците и да се повишат трудовите стандарти във всички сектори;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Aб.</w:t>
            </w:r>
            <w:r>
              <w:tab/>
            </w:r>
            <w:r>
              <w:rPr>
                <w:b/>
                <w:i/>
              </w:rPr>
              <w:t>като има предвид, че пазарите на труда в ЕС продължават да бъдат териториално разделени и като има предвид, че качеството на работните места и трудовите договори свидетелстват за увеличение на нестандартните форми на труд, особено сред младите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w:t>
            </w:r>
            <w:r>
              <w:tab/>
            </w:r>
            <w:r>
              <w:rPr>
                <w:b/>
                <w:i/>
              </w:rPr>
              <w:t>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неутрални по отношение на климата и чисти промишлени отрасли и технологии за хората, които живеят в засегнатите територии;</w:t>
            </w:r>
            <w:r>
              <w:t xml:space="preserve"> </w:t>
            </w:r>
            <w:r>
              <w:rPr>
                <w:b/>
                <w:i/>
              </w:rPr>
              <w:t>като има предвид, че е важно работниците и търсещите работа лица да се чувстват подкрепени при осъществяването на прехода, за да се насърчи разбирането и приемането на целите на стратегията за 2050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неутрални по отношение на климата и чисти промишлени отрасли и технологии </w:t>
            </w:r>
            <w:r>
              <w:rPr>
                <w:b/>
                <w:i/>
              </w:rPr>
              <w:t>за</w:t>
            </w:r>
            <w:r>
              <w:t xml:space="preserve"> хората, които живеят в засегнатите територии; като има предвид, че е важно работниците и търсещите работа лица да се чувстват подкрепени при осъществяването на прехода, за да се </w:t>
            </w:r>
            <w:r>
              <w:rPr>
                <w:b/>
                <w:i/>
              </w:rPr>
              <w:t>насърчи</w:t>
            </w:r>
            <w:r>
              <w:t xml:space="preserve"> разбирането </w:t>
            </w:r>
            <w:r>
              <w:rPr>
                <w:b/>
                <w:i/>
              </w:rPr>
              <w:t>и приемането на</w:t>
            </w:r>
            <w:r>
              <w:t xml:space="preserve"> целите на стратегията за 2050 г.;</w:t>
            </w:r>
          </w:p>
        </w:tc>
        <w:tc>
          <w:tcPr>
            <w:tcW w:w="4876" w:type="dxa"/>
            <w:tcBorders>
              <w:top w:val="nil"/>
              <w:left w:val="nil"/>
              <w:bottom w:val="nil"/>
              <w:right w:val="nil"/>
            </w:tcBorders>
          </w:tcPr>
          <w:p>
            <w:pPr>
              <w:pStyle w:val="Normal6a"/>
            </w:pPr>
            <w:r>
              <w:t>Б.</w:t>
            </w:r>
            <w:r>
              <w:tab/>
            </w:r>
            <w:r>
              <w:t>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неутрални по отношение на климата и чисти промишлени отрасли и технологии</w:t>
            </w:r>
            <w:r>
              <w:rPr>
                <w:b/>
                <w:i/>
              </w:rPr>
              <w:t>, в партньорство с</w:t>
            </w:r>
            <w:r>
              <w:t xml:space="preserve"> хората, които живеят в засегнатите територии; като има предвид, че е важно работниците и търсещите работа лица да се чувстват подкрепени при осъществяването на прехода </w:t>
            </w:r>
            <w:r>
              <w:rPr>
                <w:b/>
                <w:i/>
              </w:rPr>
              <w:t>чрез провеждане на ранен и непрекъснат социален диалог, съвместно планиране и прозрачно вземане на решения</w:t>
            </w:r>
            <w:r>
              <w:t xml:space="preserve">, за да се </w:t>
            </w:r>
            <w:r>
              <w:rPr>
                <w:b/>
                <w:i/>
              </w:rPr>
              <w:t>насърчат</w:t>
            </w:r>
            <w:r>
              <w:t xml:space="preserve"> разбирането</w:t>
            </w:r>
            <w:r>
              <w:rPr>
                <w:b/>
                <w:i/>
              </w:rPr>
              <w:t>, доверието и трайният демократичен мандат за</w:t>
            </w:r>
            <w:r>
              <w:t xml:space="preserve"> целите на стратегията за 2050 г.; </w:t>
            </w:r>
            <w:r>
              <w:rPr>
                <w:b/>
                <w:i/>
              </w:rPr>
              <w:t>като има предвид, че както се вижда от изследванията на Eurofound</w:t>
            </w:r>
            <w:r>
              <w:rPr>
                <w:b/>
                <w:i/>
                <w:vertAlign w:val="superscript"/>
              </w:rPr>
              <w:t>1a</w:t>
            </w:r>
            <w:r>
              <w:rPr>
                <w:b/>
                <w:i/>
              </w:rPr>
              <w:t>, широкото участие на гражданското общество, социалните партньори и публичните органи в процеса на преход е от решаващо значение за обезпечаване и за справедливо разпределение на приходите от икономически дейности и ресурсите, както и за справяне с конфликтите;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(2024 г.), Създаване на нов социален договор за справедлив преход:</w:t>
            </w:r>
            <w:r>
              <w:t xml:space="preserve"> </w:t>
            </w:r>
            <w:r>
              <w:rPr>
                <w:b/>
                <w:i/>
              </w:rPr>
              <w:t>функционира ли партньорството?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w:t>
            </w:r>
            <w:r>
              <w:rPr>
                <w:b/>
                <w:i/>
              </w:rPr>
              <w:t>въглеродно неутрална</w:t>
            </w:r>
            <w:r>
              <w:t xml:space="preserve"> икономика </w:t>
            </w:r>
            <w:r>
              <w:rPr>
                <w:b/>
                <w:i/>
              </w:rPr>
              <w:t>не</w:t>
            </w:r>
            <w:r>
              <w:t xml:space="preserve"> следва </w:t>
            </w:r>
            <w:r>
              <w:rPr>
                <w:b/>
                <w:i/>
              </w:rPr>
              <w:t>да се подпомага само преходът към</w:t>
            </w:r>
            <w:r>
              <w:t xml:space="preserve"> нови работни места в нововъзникващи сектори, но и да се запазят и адаптират съществуващите работни места и сектори към </w:t>
            </w:r>
            <w:r>
              <w:rPr>
                <w:b/>
                <w:i/>
              </w:rPr>
              <w:t>неутрални по отношение на климата и чисти</w:t>
            </w:r>
            <w:r>
              <w:t xml:space="preserve"> промишлени отрасли и технологии </w:t>
            </w:r>
            <w:r>
              <w:rPr>
                <w:b/>
                <w:i/>
              </w:rPr>
              <w:t>за хората, които живеят в засегнатите територии</w:t>
            </w:r>
            <w:r>
              <w:t xml:space="preserve">; </w:t>
            </w:r>
            <w:r>
              <w:rPr>
                <w:b/>
                <w:i/>
              </w:rPr>
              <w:t>като има предвид, че е важно работниците и търсещите работа лица да се чувстват подкрепени при осъществяването на прехода, за да се насърчи разбирането и приемането на целите на стратегията за 2050 г.;</w:t>
            </w:r>
          </w:p>
        </w:tc>
        <w:tc>
          <w:tcPr>
            <w:tcW w:w="4876" w:type="dxa"/>
            <w:tcBorders>
              <w:top w:val="nil"/>
              <w:left w:val="nil"/>
              <w:bottom w:val="nil"/>
              <w:right w:val="nil"/>
            </w:tcBorders>
          </w:tcPr>
          <w:p>
            <w:pPr>
              <w:pStyle w:val="Normal6a"/>
            </w:pPr>
            <w:r>
              <w:t>Б.</w:t>
            </w:r>
            <w:r>
              <w:tab/>
            </w:r>
            <w:r>
              <w:t>като има предвид, че при управлението на прехода към икономика</w:t>
            </w:r>
            <w:r>
              <w:rPr>
                <w:b/>
                <w:i/>
              </w:rPr>
              <w:t>, която да бъде по-отговорна по отношение на генерираното замърсяване,</w:t>
            </w:r>
            <w:r>
              <w:t xml:space="preserve"> следва </w:t>
            </w:r>
            <w:r>
              <w:rPr>
                <w:b/>
                <w:i/>
              </w:rPr>
              <w:t>не само да се подкрепят инвестициите за</w:t>
            </w:r>
            <w:r>
              <w:t xml:space="preserve"> нови работни места в нововъзникващи сектори, но и да се запазят и адаптират съществуващите работни места и сектори към </w:t>
            </w:r>
            <w:r>
              <w:rPr>
                <w:b/>
                <w:i/>
              </w:rPr>
              <w:t>по-чисти</w:t>
            </w:r>
            <w:r>
              <w:t xml:space="preserve"> промишлени отрасли и технологии;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w:t>
            </w:r>
            <w:r>
              <w:rPr>
                <w:b/>
                <w:i/>
              </w:rPr>
              <w:t>неутрални по отношение на климата</w:t>
            </w:r>
            <w:r>
              <w:t xml:space="preserve"> и чисти промишлени отрасли и технологии за хората, които живеят в засегнатите територии; като има предвид, че е важно работниците и търсещите работа лица да се чувстват подкрепени при осъществяването на прехода, за да се насърчи разбирането и приемането на целите на стратегията за 2050 г.;</w:t>
            </w:r>
          </w:p>
        </w:tc>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w:t>
            </w:r>
            <w:r>
              <w:rPr>
                <w:b/>
                <w:i/>
              </w:rPr>
              <w:t>нисковъглеродни</w:t>
            </w:r>
            <w:r>
              <w:t xml:space="preserve"> и чисти промишлени отрасли и технологии за хората, които живеят в засегнатите територии</w:t>
            </w:r>
            <w:r>
              <w:rPr>
                <w:b/>
                <w:i/>
              </w:rPr>
              <w:t>;</w:t>
            </w:r>
            <w:r>
              <w:t xml:space="preserve"> </w:t>
            </w:r>
            <w:r>
              <w:rPr>
                <w:b/>
                <w:i/>
              </w:rPr>
              <w:t>като има предвид, че до 2050 г. ще трябва да бъдат преструктурирани цели региони и отрасли, които са зависими от изкопаеми горива</w:t>
            </w:r>
            <w:r>
              <w:t>; като има предвид, че е важно работниците и търсещите работа лица да се чувстват подкрепени при осъществяването на прехода, за да се насърчи разбирането и приемането на целите на стратегията за 2050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неутрални по отношение на климата и чисти промишлени отрасли и технологии за хората, които живеят в </w:t>
            </w:r>
            <w:r>
              <w:rPr>
                <w:b/>
                <w:i/>
              </w:rPr>
              <w:t>засегнатите</w:t>
            </w:r>
            <w:r>
              <w:t xml:space="preserve"> територии; като има предвид, че е важно работниците и търсещите работа лица да се чувстват подкрепени при осъществяването на прехода, за да се насърчи разбирането </w:t>
            </w:r>
            <w:r>
              <w:rPr>
                <w:b/>
                <w:i/>
              </w:rPr>
              <w:t>и</w:t>
            </w:r>
            <w:r>
              <w:t xml:space="preserve"> приемането на целите на стратегията за 2050 г.;</w:t>
            </w:r>
          </w:p>
        </w:tc>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неутрални по отношение на климата и чисти промишлени отрасли и технологии за хората, </w:t>
            </w:r>
            <w:r>
              <w:rPr>
                <w:b/>
                <w:i/>
              </w:rPr>
              <w:t>по-специално тези,</w:t>
            </w:r>
            <w:r>
              <w:t xml:space="preserve"> които живеят в </w:t>
            </w:r>
            <w:r>
              <w:rPr>
                <w:b/>
                <w:i/>
              </w:rPr>
              <w:t>по-силно засегнати</w:t>
            </w:r>
            <w:r>
              <w:t> територии; като има предвид, че е важно работниците и търсещите работа лица да се чувстват подкрепени при осъществяването на прехода, за да се насърчи разбирането</w:t>
            </w:r>
            <w:r>
              <w:rPr>
                <w:b/>
                <w:i/>
              </w:rPr>
              <w:t>,</w:t>
            </w:r>
            <w:r>
              <w:t xml:space="preserve"> приемането </w:t>
            </w:r>
            <w:r>
              <w:rPr>
                <w:b/>
                <w:i/>
              </w:rPr>
              <w:t>и ефективността</w:t>
            </w:r>
            <w:r>
              <w:t xml:space="preserve"> на целите на стратегията за 2050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въглеродно неутрална икономика не следва да се подпомага само преходът към нови работни места в нововъзникващи сектори, но и да се запазят и адаптират съществуващите работни места и сектори към неутрални по отношение на климата и чисти промишлени отрасли и технологии за хората, които живеят в засегнатите територии; като има предвид, че е важно работниците и търсещите работа лица </w:t>
            </w:r>
            <w:r>
              <w:rPr>
                <w:b/>
                <w:i/>
              </w:rPr>
              <w:t>да се чувстват подкрепени</w:t>
            </w:r>
            <w:r>
              <w:t xml:space="preserve"> при осъществяването на прехода, за да се насърчи разбирането и приемането на целите на стратегията за 2050 г.;</w:t>
            </w:r>
          </w:p>
        </w:tc>
        <w:tc>
          <w:tcPr>
            <w:tcW w:w="4876" w:type="dxa"/>
            <w:tcBorders>
              <w:top w:val="nil"/>
              <w:left w:val="nil"/>
              <w:bottom w:val="nil"/>
              <w:right w:val="nil"/>
            </w:tcBorders>
          </w:tcPr>
          <w:p>
            <w:pPr>
              <w:pStyle w:val="Normal6a"/>
            </w:pPr>
            <w:r>
              <w:t>Б.</w:t>
            </w:r>
            <w:r>
              <w:tab/>
            </w:r>
            <w:r>
              <w:t xml:space="preserve">като има предвид, че при управлението на прехода към въглеродно неутрална икономика не следва да се подпомага само преходът към нови </w:t>
            </w:r>
            <w:r>
              <w:rPr>
                <w:b/>
                <w:i/>
              </w:rPr>
              <w:t>качествени</w:t>
            </w:r>
            <w:r>
              <w:t xml:space="preserve"> работни места в нововъзникващи сектори, но и да се запазят и адаптират съществуващите работни места и сектори към неутрални по отношение на климата и чисти промишлени отрасли и технологии за хората, които живеят в засегнатите територии; като има предвид, че е важно </w:t>
            </w:r>
            <w:r>
              <w:rPr>
                <w:b/>
                <w:i/>
              </w:rPr>
              <w:t>всички хора, включително</w:t>
            </w:r>
            <w:r>
              <w:t xml:space="preserve"> работниците и търсещите работа лица</w:t>
            </w:r>
            <w:r>
              <w:rPr>
                <w:b/>
                <w:i/>
              </w:rPr>
              <w:t>, да бъдат подкрепяни</w:t>
            </w:r>
            <w:r>
              <w:t> при осъществяването на прехода, за да се насърчи разбирането и приемането на целите на стратегията за 2050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освен необходимостта да се гарантира, че достатъчно нови участници на пазара на труда придобиват изискваните умения за икономиката на бъдещето, друго предизвикателство е повишаването на квалификацията и преквалификацията на работниците, по-специално за да се отговори на настоящите и променящите се потребности на пазара на труда;</w:t>
            </w:r>
            <w:r>
              <w:t xml:space="preserve"> </w:t>
            </w:r>
            <w:r>
              <w:rPr>
                <w:b/>
                <w:i/>
              </w:rPr>
              <w:t>като има предвид, че това често е по-трудно за по-възрастните работници, и особено за нискоквалифицираните работници, които могат да се сблъскат с по-големи пречки при повишаването на квалификацията и конкуренцията за нови работни места;</w:t>
            </w:r>
            <w:r>
              <w:t xml:space="preserve"> </w:t>
            </w:r>
            <w:r>
              <w:rPr>
                <w:b/>
                <w:i/>
              </w:rPr>
              <w:t>като има предвид, че възниква и още едно предизвикателство, свързано с географското местоположение, тъй като работните места в нисковъглеродната икономика могат да бъдат създавани в региони, които са съвсем различни от тези, в които се губят работни места;</w:t>
            </w:r>
            <w:r>
              <w:t xml:space="preserve"> </w:t>
            </w:r>
            <w:r>
              <w:rPr>
                <w:b/>
                <w:i/>
              </w:rPr>
              <w:t>като има предвид, че следователно усилията в сферата на образованието и обучението трябва да бъдат тясно свързани с политиките за справедлив преход;</w:t>
            </w:r>
            <w:r>
              <w:t xml:space="preserve"> </w:t>
            </w:r>
            <w:r>
              <w:rPr>
                <w:b/>
                <w:i/>
              </w:rPr>
              <w:t>като има предвид, че работниците и общностите в неравностойно положение ще изискват целенасочена подкрепа, за да се гарантира, че те няма да бъдат изоставени;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екологичният преход изисква значителни инвестиции за преквалификация и повишаване на квалификацията, за да може на работниците да се предоставят изискваните технически умения, специфични за всяка професия, както и основни меки умения;</w:t>
            </w:r>
            <w:r>
              <w:t xml:space="preserve"> </w:t>
            </w:r>
            <w:r>
              <w:rPr>
                <w:b/>
                <w:i/>
              </w:rPr>
              <w:t>като има предвид, че недостигът на умения и недостигът на работна ръка на пазара на труда са почти неизбежни всеки път, когато се появява нов продукт или услуга, и че екологичната и цифровата икономика не са изключение от това правило;</w:t>
            </w:r>
            <w:r>
              <w:t xml:space="preserve"> </w:t>
            </w:r>
            <w:r>
              <w:rPr>
                <w:b/>
                <w:i/>
              </w:rPr>
              <w:t>и като има предвид, че интегрираният микс от политики, който съчетава развитието на умения, финанси и промишлена политика, е ключов фактор за конкурентоспособността, инвестициите и създаването на устойчиви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Бв.</w:t>
            </w:r>
            <w:r>
              <w:tab/>
            </w:r>
            <w:r>
              <w:rPr>
                <w:b/>
                <w:i/>
              </w:rPr>
              <w:t>като има предвид, че създаването на европейска карта на уменията и квалификациите е важен инструмент за повишаване на конкурентоспособността, за гарантиране на мобилността и връзката с пазара на труда и за подкрепа на предприемачите и компаниите при достъпа им до работна ръка, която да разполага както с технически, така и с трансверсални умения;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Бг.</w:t>
            </w:r>
            <w:r>
              <w:tab/>
            </w:r>
            <w:r>
              <w:rPr>
                <w:b/>
                <w:i/>
              </w:rPr>
              <w:t>като има предвид, че придобиването или подобряването на определени основни умения вероятно ще бъде от по-голямо значение за пригодността за заетост на дадено лице, отколкото уменията и компетентностите, които са много специфични за определени професии или технологии;</w:t>
            </w:r>
            <w:r>
              <w:t xml:space="preserve"> </w:t>
            </w:r>
            <w:r>
              <w:rPr>
                <w:b/>
                <w:i/>
              </w:rPr>
              <w:t>като има предвид, че компетентностите в областта на езиковата и математическата грамотност, както и при вземането на решения, работата в екип и комуникацията, са много важни, тъй като засягат способността на хората да работят добре в екипи, а по този начин се подобрява тяхната приспособимост и професионална мобилност;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Бд.</w:t>
            </w:r>
            <w:r>
              <w:tab/>
            </w:r>
            <w:r>
              <w:rPr>
                <w:b/>
                <w:i/>
              </w:rPr>
              <w:t>като има предвид, че икономическото преструктуриране в Европа изисква силно акцентиране върху конкурентоспособността и растежа;</w:t>
            </w:r>
            <w:r>
              <w:t xml:space="preserve"> </w:t>
            </w:r>
            <w:r>
              <w:rPr>
                <w:b/>
                <w:i/>
              </w:rPr>
              <w:t>като има предвид, че намаляването на бюрокрацията и осигуряването на ефективно използване на средствата са важни фактори за привличането на частни инвестиции;</w:t>
            </w:r>
            <w:r>
              <w:t xml:space="preserve"> </w:t>
            </w:r>
            <w:r>
              <w:rPr>
                <w:b/>
                <w:i/>
              </w:rPr>
              <w:t>като има предвид, че за предприемачите и субектите, които създават работни места, трябва да се осигурят подходящи условия за инвестиране и разширяване на дейността;</w:t>
            </w:r>
            <w:r>
              <w:t xml:space="preserve"> </w:t>
            </w:r>
            <w:r>
              <w:rPr>
                <w:b/>
                <w:i/>
              </w:rPr>
              <w:t>и като има предвид, че политиките във връзка с уменията следва да бъдат насочени към търсенето на пазара на труда, като се съчетават преквалификация, повишаване на квалификацията, професионално образование и обучение, както и учене през целия живот, за да се изгради работна сила, която да допринася за повишаването на стратегическата автономност на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Бе.</w:t>
            </w:r>
            <w:r>
              <w:tab/>
            </w:r>
            <w:r>
              <w:rPr>
                <w:b/>
                <w:i/>
              </w:rPr>
              <w:t>като има предвид, че европейските стратегии за умения, конкурентоспособност и инвестиции следва да създават възможности както за големите дружества, така и за МСП, като същевременно отговарят на националните, регионалните и местните потребности;</w:t>
            </w:r>
            <w:r>
              <w:t xml:space="preserve"> </w:t>
            </w:r>
            <w:r>
              <w:rPr>
                <w:b/>
                <w:i/>
              </w:rPr>
              <w:t>като има предвид, че политиките, които укрепват промишления капацитет, насърчават предприемачеството и изграждат работна сила с умения, адаптирани към местните реалности, са от съществено значение, за да се гарантира, че всички европейци могат да се възползват от растежа и иновациите;</w:t>
            </w:r>
            <w:r>
              <w:t xml:space="preserve"> </w:t>
            </w:r>
            <w:r>
              <w:rPr>
                <w:b/>
                <w:i/>
              </w:rPr>
              <w:t>като има предвид, че е важно жителите на градските и селските райони да подкрепят и да участват в един справедлив преход, който да балансира конкурентоспособността със солидарността, и че хората трябва да могат да бъдат сигурни, че тяхната работа, принос и начин на живот ще бъдат защитени и че никой няма да бъде изоставен;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 и социален диалог;</w:t>
            </w:r>
            <w:r>
              <w:t xml:space="preserve"> </w:t>
            </w:r>
            <w:r>
              <w:rPr>
                <w:b/>
                <w:i/>
              </w:rPr>
              <w:t>като има предвид, че само действия на равнището на Съюза могат да гарантират реална добавена стойност и едновременно социално сближаване във възходяща посока, за да се превърне в реалност обещанието „никой да не бъде изоставен“;</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 и социален диалог;</w:t>
            </w:r>
            <w:r>
              <w:t xml:space="preserve"> </w:t>
            </w:r>
            <w:r>
              <w:rPr>
                <w:b/>
                <w:i/>
              </w:rPr>
              <w:t>като има предвид, че само действия на равнището на Съюза могат да гарантират реална добавена стойност и едновременно социално сближаване във възходяща посока, за да се превърне в реалност обещанието „никой да не бъде изоставен“;</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w:t>
            </w:r>
            <w:r>
              <w:rPr>
                <w:b/>
                <w:i/>
              </w:rPr>
              <w:t>продължават да съществуват пропуски в законодателната и политическата рамка</w:t>
            </w:r>
            <w:r>
              <w:t xml:space="preserve">, когато става въпрос за смущения на работното място, права на работниците, социална закрила и социален диалог; като има предвид, че </w:t>
            </w:r>
            <w:r>
              <w:rPr>
                <w:b/>
                <w:i/>
              </w:rPr>
              <w:t>само действия на равнището на Съюза могат да гарантират реална</w:t>
            </w:r>
            <w:r>
              <w:t xml:space="preserve"> добавена стойност </w:t>
            </w:r>
            <w:r>
              <w:rPr>
                <w:b/>
                <w:i/>
              </w:rPr>
              <w:t>и едновременно социално сближаване във възходяща посока, за да се превърне в реалност обещанието „никой да не бъде изоставен“</w:t>
            </w:r>
            <w:r>
              <w:t>;</w:t>
            </w:r>
          </w:p>
        </w:tc>
        <w:tc>
          <w:tcPr>
            <w:tcW w:w="4876" w:type="dxa"/>
            <w:tcBorders>
              <w:top w:val="nil"/>
              <w:left w:val="nil"/>
              <w:bottom w:val="nil"/>
              <w:right w:val="nil"/>
            </w:tcBorders>
          </w:tcPr>
          <w:p>
            <w:pPr>
              <w:pStyle w:val="Normal6a"/>
            </w:pPr>
            <w:r>
              <w:t>В.</w:t>
            </w:r>
            <w:r>
              <w:tab/>
            </w:r>
            <w:r>
              <w:t xml:space="preserve">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w:t>
            </w:r>
            <w:r>
              <w:rPr>
                <w:b/>
                <w:i/>
              </w:rPr>
              <w:t>те трябва да бъдат преразгледани</w:t>
            </w:r>
            <w:r>
              <w:t xml:space="preserve">, когато става въпрос за смущения на работното място, права на работниците, социална закрила и социален диалог; като има предвид, че </w:t>
            </w:r>
            <w:r>
              <w:rPr>
                <w:b/>
                <w:i/>
              </w:rPr>
              <w:t>Съюзът следва да се фокусира върху подкрепата за държавите членки в някои области, в които европейското сътрудничество създава ясна</w:t>
            </w:r>
            <w:r>
              <w:t xml:space="preserve"> добавена стойност</w:t>
            </w:r>
            <w:r>
              <w:rPr>
                <w:b/>
                <w:i/>
              </w:rPr>
              <w:t>, като същевременно се избягват универсални подходи, които рискуват да подкопаят националните традиции и модели на пазара на труда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въпреки че редица важни законодателни и незаконодателни инициативи на Съюза имат за цел </w:t>
            </w:r>
            <w:r>
              <w:rPr>
                <w:b/>
                <w:i/>
              </w:rPr>
              <w:t>или могат</w:t>
            </w:r>
            <w:r>
              <w:t xml:space="preserve">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 и социален диалог; като има предвид, че само действия на равнището на </w:t>
            </w:r>
            <w:r>
              <w:rPr>
                <w:b/>
                <w:i/>
              </w:rPr>
              <w:t>Съюза</w:t>
            </w:r>
            <w:r>
              <w:t xml:space="preserve"> могат да гарантират реална добавена стойност </w:t>
            </w:r>
            <w:r>
              <w:rPr>
                <w:b/>
                <w:i/>
              </w:rPr>
              <w:t>и едновременно социално сближаване във възходяща посока, за да се превърне в реалност обещанието „никой да не бъде изоставен“</w:t>
            </w:r>
            <w:r>
              <w:t>;</w:t>
            </w:r>
          </w:p>
        </w:tc>
        <w:tc>
          <w:tcPr>
            <w:tcW w:w="4876" w:type="dxa"/>
            <w:tcBorders>
              <w:top w:val="nil"/>
              <w:left w:val="nil"/>
              <w:bottom w:val="nil"/>
              <w:right w:val="nil"/>
            </w:tcBorders>
          </w:tcPr>
          <w:p>
            <w:pPr>
              <w:pStyle w:val="Normal6a"/>
            </w:pPr>
            <w:r>
              <w:t>В.</w:t>
            </w:r>
            <w:r>
              <w:tab/>
            </w:r>
            <w:r>
              <w:t xml:space="preserve">като има предвид, че въпреки че редица важни законодателни и незаконодателни инициативи на Съюза </w:t>
            </w:r>
            <w:r>
              <w:rPr>
                <w:b/>
                <w:i/>
              </w:rPr>
              <w:t>и субсидии за данъкоплатците</w:t>
            </w:r>
            <w:r>
              <w:t xml:space="preserve"> имат за цел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 и социален диалог; като има предвид, че само действия на равнището на </w:t>
            </w:r>
            <w:r>
              <w:rPr>
                <w:b/>
                <w:i/>
              </w:rPr>
              <w:t>държавите членки</w:t>
            </w:r>
            <w:r>
              <w:t xml:space="preserve"> могат да гарантират реална добавена стойност;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 </w:t>
            </w:r>
            <w:r>
              <w:rPr>
                <w:b/>
                <w:i/>
              </w:rPr>
              <w:t>и</w:t>
            </w:r>
            <w:r>
              <w:t xml:space="preserve"> социален диалог; като има предвид, че само действия на равнището на Съюза могат да гарантират реална добавена стойност и едновременно социално сближаване във възходяща посока, за да се </w:t>
            </w:r>
            <w:r>
              <w:rPr>
                <w:b/>
                <w:i/>
              </w:rPr>
              <w:t>превърне</w:t>
            </w:r>
            <w:r>
              <w:t xml:space="preserve"> в реалност обещанието „никой да не бъде изоставен“;</w:t>
            </w:r>
          </w:p>
        </w:tc>
        <w:tc>
          <w:tcPr>
            <w:tcW w:w="4876" w:type="dxa"/>
            <w:tcBorders>
              <w:top w:val="nil"/>
              <w:left w:val="nil"/>
              <w:bottom w:val="nil"/>
              <w:right w:val="nil"/>
            </w:tcBorders>
          </w:tcPr>
          <w:p>
            <w:pPr>
              <w:pStyle w:val="Normal6a"/>
            </w:pPr>
            <w:r>
              <w:t>В.</w:t>
            </w:r>
            <w:r>
              <w:tab/>
            </w:r>
            <w:r>
              <w:t xml:space="preserve">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w:t>
            </w:r>
            <w:r>
              <w:rPr>
                <w:b/>
                <w:i/>
              </w:rPr>
              <w:t>ЕФПГ,</w:t>
            </w:r>
            <w:r>
              <w:t xml:space="preserve"> Съюзът на уменията, Социалният фонд за климата, ЕСФ + и МВУ),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w:t>
            </w:r>
            <w:r>
              <w:rPr>
                <w:b/>
                <w:i/>
              </w:rPr>
              <w:t>,</w:t>
            </w:r>
            <w:r>
              <w:t xml:space="preserve"> социален диалог </w:t>
            </w:r>
            <w:r>
              <w:rPr>
                <w:b/>
                <w:i/>
              </w:rPr>
              <w:t>и възможности за образование и обучение</w:t>
            </w:r>
            <w:r>
              <w:t xml:space="preserve">; като има предвид, че само действия на равнището на Съюза могат да гарантират реална добавена стойност и едновременно социално сближаване във възходяща посока, за да се </w:t>
            </w:r>
            <w:r>
              <w:rPr>
                <w:b/>
                <w:i/>
              </w:rPr>
              <w:t>превърнат</w:t>
            </w:r>
            <w:r>
              <w:t xml:space="preserve"> в реалност обещанието „никой да не бъде изоставен“</w:t>
            </w:r>
            <w:r>
              <w:rPr>
                <w:b/>
                <w:i/>
              </w:rPr>
              <w:t> и принципите на европейския стълб на социалните права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 и социален диалог; като има предвид, че само действия на равнището на Съюза могат да гарантират реална добавена стойност и едновременно социално сближаване във възходяща посока, за да се превърне в реалност обещанието „никой да не бъде изоставен“;</w:t>
            </w:r>
          </w:p>
        </w:tc>
        <w:tc>
          <w:tcPr>
            <w:tcW w:w="4876" w:type="dxa"/>
            <w:tcBorders>
              <w:top w:val="nil"/>
              <w:left w:val="nil"/>
              <w:bottom w:val="nil"/>
              <w:right w:val="nil"/>
            </w:tcBorders>
          </w:tcPr>
          <w:p>
            <w:pPr>
              <w:pStyle w:val="Normal6a"/>
            </w:pPr>
            <w:r>
              <w:t>В.</w:t>
            </w:r>
            <w:r>
              <w:tab/>
            </w:r>
            <w:r>
              <w:t xml:space="preserve">като има предвид, че въпреки че редица важни законодателни и незаконодателни инициативи на Съюза имат за цел или могат да спомогнат за справяне с въздействието на двойния преход (по-специално Механизмът за справедлив преход, ФСП, Съюзът на уменията, Социалният фонд за климата, ЕСФ + и МВУ) </w:t>
            </w:r>
            <w:r>
              <w:rPr>
                <w:b/>
                <w:i/>
              </w:rPr>
              <w:t>и за повишаване на конкурентоспособността</w:t>
            </w:r>
            <w:r>
              <w:t>, продължават да съществуват пропуски в законодателната и политическата рамка, когато става въпрос за смущения на работното място, права на работниците, социална закрила и социален диалог; като има предвид, че само действия на равнището на Съюза могат да гарантират реална добавена стойност и едновременно социално сближаване във възходяща посока, за да се превърне в реалност обещанието „никой да не бъде изоставен“;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според проучване на Eurofound</w:t>
            </w:r>
            <w:r>
              <w:rPr>
                <w:b/>
                <w:i/>
                <w:vertAlign w:val="superscript"/>
              </w:rPr>
              <w:t>1б</w:t>
            </w:r>
            <w:r>
              <w:t xml:space="preserve"> </w:t>
            </w:r>
            <w:r>
              <w:rPr>
                <w:b/>
                <w:i/>
              </w:rPr>
              <w:t>аспектите, свързани с двойния преход, почти не са включени в колективните трудови договори, а представителите на работниците изглежда участват в по-малка степен при преструктурирането на предприятия във връзка с екологичния и цифровия преход, отколкото при други случаи на преструктуриране;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1б</w:t>
            </w:r>
            <w:r>
              <w:t xml:space="preserve"> </w:t>
            </w:r>
            <w:r>
              <w:rPr>
                <w:b/>
                <w:i/>
              </w:rPr>
              <w:t>Eurofound (2024 г.), Създаване на нов социален договор за справедлив преход:</w:t>
            </w:r>
            <w:r>
              <w:t xml:space="preserve"> </w:t>
            </w:r>
            <w:r>
              <w:rPr>
                <w:b/>
                <w:i/>
              </w:rPr>
              <w:t>функционира ли партньорството?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w:t>
            </w:r>
            <w:r>
              <w:tab/>
            </w:r>
            <w:r>
              <w:rPr>
                <w:b/>
                <w:i/>
              </w:rPr>
              <w:t>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w:t>
            </w:r>
            <w:r>
              <w:t xml:space="preserve"> </w:t>
            </w:r>
            <w:r>
              <w:rPr>
                <w:b/>
                <w:i/>
              </w:rPr>
              <w:t>като има предвид, че в доклада на Драги се отбелязва, че почти 80% от малките и средните предприятия срещат трудности при намирането на работници с подходящ набор от умения;</w:t>
            </w:r>
            <w:r>
              <w:t xml:space="preserve"> </w:t>
            </w:r>
            <w:r>
              <w:rPr>
                <w:b/>
                <w:i/>
              </w:rPr>
              <w:t>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в доклада на Драги се отбелязва, че почти 80% от малките и средните предприятия срещат трудности при намирането на работници с подходящ набор от умения; 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w:t>
            </w:r>
          </w:p>
        </w:tc>
        <w:tc>
          <w:tcPr>
            <w:tcW w:w="4876" w:type="dxa"/>
            <w:tcBorders>
              <w:top w:val="nil"/>
              <w:left w:val="nil"/>
              <w:bottom w:val="nil"/>
              <w:right w:val="nil"/>
            </w:tcBorders>
          </w:tcPr>
          <w:p>
            <w:pPr>
              <w:pStyle w:val="Normal6a"/>
            </w:pPr>
            <w:r>
              <w:t>Г.</w:t>
            </w:r>
            <w:r>
              <w:tab/>
            </w:r>
            <w:r>
              <w:rPr>
                <w:b/>
                <w:i/>
              </w:rPr>
              <w:t>като има предвид, че чрез инвестиции за развитие на висококвалифицирани умения ЕС може да насърчи благоприятен цикъл на повишена производителност, по-високи заплати и по-голямо равенство в икономическо отношение;</w:t>
            </w:r>
            <w:r>
              <w:t xml:space="preserve"> </w:t>
            </w:r>
            <w:r>
              <w:rPr>
                <w:b/>
                <w:i/>
              </w:rPr>
              <w:t>като има предвид, че почти 50% от възрастните може да се нуждаят от повишаване на квалификацията или от преквалификация</w:t>
            </w:r>
            <w:r>
              <w:rPr>
                <w:b/>
                <w:i/>
                <w:vertAlign w:val="superscript"/>
              </w:rPr>
              <w:t>1a</w:t>
            </w:r>
            <w:r>
              <w:rPr>
                <w:b/>
                <w:i/>
              </w:rPr>
              <w:t>;</w:t>
            </w:r>
            <w:r>
              <w:t xml:space="preserve"> </w:t>
            </w:r>
            <w:r>
              <w:rPr>
                <w:b/>
                <w:i/>
              </w:rPr>
              <w:t>като има предвид, че само енергийният сектор на ЕС ще изисква най-малко 145 000 квалифицирани работници до 2030 г.</w:t>
            </w:r>
            <w:r>
              <w:rPr>
                <w:b/>
                <w:i/>
                <w:vertAlign w:val="superscript"/>
              </w:rPr>
              <w:t>2a</w:t>
            </w:r>
            <w:r>
              <w:rPr>
                <w:b/>
                <w:i/>
              </w:rPr>
              <w:t>;</w:t>
            </w:r>
            <w:r>
              <w:t xml:space="preserve"> </w:t>
            </w:r>
            <w:r>
              <w:rPr>
                <w:b/>
                <w:i/>
              </w:rPr>
              <w:t>като има предвид, че чистите технологии са един от двигателите за икономическия просперитет в Европа, като те допринасят за 30% от растежа в ЕС и са създали милиони работни места само през 2023 г.</w:t>
            </w:r>
            <w:r>
              <w:rPr>
                <w:b/>
                <w:i/>
                <w:vertAlign w:val="superscript"/>
              </w:rPr>
              <w:t>3a</w:t>
            </w:r>
            <w:r>
              <w:rPr>
                <w:b/>
                <w:i/>
              </w:rPr>
              <w:t>;</w:t>
            </w:r>
            <w:r>
              <w:t xml:space="preserve"> 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в доклада на Драги се отбелязва, че почти 80% от малките и средните предприятия срещат трудности при намирането на работници с подходящ набор от умения; 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 </w:t>
            </w:r>
            <w:r>
              <w:rPr>
                <w:b/>
                <w:i/>
              </w:rPr>
              <w:t>като има предвид, че недостигът на умения рискува да засегне по-непропорционално възрастните и нискоквалифицираните работници, както и жените;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https://www.cedefop.europa.eu/en/publications/4223#group-downloads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https://op.europa.eu/en/publication-detail/-/publication/4826f429-0545-11f0-b1a3-01aa75ed71a1/language-en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https://www.cedefop.europa.eu/en/news/green-transition-creates-more-jobs-it-destroys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w:t>
            </w:r>
            <w:r>
              <w:rPr>
                <w:b/>
                <w:i/>
              </w:rPr>
              <w:t>,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w:t>
            </w:r>
            <w:r>
              <w:t xml:space="preserve"> </w:t>
            </w:r>
            <w:r>
              <w:rPr>
                <w:b/>
                <w:i/>
              </w:rPr>
              <w:t>като има предвид, че в доклада на Драги се отбелязва</w:t>
            </w:r>
            <w:r>
              <w:t xml:space="preserve">, че почти 80% от малките и средните предприятия срещат трудности при намирането на работници с подходящ набор от умения; </w:t>
            </w:r>
            <w:r>
              <w:rPr>
                <w:b/>
                <w:i/>
              </w:rPr>
              <w:t>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w:t>
            </w:r>
          </w:p>
        </w:tc>
        <w:tc>
          <w:tcPr>
            <w:tcW w:w="4876" w:type="dxa"/>
            <w:tcBorders>
              <w:top w:val="nil"/>
              <w:left w:val="nil"/>
              <w:bottom w:val="nil"/>
              <w:right w:val="nil"/>
            </w:tcBorders>
          </w:tcPr>
          <w:p>
            <w:pPr>
              <w:pStyle w:val="Normal6a"/>
            </w:pPr>
            <w:r>
              <w:t>Г.</w:t>
            </w:r>
            <w:r>
              <w:tab/>
            </w:r>
            <w:r>
              <w:t>като има предвид, че почти 80% от малките и средните предприятия срещат трудности при намирането на работници с подходящ набор от умения;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w:t>
            </w:r>
            <w:r>
              <w:rPr>
                <w:b/>
                <w:i/>
              </w:rPr>
              <w:t>в доклада на Драги се отбелязва, че</w:t>
            </w:r>
            <w:r>
              <w:t xml:space="preserve"> почти </w:t>
            </w:r>
            <w:r>
              <w:rPr>
                <w:b/>
                <w:i/>
              </w:rPr>
              <w:t>80% от малките и средните</w:t>
            </w:r>
            <w:r>
              <w:t xml:space="preserve"> предприятия </w:t>
            </w:r>
            <w:r>
              <w:rPr>
                <w:b/>
                <w:i/>
              </w:rPr>
              <w:t>срещат</w:t>
            </w:r>
            <w:r>
              <w:t xml:space="preserve"> трудности при намирането на работници с </w:t>
            </w:r>
            <w:r>
              <w:rPr>
                <w:b/>
                <w:i/>
              </w:rPr>
              <w:t>подходящ</w:t>
            </w:r>
            <w:r>
              <w:t xml:space="preserve"> набор от умения; като има предвид, че </w:t>
            </w:r>
            <w:r>
              <w:rPr>
                <w:b/>
                <w:i/>
              </w:rPr>
              <w:t>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w:t>
            </w:r>
            <w:r>
              <w:t xml:space="preserve"> системи </w:t>
            </w:r>
            <w:r>
              <w:rPr>
                <w:b/>
                <w:i/>
              </w:rPr>
              <w:t>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w:t>
            </w:r>
            <w:r>
              <w:t>;</w:t>
            </w:r>
          </w:p>
        </w:tc>
        <w:tc>
          <w:tcPr>
            <w:tcW w:w="4876" w:type="dxa"/>
            <w:tcBorders>
              <w:top w:val="nil"/>
              <w:left w:val="nil"/>
              <w:bottom w:val="nil"/>
              <w:right w:val="nil"/>
            </w:tcBorders>
          </w:tcPr>
          <w:p>
            <w:pPr>
              <w:pStyle w:val="Normal6a"/>
            </w:pPr>
            <w:r>
              <w:t>Г.</w:t>
            </w:r>
            <w:r>
              <w:tab/>
            </w:r>
            <w:r>
              <w:t xml:space="preserve">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почти </w:t>
            </w:r>
            <w:r>
              <w:rPr>
                <w:b/>
                <w:i/>
              </w:rPr>
              <w:t>4 от всеки 5 малки и средни</w:t>
            </w:r>
            <w:r>
              <w:t xml:space="preserve"> предприятия </w:t>
            </w:r>
            <w:r>
              <w:rPr>
                <w:b/>
                <w:i/>
              </w:rPr>
              <w:t>в ЕС съобщават за</w:t>
            </w:r>
            <w:r>
              <w:t xml:space="preserve"> трудности при намирането на работници с </w:t>
            </w:r>
            <w:r>
              <w:rPr>
                <w:b/>
                <w:i/>
              </w:rPr>
              <w:t>подходящия</w:t>
            </w:r>
            <w:r>
              <w:t xml:space="preserve"> набор от умения; като има предвид, че </w:t>
            </w:r>
            <w:r>
              <w:rPr>
                <w:b/>
                <w:i/>
              </w:rPr>
              <w:t>влошаващите се</w:t>
            </w:r>
            <w:r>
              <w:t xml:space="preserve"> системи </w:t>
            </w:r>
            <w:r>
              <w:rPr>
                <w:b/>
                <w:i/>
              </w:rPr>
              <w:t>за образование и обучение, и по-специално за образование и обучение на възрастни, не могат да подготвят работната сила за двойния преход;</w:t>
            </w:r>
            <w:r>
              <w:t xml:space="preserve"> </w:t>
            </w:r>
            <w:r>
              <w:rPr>
                <w:b/>
                <w:i/>
              </w:rPr>
              <w:t>като има предвид, че участието в обучения за възрастни продължава да бъде недостатъчно, тъй като едва 39,5% от възрастните участват в обучения на годишна основа</w:t>
            </w:r>
            <w:r>
              <w:rPr>
                <w:b/>
                <w:i/>
                <w:vertAlign w:val="superscript"/>
              </w:rPr>
              <w:t>1a</w:t>
            </w:r>
            <w:r>
              <w:rPr>
                <w:b/>
                <w:i/>
              </w:rPr>
              <w:t>, което е много под целта за най-малко 60% до 2030 г., и че за да се постигне тази цел, още приблизително 50 милиона работници ще трябва да получат обучение</w:t>
            </w:r>
            <w:r>
              <w:rPr>
                <w:b/>
                <w:i/>
                <w:vertAlign w:val="superscript"/>
              </w:rPr>
              <w:t>1б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https://eur-lex.europa.eu/legal-content/BG/TXT/HTML/?uri=CELEX:52025DC0090&amp;qid=1751954841132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1б</w:t>
            </w:r>
            <w:r>
              <w:t xml:space="preserve"> </w:t>
            </w:r>
            <w:r>
              <w:rPr>
                <w:b/>
                <w:i/>
              </w:rPr>
              <w:t>Докладът „Драги“, стр.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в доклада на Драги се отбелязва, че почти 80% от малките и средните предприятия срещат трудности при намирането на работници с подходящ набор от умения; 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w:t>
            </w:r>
          </w:p>
        </w:tc>
        <w:tc>
          <w:tcPr>
            <w:tcW w:w="4876" w:type="dxa"/>
            <w:tcBorders>
              <w:top w:val="nil"/>
              <w:left w:val="nil"/>
              <w:bottom w:val="nil"/>
              <w:right w:val="nil"/>
            </w:tcBorders>
          </w:tcPr>
          <w:p>
            <w:pPr>
              <w:pStyle w:val="Normal6a"/>
            </w:pPr>
            <w:r>
              <w:t>Г.</w:t>
            </w:r>
            <w:r>
              <w:tab/>
            </w:r>
            <w:r>
              <w:t xml:space="preserve">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в доклада на Драги се отбелязва, че почти 80% от малките и средните предприятия срещат трудности при намирането на работници с подходящ набор от умения; 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 </w:t>
            </w:r>
            <w:r>
              <w:rPr>
                <w:b/>
                <w:i/>
              </w:rPr>
              <w:t>като има предвид, че силните и целесъобразно финансирани системи за социално подпомагане и социална закрила са предпоставка за гарантирането на справедлив и честен преход към неутралност по отношение на климата и цифрова трансформация;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в доклада на Драги се отбелязва, че почти 80% от малките и средните предприятия срещат трудности при намирането на работници с подходящ набор от умения; 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w:t>
            </w:r>
          </w:p>
        </w:tc>
        <w:tc>
          <w:tcPr>
            <w:tcW w:w="4876" w:type="dxa"/>
            <w:tcBorders>
              <w:top w:val="nil"/>
              <w:left w:val="nil"/>
              <w:bottom w:val="nil"/>
              <w:right w:val="nil"/>
            </w:tcBorders>
          </w:tcPr>
          <w:p>
            <w:pPr>
              <w:pStyle w:val="Normal6a"/>
            </w:pPr>
            <w:r>
              <w:t>Г.</w:t>
            </w:r>
            <w:r>
              <w:tab/>
            </w:r>
            <w:r>
              <w:t xml:space="preserve">като има предвид, че в доклада на Драги постоянният недостиг на умения се определя като пречка пред иновациите, внедряването на технологии и усилията за декарбонизация, което от своя страна възпрепятства растежа и конкурентоспособността; като има предвид, че в доклада на Драги се отбелязва, че почти 80% от малките и средните предприятия срещат трудности при намирането на работници с подходящ набор от умения; като има предвид, че в доклада на Драги допълнително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решаващо значение за предоставянето на силни обществени услуги, социална закрила, жилищно настаняване, транспорт и грижи за деца по време на прехода </w:t>
            </w:r>
            <w:r>
              <w:rPr>
                <w:b/>
                <w:i/>
              </w:rPr>
              <w:t>— с други думи, надяваме се, че ще получаваме достатъчно средства от това, което е останало от нашата промишленост, за да се плаща на лицата, които няма да работят или не могат да работят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в доклада на Драги също така се признава значението на европейския социален модел и се подчертава, че насърчаването на конкурентоспособността не следва да се основава на потискане на заплатите с цел намаляване на относителните разходи;</w:t>
            </w:r>
            <w:r>
              <w:t xml:space="preserve"> </w:t>
            </w:r>
            <w:r>
              <w:rPr>
                <w:b/>
                <w:i/>
              </w:rPr>
              <w:t>като има предвид, че всички нови „екологични“ работни места, които се създават, следва да бъдат висококачествени работни места;</w:t>
            </w:r>
            <w:r>
              <w:t xml:space="preserve"> </w:t>
            </w:r>
            <w:r>
              <w:rPr>
                <w:b/>
                <w:i/>
              </w:rPr>
              <w:t>като има предвид, че качествените работни места следва да включват следните аспекти: (i) колективно договаряне, (ii) пълно зачитане на правата на работниците и синдикатите, (iii) справедливо заплащане, (iv) сигурност на работното място и социална закрила, (v) безплатно обучение в рамките на работното време, (vi) добри условия на труд, (vii) здравословни и безопасни условия на труд, (viii) баланс между професионалния и личния живот, (ix) равенство и недискриминация;</w:t>
            </w:r>
            <w:r>
              <w:t xml:space="preserve"> </w:t>
            </w:r>
            <w:r>
              <w:rPr>
                <w:b/>
                <w:i/>
              </w:rPr>
              <w:t>като има предвид, че добрите условия на труд, социалният диалог и колективното договаряне са абсолютно необходими фактори за европейските социални системи, за конкурентоспособността на Съюза, както и за демокрацията;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качествените работни места, които включват, наред с другото, достойни възнаграждения, стандартни трудови договори, достъп до социална закрила, възможности за учене през целия живот, високи стандарти на здравословни и безопасни условия на труд, разумно работно време с добър баланс между професионалния и личния живот, представителство на работниците, демокрация на работното място и колективни трудови договори, играят решаваща роля за привличането и задържането на работната сила;</w:t>
            </w:r>
            <w:r>
              <w:t xml:space="preserve"> </w:t>
            </w:r>
            <w:r>
              <w:rPr>
                <w:b/>
                <w:i/>
              </w:rPr>
              <w:t>като има предвид, че достъпът до качествено и приобщаващо образование, обучение и учене през целия живот за всички хора е от съществено значение, за да се гарантира, че работната сила притежава необходимите умения за осъществяване на цифровия и екологичния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е необходимо да се укрепи административният и техническият капацитет на различните заинтересовани страни;</w:t>
            </w:r>
            <w:r>
              <w:t xml:space="preserve"> </w:t>
            </w:r>
            <w:r>
              <w:rPr>
                <w:b/>
                <w:i/>
              </w:rPr>
              <w:t>като има предвид, че държавите членки все още са изправени пред значителни предизвикателства във връзка с ефективното управление и изпълнение на фондовете на ЕС на местно равнище, както и при оценката на различните въздействия на политиките в областта на климата;</w:t>
            </w:r>
            <w:r>
              <w:t xml:space="preserve"> </w:t>
            </w:r>
            <w:r>
              <w:rPr>
                <w:b/>
                <w:i/>
              </w:rPr>
              <w:t>и като има предвид, че е важно да се разработят политики, които да насърчават икономическите възможности, по-специално в селските райони, с цел да се привлекат инвестиции, да се подкрепят предприятията, да се създадат работни места на местно равнище и хората да могат да останат в своите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МСП са гръбнакът на европейската икономика и че те създават голям дял от постоянните работни места на местно равнище;</w:t>
            </w:r>
            <w:r>
              <w:t xml:space="preserve"> </w:t>
            </w:r>
            <w:r>
              <w:rPr>
                <w:b/>
                <w:i/>
              </w:rPr>
              <w:t>като има предвид, че за да може да се осъществи справедлив преход в сферата на заетостта, за МСП трябва да се въведе справедлив пакет от мерки за опростяване със специфични разпоредби, например удължени преходни периоди и опростени изисквания за МСП;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климатичният алармизъм, включително неверните послания за опасностите от естественото изменение на климата, биологичното разнообразие и недостига на горива, създава изкуствена паника, която да оправдае въвеждането на законодателство, насочено срещу промишлеността, а това ще способства за прехвърляне на бизнеса от Съюза към трети държави, по-специално Китай и Индия;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в доклада на Драги също така се подчертава необходимостта да се гарантира, че ръстът на производителността и социалното приобщаване вървят ръка за ръка със социалните системи на държавите членки, които са много важни за осигуряването на надеждни обществени услуги, социална закрила, жилищно настаняване, транспорт и грижи за децата по време на прехода;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успехът на справедливия преход зависи от публичните инвестиции, преразпределението на ресурсите и силните мрежи за социална закрила, с цел да се гарантира, че нито един работник или нито една общност няма да бъдат изоставени;</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в доклада на Енрико Лета се счита, че „свободата на оставане“ следва да се разглежда като другата страна на една и съща монета, заедно със свободата на движение;</w:t>
            </w:r>
            <w:r>
              <w:t xml:space="preserve"> </w:t>
            </w:r>
            <w:r>
              <w:rPr>
                <w:b/>
                <w:i/>
              </w:rPr>
              <w:t>като има предвид, че в доклада „Лета“ свободата на движение се разглежда като основно право и свободен избор, а не като необходимост от компенсиране на липсата на привлекателни и достойни работни места в някои региони;</w:t>
            </w:r>
            <w:r>
              <w:t xml:space="preserve"> </w:t>
            </w:r>
            <w:r>
              <w:rPr>
                <w:b/>
                <w:i/>
              </w:rPr>
              <w:t>като има предвид, че в доклада се подчертава необходимостта да се осигурят възможности за гражданите във всички региони на Съюза, и по-специално за лицата, които са пренебрегнати, включително потребностите от качествени работни места, както и необходимостта от преодоляване на неравенствата във и между отделните държави</w:t>
            </w:r>
            <w:r>
              <w:rPr>
                <w:b/>
                <w:i/>
                <w:vertAlign w:val="superscript"/>
              </w:rPr>
              <w:t>2a</w:t>
            </w:r>
            <w:r>
              <w:rPr>
                <w:b/>
                <w:i/>
              </w:rPr>
              <w:t>;</w:t>
            </w:r>
            <w:r>
              <w:t xml:space="preserve"> </w:t>
            </w:r>
            <w:r>
              <w:rPr>
                <w:b/>
                <w:i/>
              </w:rPr>
              <w:t>като има предвид, че ако не бъде планиран и подкрепен по подходящ начин, екологичният преход би могъл да засегне в несъразмерно по-голяма степен</w:t>
            </w:r>
            <w:r>
              <w:rPr>
                <w:b/>
                <w:i/>
                <w:vertAlign w:val="superscript"/>
              </w:rPr>
              <w:t>3a</w:t>
            </w:r>
            <w:r>
              <w:t xml:space="preserve"> </w:t>
            </w:r>
            <w:r>
              <w:rPr>
                <w:b/>
                <w:i/>
              </w:rPr>
              <w:t>уязвимите региони от Източна и Южна Европа по отношение на рисковете от безработица и загубата на работни места;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https://op.europa.eu/en/publication-detail/-/publication/24c7aa49-2451-11ee-94cb-01aa75ed71a1/language-en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според доклада на Комисията относно заетостта и социалното развитие в Европа за 2024 г. (ESDE 2024)</w:t>
            </w:r>
            <w:r>
              <w:rPr>
                <w:b/>
                <w:i/>
                <w:vertAlign w:val="superscript"/>
              </w:rPr>
              <w:t>1a</w:t>
            </w:r>
            <w:r>
              <w:t xml:space="preserve"> </w:t>
            </w:r>
            <w:r>
              <w:rPr>
                <w:b/>
                <w:i/>
              </w:rPr>
              <w:t>ограниченията за участие в образователни и обучителни дейности за възрастни са свързани с някои пречки, като например усещането за липса на необходимост, недостатъчно предлагане или трудности при достъпа до подходящо качествено обучение, припокриване на дейности в графика, семейни отговорности и финансови ограничения;</w:t>
            </w:r>
            <w:r>
              <w:t xml:space="preserve"> </w:t>
            </w:r>
            <w:r>
              <w:rPr>
                <w:b/>
                <w:i/>
              </w:rPr>
              <w:t>като има предвид, че в доклада на Драги се призовава ЕС да гарантира, че всички работници имат право на образование и преквалификация, което да им позволи да преминат към нови роли, когато техните предприятия внедрят нови технологии, или да заемат добри работни места в нови сектори</w:t>
            </w:r>
            <w:r>
              <w:rPr>
                <w:b/>
                <w:i/>
                <w:vertAlign w:val="superscript"/>
              </w:rPr>
              <w:t>1б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https://employment-social-affairs.ec.europa.eu/employment-and-social-developments-europe-2024-upward-social-convergence-eu-and-role-social_en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1б</w:t>
            </w:r>
            <w:r>
              <w:t xml:space="preserve"> </w:t>
            </w:r>
            <w:r>
              <w:rPr>
                <w:b/>
                <w:i/>
              </w:rPr>
              <w:t>Докладът „Драги“, стр.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географията на труда все още се определя от рязкото разделение между държавите от северозападната част на Европа и югоизточните държави, с т.нар. „син коридор“, който се простира от Южна Швеция през Дания, Северна Германия, Австрия и Нидерландия, където процентът на заетост е 78% или повече, докато повечето южни държави (Испания, Гърция, южна Италия, източна Хърватия, България и Румъния) остават под 68%;</w:t>
            </w:r>
            <w:r>
              <w:t xml:space="preserve"> </w:t>
            </w:r>
            <w:r>
              <w:rPr>
                <w:b/>
                <w:i/>
              </w:rPr>
              <w:t>като има предвид, че в зависимите от въглища територии се добавя и още едно ниво на уязвимост:</w:t>
            </w:r>
            <w:r>
              <w:t xml:space="preserve"> </w:t>
            </w:r>
            <w:r>
              <w:rPr>
                <w:b/>
                <w:i/>
              </w:rPr>
              <w:t>равнището на заетост е с 10-15% под средното за ЕС</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Just Transition on the World of Work (Справедлив преход в сферата на труда), Тематичен отдел по транспорт, заетост и социални въпроси, Генерална дирекция по сближаването, селското стопанство и социалните политики, Изабела Марчинковска, Вероника Хвоздикова, септември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Гв.</w:t>
            </w:r>
            <w:r>
              <w:tab/>
            </w:r>
            <w:r>
              <w:rPr>
                <w:b/>
                <w:i/>
              </w:rPr>
              <w:t>като има предвид, че се очаква пътната карта за качествени работни места да насърчава мерки, които да подкрепят държавите членки и промишлените отрасли с цел осигуряване на достойни условия на труд и достъп до обучение, установяване на високи стандарти за здравословни и безопасни условия на труд, гарантиране за работниците и самонаетите лица на справедлив преход между различните работни места, както и колективно договаряне, за да могат да се привличат таланти и да се допринася за конкурентоспособността на европейските промишлени отрасли;</w:t>
            </w:r>
            <w:r>
              <w:t xml:space="preserve"> </w:t>
            </w:r>
            <w:r>
              <w:rPr>
                <w:b/>
                <w:i/>
              </w:rPr>
              <w:t>като има предвид, че в този контекст се очаква Комисията да обсъди със социалните партньори рамка за подкрепа на процесите на преструктуриране на равнището на ЕС и на ниво държави членки;</w:t>
            </w:r>
            <w:r>
              <w:t xml:space="preserve"> </w:t>
            </w:r>
            <w:r>
              <w:rPr>
                <w:b/>
                <w:i/>
              </w:rPr>
              <w:t>като има предвид, че рамката ще бъде насочена към справедлив преход, към правото на обучение, към предвиждане на промените, към ранна намеса, когато е налице заплаха от преструктуриране, и към по-добро информиране и консултиране.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Гв.</w:t>
            </w:r>
            <w:r>
              <w:tab/>
            </w:r>
            <w:r>
              <w:rPr>
                <w:b/>
                <w:i/>
              </w:rPr>
              <w:t>като има предвид, че от 2012 г. насам в Съюза се наблюдава нова вълна на сближаване на доходите, като в някои бивши въгледобивни райони или райони с тежка промишленост в Полша, Унгария и Източна Германия, се наблюдава по-бърз растеж от средното за ЕС, докато в други региони, като например Южна Италия, голяма част от Гърция и няколко румънски региона, се отчита слабо или никакво догонване по отношение на БВП</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Справедлив преход в сферата на труда, Изследване за комисията EMPL, септември 2025 г. https://www.europarl.europa.eu/RegData/etudes/STUD/2025/759354/CASP_STU (2025) 759354_EN.pdf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Гв.</w:t>
            </w:r>
            <w:r>
              <w:tab/>
            </w:r>
            <w:r>
              <w:rPr>
                <w:b/>
                <w:i/>
              </w:rPr>
              <w:t>като има предвид, че изпълнението на Фонда за справедлив преход е бавно, както се вижда от процента на плащанията, който е едва 32,2% към края на 2024 г.</w:t>
            </w:r>
            <w:r>
              <w:rPr>
                <w:b/>
                <w:i/>
                <w:vertAlign w:val="superscript"/>
              </w:rPr>
              <w:t>1г</w:t>
            </w:r>
            <w:r>
              <w:rPr>
                <w:b/>
                <w:i/>
              </w:rPr>
              <w:t>;</w:t>
            </w:r>
            <w:r>
              <w:t xml:space="preserve"> </w:t>
            </w:r>
            <w:r>
              <w:rPr>
                <w:b/>
                <w:i/>
              </w:rPr>
              <w:t>като има предвид, че броят на работните места, създадени чрез ФСП, не е на път да покрие броя на местата, за които се прогнозира, че ще бъдат закрити при преминаването от въглеродно интензивни промишлени отрасли към по-чисти технологии;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1г</w:t>
            </w:r>
            <w:r>
              <w:t xml:space="preserve"> </w:t>
            </w:r>
            <w:r>
              <w:rPr>
                <w:b/>
                <w:i/>
              </w:rPr>
              <w:t>Механизъм за справедлив преход — изпълнение за 2025 г., Европейска комисия https://commission.europa.eu/strategy-and-policy/eu-budget/performance-and-reporting/programme-performance-statements/just-transition-mechanism-performance_en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Гг.</w:t>
            </w:r>
            <w:r>
              <w:tab/>
            </w:r>
            <w:r>
              <w:rPr>
                <w:b/>
                <w:i/>
              </w:rPr>
              <w:t>като има предвид, че Пактът за чиста промишленост ще ускори декарбонизацията, като я превърне в двигател за растежа на европейската промишленост, понижавайки цените на енергията и създавайки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Гд.</w:t>
            </w:r>
            <w:r>
              <w:tab/>
            </w:r>
            <w:r>
              <w:rPr>
                <w:b/>
                <w:i/>
              </w:rPr>
              <w:t>като има предвид, че с предстоящото преразглеждане на директивите за обществените поръчки се цели правилата за обществените поръчки да се приведат в съответствие с по-широките стратегически цели на Съюза, включително екологичния и цифровия преход, справедливите работни места, иновациите, високите социални и екологични стандарти и устойчивостта;</w:t>
            </w:r>
            <w:r>
              <w:t xml:space="preserve"> </w:t>
            </w:r>
            <w:r>
              <w:rPr>
                <w:b/>
                <w:i/>
              </w:rPr>
              <w:t>като има предвид, че това преразглеждане е възможност за насърчаване на колективното договаряне и използване на социалната клауза, както и за преференциално третиране на дружествата с колективни трудови договори;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w:t>
            </w:r>
            <w:r>
              <w:t xml:space="preserve">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w:t>
            </w:r>
            <w:r>
              <w:rPr>
                <w:b/>
                <w:i/>
              </w:rPr>
              <w:t>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w:t>
            </w:r>
            <w:r>
              <w:t xml:space="preserve"> подчертава, че </w:t>
            </w:r>
            <w:r>
              <w:rPr>
                <w:b/>
                <w:i/>
              </w:rPr>
              <w:t>регионите</w:t>
            </w:r>
            <w:r>
              <w:t xml:space="preserve"> могат да </w:t>
            </w:r>
            <w:r>
              <w:rPr>
                <w:b/>
                <w:i/>
              </w:rPr>
              <w:t>подкрепят справедливия преход</w:t>
            </w:r>
            <w:r>
              <w:t xml:space="preserve"> чрез съчетаване на социална закрила, икономическа диверсификация и териториална координация с цел намаляване на </w:t>
            </w:r>
            <w:r>
              <w:rPr>
                <w:b/>
                <w:i/>
              </w:rPr>
              <w:t>отрицателните</w:t>
            </w:r>
            <w:r>
              <w:t xml:space="preserve"> въздействия </w:t>
            </w:r>
            <w:r>
              <w:rPr>
                <w:b/>
                <w:i/>
              </w:rPr>
              <w:t>и насърчаване на по-приобщаващо развитие</w:t>
            </w:r>
            <w:r>
              <w:t>;</w:t>
            </w:r>
          </w:p>
        </w:tc>
        <w:tc>
          <w:tcPr>
            <w:tcW w:w="4876" w:type="dxa"/>
            <w:tcBorders>
              <w:top w:val="nil"/>
              <w:left w:val="nil"/>
              <w:bottom w:val="nil"/>
              <w:right w:val="nil"/>
            </w:tcBorders>
          </w:tcPr>
          <w:p>
            <w:pPr>
              <w:pStyle w:val="Normal6a"/>
            </w:pPr>
            <w:r>
              <w:t>1.</w:t>
            </w:r>
            <w:r>
              <w:tab/>
            </w:r>
            <w:r>
              <w:t xml:space="preserve">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подчертава, че </w:t>
            </w:r>
            <w:r>
              <w:rPr>
                <w:b/>
                <w:i/>
              </w:rPr>
              <w:t>държавите членки</w:t>
            </w:r>
            <w:r>
              <w:t xml:space="preserve"> могат да </w:t>
            </w:r>
            <w:r>
              <w:rPr>
                <w:b/>
                <w:i/>
              </w:rPr>
              <w:t>ръководят прехода</w:t>
            </w:r>
            <w:r>
              <w:t xml:space="preserve"> чрез съчетаване на социална закрила, икономическа диверсификация и териториална координация с цел намаляване на </w:t>
            </w:r>
            <w:r>
              <w:rPr>
                <w:b/>
                <w:i/>
              </w:rPr>
              <w:t>неговите отрицателни</w:t>
            </w:r>
            <w:r>
              <w:t xml:space="preserve"> въздействия;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w:t>
            </w:r>
            <w:r>
              <w:rPr>
                <w:b/>
                <w:i/>
              </w:rPr>
              <w:t>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w:t>
            </w:r>
            <w:r>
              <w:t xml:space="preserve"> </w:t>
            </w:r>
            <w:r>
              <w:rPr>
                <w:b/>
                <w:i/>
              </w:rPr>
              <w:t>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c>
          <w:tcPr>
            <w:tcW w:w="4876" w:type="dxa"/>
            <w:tcBorders>
              <w:top w:val="nil"/>
              <w:left w:val="nil"/>
              <w:bottom w:val="nil"/>
              <w:right w:val="nil"/>
            </w:tcBorders>
          </w:tcPr>
          <w:p>
            <w:pPr>
              <w:pStyle w:val="Normal6a"/>
            </w:pPr>
            <w:r>
              <w:t>1.</w:t>
            </w:r>
            <w:r>
              <w:tab/>
            </w:r>
            <w:r>
              <w:t>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Петър Волгин, 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w:t>
            </w:r>
            <w:r>
              <w:rPr>
                <w:b/>
                <w:i/>
              </w:rPr>
              <w:t>;</w:t>
            </w:r>
            <w:r>
              <w:t xml:space="preserve"> </w:t>
            </w:r>
            <w:r>
              <w:rPr>
                <w:b/>
                <w:i/>
              </w:rPr>
              <w:t>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w:t>
            </w:r>
            <w:r>
              <w:t xml:space="preserve"> да се </w:t>
            </w:r>
            <w:r>
              <w:rPr>
                <w:b/>
                <w:i/>
              </w:rPr>
              <w:t>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w:t>
            </w:r>
            <w:r>
              <w:t xml:space="preserve">; </w:t>
            </w:r>
            <w:r>
              <w:rPr>
                <w:b/>
                <w:i/>
              </w:rPr>
              <w:t>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w:t>
            </w:r>
            <w:r>
              <w:rPr>
                <w:b/>
                <w:i/>
              </w:rPr>
              <w:t>отрицателна</w:t>
            </w:r>
            <w:r>
              <w:t xml:space="preserve">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w:t>
            </w:r>
            <w:r>
              <w:rPr>
                <w:b/>
                <w:i/>
              </w:rPr>
              <w:t>, без</w:t>
            </w:r>
            <w:r>
              <w:t xml:space="preserve"> да се </w:t>
            </w:r>
            <w:r>
              <w:rPr>
                <w:b/>
                <w:i/>
              </w:rPr>
              <w:t>пренебрегва традиционната промишленост, която осигурява икономическата основа за държавите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w:t>
            </w:r>
            <w:r>
              <w:rPr>
                <w:b/>
                <w:i/>
              </w:rPr>
              <w:t>наличието на обвързваща</w:t>
            </w:r>
            <w:r>
              <w:t xml:space="preserve">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w:t>
            </w:r>
            <w:r>
              <w:rPr>
                <w:b/>
                <w:i/>
              </w:rPr>
              <w:t>преразглеждането на настоящата правна</w:t>
            </w:r>
            <w:r>
              <w:t xml:space="preserve">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w:t>
            </w:r>
            <w:r>
              <w:rPr>
                <w:b/>
                <w:i/>
              </w:rPr>
              <w:t>по-приобщаващо развитие</w:t>
            </w:r>
            <w:r>
              <w:t>;</w:t>
            </w:r>
          </w:p>
        </w:tc>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w:t>
            </w:r>
            <w:r>
              <w:rPr>
                <w:b/>
                <w:i/>
              </w:rPr>
              <w:t>развитието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w:t>
            </w:r>
            <w:r>
              <w:rPr>
                <w:b/>
                <w:i/>
              </w:rPr>
              <w:t>и</w:t>
            </w:r>
            <w:r>
              <w:t xml:space="preserve">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w:t>
            </w:r>
            <w:r>
              <w:rPr>
                <w:b/>
                <w:i/>
              </w:rPr>
              <w:t>на</w:t>
            </w:r>
            <w:r>
              <w:t xml:space="preserve">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c>
          <w:tcPr>
            <w:tcW w:w="4876" w:type="dxa"/>
            <w:tcBorders>
              <w:top w:val="nil"/>
              <w:left w:val="nil"/>
              <w:bottom w:val="nil"/>
              <w:right w:val="nil"/>
            </w:tcBorders>
          </w:tcPr>
          <w:p>
            <w:pPr>
              <w:pStyle w:val="Normal6a"/>
            </w:pPr>
            <w:r>
              <w:t>1.</w:t>
            </w:r>
            <w:r>
              <w:tab/>
            </w:r>
            <w:r>
              <w:t>подчертава, че успешният преход към по-устойчиви енергийни източници</w:t>
            </w:r>
            <w:r>
              <w:rPr>
                <w:b/>
                <w:i/>
              </w:rPr>
              <w:t>, модернизирани</w:t>
            </w:r>
            <w:r>
              <w:t xml:space="preserve"> промишлени отрасли </w:t>
            </w:r>
            <w:r>
              <w:rPr>
                <w:b/>
                <w:i/>
              </w:rPr>
              <w:t>и по-дигитализирана икономика</w:t>
            </w:r>
            <w:r>
              <w:t xml:space="preserve">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w:t>
            </w:r>
            <w:r>
              <w:rPr>
                <w:b/>
                <w:i/>
              </w:rPr>
              <w:t>подходящи</w:t>
            </w:r>
            <w:r>
              <w:t xml:space="preserve">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w:t>
            </w:r>
            <w:r>
              <w:rPr>
                <w:b/>
                <w:i/>
              </w:rPr>
              <w:t>, както и социалната справедливост в</w:t>
            </w:r>
            <w:r>
              <w:t xml:space="preserve"> Съюза</w:t>
            </w:r>
            <w:r>
              <w:rPr>
                <w:b/>
                <w:i/>
              </w:rPr>
              <w:t>;</w:t>
            </w:r>
            <w:r>
              <w:t xml:space="preserve"> </w:t>
            </w:r>
            <w:r>
              <w:rPr>
                <w:b/>
                <w:i/>
              </w:rPr>
              <w:t>подчертава по-специално значението на достойния труд, както и на работните места, които са обхванати от колективни трудови договори, като те са необходими за гарантиране на по-голям социален напредък, справедливо разпределение на доходите и приемане на прехода;</w:t>
            </w:r>
            <w:r>
              <w:t xml:space="preserve"> </w:t>
            </w:r>
            <w:r>
              <w:rPr>
                <w:b/>
                <w:i/>
              </w:rPr>
              <w:t>подчертава, че колективното договаряне е от основно значение за справедливото заплащане, социалната справедливост и демокрацията на работното място, но че неговият обхват продължава да бъде неравномерен;</w:t>
            </w:r>
            <w:r>
              <w:t xml:space="preserve"> </w:t>
            </w:r>
            <w:r>
              <w:rPr>
                <w:b/>
                <w:i/>
              </w:rPr>
              <w:t>подчертава, че ЕС следва да предостави насоки и подкрепа, за да помогне за укрепването на системите за договаряне, особено на секторно равнище, и да гарантира пълноценно участие на социалните партньори;</w:t>
            </w:r>
            <w:r>
              <w:t xml:space="preserve"> </w:t>
            </w:r>
            <w:r>
              <w:rPr>
                <w:b/>
                <w:i/>
              </w:rPr>
              <w:t>подчертава, че е важно да се мобилизират средства от ЕС за изграждането на капацитет, когато това е необходимо</w:t>
            </w:r>
            <w:r>
              <w:t>;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w:t>
            </w:r>
            <w:r>
              <w:rPr>
                <w:b/>
                <w:i/>
              </w:rPr>
              <w:t>и ще доведе до създаването на значителен брой екологични работни места в Европа</w:t>
            </w:r>
            <w:r>
              <w:t>;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w:t>
            </w:r>
            <w:r>
              <w:rPr>
                <w:b/>
                <w:i/>
              </w:rPr>
              <w:t>, както и демокрацията на работното място в рамките</w:t>
            </w:r>
            <w:r>
              <w:t xml:space="preserve">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c>
          <w:tcPr>
            <w:tcW w:w="4876" w:type="dxa"/>
            <w:tcBorders>
              <w:top w:val="nil"/>
              <w:left w:val="nil"/>
              <w:bottom w:val="nil"/>
              <w:right w:val="nil"/>
            </w:tcBorders>
          </w:tcPr>
          <w:p>
            <w:pPr>
              <w:pStyle w:val="Normal6a"/>
            </w:pPr>
            <w:r>
              <w:t>1.</w:t>
            </w:r>
            <w:r>
              <w:tab/>
            </w:r>
            <w:r>
              <w:t>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w:t>
            </w:r>
            <w:r>
              <w:rPr>
                <w:b/>
                <w:i/>
              </w:rPr>
              <w:t>, като се дава приоритет на създаването на качествени и стабилни работни места чрез колективни трудови договори, осигуряване на по-високо минимално възнаграждение и равенство в заплащането на жените и мъжете</w:t>
            </w:r>
            <w:r>
              <w:t>;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c>
          <w:tcPr>
            <w:tcW w:w="4876" w:type="dxa"/>
            <w:tcBorders>
              <w:top w:val="nil"/>
              <w:left w:val="nil"/>
              <w:bottom w:val="nil"/>
              <w:right w:val="nil"/>
            </w:tcBorders>
          </w:tcPr>
          <w:p>
            <w:pPr>
              <w:pStyle w:val="Normal6a"/>
            </w:pPr>
            <w:r>
              <w:t>1.</w:t>
            </w:r>
            <w:r>
              <w:tab/>
            </w:r>
            <w:r>
              <w:t xml:space="preserve">подчертава, че успешният преход към по-устойчиви енергийни източници и промишлени отрасли ще играе важна роля за дългосрочната конкурентоспособност на предприятията на Съюза на световния пазар;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счита, че наличието на </w:t>
            </w:r>
            <w:r>
              <w:rPr>
                <w:b/>
                <w:i/>
              </w:rPr>
              <w:t>правно</w:t>
            </w:r>
            <w:r>
              <w:t xml:space="preserve"> обвързваща рамка за справяне с предизвикателствата и възможностите на справедливия преход на работното място е от съществено значение, за да се гарантират минимални общи стандарти, да се осигурят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на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и насърчаване на по-приобщаващо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отбелязва със съжаление, че през последните десетилетия промените, свързани с екологичния и цифровия преход, се използват от много предприятия като претекст, за да кандидатстват и да получат значително публично финансиране, като същевременно се извършват масови съкращения, особено в автомобилния и енергийния сектор;</w:t>
            </w:r>
            <w:r>
              <w:t xml:space="preserve"> </w:t>
            </w:r>
            <w:r>
              <w:rPr>
                <w:b/>
                <w:i/>
              </w:rPr>
              <w:t>призовава Комисията да създаде правна рамка с цел избягване на подобни ситуации и да изисква от предприятията, когато бъдат информирани за потенциални кризи, да гарантират ранни предупреждения и да започнат незабавно преговори със синдикалните организации и представителите на работниците и засегнатите общности, за да обсъдят ситуацията и начините за справяне с нея;</w:t>
            </w:r>
            <w:r>
              <w:t xml:space="preserve"> </w:t>
            </w:r>
            <w:r>
              <w:rPr>
                <w:b/>
                <w:i/>
              </w:rPr>
              <w:t>счита, че съкращения следва да се правят само в краен случай и единствено тогава, когато дадено предприятие може да докаже, че се е опитало добросъвестно да предвиди и да управлява промените;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Пал Секереш, Северин Вербрук, Никола Бартушек, Мелани Дидие, Мари Доши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счита, че едно успешно развитие, което се основава на по-устойчиви и независими енергийни източници и промишлени отрасли, ще играе значителна роля за дългосрочната конкурентоспособност на предприятията от Съюза в рамките на световния пазар, въз основата на много по-достъпна енергия, по-специално за бързо развиващите се и променящи се услуги, базирани на изкуствения интелект, посредством енергоемки сървърни паркове;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w:t>
            </w:r>
            <w:r>
              <w:rPr>
                <w:b/>
                <w:i/>
              </w:rPr>
              <w:t>предефинирането на работните</w:t>
            </w:r>
            <w:r>
              <w:t xml:space="preserve"> места и </w:t>
            </w:r>
            <w:r>
              <w:rPr>
                <w:b/>
                <w:i/>
              </w:rPr>
              <w:t>цялостния преход</w:t>
            </w:r>
            <w:r>
              <w:t xml:space="preserve"> на пазара на труда; </w:t>
            </w:r>
            <w:r>
              <w:rPr>
                <w:b/>
                <w:i/>
              </w:rPr>
              <w:t>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w:t>
            </w:r>
            <w:r>
              <w:t xml:space="preserve"> </w:t>
            </w:r>
            <w:r>
              <w:rPr>
                <w:b/>
                <w:i/>
              </w:rPr>
              <w:t>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w:t>
            </w:r>
            <w:r>
              <w:rPr>
                <w:b/>
                <w:i/>
              </w:rPr>
              <w:t>загубите на работни</w:t>
            </w:r>
            <w:r>
              <w:t xml:space="preserve"> места и </w:t>
            </w:r>
            <w:r>
              <w:rPr>
                <w:b/>
                <w:i/>
              </w:rPr>
              <w:t>общото свиване</w:t>
            </w:r>
            <w:r>
              <w:t xml:space="preserve"> на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w:t>
            </w:r>
            <w:r>
              <w:rPr>
                <w:b/>
                <w:i/>
              </w:rPr>
              <w:t>по отношение на предефинирането на работните</w:t>
            </w:r>
            <w:r>
              <w:t xml:space="preserve"> места и </w:t>
            </w:r>
            <w:r>
              <w:rPr>
                <w:b/>
                <w:i/>
              </w:rPr>
              <w:t>цялостния преход</w:t>
            </w:r>
            <w:r>
              <w:t xml:space="preserve">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w:t>
            </w:r>
            <w:r>
              <w:rPr>
                <w:b/>
                <w:i/>
              </w:rPr>
              <w:t>да включват набор от конкретни законодателни и незаконодателни мерки</w:t>
            </w:r>
            <w:r>
              <w:t xml:space="preserve">, които </w:t>
            </w:r>
            <w:r>
              <w:rPr>
                <w:b/>
                <w:i/>
              </w:rPr>
              <w:t>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w:t>
            </w:r>
            <w:r>
              <w:t xml:space="preserve">;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w:t>
            </w:r>
            <w:r>
              <w:rPr>
                <w:b/>
                <w:i/>
              </w:rPr>
              <w:t>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r>
              <w:t>;</w:t>
            </w:r>
          </w:p>
        </w:tc>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w:t>
            </w:r>
            <w:r>
              <w:rPr>
                <w:b/>
                <w:i/>
              </w:rPr>
              <w:t>върху съкращаването на работни</w:t>
            </w:r>
            <w:r>
              <w:t xml:space="preserve"> места и </w:t>
            </w:r>
            <w:r>
              <w:rPr>
                <w:b/>
                <w:i/>
              </w:rPr>
              <w:t>цялостното подкопаване</w:t>
            </w:r>
            <w:r>
              <w:t xml:space="preserve"> на пазара на труда </w:t>
            </w:r>
            <w:r>
              <w:rPr>
                <w:b/>
                <w:i/>
              </w:rPr>
              <w:t>в Европа</w:t>
            </w:r>
            <w:r>
              <w:t>;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w:t>
            </w:r>
            <w:r>
              <w:rPr>
                <w:b/>
                <w:i/>
              </w:rPr>
              <w:t>, за да се намалят ограниченията</w:t>
            </w:r>
            <w:r>
              <w:t xml:space="preserve">, които </w:t>
            </w:r>
            <w:r>
              <w:rPr>
                <w:b/>
                <w:i/>
              </w:rPr>
              <w:t>тежат върху Съюза</w:t>
            </w:r>
            <w:r>
              <w:t xml:space="preserve">;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w:t>
            </w:r>
            <w:r>
              <w:rPr>
                <w:b/>
                <w:i/>
              </w:rPr>
              <w:t>насърчаване на дерегулацията</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w:t>
            </w:r>
            <w:r>
              <w:rPr>
                <w:b/>
                <w:i/>
              </w:rPr>
              <w:t>законодателни и незаконодателни</w:t>
            </w:r>
            <w:r>
              <w:t xml:space="preserve">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t>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w:t>
            </w:r>
            <w:r>
              <w:rPr>
                <w:b/>
                <w:i/>
              </w:rPr>
              <w:t>предоставяне на ясна рамка</w:t>
            </w:r>
            <w:r>
              <w:t xml:space="preserve">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w:t>
            </w:r>
            <w:r>
              <w:rPr>
                <w:b/>
                <w:i/>
              </w:rPr>
              <w:t>предлагане на практически насоки и помощни инструменти</w:t>
            </w:r>
            <w:r>
              <w:t xml:space="preserve">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подчертава</w:t>
            </w:r>
            <w:r>
              <w:t>,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rPr>
                <w:b/>
                <w:i/>
              </w:rPr>
              <w:t>настоява върху факта</w:t>
            </w:r>
            <w:r>
              <w:t>,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r>
              <w:rPr>
                <w:b/>
                <w:i/>
              </w:rPr>
              <w:t>, както и осигуряване на бъдещи перспективи за работниците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 </w:t>
            </w:r>
            <w:r>
              <w:rPr>
                <w:b/>
                <w:i/>
              </w:rPr>
              <w:t>призовава за мерки, които да гарантират всеобщото прилагане на колективното договаряне, укрепване на синдикалните организации и гарантиране на правото на работниците да участват при разработването на планове за преход;</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w:t>
            </w:r>
            <w:r>
              <w:rPr>
                <w:b/>
                <w:i/>
              </w:rPr>
              <w:t>от адаптиране на съществуващите работни места, които в бъдеще ще бъдат засегнати от изменението на климата или които вече са засегнати от този феномен, към покачващите се температури и към други екстремни метеорологични явления;</w:t>
            </w:r>
            <w:r>
              <w:t xml:space="preserve"> </w:t>
            </w:r>
            <w:r>
              <w:rPr>
                <w:b/>
                <w:i/>
              </w:rPr>
              <w:t>подчертава необходимостта</w:t>
            </w:r>
            <w:r>
              <w:t xml:space="preserve">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w:t>
            </w:r>
            <w:r>
              <w:rPr>
                <w:b/>
                <w:i/>
              </w:rPr>
              <w:t>възнагражденията,</w:t>
            </w:r>
            <w:r>
              <w:t xml:space="preserve"> здравето и безопасността</w:t>
            </w:r>
            <w:r>
              <w:rPr>
                <w:b/>
                <w:i/>
              </w:rPr>
              <w:t>, демокрацията на работното място</w:t>
            </w:r>
            <w:r>
              <w:t>,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w:t>
            </w:r>
            <w:r>
              <w:rPr>
                <w:b/>
                <w:i/>
              </w:rPr>
              <w:t>да включват</w:t>
            </w:r>
            <w:r>
              <w:t xml:space="preserve">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w:t>
            </w:r>
            <w:r>
              <w:rPr>
                <w:b/>
                <w:i/>
              </w:rPr>
              <w:t>във връзка с това приветства обявяването на Акта за качествени работни места, който ще цели да гарантира, че практиките в сферата на заетостта са съобразени с развитието на съвременната икономика;</w:t>
            </w:r>
            <w:r>
              <w:t xml:space="preserve"> подчертава необходимостта </w:t>
            </w:r>
            <w:r>
              <w:rPr>
                <w:b/>
                <w:i/>
              </w:rPr>
              <w:t>този акт, наред с</w:t>
            </w:r>
            <w:r>
              <w:t xml:space="preserve"> предстоящото актуализиране на плана за действие на Европейския стълб на социалните права и новата пътна карта за качествени работни места</w:t>
            </w:r>
            <w:r>
              <w:rPr>
                <w:b/>
                <w:i/>
              </w:rPr>
              <w:t>, да включва</w:t>
            </w:r>
            <w:r>
              <w:t xml:space="preserve">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подчертава, че въздействието на декарбонизацията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w:t>
            </w:r>
          </w:p>
        </w:tc>
        <w:tc>
          <w:tcPr>
            <w:tcW w:w="4876" w:type="dxa"/>
            <w:tcBorders>
              <w:top w:val="nil"/>
              <w:left w:val="nil"/>
              <w:bottom w:val="nil"/>
              <w:right w:val="nil"/>
            </w:tcBorders>
          </w:tcPr>
          <w:p>
            <w:pPr>
              <w:pStyle w:val="Normal6a"/>
            </w:pPr>
            <w:r>
              <w:t>2.</w:t>
            </w:r>
            <w:r>
              <w:tab/>
            </w:r>
            <w:r>
              <w:t xml:space="preserve">подчертава, че въздействието на декарбонизацията върху заетостта надхвърля рамките на намаляването на емисиите в секторите на изкопаемите горива и </w:t>
            </w:r>
            <w:r>
              <w:rPr>
                <w:b/>
                <w:i/>
              </w:rPr>
              <w:t>през следващите десетилетия ще засегне всички професии, и следователно</w:t>
            </w:r>
            <w:r>
              <w:t xml:space="preserve"> ще има по-широко въздействие по отношение на предефинирането на работните места и цялостния преход на пазара на труда; подчертава необходимостта предстоящото актуализиране на плана за действие на Европейския стълб на социалните права и новата пътна карта за качествени работни места да включват набор от конкретни законодателни и незаконодателни мерки, които осезаемо подобряват условията на труд</w:t>
            </w:r>
            <w:r>
              <w:rPr>
                <w:b/>
                <w:i/>
              </w:rPr>
              <w:t>, възнагражденията, демокрацията на работното място</w:t>
            </w:r>
            <w:r>
              <w:t xml:space="preserve">, здравето и безопасността, обхвата на колективното договаряне и обучението и уменията на работниците и самостоятелно заетите лица;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предоставяне на ясна рамка за предугаждане и управление на промените в партньорство с 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 </w:t>
            </w:r>
            <w:r>
              <w:rPr>
                <w:b/>
                <w:i/>
              </w:rPr>
              <w:t>и изострят бедността сред работещите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подчертава, че цифровизацията трябва да се прилага по начин, който да е ориентиран към хората, като се предотвратява прекомерното следене на работниците и се гарантира правото на откъсване от работната среда, както и справедливи условия за организация на работното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призовава Комисията, след консултация със социалните партньори, да предложи директива,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w:t>
            </w:r>
            <w:r>
              <w:t xml:space="preserve"> </w:t>
            </w:r>
            <w:r>
              <w:rPr>
                <w:b/>
                <w:i/>
              </w:rPr>
              <w:t>счита, че тази директива следва да включва мерки, които да гарантират, наред с другото:</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специална рамка за предвиждане и управление на промените чрез навременно информиране и консултиране с работниците и техните представители, социален диалог и колективно договаряне;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индивидуално право на безплатно обучение на работниците в работно време;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създаването на национални стратегии за справедлив преход;</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разработването на програми за подкрепа на бизнеса и насърчаването на планове за преход на равнище предприятие;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структура за наблюдение, която може да осигури стратегическа далновидност;</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призовава Комисията, след консултация със социалните партньори, да предложи директива,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w:t>
            </w:r>
            <w:r>
              <w:t xml:space="preserve"> </w:t>
            </w:r>
            <w:r>
              <w:rPr>
                <w:b/>
                <w:i/>
              </w:rPr>
              <w:t>счита, че тази директива следва да включва мерки, които да гарантират, наред с другото:</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специална рамка за предвиждане и управление на промените чрез навременно информиране и консултиране с работниците и техните представители, социален диалог и колективно договаряне;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индивидуално право на безплатно обучение на работниците в работно време;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създаването на национални стратегии за справедлив преход;</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разработването на програми за подкрепа на бизнеса и насърчаването на планове за преход на равнище предприятие;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структура за наблюдение, която може да осигури стратегическа далновидност;</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null null, 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призовава Комисията, след консултация със социалните партньори, да </w:t>
            </w:r>
            <w:r>
              <w:rPr>
                <w:b/>
                <w:i/>
              </w:rPr>
              <w:t>предложи директива, за да се гарантира</w:t>
            </w:r>
            <w:r>
              <w:t xml:space="preserve"> справедлив преход в сферата на труда </w:t>
            </w:r>
            <w:r>
              <w:rPr>
                <w:b/>
                <w:i/>
              </w:rPr>
              <w:t>и</w:t>
            </w:r>
            <w:r>
              <w:t xml:space="preserve"> да се </w:t>
            </w:r>
            <w:r>
              <w:rPr>
                <w:b/>
                <w:i/>
              </w:rPr>
              <w:t>улесни преходът на Съюза към устойчива, неутрална</w:t>
            </w:r>
            <w:r>
              <w:t xml:space="preserve"> по отношение на </w:t>
            </w:r>
            <w:r>
              <w:rPr>
                <w:b/>
                <w:i/>
              </w:rPr>
              <w:t>климата и цифрова икономика;</w:t>
            </w:r>
            <w:r>
              <w:t xml:space="preserve"> </w:t>
            </w:r>
            <w:r>
              <w:rPr>
                <w:b/>
                <w:i/>
              </w:rPr>
              <w:t>счита, че тази директива следва да включва мерки, които да гарантират, наред с другото</w:t>
            </w:r>
            <w:r>
              <w:t>:</w:t>
            </w:r>
          </w:p>
        </w:tc>
        <w:tc>
          <w:tcPr>
            <w:tcW w:w="4876" w:type="dxa"/>
            <w:tcBorders>
              <w:top w:val="nil"/>
              <w:left w:val="nil"/>
              <w:bottom w:val="nil"/>
              <w:right w:val="nil"/>
            </w:tcBorders>
          </w:tcPr>
          <w:p>
            <w:pPr>
              <w:pStyle w:val="Normal6a"/>
            </w:pPr>
            <w:r>
              <w:t>3.</w:t>
            </w:r>
            <w:r>
              <w:tab/>
            </w:r>
            <w:r>
              <w:t xml:space="preserve">призовава Комисията, след консултация със социалните партньори, да </w:t>
            </w:r>
            <w:r>
              <w:rPr>
                <w:b/>
                <w:i/>
              </w:rPr>
              <w:t>извърши всеобхватно проучване за въздействието на икономическите и социалните разходи във връзка с евентуален предложен</w:t>
            </w:r>
            <w:r>
              <w:t xml:space="preserve"> справедлив преход в сферата на труда</w:t>
            </w:r>
            <w:r>
              <w:rPr>
                <w:b/>
                <w:i/>
              </w:rPr>
              <w:t>;</w:t>
            </w:r>
            <w:r>
              <w:t xml:space="preserve"> </w:t>
            </w:r>
            <w:r>
              <w:rPr>
                <w:b/>
                <w:i/>
              </w:rPr>
              <w:t>счита, че не следва</w:t>
            </w:r>
            <w:r>
              <w:t xml:space="preserve"> да се </w:t>
            </w:r>
            <w:r>
              <w:rPr>
                <w:b/>
                <w:i/>
              </w:rPr>
              <w:t>налага допълнителна бюрокрация</w:t>
            </w:r>
            <w:r>
              <w:t xml:space="preserve"> по отношение на </w:t>
            </w:r>
            <w:r>
              <w:rPr>
                <w:b/>
                <w:i/>
              </w:rPr>
              <w:t>промишлеността и данъкоплатците, без да се докаже, че декарбонизацията и цифровизацията ще доведат до положителна промяна в държавите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призовава Комисията, след консултация със социалните партньори</w:t>
            </w:r>
            <w:r>
              <w:rPr>
                <w:b/>
                <w:i/>
              </w:rPr>
              <w:t>, да предложи директива</w:t>
            </w:r>
            <w:r>
              <w:t>,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счита, че тази директива следва да включва мерки, които да гарантират, наред с другото:</w:t>
            </w:r>
          </w:p>
        </w:tc>
        <w:tc>
          <w:tcPr>
            <w:tcW w:w="4876" w:type="dxa"/>
            <w:tcBorders>
              <w:top w:val="nil"/>
              <w:left w:val="nil"/>
              <w:bottom w:val="nil"/>
              <w:right w:val="nil"/>
            </w:tcBorders>
          </w:tcPr>
          <w:p>
            <w:pPr>
              <w:pStyle w:val="Normal6a"/>
            </w:pPr>
            <w:r>
              <w:t>3.</w:t>
            </w:r>
            <w:r>
              <w:tab/>
            </w:r>
            <w:r>
              <w:t xml:space="preserve">призовава Комисията, след </w:t>
            </w:r>
            <w:r>
              <w:rPr>
                <w:b/>
                <w:i/>
              </w:rPr>
              <w:t>извършване на внимателна оценка и</w:t>
            </w:r>
            <w:r>
              <w:t xml:space="preserve"> консултация със социалните партньори </w:t>
            </w:r>
            <w:r>
              <w:rPr>
                <w:b/>
                <w:i/>
              </w:rPr>
              <w:t>и заинтересованите страни, да преразгледа съществуващото законодателство</w:t>
            </w:r>
            <w:r>
              <w:t>,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счита, че тази директива следва да включва мерки, които да гарантират, наред с другото: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призовава Комисията, след консултация със социалните партньори, да предложи </w:t>
            </w:r>
            <w:r>
              <w:rPr>
                <w:b/>
                <w:i/>
              </w:rPr>
              <w:t>директива</w:t>
            </w:r>
            <w:r>
              <w:t xml:space="preserve">,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счита, че тази </w:t>
            </w:r>
            <w:r>
              <w:rPr>
                <w:b/>
                <w:i/>
              </w:rPr>
              <w:t>директива</w:t>
            </w:r>
            <w:r>
              <w:t xml:space="preserve"> следва да включва мерки, които да гарантират, наред с другото:</w:t>
            </w:r>
          </w:p>
        </w:tc>
        <w:tc>
          <w:tcPr>
            <w:tcW w:w="4876" w:type="dxa"/>
            <w:tcBorders>
              <w:top w:val="nil"/>
              <w:left w:val="nil"/>
              <w:bottom w:val="nil"/>
              <w:right w:val="nil"/>
            </w:tcBorders>
          </w:tcPr>
          <w:p>
            <w:pPr>
              <w:pStyle w:val="Normal6a"/>
            </w:pPr>
            <w:r>
              <w:t>3.</w:t>
            </w:r>
            <w:r>
              <w:tab/>
            </w:r>
            <w:r>
              <w:t xml:space="preserve">призовава Комисията, след консултация със социалните партньори, да предложи </w:t>
            </w:r>
            <w:r>
              <w:rPr>
                <w:b/>
                <w:i/>
              </w:rPr>
              <w:t>рамка от незаконодателни мерки</w:t>
            </w:r>
            <w:r>
              <w:t xml:space="preserve">,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счита, че тази </w:t>
            </w:r>
            <w:r>
              <w:rPr>
                <w:b/>
                <w:i/>
              </w:rPr>
              <w:t>рамка</w:t>
            </w:r>
            <w:r>
              <w:t xml:space="preserve"> следва да включва мерки, които да гарантират, наред с другото: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призовава Комисията, след консултация със социалните партньори, да предложи директива,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счита, че тази директива следва да включва мерки, които да гарантират, наред с другото:</w:t>
            </w:r>
          </w:p>
        </w:tc>
        <w:tc>
          <w:tcPr>
            <w:tcW w:w="4876" w:type="dxa"/>
            <w:tcBorders>
              <w:top w:val="nil"/>
              <w:left w:val="nil"/>
              <w:bottom w:val="nil"/>
              <w:right w:val="nil"/>
            </w:tcBorders>
          </w:tcPr>
          <w:p>
            <w:pPr>
              <w:pStyle w:val="Normal6a"/>
            </w:pPr>
            <w:r>
              <w:t>3.</w:t>
            </w:r>
            <w:r>
              <w:tab/>
            </w:r>
            <w:r>
              <w:rPr>
                <w:b/>
                <w:i/>
              </w:rPr>
              <w:t>отново</w:t>
            </w:r>
            <w:r>
              <w:t xml:space="preserve"> призовава Комисията, след консултация със социалните партньори, да предложи </w:t>
            </w:r>
            <w:r>
              <w:rPr>
                <w:b/>
                <w:i/>
              </w:rPr>
              <w:t>незабавно</w:t>
            </w:r>
            <w:r>
              <w:t xml:space="preserve"> директива,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счита, че тази директива следва да включва мерки, които да гарантират, наред с другото: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Йоан Даниелсон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призовава Комисията, след консултация със социалните партньори, да предложи директива,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счита, че тази директива следва да включва мерки, които да гарантират, наред с другото:</w:t>
            </w:r>
          </w:p>
        </w:tc>
        <w:tc>
          <w:tcPr>
            <w:tcW w:w="4876" w:type="dxa"/>
            <w:tcBorders>
              <w:top w:val="nil"/>
              <w:left w:val="nil"/>
              <w:bottom w:val="nil"/>
              <w:right w:val="nil"/>
            </w:tcBorders>
          </w:tcPr>
          <w:p>
            <w:pPr>
              <w:pStyle w:val="Normal6a"/>
            </w:pPr>
            <w:r>
              <w:t>3.</w:t>
            </w:r>
            <w:r>
              <w:tab/>
            </w:r>
            <w:r>
              <w:t xml:space="preserve">призовава Комисията, след консултация със социалните партньори, да предложи директива, за да се гарантира справедлив преход в сферата на труда и да се улесни преходът на Съюза към устойчива, неутрална по отношение на климата и цифрова икономика; </w:t>
            </w:r>
            <w:r>
              <w:rPr>
                <w:b/>
                <w:i/>
              </w:rPr>
              <w:t>подчертава, че тази директива трябва да гарантира пълно зачитане на ролите и автономността на социалните партньори на национално равнище;</w:t>
            </w:r>
            <w:r>
              <w:t xml:space="preserve"> счита, че тази директива следва да включва мерки, които да гарантират, наред с другото: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ab/>
            </w:r>
            <w:r>
              <w:rPr>
                <w:b/>
                <w:i/>
              </w:rPr>
              <w:t>специална рамка за предвиждане и управление на промените чрез навременно информиране и консултиране с работниците и техните представители, социален диалог и колективно договаряне;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ab/>
            </w:r>
            <w:r>
              <w:rPr>
                <w:b/>
                <w:i/>
              </w:rPr>
              <w:t>специална рамка за предвиждане и управление на промените чрез навременно информиране и консултиране с работниците и техните представители, социален диалог и колективно договаряне;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rPr>
                <w:b/>
                <w:i/>
              </w:rPr>
              <w:t>специална рамка</w:t>
            </w:r>
            <w:r>
              <w:t xml:space="preserve"> за предвиждане и управление на промените чрез навременно информиране и консултиране с работниците и техните представители, социален диалог и колективно договаряне;</w:t>
            </w:r>
          </w:p>
        </w:tc>
        <w:tc>
          <w:tcPr>
            <w:tcW w:w="4876" w:type="dxa"/>
            <w:tcBorders>
              <w:top w:val="nil"/>
              <w:left w:val="nil"/>
              <w:bottom w:val="nil"/>
              <w:right w:val="nil"/>
            </w:tcBorders>
          </w:tcPr>
          <w:p>
            <w:pPr>
              <w:pStyle w:val="Normal6a"/>
            </w:pPr>
            <w:r>
              <w:rPr>
                <w:b/>
                <w:i/>
              </w:rPr>
              <w:t>a</w:t>
            </w:r>
            <w:r>
              <w:t>)</w:t>
            </w:r>
            <w:r>
              <w:tab/>
            </w:r>
            <w:r>
              <w:rPr>
                <w:b/>
                <w:i/>
              </w:rPr>
              <w:t>насоки</w:t>
            </w:r>
            <w:r>
              <w:t xml:space="preserve"> за предвиждане и управление на промените чрез навременно информиране и консултиране с работниците и техните представители, социален диалог и колективно договаряне;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специална рамка за предвиждане и управление на промените чрез навременно информиране и консултиране с работниците и техните представители, социален диалог </w:t>
            </w:r>
            <w:r>
              <w:rPr>
                <w:b/>
                <w:i/>
              </w:rPr>
              <w:t>и</w:t>
            </w:r>
            <w:r>
              <w:t xml:space="preserve"> колективно договаряне;</w:t>
            </w:r>
          </w:p>
        </w:tc>
        <w:tc>
          <w:tcPr>
            <w:tcW w:w="4876" w:type="dxa"/>
            <w:tcBorders>
              <w:top w:val="nil"/>
              <w:left w:val="nil"/>
              <w:bottom w:val="nil"/>
              <w:right w:val="nil"/>
            </w:tcBorders>
          </w:tcPr>
          <w:p>
            <w:pPr>
              <w:pStyle w:val="Normal6a"/>
            </w:pPr>
            <w:r>
              <w:rPr>
                <w:b/>
                <w:i/>
              </w:rPr>
              <w:t>a</w:t>
            </w:r>
            <w:r>
              <w:t>)</w:t>
            </w:r>
            <w:r>
              <w:tab/>
            </w:r>
            <w:r>
              <w:t xml:space="preserve">специална рамка за предвиждане и управление на промените чрез навременно информиране и консултиране с работниците и техните представители </w:t>
            </w:r>
            <w:r>
              <w:rPr>
                <w:b/>
                <w:i/>
              </w:rPr>
              <w:t>и други съответни заинтересовани страни</w:t>
            </w:r>
            <w:r>
              <w:t xml:space="preserve">, </w:t>
            </w:r>
            <w:r>
              <w:rPr>
                <w:b/>
                <w:i/>
              </w:rPr>
              <w:t>чрез</w:t>
            </w:r>
            <w:r>
              <w:t xml:space="preserve"> социален диалог</w:t>
            </w:r>
            <w:r>
              <w:rPr>
                <w:b/>
                <w:i/>
              </w:rPr>
              <w:t>,</w:t>
            </w:r>
            <w:r>
              <w:t xml:space="preserve"> колективно договаряне </w:t>
            </w:r>
            <w:r>
              <w:rPr>
                <w:b/>
                <w:i/>
              </w:rPr>
              <w:t>и съвместно проектиране и съвместно управление на мерки и механизми за справедлив преход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специална рамка за предвиждане и управление на промените чрез навременно информиране и консултиране с работниците и техните представители, социален диалог и колективно договаряне;</w:t>
            </w:r>
          </w:p>
        </w:tc>
        <w:tc>
          <w:tcPr>
            <w:tcW w:w="4876" w:type="dxa"/>
            <w:tcBorders>
              <w:top w:val="nil"/>
              <w:left w:val="nil"/>
              <w:bottom w:val="nil"/>
              <w:right w:val="nil"/>
            </w:tcBorders>
          </w:tcPr>
          <w:p>
            <w:pPr>
              <w:pStyle w:val="Normal6a"/>
            </w:pPr>
            <w:r>
              <w:rPr>
                <w:b/>
                <w:i/>
              </w:rPr>
              <w:t>a</w:t>
            </w:r>
            <w:r>
              <w:t>)</w:t>
            </w:r>
            <w:r>
              <w:tab/>
            </w:r>
            <w:r>
              <w:t xml:space="preserve">специална рамка за предвиждане и управление на промените чрез </w:t>
            </w:r>
            <w:r>
              <w:rPr>
                <w:b/>
                <w:i/>
              </w:rPr>
              <w:t>задължително и</w:t>
            </w:r>
            <w:r>
              <w:t xml:space="preserve"> навременно информиране и консултиране с работниците и техните представители, социален диалог и колективно договаряне </w:t>
            </w:r>
            <w:r>
              <w:rPr>
                <w:b/>
                <w:i/>
              </w:rPr>
              <w:t>на всички имащи значение равнища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w:t>
            </w:r>
            <w:r>
              <w:tab/>
            </w:r>
            <w:r>
              <w:rPr>
                <w:b/>
                <w:i/>
              </w:rPr>
              <w:t>индивидуално право на безплатно обучение на работниците в работно време;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w:t>
            </w:r>
            <w:r>
              <w:tab/>
            </w:r>
            <w:r>
              <w:rPr>
                <w:b/>
                <w:i/>
              </w:rPr>
              <w:t>индивидуално право на безплатно обучение на работниците в работно време;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индивидуално право на </w:t>
            </w:r>
            <w:r>
              <w:rPr>
                <w:b/>
                <w:i/>
              </w:rPr>
              <w:t>безплатно</w:t>
            </w:r>
            <w:r>
              <w:t xml:space="preserve"> обучение на работниците </w:t>
            </w:r>
            <w:r>
              <w:rPr>
                <w:b/>
                <w:i/>
              </w:rPr>
              <w:t>в работно време</w:t>
            </w:r>
            <w:r>
              <w:t>;</w:t>
            </w:r>
          </w:p>
        </w:tc>
        <w:tc>
          <w:tcPr>
            <w:tcW w:w="4876" w:type="dxa"/>
            <w:tcBorders>
              <w:top w:val="nil"/>
              <w:left w:val="nil"/>
              <w:bottom w:val="nil"/>
              <w:right w:val="nil"/>
            </w:tcBorders>
          </w:tcPr>
          <w:p>
            <w:pPr>
              <w:pStyle w:val="Normal6a"/>
            </w:pPr>
            <w:r>
              <w:t>б)</w:t>
            </w:r>
            <w:r>
              <w:tab/>
            </w:r>
            <w:r>
              <w:t>индивидуално право на обучение на работниците;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индивидуално право на </w:t>
            </w:r>
            <w:r>
              <w:rPr>
                <w:b/>
                <w:i/>
              </w:rPr>
              <w:t>безплатно</w:t>
            </w:r>
            <w:r>
              <w:t xml:space="preserve"> обучение на работниците в работно време;</w:t>
            </w:r>
          </w:p>
        </w:tc>
        <w:tc>
          <w:tcPr>
            <w:tcW w:w="4876" w:type="dxa"/>
            <w:tcBorders>
              <w:top w:val="nil"/>
              <w:left w:val="nil"/>
              <w:bottom w:val="nil"/>
              <w:right w:val="nil"/>
            </w:tcBorders>
          </w:tcPr>
          <w:p>
            <w:pPr>
              <w:pStyle w:val="Normal6a"/>
            </w:pPr>
            <w:r>
              <w:t>б)</w:t>
            </w:r>
            <w:r>
              <w:tab/>
            </w:r>
            <w:r>
              <w:t>индивидуално право на обучение на работниците в работно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rPr>
                <w:b/>
                <w:i/>
              </w:rPr>
              <w:t>индивидуално</w:t>
            </w:r>
            <w:r>
              <w:t xml:space="preserve"> право на безплатно обучение </w:t>
            </w:r>
            <w:r>
              <w:rPr>
                <w:b/>
                <w:i/>
              </w:rPr>
              <w:t>на</w:t>
            </w:r>
            <w:r>
              <w:t xml:space="preserve"> работниците в работно време;</w:t>
            </w:r>
          </w:p>
        </w:tc>
        <w:tc>
          <w:tcPr>
            <w:tcW w:w="4876" w:type="dxa"/>
            <w:tcBorders>
              <w:top w:val="nil"/>
              <w:left w:val="nil"/>
              <w:bottom w:val="nil"/>
              <w:right w:val="nil"/>
            </w:tcBorders>
          </w:tcPr>
          <w:p>
            <w:pPr>
              <w:pStyle w:val="Normal6a"/>
            </w:pPr>
            <w:r>
              <w:t>б)</w:t>
            </w:r>
            <w:r>
              <w:tab/>
            </w:r>
            <w:r>
              <w:rPr>
                <w:b/>
                <w:i/>
              </w:rPr>
              <w:t>всеобщо, законно установено</w:t>
            </w:r>
            <w:r>
              <w:t xml:space="preserve"> право на безплатно </w:t>
            </w:r>
            <w:r>
              <w:rPr>
                <w:b/>
                <w:i/>
              </w:rPr>
              <w:t>и висококачествено</w:t>
            </w:r>
            <w:r>
              <w:t xml:space="preserve"> обучение </w:t>
            </w:r>
            <w:r>
              <w:rPr>
                <w:b/>
                <w:i/>
              </w:rPr>
              <w:t>за</w:t>
            </w:r>
            <w:r>
              <w:t xml:space="preserve"> работниците в работно време;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индивидуално право на безплатно обучение </w:t>
            </w:r>
            <w:r>
              <w:rPr>
                <w:b/>
                <w:i/>
              </w:rPr>
              <w:t>на работниците</w:t>
            </w:r>
            <w:r>
              <w:t xml:space="preserve"> в работно време;</w:t>
            </w:r>
          </w:p>
        </w:tc>
        <w:tc>
          <w:tcPr>
            <w:tcW w:w="4876" w:type="dxa"/>
            <w:tcBorders>
              <w:top w:val="nil"/>
              <w:left w:val="nil"/>
              <w:bottom w:val="nil"/>
              <w:right w:val="nil"/>
            </w:tcBorders>
          </w:tcPr>
          <w:p>
            <w:pPr>
              <w:pStyle w:val="Normal6a"/>
            </w:pPr>
            <w:r>
              <w:t>б)</w:t>
            </w:r>
            <w:r>
              <w:tab/>
            </w:r>
            <w:r>
              <w:t xml:space="preserve">индивидуално право на безплатно обучение </w:t>
            </w:r>
            <w:r>
              <w:rPr>
                <w:b/>
                <w:i/>
              </w:rPr>
              <w:t>и учене през целия живот за всички работници</w:t>
            </w:r>
            <w:r>
              <w:t xml:space="preserve"> в работно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Евелин Регнер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индивидуално право на безплатно обучение на работниците в работно време;</w:t>
            </w:r>
          </w:p>
        </w:tc>
        <w:tc>
          <w:tcPr>
            <w:tcW w:w="4876" w:type="dxa"/>
            <w:tcBorders>
              <w:top w:val="nil"/>
              <w:left w:val="nil"/>
              <w:bottom w:val="nil"/>
              <w:right w:val="nil"/>
            </w:tcBorders>
          </w:tcPr>
          <w:p>
            <w:pPr>
              <w:pStyle w:val="Normal6a"/>
            </w:pPr>
            <w:r>
              <w:t>б)</w:t>
            </w:r>
            <w:r>
              <w:tab/>
            </w:r>
            <w:r>
              <w:t>индивидуално право на безплатно</w:t>
            </w:r>
            <w:r>
              <w:rPr>
                <w:b/>
                <w:i/>
              </w:rPr>
              <w:t>, висококачествено и самостоятелно избрано</w:t>
            </w:r>
            <w:r>
              <w:t xml:space="preserve"> обучение на работниците в работно време </w:t>
            </w:r>
            <w:r>
              <w:rPr>
                <w:b/>
                <w:i/>
              </w:rPr>
              <w:t>и платен отпуск за образование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индивидуално право на безплатно обучение на работниците в работно време;</w:t>
            </w:r>
          </w:p>
        </w:tc>
        <w:tc>
          <w:tcPr>
            <w:tcW w:w="4876" w:type="dxa"/>
            <w:tcBorders>
              <w:top w:val="nil"/>
              <w:left w:val="nil"/>
              <w:bottom w:val="nil"/>
              <w:right w:val="nil"/>
            </w:tcBorders>
          </w:tcPr>
          <w:p>
            <w:pPr>
              <w:pStyle w:val="Normal6a"/>
            </w:pPr>
            <w:r>
              <w:t>б)</w:t>
            </w:r>
            <w:r>
              <w:tab/>
            </w:r>
            <w:r>
              <w:rPr>
                <w:b/>
                <w:i/>
              </w:rPr>
              <w:t>гарантирано</w:t>
            </w:r>
            <w:r>
              <w:t xml:space="preserve"> индивидуално право на безплатно обучение на работниците в работно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индивидуално право на справедлив преход:</w:t>
            </w:r>
            <w:r>
              <w:t xml:space="preserve"> </w:t>
            </w:r>
            <w:r>
              <w:rPr>
                <w:b/>
                <w:i/>
              </w:rPr>
              <w:t>за работниците — право на справедливи и достойни условия на труд и уменията и обучението, необходими за преходите;</w:t>
            </w:r>
            <w:r>
              <w:t xml:space="preserve"> </w:t>
            </w:r>
            <w:r>
              <w:rPr>
                <w:b/>
                <w:i/>
              </w:rPr>
              <w:t>за всички лица, засегнати от двойния преход и свързаните преструктурирания — правото на достъп до заетост при справедливи и достойни условия и правото на престой на мястото, където обичайно пребивават;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Евелин Регнер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индивидуално право на търсещите работа на висококачествено и самостоятелно избрано обучение;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установяване на колективно право на справедлив преход:</w:t>
            </w:r>
            <w:r>
              <w:t xml:space="preserve"> </w:t>
            </w:r>
            <w:r>
              <w:rPr>
                <w:b/>
                <w:i/>
              </w:rPr>
              <w:t>държавите членки гарантират, че нито една територия или общност няма да бъдат изоставени;</w:t>
            </w:r>
            <w:r>
              <w:t xml:space="preserve"> </w:t>
            </w:r>
            <w:r>
              <w:rPr>
                <w:b/>
                <w:i/>
              </w:rPr>
              <w:t>това означава право на живот в здравословна околна среда, възползване от възможностите за заетост в различни сектори и достъп до социални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Евелин Регнер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б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индивидуално право на преход от едно работно място към друго, което дава на работниците и служителите правото да запазят работата си или да преминат подходящо вътрешно работно място, или да получат качествено обучение или допълнително обучение по свой избор;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създаването на национални стратегии за справедлив преход;</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създаването на национални стратегии за справедлив преход;</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създаването на национални стратегии за справедлив преход;</w:t>
            </w:r>
          </w:p>
        </w:tc>
        <w:tc>
          <w:tcPr>
            <w:tcW w:w="4876" w:type="dxa"/>
            <w:tcBorders>
              <w:top w:val="nil"/>
              <w:left w:val="nil"/>
              <w:bottom w:val="nil"/>
              <w:right w:val="nil"/>
            </w:tcBorders>
          </w:tcPr>
          <w:p>
            <w:pPr>
              <w:pStyle w:val="Normal6a"/>
            </w:pPr>
            <w:r>
              <w:t>в)</w:t>
            </w:r>
            <w:r>
              <w:tab/>
            </w:r>
            <w:r>
              <w:t>създаването на национални стратегии за справедлив преход</w:t>
            </w:r>
            <w:r>
              <w:rPr>
                <w:b/>
                <w:i/>
              </w:rPr>
              <w:t>, които включват регионални и секторни планове, разработени съвместно със социалните партньори и засегнатите заинтересовани страни като местните общности и коренното население</w:t>
            </w:r>
            <w:r>
              <w:t xml:space="preserve">; </w:t>
            </w:r>
            <w:r>
              <w:rPr>
                <w:b/>
                <w:i/>
              </w:rPr>
              <w:t>че стратегиите включват секторни и регионални планове за умения, които включват определяне и предвиждане на уменията;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създаването на национални стратегии за справедлив преход;</w:t>
            </w:r>
          </w:p>
        </w:tc>
        <w:tc>
          <w:tcPr>
            <w:tcW w:w="4876" w:type="dxa"/>
            <w:tcBorders>
              <w:top w:val="nil"/>
              <w:left w:val="nil"/>
              <w:bottom w:val="nil"/>
              <w:right w:val="nil"/>
            </w:tcBorders>
          </w:tcPr>
          <w:p>
            <w:pPr>
              <w:pStyle w:val="Normal6a"/>
            </w:pPr>
            <w:r>
              <w:t>в)</w:t>
            </w:r>
            <w:r>
              <w:tab/>
            </w:r>
            <w:r>
              <w:t xml:space="preserve">създаването на </w:t>
            </w:r>
            <w:r>
              <w:rPr>
                <w:b/>
                <w:i/>
              </w:rPr>
              <w:t>задължителни</w:t>
            </w:r>
            <w:r>
              <w:t xml:space="preserve"> национални </w:t>
            </w:r>
            <w:r>
              <w:rPr>
                <w:b/>
                <w:i/>
              </w:rPr>
              <w:t>и когато е целесъобразно, регионални</w:t>
            </w:r>
            <w:r>
              <w:t xml:space="preserve"> стратегии за справедлив преход</w:t>
            </w:r>
            <w:r>
              <w:rPr>
                <w:b/>
                <w:i/>
              </w:rPr>
              <w:t>, разработени и прилагани с участието на социалните партньори и структурите за колективно договаряне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в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адекватни системи за социална закрила;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null null, 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w:t>
            </w:r>
            <w:r>
              <w:tab/>
            </w:r>
            <w:r>
              <w:rPr>
                <w:b/>
                <w:i/>
              </w:rPr>
              <w:t>разработването на програми за подкрепа на бизнеса и насърчаването на планове за преход на равнище предприятие;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разработването на програми за подкрепа на бизнеса </w:t>
            </w:r>
            <w:r>
              <w:rPr>
                <w:b/>
                <w:i/>
              </w:rPr>
              <w:t>и насърчаването на планове за преход на равнище предприятие</w:t>
            </w:r>
            <w:r>
              <w:t>;</w:t>
            </w:r>
          </w:p>
        </w:tc>
        <w:tc>
          <w:tcPr>
            <w:tcW w:w="4876" w:type="dxa"/>
            <w:tcBorders>
              <w:top w:val="nil"/>
              <w:left w:val="nil"/>
              <w:bottom w:val="nil"/>
              <w:right w:val="nil"/>
            </w:tcBorders>
          </w:tcPr>
          <w:p>
            <w:pPr>
              <w:pStyle w:val="Normal6a"/>
            </w:pPr>
            <w:r>
              <w:t>г)</w:t>
            </w:r>
            <w:r>
              <w:tab/>
            </w:r>
            <w:r>
              <w:t>разработването на програми за подкрепа на бизнеса</w:t>
            </w:r>
            <w:r>
              <w:rPr>
                <w:b/>
                <w:i/>
              </w:rPr>
              <w:t>, по-специално за МСП, обвързани със строги социални условия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изготвянето и изпълнението на задължителни планове за преход за всички предприятия — пропорционални на размера и вида на предприятието — въз основа на съдържателен и ефективен социален диалог;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w:t>
            </w:r>
            <w:r>
              <w:tab/>
            </w:r>
            <w:r>
              <w:rPr>
                <w:b/>
                <w:i/>
              </w:rPr>
              <w:t>структура за наблюдение, която може да осигури стратегическа далновидност;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w:t>
            </w:r>
            <w:r>
              <w:tab/>
            </w:r>
            <w:r>
              <w:rPr>
                <w:b/>
                <w:i/>
              </w:rPr>
              <w:t>структура за наблюдение, която може да осигури стратегическа далновидност;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д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защитата на психичното здраве и психосоциалното благосъстояние на работниците по време на преходи, включително чрез оценки на риска на работното място и услуги за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Евелин Регнер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буква д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общи минимални стандарти в осигуряването срещу безработица;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w:t>
            </w:r>
            <w:r>
              <w:rPr>
                <w:b/>
                <w:i/>
              </w:rPr>
              <w:t>подчертава, че плановете трябва да бъдат разработвани в рамките на социалния диалог при пълно зачитане на правото на информиране и консултиране;</w:t>
            </w:r>
            <w:r>
              <w:t xml:space="preserve"> </w:t>
            </w:r>
            <w:r>
              <w:rPr>
                <w:b/>
                <w:i/>
              </w:rPr>
              <w:t>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w:t>
            </w:r>
            <w:r>
              <w:t xml:space="preserve"> </w:t>
            </w:r>
            <w:r>
              <w:rPr>
                <w:b/>
                <w:i/>
              </w:rPr>
              <w:t>подчертава необходимостта да се предоставят стимули на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w:t>
            </w:r>
            <w:r>
              <w:rPr>
                <w:b/>
                <w:i/>
              </w:rPr>
              <w:t>и да води до създаване на работни места</w:t>
            </w:r>
            <w:r>
              <w:t>, да изгражда дълготрайна устойчивост в предприятията и да използва по най-добрия начин наличните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w:t>
            </w:r>
            <w:r>
              <w:rPr>
                <w:b/>
                <w:i/>
              </w:rPr>
              <w:t>зеления преход</w:t>
            </w:r>
            <w:r>
              <w:t xml:space="preserve">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w:t>
            </w:r>
            <w:r>
              <w:rPr>
                <w:b/>
                <w:i/>
              </w:rPr>
              <w:t>подчертава, че плановете трябва да бъдат разработвани в рамките на социалния диалог при пълно зачитане на правото на информиране и консултиране;</w:t>
            </w:r>
            <w:r>
              <w:t xml:space="preserve"> </w:t>
            </w:r>
            <w:r>
              <w:rPr>
                <w:b/>
                <w:i/>
              </w:rPr>
              <w:t>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w:t>
            </w:r>
            <w:r>
              <w:t xml:space="preserve"> </w:t>
            </w:r>
            <w:r>
              <w:rPr>
                <w:b/>
                <w:i/>
              </w:rPr>
              <w:t>подчертава необходимостта да се предоставят стимули на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w:t>
            </w:r>
            <w:r>
              <w:rPr>
                <w:b/>
                <w:i/>
              </w:rPr>
              <w:t>новите ограничения</w:t>
            </w:r>
            <w:r>
              <w:t xml:space="preserve"> и да се справят ефективно с икономическите предизвикателства, породени от неблагоприятните геополитически събития</w:t>
            </w:r>
            <w:r>
              <w:rPr>
                <w:b/>
                <w:i/>
              </w:rPr>
              <w:t>;</w:t>
            </w:r>
            <w:r>
              <w:t xml:space="preserve"> </w:t>
            </w:r>
            <w:r>
              <w:rPr>
                <w:b/>
                <w:i/>
              </w:rPr>
              <w:t>това предвиждане е пряка отговорност на предприятията и държавите, а не на наднационална организация</w:t>
            </w:r>
            <w:r>
              <w:t>;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w:t>
            </w:r>
            <w:r>
              <w:rPr>
                <w:b/>
                <w:i/>
              </w:rPr>
              <w:t>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w:t>
            </w:r>
            <w:r>
              <w:t xml:space="preserve"> </w:t>
            </w:r>
            <w:r>
              <w:rPr>
                <w:b/>
                <w:i/>
              </w:rPr>
              <w:t>подчертава необходимостта да се предоставят стимули на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w:t>
            </w:r>
            <w:r>
              <w:rPr>
                <w:b/>
                <w:i/>
              </w:rPr>
              <w:t>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w:t>
            </w:r>
            <w:r>
              <w:t xml:space="preserve"> подчертава необходимостта да се предоставят стимули на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подчертава необходимостта да се предоставят стимули на предприятията да изготвят свои собствени планове за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w:t>
            </w:r>
            <w:r>
              <w:rPr>
                <w:b/>
                <w:i/>
              </w:rPr>
              <w:t>разработвани</w:t>
            </w:r>
            <w:r>
              <w:t xml:space="preserve"> в рамките на социалния диалог при пълно зачитане на правото на информиране и консултиране; 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 подчертава необходимостта </w:t>
            </w:r>
            <w:r>
              <w:rPr>
                <w:b/>
                <w:i/>
              </w:rPr>
              <w:t>да се предоставят стимули на</w:t>
            </w:r>
            <w:r>
              <w:t xml:space="preserve">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w:t>
            </w:r>
            <w:r>
              <w:rPr>
                <w:b/>
                <w:i/>
              </w:rPr>
              <w:t>, и да ги превърнат във възможности</w:t>
            </w:r>
            <w:r>
              <w:t xml:space="preserve">;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w:t>
            </w:r>
            <w:r>
              <w:rPr>
                <w:b/>
                <w:i/>
              </w:rPr>
              <w:t>разработени</w:t>
            </w:r>
            <w:r>
              <w:t xml:space="preserve"> в рамките на социалния диалог </w:t>
            </w:r>
            <w:r>
              <w:rPr>
                <w:b/>
                <w:i/>
              </w:rPr>
              <w:t>и колективното договаряне</w:t>
            </w:r>
            <w:r>
              <w:t xml:space="preserve"> при пълно зачитане на правото на информиране и консултиране </w:t>
            </w:r>
            <w:r>
              <w:rPr>
                <w:b/>
                <w:i/>
              </w:rPr>
              <w:t>на равнището на държавите членки и да се гарантира, че работниците и техните представители са своевременно и ефективно информирани и с тях се провеждат консултации относно процесите на преход в техните дружества;</w:t>
            </w:r>
            <w:r>
              <w:t xml:space="preserve"> </w:t>
            </w:r>
            <w:r>
              <w:rPr>
                <w:b/>
                <w:i/>
              </w:rPr>
              <w:t>подчертава, че съкращенията в контекста на прехода могат да бъдат крайна мярка само след изчерпване на алтернативите</w:t>
            </w:r>
            <w:r>
              <w:t xml:space="preserve">; във връзка с това </w:t>
            </w:r>
            <w:r>
              <w:rPr>
                <w:b/>
                <w:i/>
              </w:rPr>
              <w:t>призовава държавите членки да способстват за социален диалог на съответните равнища относно прехода от едно работно място към друго, по-специално за професии, които могат да изчезнат или да бъдат значително намалени;</w:t>
            </w:r>
            <w:r>
              <w:t xml:space="preserve"> </w:t>
            </w:r>
            <w:r>
              <w:rPr>
                <w:b/>
                <w:i/>
              </w:rPr>
              <w:t>призовава Комисията да създаде нов механизъм SURE 2.0, който следва да служи като финансов инструмент, който да стабилизира държавните разходи за защита на заетостта, създаване на работни места и справедливи процеси на преход;</w:t>
            </w:r>
            <w:r>
              <w:t xml:space="preserve"> призовава за преразглеждане на законодателната рамка относно информирането и консултациите, </w:t>
            </w:r>
            <w:r>
              <w:rPr>
                <w:b/>
                <w:i/>
              </w:rPr>
              <w:t>така че тя да бъде засилена и гарантирано прилагана, както и</w:t>
            </w:r>
            <w:r>
              <w:t xml:space="preserve"> за да се гарантира, че тя е подходяща за целта в контекста на двойния преход; </w:t>
            </w:r>
            <w:r>
              <w:rPr>
                <w:b/>
                <w:i/>
              </w:rPr>
              <w:t>призовава държавите членки също така да разработят системи за ранно предупреждение, достъпни за социалните партньори, за да ги подготвят за по-добро откриване и реагиране на предстоящите промени в дейността на предприятията, и да предвидят специални разпоредби относно инструментите за ранно предупреждение за големите предприятия и групи, като вземат предвид техните особености;</w:t>
            </w:r>
            <w:r>
              <w:t xml:space="preserve"> подчертава необходимостта предприятията да изготвят свои собствени планове за преход </w:t>
            </w:r>
            <w:r>
              <w:rPr>
                <w:b/>
                <w:i/>
              </w:rPr>
              <w:t>чрез социален диалог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w:t>
            </w:r>
            <w:r>
              <w:rPr>
                <w:b/>
                <w:i/>
              </w:rPr>
              <w:t>разработвани</w:t>
            </w:r>
            <w:r>
              <w:t xml:space="preserve"> в рамките на социалния диалог при пълно зачитане на правото на информиране и консултиране; 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w:t>
            </w:r>
            <w:r>
              <w:rPr>
                <w:b/>
                <w:i/>
              </w:rPr>
              <w:t>двойния преход</w:t>
            </w:r>
            <w:r>
              <w:t xml:space="preserve">; подчертава </w:t>
            </w:r>
            <w:r>
              <w:rPr>
                <w:b/>
                <w:i/>
              </w:rPr>
              <w:t>необходимостта да се предоставят стимули на предприятията да изготвят</w:t>
            </w:r>
            <w:r>
              <w:t xml:space="preserve"> свои собствени </w:t>
            </w:r>
            <w:r>
              <w:rPr>
                <w:b/>
                <w:i/>
              </w:rPr>
              <w:t>планове</w:t>
            </w:r>
            <w:r>
              <w:t xml:space="preserve"> за преход;</w:t>
            </w:r>
          </w:p>
        </w:tc>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w:t>
            </w:r>
            <w:r>
              <w:rPr>
                <w:b/>
                <w:i/>
              </w:rPr>
              <w:t>регионалните и местните органи и общности,</w:t>
            </w:r>
            <w:r>
              <w:t xml:space="preserve"> за да се ориентират успешно в зеления </w:t>
            </w:r>
            <w:r>
              <w:rPr>
                <w:b/>
                <w:i/>
              </w:rPr>
              <w:t>и цифровия</w:t>
            </w:r>
            <w:r>
              <w:t xml:space="preserve">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w:t>
            </w:r>
            <w:r>
              <w:rPr>
                <w:b/>
                <w:i/>
              </w:rPr>
              <w:t>разработени</w:t>
            </w:r>
            <w:r>
              <w:t xml:space="preserve"> в рамките на </w:t>
            </w:r>
            <w:r>
              <w:rPr>
                <w:b/>
                <w:i/>
              </w:rPr>
              <w:t>едно широкомащабно партньорство,</w:t>
            </w:r>
            <w:r>
              <w:t xml:space="preserve"> социалния диалог </w:t>
            </w:r>
            <w:r>
              <w:rPr>
                <w:b/>
                <w:i/>
              </w:rPr>
              <w:t>и колективното договаряне</w:t>
            </w:r>
            <w:r>
              <w:t xml:space="preserve"> при пълно зачитане на правото на информиране и консултиране </w:t>
            </w:r>
            <w:r>
              <w:rPr>
                <w:b/>
                <w:i/>
              </w:rPr>
              <w:t>на равнището на държавите членки и да се гарантира, че работниците и техните представители са информирани и с тях се провеждат консултации по своевременен и ефективен начин относно процесите на преход</w:t>
            </w:r>
            <w:r>
              <w:t xml:space="preserve">; във връзка с това призовава за преразглеждане на законодателната рамка относно информирането и консултациите, </w:t>
            </w:r>
            <w:r>
              <w:rPr>
                <w:b/>
                <w:i/>
              </w:rPr>
              <w:t>така че тя да бъде засилена и гарантирано прилагана, както и</w:t>
            </w:r>
            <w:r>
              <w:t xml:space="preserve"> за да се гарантира, че тя е подходяща за целта в контекста на </w:t>
            </w:r>
            <w:r>
              <w:rPr>
                <w:b/>
                <w:i/>
              </w:rPr>
              <w:t>двойните преходи</w:t>
            </w:r>
            <w:r>
              <w:t xml:space="preserve">; подчертава </w:t>
            </w:r>
            <w:r>
              <w:rPr>
                <w:b/>
                <w:i/>
              </w:rPr>
              <w:t>обаче, че всяка директива на ЕС за справедлив преход следва да установи</w:t>
            </w:r>
            <w:r>
              <w:t xml:space="preserve"> свои собствени </w:t>
            </w:r>
            <w:r>
              <w:rPr>
                <w:b/>
                <w:i/>
              </w:rPr>
              <w:t>специфични разпоредби относно информирането, консултирането и участието на представителите на работниците в плановете</w:t>
            </w:r>
            <w:r>
              <w:t xml:space="preserve"> за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w:t>
            </w:r>
            <w:r>
              <w:rPr>
                <w:b/>
                <w:i/>
              </w:rPr>
              <w:t>може проактивно</w:t>
            </w:r>
            <w:r>
              <w:t xml:space="preserve">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 подчертава необходимостта да се предоставят стимули на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w:t>
            </w:r>
            <w:r>
              <w:rPr>
                <w:b/>
                <w:i/>
              </w:rPr>
              <w:t>трябва</w:t>
            </w:r>
            <w:r>
              <w:t xml:space="preserve">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 подчертава необходимостта да се предоставят стимули на предприятията да изготвят свои собствени планове за преход;</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 подчертава необходимостта да се предоставят стимули на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във връзка с това призовава за преразглеждане на законодателната рамка относно информирането и консултациите, за да се гарантира, че тя е подходяща за целта в контекста на двойния преход; подчертава необходимостта да се предоставят стимули на предприятията да изготвят свои собствени планове за преход; </w:t>
            </w:r>
            <w:r>
              <w:rPr>
                <w:b/>
                <w:i/>
              </w:rPr>
              <w:t>подчертава, че заинтересованите страни и гражданското общество трябва да бъдат включени още от най-ранните етапи на планирането на прехода, като се гарантира пълноценно участие, а не консултации на по-късен етап.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във връзка с това призовава за преразглеждане на </w:t>
            </w:r>
            <w:r>
              <w:rPr>
                <w:b/>
                <w:i/>
              </w:rPr>
              <w:t>законодателната</w:t>
            </w:r>
            <w:r>
              <w:t xml:space="preserve"> рамка относно информирането и консултациите, за да се гарантира, че тя е подходяща за целта в контекста на </w:t>
            </w:r>
            <w:r>
              <w:rPr>
                <w:b/>
                <w:i/>
              </w:rPr>
              <w:t>двойния преход</w:t>
            </w:r>
            <w:r>
              <w:t>; подчертава необходимостта да се предоставят стимули на предприятията да изготвят свои собствени планове за преход;</w:t>
            </w:r>
          </w:p>
        </w:tc>
        <w:tc>
          <w:tcPr>
            <w:tcW w:w="4876" w:type="dxa"/>
            <w:tcBorders>
              <w:top w:val="nil"/>
              <w:left w:val="nil"/>
              <w:bottom w:val="nil"/>
              <w:right w:val="nil"/>
            </w:tcBorders>
          </w:tcPr>
          <w:p>
            <w:pPr>
              <w:pStyle w:val="Normal6a"/>
            </w:pPr>
            <w:r>
              <w:t>4.</w:t>
            </w:r>
            <w:r>
              <w:tab/>
            </w:r>
            <w:r>
              <w:t xml:space="preserve">подчертава, че предугаждането и управлението на промените са от първостепенно значение както за работодателите, така и за работниците, за да се ориентират успешно в зеления преход и да се справят ефективно с икономическите предизвикателства, породени от неблагоприятните геополитически събития; подчертава, че планирането на прехода може проактивно да предотвратява съкращенията на работните места, да изгражда дълготрайна устойчивост в предприятията и да използва по най-добрия начин наличните ресурси; подчертава, че плановете трябва да бъдат разработвани в рамките на социалния диалог при пълно зачитане на правото на информиране и консултиране; във връзка с това призовава за преразглеждане на </w:t>
            </w:r>
            <w:r>
              <w:rPr>
                <w:b/>
                <w:i/>
              </w:rPr>
              <w:t>съществуващата законодателна</w:t>
            </w:r>
            <w:r>
              <w:t xml:space="preserve"> рамка относно информирането и консултациите</w:t>
            </w:r>
            <w:r>
              <w:rPr>
                <w:b/>
                <w:i/>
              </w:rPr>
              <w:t>, насочено по-скоро към опростяване и рационализиране, а не към разширяване</w:t>
            </w:r>
            <w:r>
              <w:t xml:space="preserve">, за да се гарантира, че тя е подходяща за целта в контекста на </w:t>
            </w:r>
            <w:r>
              <w:rPr>
                <w:b/>
                <w:i/>
              </w:rPr>
              <w:t>двойните преходи</w:t>
            </w:r>
            <w:r>
              <w:t>; подчертава необходимостта да се предоставят стимули на предприятията да изготвят свои собствени планове за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подчертава, че плановете трябва да бъдат разработени в рамките на социалния диалог и колективното договаряне при пълно зачитане на правото на информиране и консултиране на равнището на държавите членки и да се гарантира, че работниците и техните представители са своевременно и ефективно информирани и с тях се провеждат консултации, както и че те имат правомощието да вземат решения относно процесите на преход в техните дружества;</w:t>
            </w:r>
            <w:r>
              <w:t xml:space="preserve"> </w:t>
            </w:r>
            <w:r>
              <w:rPr>
                <w:b/>
                <w:i/>
              </w:rPr>
              <w:t>във връзка с това призовава за преразглеждане на законодателната рамка относно информирането и консултациите, така че тя да бъде засилена и гарантирано прилагана, както и за да се гарантира, че тя е пригодна за целта в контекста на двойните преходи;</w:t>
            </w:r>
            <w:r>
              <w:t xml:space="preserve"> </w:t>
            </w:r>
            <w:r>
              <w:rPr>
                <w:b/>
                <w:i/>
              </w:rPr>
              <w:t>всяка директива на ЕС за справедлив преход следва да установи свои собствени специфични разпоредби относно информирането, консултирането и участието на представителите на работниците в плановете за преход;</w:t>
            </w:r>
            <w:r>
              <w:t xml:space="preserve"> </w:t>
            </w:r>
            <w:r>
              <w:rPr>
                <w:b/>
                <w:i/>
              </w:rPr>
              <w:t>подчертава необходимостта предприятията да изготвят свои собствени планове за преход чрез социален диалог;</w:t>
            </w:r>
            <w:r>
              <w:t xml:space="preserve"> </w:t>
            </w:r>
            <w:r>
              <w:rPr>
                <w:b/>
                <w:i/>
              </w:rPr>
              <w:t>подчертава, че работниците и техните синдикални организации имат право не само да бъдат информирани и консултирани, но и да участват в разработването, изпълнението и мониторинга на плановете за справедлив преход, както и че местните общности, организациите на гражданското общество и представителите на уязвимите групи също трябва да бъдат включени;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Пал Секереш, Северин Вербрук, Никола Бартушек, Мелани Дидие, Мари Доши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подчертава, че новаторите, изследователите, работодателите и работниците трябва да могат ефективно да се справят с и да се ориентират успешно в икономическите предизвикателства, произтичащи от неблагоприятни геополитически събития и недостиг на ресурси и енергия;</w:t>
            </w:r>
            <w:r>
              <w:t xml:space="preserve"> </w:t>
            </w:r>
            <w:r>
              <w:rPr>
                <w:b/>
                <w:i/>
              </w:rPr>
              <w:t>подчертава, че проактивното, основано на научни изследвания планиране, като се вземат предвид икономическите перспективи, може да спомогне за предотвратяване на съкращенията, за укрепване на дългосрочната устойчивост на предприятията и за гарантиране на оптимално и устойчиво използване на наличните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4б.</w:t>
            </w:r>
            <w:r>
              <w:tab/>
            </w:r>
            <w:r>
              <w:rPr>
                <w:b/>
                <w:i/>
              </w:rPr>
              <w:t>счита, че дружествата, които планират съобразени с околната среда преструктурирания, трябва да приемат и редовно да актуализират планове за справедлив преход, като се консултират с работниците и техните представители;</w:t>
            </w:r>
            <w:r>
              <w:t xml:space="preserve"> </w:t>
            </w:r>
            <w:r>
              <w:rPr>
                <w:b/>
                <w:i/>
              </w:rPr>
              <w:t>тези планове предвиждат, предотвратяват и смекчават отрицателните въздействия върху заетостта, уменията, условията на труд и местните общности;</w:t>
            </w:r>
            <w:r>
              <w:t xml:space="preserve"> </w:t>
            </w:r>
            <w:r>
              <w:rPr>
                <w:b/>
                <w:i/>
              </w:rPr>
              <w:t>в плановете също така се вземат предвид последиците от плановете за преструктуриране и мерките за преход върху цялата верига на дейността на дружеството и се оценяват и прилагат мерки за гарантиране на справедлив преход във всички засегнати райони;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подчертава, че недостигът на квалифицирани работници може да бъде преодолян </w:t>
            </w:r>
            <w:r>
              <w:rPr>
                <w:b/>
                <w:i/>
              </w:rPr>
              <w:t>пълноценно само</w:t>
            </w:r>
            <w:r>
              <w:t xml:space="preserve"> като се обръща внимание на наличието и достъпността на възможности за обучение</w:t>
            </w:r>
            <w:r>
              <w:rPr>
                <w:b/>
                <w:i/>
              </w:rPr>
              <w:t>;</w:t>
            </w:r>
            <w:r>
              <w:t xml:space="preserve"> </w:t>
            </w:r>
            <w:r>
              <w:rPr>
                <w:b/>
                <w:i/>
              </w:rPr>
              <w:t>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b/>
                <w:i/>
                <w:vertAlign w:val="superscript"/>
              </w:rPr>
              <w:t>7</w:t>
            </w:r>
            <w:r>
              <w:rPr>
                <w:b/>
                <w:i/>
              </w:rPr>
              <w:t>;</w:t>
            </w:r>
            <w:r>
              <w:t xml:space="preserve"> </w:t>
            </w:r>
            <w:r>
              <w:rPr>
                <w:b/>
                <w:i/>
              </w:rPr>
              <w:t>изразява твърдо убеждение</w:t>
            </w:r>
            <w:r>
              <w:t xml:space="preserve">, </w:t>
            </w:r>
            <w:r>
              <w:rPr>
                <w:b/>
                <w:i/>
              </w:rPr>
              <w:t>че индивидуалното право на безплатно обучение на работниците и в работно време</w:t>
            </w:r>
            <w:r>
              <w:t xml:space="preserve"> може да </w:t>
            </w:r>
            <w:r>
              <w:rPr>
                <w:b/>
                <w:i/>
              </w:rPr>
              <w:t>преодолее тези пречки за работниците и да гарантира предсказуемо и стабилно предлагане на</w:t>
            </w:r>
            <w:r>
              <w:t xml:space="preserve"> квалифицирани </w:t>
            </w:r>
            <w:r>
              <w:rPr>
                <w:b/>
                <w:i/>
              </w:rPr>
              <w:t>работници за работодателите</w:t>
            </w:r>
            <w:r>
              <w:t>;</w:t>
            </w:r>
          </w:p>
        </w:tc>
        <w:tc>
          <w:tcPr>
            <w:tcW w:w="4876" w:type="dxa"/>
            <w:tcBorders>
              <w:top w:val="nil"/>
              <w:left w:val="nil"/>
              <w:bottom w:val="nil"/>
              <w:right w:val="nil"/>
            </w:tcBorders>
          </w:tcPr>
          <w:p>
            <w:pPr>
              <w:pStyle w:val="Normal6a"/>
            </w:pPr>
            <w:r>
              <w:t>5.</w:t>
            </w:r>
            <w:r>
              <w:tab/>
            </w:r>
            <w:r>
              <w:t xml:space="preserve">подчертава, че недостигът на квалифицирани работници може да бъде преодолян </w:t>
            </w:r>
            <w:r>
              <w:rPr>
                <w:b/>
                <w:i/>
              </w:rPr>
              <w:t>частично,</w:t>
            </w:r>
            <w:r>
              <w:t xml:space="preserve"> като се обръща внимание на наличието и достъпността на възможности за обучение </w:t>
            </w:r>
            <w:r>
              <w:rPr>
                <w:b/>
                <w:i/>
              </w:rPr>
              <w:t>за граждани на ЕС, на равнището на държавите членки;</w:t>
            </w:r>
            <w:r>
              <w:t xml:space="preserve"> </w:t>
            </w:r>
            <w:r>
              <w:rPr>
                <w:b/>
                <w:i/>
              </w:rPr>
              <w:t>посочва, че във всеки случай само една проактивна политика, насочена към раждаемостта в Европа</w:t>
            </w:r>
            <w:r>
              <w:t xml:space="preserve">, може да </w:t>
            </w:r>
            <w:r>
              <w:rPr>
                <w:b/>
                <w:i/>
              </w:rPr>
              <w:t>предостави дългосрочно решение на недостига на работници, независимо дали са</w:t>
            </w:r>
            <w:r>
              <w:t xml:space="preserve"> квалифицирани </w:t>
            </w:r>
            <w:r>
              <w:rPr>
                <w:b/>
                <w:i/>
              </w:rPr>
              <w:t>или неквалифицирани</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„Заетост и социално развитие в Европа“, 2024 г., Европейска комисия, стр.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 xml:space="preserve">; </w:t>
            </w:r>
            <w:r>
              <w:rPr>
                <w:b/>
                <w:i/>
              </w:rPr>
              <w:t>изразява твърдо убеждение, че индивидуалното право на безплатно обучение на работниците и в работно време може да преодолее тези пречки за работниците и да гарантира предсказуемо и стабилно предлагане на квалифицирани работници за работодателите;</w:t>
            </w:r>
          </w:p>
        </w:tc>
        <w:tc>
          <w:tcPr>
            <w:tcW w:w="4876" w:type="dxa"/>
            <w:tcBorders>
              <w:top w:val="nil"/>
              <w:left w:val="nil"/>
              <w:bottom w:val="nil"/>
              <w:right w:val="nil"/>
            </w:tcBorders>
          </w:tcPr>
          <w:p>
            <w:pPr>
              <w:pStyle w:val="Normal6a"/>
            </w:pPr>
            <w:r>
              <w:t>5.</w:t>
            </w:r>
            <w:r>
              <w:tab/>
            </w:r>
            <w:r>
              <w:t xml:space="preserve">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w:t>
            </w:r>
            <w:r>
              <w:rPr>
                <w:b/>
                <w:i/>
              </w:rPr>
              <w:t>за граждани на държавите членки, които имат готовност да работят</w:t>
            </w:r>
            <w:r>
              <w:t>;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b/>
                <w:i/>
                <w:vertAlign w:val="superscript"/>
              </w:rPr>
              <w:t>7</w:t>
            </w:r>
            <w:r>
              <w:t xml:space="preserve">; </w:t>
            </w:r>
            <w:r>
              <w:rPr>
                <w:b/>
                <w:i/>
              </w:rPr>
              <w:t>изразява твърдо убеждение, че индивидуалното право на безплатно обучение на работниците и в работно време може да преодолее тези пречки за работниците и да гарантира предсказуемо и стабилно предлагане на квалифицирани работници за работодателите;</w:t>
            </w:r>
          </w:p>
        </w:tc>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„Заетост и социално развитие в Европа“, 2024 г., Европейска комисия, стр.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 xml:space="preserve">; изразява твърдо убеждение, че индивидуалното право на </w:t>
            </w:r>
            <w:r>
              <w:rPr>
                <w:b/>
                <w:i/>
              </w:rPr>
              <w:t>безплатно</w:t>
            </w:r>
            <w:r>
              <w:t xml:space="preserve"> обучение </w:t>
            </w:r>
            <w:r>
              <w:rPr>
                <w:b/>
                <w:i/>
              </w:rPr>
              <w:t>на работниците и в работно време</w:t>
            </w:r>
            <w:r>
              <w:t xml:space="preserve"> може да преодолее тези пречки за работниците и да гарантира предсказуемо и стабилно предлагане на квалифицирани работници за работодателите;</w:t>
            </w:r>
          </w:p>
        </w:tc>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 изразява твърдо убеждение, че индивидуалното право на обучение може да преодолее тези пречки за работниците и да гарантира предсказуемо и стабилно предлагане на квалифицирани работници за работодателите;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 xml:space="preserve">; изразява твърдо убеждение, че индивидуалното право на </w:t>
            </w:r>
            <w:r>
              <w:rPr>
                <w:b/>
                <w:i/>
              </w:rPr>
              <w:t>безплатно</w:t>
            </w:r>
            <w:r>
              <w:t xml:space="preserve"> обучение на работниците и в работно време може да преодолее тези пречки за работниците и да гарантира предсказуемо и стабилно предлагане на квалифицирани работници за работодателите;</w:t>
            </w:r>
          </w:p>
        </w:tc>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 изразява твърдо убеждение, че индивидуалното право на обучение на работниците и в работно време може да преодолее тези пречки за работниците и да гарантира предсказуемо и стабилно предлагане на квалифицирани работници за работодателите;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b/>
                <w:i/>
                <w:vertAlign w:val="superscript"/>
              </w:rPr>
              <w:t>7</w:t>
            </w:r>
            <w:r>
              <w:t xml:space="preserve">; изразява твърдо убеждение, че индивидуалното право на безплатно обучение </w:t>
            </w:r>
            <w:r>
              <w:rPr>
                <w:b/>
                <w:i/>
              </w:rPr>
              <w:t>на работниците</w:t>
            </w:r>
            <w:r>
              <w:t xml:space="preserve"> и в работно време може да преодолее тези пречки за работниците и да гарантира </w:t>
            </w:r>
            <w:r>
              <w:rPr>
                <w:b/>
                <w:i/>
              </w:rPr>
              <w:t>предсказуемо</w:t>
            </w:r>
            <w:r>
              <w:t xml:space="preserve"> и стабилно предлагане на квалифицирани работници за работодателите;</w:t>
            </w:r>
          </w:p>
        </w:tc>
        <w:tc>
          <w:tcPr>
            <w:tcW w:w="4876" w:type="dxa"/>
            <w:tcBorders>
              <w:top w:val="nil"/>
              <w:left w:val="nil"/>
              <w:bottom w:val="nil"/>
              <w:right w:val="nil"/>
            </w:tcBorders>
          </w:tcPr>
          <w:p>
            <w:pPr>
              <w:pStyle w:val="Normal6a"/>
            </w:pPr>
            <w:r>
              <w:t>5.</w:t>
            </w:r>
            <w:r>
              <w:tab/>
            </w:r>
            <w:r>
              <w:t xml:space="preserve">подчертава, че недостигът на квалифицирани работници може да бъде преодолян пълноценно само като се обръща внимание на наличието и достъпността на </w:t>
            </w:r>
            <w:r>
              <w:rPr>
                <w:b/>
                <w:i/>
              </w:rPr>
              <w:t>образование, (пре)квалификация и</w:t>
            </w:r>
            <w:r>
              <w:t xml:space="preserve">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b/>
                <w:i/>
              </w:rPr>
              <w:t>[1];</w:t>
            </w:r>
            <w:r>
              <w:t xml:space="preserve"> </w:t>
            </w:r>
            <w:r>
              <w:rPr>
                <w:b/>
                <w:i/>
              </w:rPr>
              <w:t>припомня, че Директива (ЕС) 2019/1152 на Европейския парламент и на Съвета</w:t>
            </w:r>
            <w:r>
              <w:rPr>
                <w:b/>
                <w:i/>
                <w:vertAlign w:val="superscript"/>
              </w:rPr>
              <w:t>1a</w:t>
            </w:r>
            <w:r>
              <w:t xml:space="preserve"> </w:t>
            </w:r>
            <w:r>
              <w:rPr>
                <w:b/>
                <w:i/>
              </w:rPr>
              <w:t>от 20 юни 2019 г. за прозрачни и предвидими условия на труд в Европейския съюз вече постановява, че задължителното обучение трябва да се предоставя безплатно, да се счита за работно време и да се провежда в работно време;</w:t>
            </w:r>
            <w:r>
              <w:t xml:space="preserve"> </w:t>
            </w:r>
            <w:r>
              <w:rPr>
                <w:b/>
                <w:i/>
              </w:rPr>
              <w:t>подчертава обаче, че транспонирането и прилагането на тези разпоредби остава слабо и неравномерно в отделните държави членки, като по този начин подчертава спешната необходимост от специална и обвързваща рамка на Съюза</w:t>
            </w:r>
            <w:r>
              <w:t xml:space="preserve">; изразява твърдо убеждение, че индивидуалното право на безплатно обучение </w:t>
            </w:r>
            <w:r>
              <w:rPr>
                <w:b/>
                <w:i/>
              </w:rPr>
              <w:t>и учене през целия живот за всички работници</w:t>
            </w:r>
            <w:r>
              <w:t xml:space="preserve"> и в работно време може да преодолее тези пречки за работниците и да гарантира </w:t>
            </w:r>
            <w:r>
              <w:rPr>
                <w:b/>
                <w:i/>
              </w:rPr>
              <w:t>качествено повишаване на квалификацията или преквалификация, обучение на служителите и подкрепа за професионално развитие за предвидимо</w:t>
            </w:r>
            <w:r>
              <w:t xml:space="preserve"> и стабилно предлагане на квалифицирани работници за работодателите;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ОВ L 186 от 11.7.2019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„Заетост и социално развитие в Европа“, 2024 г., Европейска комисия, стр.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 xml:space="preserve">; изразява твърдо убеждение, че </w:t>
            </w:r>
            <w:r>
              <w:rPr>
                <w:b/>
                <w:i/>
              </w:rPr>
              <w:t>индивидуалното</w:t>
            </w:r>
            <w:r>
              <w:t xml:space="preserve"> право на безплатно обучение на работниците и в работно време може да преодолее тези пречки за работниците и да гарантира предсказуемо и стабилно предлагане на квалифицирани работници за работодателите;</w:t>
            </w:r>
          </w:p>
        </w:tc>
        <w:tc>
          <w:tcPr>
            <w:tcW w:w="4876" w:type="dxa"/>
            <w:tcBorders>
              <w:top w:val="nil"/>
              <w:left w:val="nil"/>
              <w:bottom w:val="nil"/>
              <w:right w:val="nil"/>
            </w:tcBorders>
          </w:tcPr>
          <w:p>
            <w:pPr>
              <w:pStyle w:val="Normal6a"/>
            </w:pPr>
            <w:r>
              <w:t>5.</w:t>
            </w:r>
            <w:r>
              <w:tab/>
            </w:r>
            <w:r>
              <w:t>подчертава, че недостигът на квалифицирани работници може да бъде преодолян пълноценно само като се обръща внимание на наличието и достъпността на възможности за обучение</w:t>
            </w:r>
            <w:r>
              <w:rPr>
                <w:b/>
                <w:i/>
              </w:rPr>
              <w:t>, както и чрез подобряване на условията на труд и осигуряване на адекватни заплати, които дават възможност за достоен живот</w:t>
            </w:r>
            <w:r>
              <w:t>; подчертава, че графикът за обучение, семейните отговорности и разходите са основните пречки за работниците, желаещи да участват в допълнително обучение</w:t>
            </w:r>
            <w:r>
              <w:rPr>
                <w:vertAlign w:val="superscript"/>
              </w:rPr>
              <w:t>7</w:t>
            </w:r>
            <w:r>
              <w:t xml:space="preserve">; изразява твърдо убеждение, че </w:t>
            </w:r>
            <w:r>
              <w:rPr>
                <w:b/>
                <w:i/>
              </w:rPr>
              <w:t>гарантираното индивидуално</w:t>
            </w:r>
            <w:r>
              <w:t xml:space="preserve"> право на безплатно обучение на работниците и в работно време може да преодолее тези пречки за работниците и да гарантира предсказуемо и стабилно предлагане на квалифицирани работници за работодателите; </w:t>
            </w:r>
            <w:r>
              <w:rPr>
                <w:b/>
                <w:i/>
              </w:rPr>
              <w:t>подчертава, че справедливият преход следва да бъде интегриран с междусекторен подход във всички законодателни актове и политики в Съюза и държавите членки, като се обръща специално внимание на включването на младите, по-възрастните, нискоквалифицираните работници и жените, както и на работниците с увреждания в програмите за образование и обучение;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c>
          <w:tcPr>
            <w:tcW w:w="4876" w:type="dxa"/>
            <w:tcBorders>
              <w:top w:val="nil"/>
              <w:left w:val="nil"/>
              <w:bottom w:val="nil"/>
              <w:right w:val="nil"/>
            </w:tcBorders>
          </w:tcPr>
          <w:p>
            <w:pPr>
              <w:pStyle w:val="Normal6a"/>
            </w:pPr>
            <w:r>
              <w:rPr>
                <w:vertAlign w:val="superscript"/>
              </w:rPr>
              <w:t>7</w:t>
            </w:r>
            <w:r>
              <w:t xml:space="preserve"> </w:t>
            </w:r>
            <w:r>
              <w:t>„Заетост и социално развитие в Европа“, 2024 г., Европейска комисия, стр.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подчертава необходимостта от пълноценно включване на младите хора в разработването, изпълнението и мониторинга на политиките, свързани с честен и справедлив преход;</w:t>
            </w:r>
            <w:r>
              <w:t xml:space="preserve"> </w:t>
            </w:r>
            <w:r>
              <w:rPr>
                <w:b/>
                <w:i/>
              </w:rPr>
              <w:t>призовава за увеличаване на усилията за прилагане на Гаранцията за младежта, като се осигури по-голямо заделяне на средства от държавите членки за разпределяне на най-малко 15% от техните средства от ЕСФ+ за целенасочени действия и структурни реформи в подкрепа на качествената младежка заетост, професионалното образование и обучение, по-специално чрез платени висококачествени стажове и чиракуване, и като се улеснява преходът от училище към работа, реинтеграцията в образованието или обучението и образование за даване на втори шанс;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подчертава, че е важно да се подкрепят работниците при укрепването на техните преобразуващи умения (като критично мислене, далновидност, творчество и възможност за политическа действеност), умения, които оспорват съществуващите практики и генерират изцяло нови решения и ценности, необходими за зелената и цифровата трансформация;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подчертава, че трансформациите и преструктурирането на работното място по време на двойния преход могат да породят психосоциални рискове като стрес, несигурност и заплаха от загуба на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5б.</w:t>
            </w:r>
            <w:r>
              <w:tab/>
            </w:r>
            <w:r>
              <w:rPr>
                <w:b/>
                <w:i/>
              </w:rPr>
              <w:t>счита, че е от съществено значение да бъде насърчавана икономическата жизнеспособност на европейските промишлени предприятия и да бъдат предотвратявани, в най-лошия случай, на затварянето на предприятия и принудителните съкращения;</w:t>
            </w:r>
            <w:r>
              <w:t xml:space="preserve"> </w:t>
            </w:r>
            <w:r>
              <w:rPr>
                <w:b/>
                <w:i/>
              </w:rPr>
              <w:t>подчертава важността на подкрепата за предприятията с цел избягване на принудителните съкращения, като например програми за временна подкрепа с цел защита на заетостта по време на преходи, избягване на загубата на стратегически промишлен капацитет и квалифицирана работна сила;</w:t>
            </w:r>
            <w:r>
              <w:t xml:space="preserve"> </w:t>
            </w:r>
            <w:r>
              <w:rPr>
                <w:b/>
                <w:i/>
              </w:rPr>
              <w:t>отбелязва, че когато е необходим преход от едно работно място към друго, е от съществено значение да се задържат работниците в един и същ сектор и регион, като същевременно им се предостави достатъчно време за реконвертиране без лични финансови загуби;</w:t>
            </w:r>
            <w:r>
              <w:t xml:space="preserve"> </w:t>
            </w:r>
            <w:r>
              <w:rPr>
                <w:b/>
                <w:i/>
              </w:rPr>
              <w:t>изисква по-силна защита срещу несправедливи уволнения и призовава на работниците, засегнати от преструктурирането, да се гарантира подходящо обезщетение, възможности за преквалификация и подкрепа за намиране на нова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5б.</w:t>
            </w:r>
            <w:r>
              <w:tab/>
            </w:r>
            <w:r>
              <w:rPr>
                <w:b/>
                <w:i/>
              </w:rPr>
              <w:t>призовава програмите за подкрепа на психичното здраве, включително консултации, управление на стреса и схеми за равновесие между професионалния и личния живот, да бъдат интегрирани в плановете за преход на равнището на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rPr>
                <w:b/>
                <w:i/>
              </w:rPr>
              <w:t>призовава държавите членки да дават приоритет на санирането на жилища, обитавани от домакинства, изложени на риск от енергийна бедност, което ще доведе както до ползи за климата, така и до икономии на разходи за уязвимите семейства, като същевременно се създават работни места на местно равнище;</w:t>
            </w:r>
            <w:r>
              <w:t xml:space="preserve"> 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подчертава </w:t>
            </w:r>
            <w:r>
              <w:rPr>
                <w:b/>
                <w:i/>
              </w:rPr>
              <w:t>необходимостта</w:t>
            </w:r>
            <w:r>
              <w:t xml:space="preserve"> държавите членки </w:t>
            </w:r>
            <w:r>
              <w:rPr>
                <w:b/>
                <w:i/>
              </w:rPr>
              <w:t>да подкрепят</w:t>
            </w:r>
            <w:r>
              <w:t xml:space="preserve"> предприятията и работниците</w:t>
            </w:r>
            <w:r>
              <w:rPr>
                <w:b/>
                <w:i/>
              </w:rPr>
              <w:t>, като изготвят цялостни</w:t>
            </w:r>
            <w:r>
              <w:t xml:space="preserve"> стратегии </w:t>
            </w:r>
            <w:r>
              <w:rPr>
                <w:b/>
                <w:i/>
              </w:rPr>
              <w:t>и политики за справедлив</w:t>
            </w:r>
            <w:r>
              <w:t xml:space="preserve"> преход </w:t>
            </w:r>
            <w:r>
              <w:rPr>
                <w:b/>
                <w:i/>
              </w:rPr>
              <w:t>на национално равнище</w:t>
            </w:r>
            <w:r>
              <w:t xml:space="preserve">; подчертава, че тези </w:t>
            </w:r>
            <w:r>
              <w:rPr>
                <w:b/>
                <w:i/>
              </w:rPr>
              <w:t>национални</w:t>
            </w:r>
            <w:r>
              <w:t xml:space="preserve">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t xml:space="preserve">подчертава </w:t>
            </w:r>
            <w:r>
              <w:rPr>
                <w:b/>
                <w:i/>
              </w:rPr>
              <w:t>основната роля на</w:t>
            </w:r>
            <w:r>
              <w:t xml:space="preserve"> държавите членки </w:t>
            </w:r>
            <w:r>
              <w:rPr>
                <w:b/>
                <w:i/>
              </w:rPr>
              <w:t>и регионите за подкрепа на</w:t>
            </w:r>
            <w:r>
              <w:t xml:space="preserve"> предприятията и работниците </w:t>
            </w:r>
            <w:r>
              <w:rPr>
                <w:b/>
                <w:i/>
              </w:rPr>
              <w:t>чрез разработване на</w:t>
            </w:r>
            <w:r>
              <w:t xml:space="preserve"> стратегии </w:t>
            </w:r>
            <w:r>
              <w:rPr>
                <w:b/>
                <w:i/>
              </w:rPr>
              <w:t>за</w:t>
            </w:r>
            <w:r>
              <w:t xml:space="preserve"> преход</w:t>
            </w:r>
            <w:r>
              <w:rPr>
                <w:b/>
                <w:i/>
              </w:rPr>
              <w:t>, съобразени с местните условия</w:t>
            </w:r>
            <w:r>
              <w:t>; подчертава, че тези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подчертава </w:t>
            </w:r>
            <w:r>
              <w:rPr>
                <w:b/>
                <w:i/>
              </w:rPr>
              <w:t>необходимостта</w:t>
            </w:r>
            <w:r>
              <w:t xml:space="preserve">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w:t>
            </w:r>
            <w:r>
              <w:rPr>
                <w:b/>
                <w:i/>
              </w:rPr>
              <w:t>и работна</w:t>
            </w:r>
            <w:r>
              <w:t xml:space="preserve">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w:t>
            </w:r>
            <w:r>
              <w:rPr>
                <w:b/>
                <w:i/>
              </w:rPr>
              <w:t>и</w:t>
            </w:r>
            <w:r>
              <w:t xml:space="preserve"> гражданското общество; подчертава, че преките инвестиции в иновации и повишаване на привлекателността на регионите чрез модернизиране </w:t>
            </w:r>
            <w:r>
              <w:rPr>
                <w:b/>
                <w:i/>
              </w:rPr>
              <w:t>на инфраструктурата</w:t>
            </w:r>
            <w:r>
              <w:t>,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t xml:space="preserve">подчертава </w:t>
            </w:r>
            <w:r>
              <w:rPr>
                <w:b/>
                <w:i/>
              </w:rPr>
              <w:t>задължението на</w:t>
            </w:r>
            <w:r>
              <w:t xml:space="preserve"> държавите членки да подкрепят предприятията и работниците, като изготвят цялостни стратегии и политики за справедлив преход на национално </w:t>
            </w:r>
            <w:r>
              <w:rPr>
                <w:b/>
                <w:i/>
              </w:rPr>
              <w:t>и регионално</w:t>
            </w:r>
            <w:r>
              <w:t xml:space="preserve"> равнище; подчертава, че тези национални стратегии следва да определят въздействието на прехода върху отделните сектори</w:t>
            </w:r>
            <w:r>
              <w:rPr>
                <w:b/>
                <w:i/>
              </w:rPr>
              <w:t>, региони и работната</w:t>
            </w:r>
            <w:r>
              <w:t xml:space="preserve">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w:t>
            </w:r>
            <w:r>
              <w:rPr>
                <w:b/>
                <w:i/>
              </w:rPr>
              <w:t>,</w:t>
            </w:r>
            <w:r>
              <w:t xml:space="preserve"> гражданското общество </w:t>
            </w:r>
            <w:r>
              <w:rPr>
                <w:b/>
                <w:i/>
              </w:rPr>
              <w:t>и социалната икономика</w:t>
            </w:r>
            <w:r>
              <w:t xml:space="preserve">; подчертава, че преките инвестиции в иновации и повишаване на привлекателността на регионите чрез модернизиране </w:t>
            </w:r>
            <w:r>
              <w:rPr>
                <w:b/>
                <w:i/>
              </w:rPr>
              <w:t>и предоставяне на висококачествена, финансово и физически достъпна инфраструктура</w:t>
            </w:r>
            <w:r>
              <w:t>, обществените услуги и удобствата са необходими, за да се задържат работниците и да се създават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w:t>
            </w:r>
            <w:r>
              <w:rPr>
                <w:b/>
                <w:i/>
              </w:rPr>
              <w:t>и следва да определят всеобхватен и междусекторен набор от мерки за смекчаване на въздействието</w:t>
            </w:r>
            <w:r>
              <w:t>;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t>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w:t>
            </w:r>
            <w:r>
              <w:rPr>
                <w:b/>
                <w:i/>
              </w:rPr>
              <w:t>сектори и работна сила</w:t>
            </w:r>
            <w:r>
              <w:t xml:space="preserve">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t xml:space="preserve">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w:t>
            </w:r>
            <w:r>
              <w:rPr>
                <w:b/>
                <w:i/>
              </w:rPr>
              <w:t>конкретните сектори, работната сила и</w:t>
            </w:r>
            <w:r>
              <w:t xml:space="preserve"> отделните </w:t>
            </w:r>
            <w:r>
              <w:rPr>
                <w:b/>
                <w:i/>
              </w:rPr>
              <w:t>работници</w:t>
            </w:r>
            <w:r>
              <w:t xml:space="preserve">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w:t>
            </w:r>
            <w:r>
              <w:rPr>
                <w:b/>
                <w:i/>
              </w:rPr>
              <w:t>и регионалния</w:t>
            </w:r>
            <w:r>
              <w:t xml:space="preserve">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t xml:space="preserve">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w:t>
            </w:r>
            <w:r>
              <w:rPr>
                <w:b/>
                <w:i/>
              </w:rPr>
              <w:t>не само върху отделните дружества, но и в по-широк мащаб</w:t>
            </w:r>
            <w:r>
              <w:t>;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t>подчертава необходимостта държавите членки да подкрепят предприятията и работниците, като изготвят цялостни стратегии и политики за справедлив преход на национално равнище; подчертава, че тези национални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на регионите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r>
              <w:rPr>
                <w:b/>
                <w:i/>
              </w:rPr>
              <w:t>, с изрична разпоредба за подходящо публично финансиране на инфраструктурата в областта на здравеопазването, образованието, транспорта и социалните жилища като основен двигател на местното развитие</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подчертава необходимостта</w:t>
            </w:r>
            <w:r>
              <w:t xml:space="preserve"> държавите членки да </w:t>
            </w:r>
            <w:r>
              <w:rPr>
                <w:b/>
                <w:i/>
              </w:rPr>
              <w:t>подкрепят</w:t>
            </w:r>
            <w:r>
              <w:t xml:space="preserve"> предприятията и работниците, като изготвят цялостни стратегии и политики за </w:t>
            </w:r>
            <w:r>
              <w:rPr>
                <w:b/>
                <w:i/>
              </w:rPr>
              <w:t>справедлив</w:t>
            </w:r>
            <w:r>
              <w:t xml:space="preserve"> преход на национално равнище</w:t>
            </w:r>
            <w:r>
              <w:rPr>
                <w:b/>
                <w:i/>
              </w:rPr>
              <w:t>;</w:t>
            </w:r>
            <w:r>
              <w:t xml:space="preserve"> </w:t>
            </w:r>
            <w:r>
              <w:rPr>
                <w:b/>
                <w:i/>
              </w:rPr>
              <w:t>подчертава, че тези национални стратегии следва да определят въздействието на прехода върху отделните сектори и работна сила и следва да определят всеобхватен и междусекторен набор от мерки за смекчаване на въздействието</w:t>
            </w:r>
            <w:r>
              <w:t xml:space="preserve">;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w:t>
            </w:r>
            <w:r>
              <w:rPr>
                <w:b/>
                <w:i/>
              </w:rPr>
              <w:t>на регионите</w:t>
            </w:r>
            <w:r>
              <w:t xml:space="preserve">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c>
          <w:tcPr>
            <w:tcW w:w="4876" w:type="dxa"/>
            <w:tcBorders>
              <w:top w:val="nil"/>
              <w:left w:val="nil"/>
              <w:bottom w:val="nil"/>
              <w:right w:val="nil"/>
            </w:tcBorders>
          </w:tcPr>
          <w:p>
            <w:pPr>
              <w:pStyle w:val="Normal6a"/>
            </w:pPr>
            <w:r>
              <w:t>6.</w:t>
            </w:r>
            <w:r>
              <w:tab/>
            </w:r>
            <w:r>
              <w:rPr>
                <w:b/>
                <w:i/>
              </w:rPr>
              <w:t>препоръчва на</w:t>
            </w:r>
            <w:r>
              <w:t xml:space="preserve"> държавите членки да </w:t>
            </w:r>
            <w:r>
              <w:rPr>
                <w:b/>
                <w:i/>
              </w:rPr>
              <w:t>оказват подкрепа на</w:t>
            </w:r>
            <w:r>
              <w:t xml:space="preserve"> предприятията и работниците, като изготвят цялостни стратегии и политики за преход на национално равнище; подчертава значението на разработването на дългосрочна визия и стратегия за местния икономически преход чрез включване на публични и частни участници и гражданското общество; подчертава, че преките инвестиции в иновации и повишаване на привлекателността чрез модернизиране на инфраструктурата, обществените услуги и удобствата са необходими, за да се задържат работниците и да се създават качествени работни места;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подчертава, че трудовата мобилност и регионалната икономическа трансформация са тясно свързани с финансово достъпните и качествени жилища;</w:t>
            </w:r>
            <w:r>
              <w:t xml:space="preserve"> </w:t>
            </w:r>
            <w:r>
              <w:rPr>
                <w:b/>
                <w:i/>
              </w:rPr>
              <w:t>призовава за целенасочено развитие на социалните жилища и обществените услуги в районите с обезлюдяване и индустриален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6б.</w:t>
            </w:r>
            <w:r>
              <w:tab/>
            </w:r>
            <w:r>
              <w:rPr>
                <w:b/>
                <w:i/>
              </w:rPr>
              <w:t>подчертава, че младите хора и търсещите работа за първи път са уязвими по време на преходите;</w:t>
            </w:r>
            <w:r>
              <w:t xml:space="preserve"> </w:t>
            </w:r>
            <w:r>
              <w:rPr>
                <w:b/>
                <w:i/>
              </w:rPr>
              <w:t>призовава за професионално обучение, чиракуване и подкрепа за предприемачеството в рамките на националните стратегии за справедлив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6в.</w:t>
            </w:r>
            <w:r>
              <w:tab/>
            </w:r>
            <w:r>
              <w:rPr>
                <w:b/>
                <w:i/>
              </w:rPr>
              <w:t>призовава за конкретни мерки за развитие на селските райони, за да се гарантира, че периферните и обезлюдяващите се региони се възползват в еднаква степен от фондовете за справедлив преход и създаването на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6г.</w:t>
            </w:r>
            <w:r>
              <w:tab/>
            </w:r>
            <w:r>
              <w:rPr>
                <w:b/>
                <w:i/>
              </w:rPr>
              <w:t>подчертава, че националните стратегии за справедлив преход трябва да включват мерки за предотвратяване на изтичането на мозъци в регионите, засегнати от упадък на промишлеността, чрез създаване на стимули за квалифицираните работници да останат и младите хора да се завърнат;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припомня, че МСП са основните генератори на трайна местна заетост; подчертава необходимостта от улесняване на достъпа на МСП до финансиране </w:t>
            </w:r>
            <w:r>
              <w:rPr>
                <w:b/>
                <w:i/>
              </w:rPr>
              <w:t>на прехода</w:t>
            </w:r>
            <w:r>
              <w:t xml:space="preserve">, включително </w:t>
            </w:r>
            <w:r>
              <w:rPr>
                <w:b/>
                <w:i/>
              </w:rPr>
              <w:t>чрез предоставяне на</w:t>
            </w:r>
            <w:r>
              <w:t xml:space="preserve"> възможност за групиране в клъстери за достъп до средства </w:t>
            </w:r>
            <w:r>
              <w:rPr>
                <w:b/>
                <w:i/>
              </w:rPr>
              <w:t>и техническа помощ за насочване на разработването и съответствието на проектите</w:t>
            </w:r>
            <w:r>
              <w:t xml:space="preserve">; </w:t>
            </w:r>
            <w:r>
              <w:rPr>
                <w:b/>
                <w:i/>
              </w:rPr>
              <w:t>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w:t>
            </w:r>
            <w:r>
              <w:t xml:space="preserve"> </w:t>
            </w:r>
            <w:r>
              <w:rPr>
                <w:b/>
                <w:i/>
              </w:rPr>
              <w:t>подчертава, че стимулите за инвестиции могат да помогнат за привличането на предприятия в уязвимите региони;</w:t>
            </w:r>
          </w:p>
        </w:tc>
        <w:tc>
          <w:tcPr>
            <w:tcW w:w="4876" w:type="dxa"/>
            <w:tcBorders>
              <w:top w:val="nil"/>
              <w:left w:val="nil"/>
              <w:bottom w:val="nil"/>
              <w:right w:val="nil"/>
            </w:tcBorders>
          </w:tcPr>
          <w:p>
            <w:pPr>
              <w:pStyle w:val="Normal6a"/>
            </w:pPr>
            <w:r>
              <w:t>7.</w:t>
            </w:r>
            <w:r>
              <w:tab/>
            </w:r>
            <w:r>
              <w:t xml:space="preserve">припомня, че МСП са основните генератори на трайна местна заетост; подчертава необходимостта от улесняване на достъпа на МСП до </w:t>
            </w:r>
            <w:r>
              <w:rPr>
                <w:b/>
                <w:i/>
              </w:rPr>
              <w:t>съществуващото</w:t>
            </w:r>
            <w:r>
              <w:t xml:space="preserve"> финансиране, включително </w:t>
            </w:r>
            <w:r>
              <w:rPr>
                <w:b/>
                <w:i/>
              </w:rPr>
              <w:t>като се даде</w:t>
            </w:r>
            <w:r>
              <w:t xml:space="preserve"> възможност за групиране в клъстери за достъп до средства;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припомня, че МСП са основните генератори на трайна местна заетост;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 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 </w:t>
            </w:r>
            <w:r>
              <w:rPr>
                <w:b/>
                <w:i/>
              </w:rPr>
              <w:t>подчертава, че стимулите за инвестиции могат да помогнат за привличането на предприятия в уязвимите региони;</w:t>
            </w:r>
          </w:p>
        </w:tc>
        <w:tc>
          <w:tcPr>
            <w:tcW w:w="4876" w:type="dxa"/>
            <w:tcBorders>
              <w:top w:val="nil"/>
              <w:left w:val="nil"/>
              <w:bottom w:val="nil"/>
              <w:right w:val="nil"/>
            </w:tcBorders>
          </w:tcPr>
          <w:p>
            <w:pPr>
              <w:pStyle w:val="Normal6a"/>
            </w:pPr>
            <w:r>
              <w:t>7.</w:t>
            </w:r>
            <w:r>
              <w:tab/>
            </w:r>
            <w:r>
              <w:t xml:space="preserve">припомня, че МСП </w:t>
            </w:r>
            <w:r>
              <w:rPr>
                <w:b/>
                <w:i/>
              </w:rPr>
              <w:t>и кооперациите</w:t>
            </w:r>
            <w:r>
              <w:t xml:space="preserve"> са основните генератори на трайна местна заетост;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 настоятелно призовава държавите членки и регионалните органи да създават и засилват програми за подкрепа на бизнеса</w:t>
            </w:r>
            <w:r>
              <w:rPr>
                <w:b/>
                <w:i/>
              </w:rPr>
              <w:t>, обвързани със строги задължения за изпълнение на условия,</w:t>
            </w:r>
            <w:r>
              <w:t xml:space="preserve"> в засегнатите региони, за да се помага на стартиращите предприятия и МСП да се разрастват и да успяват;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припомня, че МСП са основните генератори на трайна местна заетост;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 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 подчертава, че стимулите за инвестиции могат да помогнат за привличането на предприятия в уязвимите региони;</w:t>
            </w:r>
          </w:p>
        </w:tc>
        <w:tc>
          <w:tcPr>
            <w:tcW w:w="4876" w:type="dxa"/>
            <w:tcBorders>
              <w:top w:val="nil"/>
              <w:left w:val="nil"/>
              <w:bottom w:val="nil"/>
              <w:right w:val="nil"/>
            </w:tcBorders>
          </w:tcPr>
          <w:p>
            <w:pPr>
              <w:pStyle w:val="Normal6a"/>
            </w:pPr>
            <w:r>
              <w:t>7.</w:t>
            </w:r>
            <w:r>
              <w:tab/>
            </w:r>
            <w:r>
              <w:t xml:space="preserve">припомня, че МСП са основните генератори на трайна местна заетост;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 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 подчертава, че стимулите за инвестиции могат да помогнат за привличането на предприятия в уязвимите региони; </w:t>
            </w:r>
            <w:r>
              <w:rPr>
                <w:b/>
                <w:i/>
              </w:rPr>
              <w:t>цялата подкрепа следва да подлежи на ясни гаранции за допустимост и почтеност, за да се гарантира, че дейностите очевидно допринасят за постигането на целите за неутралност по отношение на климата и справедлив преход, приведени в съответствие с таксономията на ЕС и принципите за ненанасяне на значителни вреди и с одобрените териториални планове за справедлив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припомня, че МСП са основните генератори на трайна местна заетост;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 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 подчертава, че стимулите за инвестиции могат да помогнат за привличането на предприятия в уязвимите региони;</w:t>
            </w:r>
          </w:p>
        </w:tc>
        <w:tc>
          <w:tcPr>
            <w:tcW w:w="4876" w:type="dxa"/>
            <w:tcBorders>
              <w:top w:val="nil"/>
              <w:left w:val="nil"/>
              <w:bottom w:val="nil"/>
              <w:right w:val="nil"/>
            </w:tcBorders>
          </w:tcPr>
          <w:p>
            <w:pPr>
              <w:pStyle w:val="Normal6a"/>
            </w:pPr>
            <w:r>
              <w:t>7.</w:t>
            </w:r>
            <w:r>
              <w:tab/>
            </w:r>
            <w:r>
              <w:t>припомня, че МСП са основните генератори на трайна местна заетост</w:t>
            </w:r>
            <w:r>
              <w:rPr>
                <w:b/>
                <w:i/>
              </w:rPr>
              <w:t>;</w:t>
            </w:r>
            <w:r>
              <w:t xml:space="preserve"> </w:t>
            </w:r>
            <w:r>
              <w:rPr>
                <w:b/>
                <w:i/>
              </w:rPr>
              <w:t>призовава държавите членки да дават приоритет на участието на местните МСП и занаятчии в програмите за саниране, като гарантират подкрепа за регионалните икономики и дългосрочните работни места</w:t>
            </w:r>
            <w:r>
              <w:t>;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 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 подчертава, че стимулите за инвестиции могат да помогнат за привличането на предприятия в уязвимите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припомня, че МСП са основните генератори на трайна местна заетост;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 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 подчертава, че стимулите за инвестиции могат да помогнат за привличането на предприятия в уязвимите региони;</w:t>
            </w:r>
          </w:p>
        </w:tc>
        <w:tc>
          <w:tcPr>
            <w:tcW w:w="4876" w:type="dxa"/>
            <w:tcBorders>
              <w:top w:val="nil"/>
              <w:left w:val="nil"/>
              <w:bottom w:val="nil"/>
              <w:right w:val="nil"/>
            </w:tcBorders>
          </w:tcPr>
          <w:p>
            <w:pPr>
              <w:pStyle w:val="Normal6a"/>
            </w:pPr>
            <w:r>
              <w:t>7.</w:t>
            </w:r>
            <w:r>
              <w:tab/>
            </w:r>
            <w:r>
              <w:t>припомня, че МСП са основните генератори на трайна местна заетост; подчертава необходимостта от улесняване на достъпа на МСП до финансиране на прехода, включително чрез предоставяне на възможност за групиране в клъстери за достъп до средства и техническа помощ за насочване на разработването и съответствието на проектите</w:t>
            </w:r>
            <w:r>
              <w:rPr>
                <w:b/>
                <w:i/>
              </w:rPr>
              <w:t>, наред с освобождаванията от сложни или разходоинтензивни задължения за докладване, чрез опростени формати за докладване (докладване по клъстери от няколко МСП)</w:t>
            </w:r>
            <w:r>
              <w:t>; настоятелно призовава държавите членки и регионалните органи да създават и засилват програми за подкрепа на бизнеса в засегнатите региони, за да се помага на стартиращите предприятия и МСП да се разрастват и да успяват; подчертава, че стимулите за инвестиции могат да помогнат за привличането на предприятия в уязвимите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призовава Европейската комисия да предприеме поредица от мерки, които нямат почти никакви финансови последици, за да се предоставят по-добре на МСП подходящите инструменти на вътрешния и международния пазар и да се повиши тяхната конкурентоспособност, като например, наред с другото, опростени митнически процедури и мерки за улесняване на вноса, съобразени с нуждите на малките и средните предприятия, и освобождаване от мерките за търговска защита за вноса с малък обем;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подчертава, че социалната икономика, по-специално социалните предприятия за трудова интеграция, играят решаваща роля за гарантирането на приобщаващ и справедлив преход;</w:t>
            </w:r>
            <w:r>
              <w:t xml:space="preserve"> </w:t>
            </w:r>
            <w:r>
              <w:rPr>
                <w:b/>
                <w:i/>
              </w:rPr>
              <w:t>подчертава необходимостта от подкрепа за достъпа до финансиране, изграждане на капацитет и техническа помощ;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подчертава необходимостта да се помогне на дружествата, и по-специално на МСП, да се справят с недостига на умения в ЕС и да насърчават преквалификацията и повишаването на квалификацията, като помагат на хората да придобият подходящи умения за намирането на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счита, че инвестициите в икономиката на грижите (грижи за възрастни хора, грижи за деца, домашни грижи) могат да осигурят устойчива заетост на местно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призовава Комисията и държавите членки да въведат обвързаност с екологични и социални условия, разработени съвместно със социалните партньори, при предоставянето на публични средства на частни дружества, включително чрез правно обвързващи гаранции за запазване на работните места в Европа, за да се гарантира, че публичните инвестиции генерират споделена и устойчива възвръщаемост и че дружествата бенефициери участват в социален диалог, осигуряват висококачествено чиракуване и стажове, предлагат обучение на работниците и водят до създаването на висококачествени работни места;</w:t>
            </w:r>
            <w:r>
              <w:t xml:space="preserve"> </w:t>
            </w:r>
            <w:r>
              <w:rPr>
                <w:b/>
                <w:i/>
              </w:rPr>
              <w:t>освен това призовава от корпорациите, които не зачитат тези условия и изберат да се преместят извън Европа, да се изисква да възстановят всички публични средства, които са получили;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призовава Европейската комисия да гарантира, че в рамките на бъдещото финансиране на справедливия преход е заделен изключително специален бюджет за МСП;</w:t>
            </w:r>
            <w:r>
              <w:t xml:space="preserve"> </w:t>
            </w:r>
            <w:r>
              <w:rPr>
                <w:b/>
                <w:i/>
              </w:rPr>
              <w:t>освен това призовава Европейската комисия да следи участието на МСП в програмите за справедлив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подчертава, че работните места за полагане на грижи, често заемани от жени, трябва да бъдат признати за качествени работни места с достойно заплащане, социална закрила и възможности за професионално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7в.</w:t>
            </w:r>
            <w:r>
              <w:tab/>
            </w:r>
            <w:r>
              <w:rPr>
                <w:b/>
                <w:i/>
              </w:rPr>
              <w:t>подчертава, че е важно да се гарантира, че европейските и националните средства се използват за улесняване на прехода към неутрална по отношение на климата икономика, включително чрез насърчаване на социалния диалог и на колективното договаряне;</w:t>
            </w:r>
            <w:r>
              <w:t xml:space="preserve"> </w:t>
            </w:r>
            <w:r>
              <w:rPr>
                <w:b/>
                <w:i/>
              </w:rPr>
              <w:t>освен това счита, че финансова подкрепа от ЕС не следва да се предоставя на предприятия, които не спазват приложимите условия на труд и заетост и/или задълженията на работодателите, произтичащи от правото на ЕС или националното трудово законодателство или от съответните колективни трудови договори;</w:t>
            </w:r>
            <w:r>
              <w:t xml:space="preserve"> </w:t>
            </w:r>
            <w:r>
              <w:rPr>
                <w:b/>
                <w:i/>
              </w:rPr>
              <w:t>призовава финансирането от ЕС и държавните помощи от страна на държавите членки да бъдат приведени в съответствие с европейската промишлена политика, за да се създават висококачествени работни места, да се насърчава колективното договаряне, да се зачитат трудовите права и стандарти на ЕС, да се повиши конкурентоспособността на европейските предприятия и да се гарантират подобрени условия на труд;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7в.</w:t>
            </w:r>
            <w:r>
              <w:tab/>
            </w:r>
            <w:r>
              <w:rPr>
                <w:b/>
                <w:i/>
              </w:rPr>
              <w:t>Припомня, че въпреки своите преобразуващи амбиции, ФСП се сблъска със значителни предизвикателства при постигането на своите цели, по-специално при гарантирането на справедливи резултати и предоставянето на достъп до фонда за малките и средните предприятия</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Справедлив преход в сферата на труда, Генерална дирекция за парламентарни проучвания (EPRS), септември 2025 г. https://www.europarl.europa.eu/RegData/etudes/BRIE/2025/774668/EPRS_BRI(2025)774668_EN.pdf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7в.</w:t>
            </w:r>
            <w:r>
              <w:tab/>
            </w:r>
            <w:r>
              <w:rPr>
                <w:b/>
                <w:i/>
              </w:rPr>
              <w:t>призовава за опростен достъп до Фонда за справедлив преход за МСП чрез предоставяне на техническа помощ и намаляване на административната тежест;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отбелязва липсата на точни данни за броя на загубените, създадените или засегнатите от двойния преход работни места;</w:t>
            </w:r>
            <w:r>
              <w:t xml:space="preserve"> </w:t>
            </w:r>
            <w:r>
              <w:rPr>
                <w:b/>
                <w:i/>
              </w:rPr>
              <w:t>подчертава значението на прогнозирането на промените на пазара на труда и тенденциите в потребностите от умения за ефективни отговори на политиките;</w:t>
            </w:r>
            <w:r>
              <w:t xml:space="preserve"> </w:t>
            </w:r>
            <w:r>
              <w:rPr>
                <w:b/>
                <w:i/>
              </w:rPr>
              <w:t>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w:t>
            </w:r>
            <w:r>
              <w:rPr>
                <w:b/>
                <w:i/>
              </w:rPr>
              <w:t>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w:t>
            </w:r>
          </w:p>
        </w:tc>
        <w:tc>
          <w:tcPr>
            <w:tcW w:w="4876" w:type="dxa"/>
            <w:tcBorders>
              <w:top w:val="nil"/>
              <w:left w:val="nil"/>
              <w:bottom w:val="nil"/>
              <w:right w:val="nil"/>
            </w:tcBorders>
          </w:tcPr>
          <w:p>
            <w:pPr>
              <w:pStyle w:val="Normal6a"/>
            </w:pPr>
            <w:r>
              <w:t>8.</w:t>
            </w:r>
            <w:r>
              <w:tab/>
            </w:r>
            <w:r>
              <w:t>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w:t>
            </w:r>
            <w:r>
              <w:rPr>
                <w:b/>
                <w:i/>
              </w:rPr>
              <w:t>за създаването на пълноценна обсерватория</w:t>
            </w:r>
            <w:r>
              <w:t xml:space="preserve"> на ЕС </w:t>
            </w:r>
            <w:r>
              <w:rPr>
                <w:b/>
                <w:i/>
              </w:rPr>
              <w:t>за справедлив преход, която да събира съответните данни и да анализира въздействието на политиките за преход</w:t>
            </w:r>
            <w:r>
              <w:t>;</w:t>
            </w:r>
          </w:p>
        </w:tc>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w:t>
            </w:r>
            <w:r>
              <w:rPr>
                <w:b/>
                <w:i/>
              </w:rPr>
              <w:t>тези стратегически данни да бъдат изготвени от вече съществуваща институция или орган</w:t>
            </w:r>
            <w:r>
              <w:t xml:space="preserve"> на ЕС </w:t>
            </w:r>
            <w:r>
              <w:rPr>
                <w:b/>
                <w:i/>
              </w:rPr>
              <w:t>на настоящото равнище на финансиране, без да се увеличават разходите или бюджетът, разпределен за тази цел</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w:t>
            </w:r>
            <w:r>
              <w:rPr>
                <w:b/>
                <w:i/>
              </w:rPr>
              <w:t>за създаването на пълноценна обсерватория на ЕС за справедлив преход, която да събира</w:t>
            </w:r>
            <w:r>
              <w:t xml:space="preserve"> съответните данни и да </w:t>
            </w:r>
            <w:r>
              <w:rPr>
                <w:b/>
                <w:i/>
              </w:rPr>
              <w:t>анализира</w:t>
            </w:r>
            <w:r>
              <w:t xml:space="preserve"> въздействието на политиките за преход;</w:t>
            </w:r>
          </w:p>
        </w:tc>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w:t>
            </w:r>
            <w:r>
              <w:rPr>
                <w:b/>
                <w:i/>
              </w:rPr>
              <w:t>вече създадените агенции и органи да събират</w:t>
            </w:r>
            <w:r>
              <w:t xml:space="preserve"> съответните данни и да </w:t>
            </w:r>
            <w:r>
              <w:rPr>
                <w:b/>
                <w:i/>
              </w:rPr>
              <w:t>анализират</w:t>
            </w:r>
            <w:r>
              <w:t xml:space="preserve"> въздействието на политиките за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w:t>
            </w:r>
            <w:r>
              <w:rPr>
                <w:b/>
                <w:i/>
              </w:rPr>
              <w:t>съответните</w:t>
            </w:r>
            <w:r>
              <w:t xml:space="preserve"> данни </w:t>
            </w:r>
            <w:r>
              <w:rPr>
                <w:b/>
                <w:i/>
              </w:rPr>
              <w:t>и</w:t>
            </w:r>
            <w:r>
              <w:t xml:space="preserve"> да анализира въздействието на политиките за преход;</w:t>
            </w:r>
          </w:p>
        </w:tc>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w:t>
            </w:r>
            <w:r>
              <w:rPr>
                <w:b/>
                <w:i/>
              </w:rPr>
              <w:t>основана на прозрачно и приобщаващо управление, включваща представители на европейските социални партньори, гражданското общество и заинтересованите страни в областта на околната среда,</w:t>
            </w:r>
            <w:r>
              <w:t xml:space="preserve"> която да събира </w:t>
            </w:r>
            <w:r>
              <w:rPr>
                <w:b/>
                <w:i/>
              </w:rPr>
              <w:t>подходящи, дезагрегирани</w:t>
            </w:r>
            <w:r>
              <w:t xml:space="preserve"> данни</w:t>
            </w:r>
            <w:r>
              <w:rPr>
                <w:b/>
                <w:i/>
              </w:rPr>
              <w:t>,</w:t>
            </w:r>
            <w:r>
              <w:t xml:space="preserve"> да анализира въздействието на политиките за преход </w:t>
            </w:r>
            <w:r>
              <w:rPr>
                <w:b/>
                <w:i/>
              </w:rPr>
              <w:t>и да предоставя подробни и редовни доклади</w:t>
            </w:r>
            <w:r>
              <w:t xml:space="preserve">; </w:t>
            </w:r>
            <w:r>
              <w:rPr>
                <w:b/>
                <w:i/>
              </w:rPr>
              <w:t>подчертава необходимостта от определяне, обмен и насърчаване на най-добрите практики;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w:t>
            </w:r>
          </w:p>
        </w:tc>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 </w:t>
            </w:r>
            <w:r>
              <w:rPr>
                <w:b/>
                <w:i/>
              </w:rPr>
              <w:t>призовава Комисията и държавите членки да картографират задълбочено и систематично настоящия недостиг на умения на регионално равнище, както и да прогнозират бъдещото търсене на умения;</w:t>
            </w:r>
            <w:r>
              <w:t xml:space="preserve"> </w:t>
            </w:r>
            <w:r>
              <w:rPr>
                <w:b/>
                <w:i/>
              </w:rPr>
              <w:t>подчертава, че това картографиране следва да включва анализ на въздействието и да води до секторни и териториални мерки в полза на потенциала на зеления преход във всички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w:t>
            </w:r>
          </w:p>
        </w:tc>
        <w:tc>
          <w:tcPr>
            <w:tcW w:w="4876" w:type="dxa"/>
            <w:tcBorders>
              <w:top w:val="nil"/>
              <w:left w:val="nil"/>
              <w:bottom w:val="nil"/>
              <w:right w:val="nil"/>
            </w:tcBorders>
          </w:tcPr>
          <w:p>
            <w:pPr>
              <w:pStyle w:val="Normal6a"/>
            </w:pPr>
            <w:r>
              <w:t>8.</w:t>
            </w:r>
            <w:r>
              <w:tab/>
            </w:r>
            <w:r>
              <w:rPr>
                <w:b/>
                <w:i/>
              </w:rPr>
              <w:t>подчертава, че показателите за енергийна бедност следва да бъдат систематично интегрирани в структурите за наблюдение на справедливия преход, за да се гарантира, че финансирането и мерките за създаване на работни места са насочени на първо място към уязвимите домакинства;</w:t>
            </w:r>
            <w:r>
              <w:t xml:space="preserve"> 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w:t>
            </w:r>
          </w:p>
        </w:tc>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 </w:t>
            </w:r>
            <w:r>
              <w:rPr>
                <w:b/>
                <w:i/>
              </w:rPr>
              <w:t>призовава Обсерваторията на ЕС за справедлив преход също така да наблюдава жилищното настаняване, психичното здраве и социалното благосъстояние в допълнение към развитието на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w:t>
            </w:r>
          </w:p>
        </w:tc>
        <w:tc>
          <w:tcPr>
            <w:tcW w:w="4876" w:type="dxa"/>
            <w:tcBorders>
              <w:top w:val="nil"/>
              <w:left w:val="nil"/>
              <w:bottom w:val="nil"/>
              <w:right w:val="nil"/>
            </w:tcBorders>
          </w:tcPr>
          <w:p>
            <w:pPr>
              <w:pStyle w:val="Normal6a"/>
            </w:pPr>
            <w:r>
              <w:t>8.</w:t>
            </w:r>
            <w:r>
              <w:tab/>
            </w:r>
            <w:r>
              <w:t xml:space="preserve">отбелязва липсата на точни данни за броя на загубените, създадените или засегнатите от двойния преход работни места; подчертава значението на прогнозирането на промените на пазара на труда и тенденциите в потребностите от умения за ефективни </w:t>
            </w:r>
            <w:r>
              <w:rPr>
                <w:b/>
                <w:i/>
              </w:rPr>
              <w:t>и своевременни</w:t>
            </w:r>
            <w:r>
              <w:t xml:space="preserve"> отговори на политиките; призовава за създаването на пълноценна обсерватория на ЕС за справедлив преход, която да събира съответните данни и да анализира въздействието на политиките за преход; </w:t>
            </w:r>
            <w:r>
              <w:rPr>
                <w:b/>
                <w:i/>
              </w:rPr>
              <w:t>призовава Комисията да изясни коя агенция на ЕС ще наблюдава конкретните данни относно цифровия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Бранислав Ондруш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припомня особения потенциал на социалната икономика, кооперациите, взаимоспомагателните дружества, сдруженията, публичните и/или полупубличните предприятия за създаването на устойчиви работни места в справедлива и приобщаваща работна среда, като същевременно се спазват принципите на екологично производство и устойчиво местно/регионално развитие;</w:t>
            </w:r>
            <w:r>
              <w:t xml:space="preserve"> </w:t>
            </w:r>
            <w:r>
              <w:rPr>
                <w:b/>
                <w:i/>
              </w:rPr>
              <w:t>подчертава потенциала на икономическите социални иновации за по-нататъшно развитие на местната и регионалната икономика, което предлага възможности за смекчаване на последиците от изменението на климата за социално справедлив и плодотворен от екологична гледна точка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насърчава схемите за саниране на общностно равнище, които обхващат квартали или села, намаляват разходите, укрепват сближаването и ускоряват прехода;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w:t>
            </w:r>
            <w:r>
              <w:t xml:space="preserve"> </w:t>
            </w:r>
            <w:r>
              <w:rPr>
                <w:b/>
                <w:i/>
              </w:rPr>
              <w:t>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w:t>
            </w:r>
            <w:r>
              <w:t xml:space="preserve"> </w:t>
            </w:r>
            <w:r>
              <w:rPr>
                <w:b/>
                <w:i/>
              </w:rPr>
              <w:t>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w:t>
            </w:r>
            <w:r>
              <w:t xml:space="preserve"> </w:t>
            </w:r>
            <w:r>
              <w:rPr>
                <w:b/>
                <w:i/>
              </w:rPr>
              <w:t>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w:t>
            </w:r>
            <w:r>
              <w:t xml:space="preserve"> </w:t>
            </w:r>
            <w:r>
              <w:rPr>
                <w:b/>
                <w:i/>
              </w:rPr>
              <w:t>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w:t>
            </w:r>
            <w:r>
              <w:t xml:space="preserve"> </w:t>
            </w:r>
            <w:r>
              <w:rPr>
                <w:b/>
                <w:i/>
              </w:rPr>
              <w:t>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w:t>
            </w:r>
            <w:r>
              <w:t xml:space="preserve"> </w:t>
            </w:r>
            <w:r>
              <w:rPr>
                <w:b/>
                <w:i/>
              </w:rPr>
              <w:t>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призовава </w:t>
            </w:r>
            <w:r>
              <w:rPr>
                <w:b/>
                <w:i/>
              </w:rPr>
              <w:t>предложената директива да бъде придружена от</w:t>
            </w:r>
            <w:r>
              <w:t xml:space="preserve"> обновен Фонд за справедлив преход за програмния период след 2027 г., </w:t>
            </w:r>
            <w:r>
              <w:rPr>
                <w:b/>
                <w:i/>
              </w:rPr>
              <w:t>като се</w:t>
            </w:r>
            <w:r>
              <w:t xml:space="preserve"> гарантира, че </w:t>
            </w:r>
            <w:r>
              <w:rPr>
                <w:b/>
                <w:i/>
              </w:rPr>
              <w:t>той функционира при принципите на споделено управление и партньорство с увеличен бюджет</w:t>
            </w:r>
            <w:r>
              <w:t xml:space="preserve">;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w:t>
            </w:r>
            <w:r>
              <w:rPr>
                <w:b/>
                <w:i/>
              </w:rPr>
              <w:t>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t>9.</w:t>
            </w:r>
            <w:r>
              <w:tab/>
            </w:r>
            <w:r>
              <w:t xml:space="preserve">призовава </w:t>
            </w:r>
            <w:r>
              <w:rPr>
                <w:b/>
                <w:i/>
              </w:rPr>
              <w:t>за</w:t>
            </w:r>
            <w:r>
              <w:t xml:space="preserve"> обновен Фонд за справедлив преход за програмния период след 2027 г., </w:t>
            </w:r>
            <w:r>
              <w:rPr>
                <w:b/>
                <w:i/>
              </w:rPr>
              <w:t>който да</w:t>
            </w:r>
            <w:r>
              <w:t xml:space="preserve"> гарантира, че </w:t>
            </w:r>
            <w:r>
              <w:rPr>
                <w:b/>
                <w:i/>
              </w:rPr>
              <w:t>средствата се използват ефективно и са насочени към проекти с ясни икономически ползи</w:t>
            </w:r>
            <w:r>
              <w:t>;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w:t>
            </w:r>
            <w:r>
              <w:rPr>
                <w:b/>
                <w:i/>
              </w:rPr>
              <w:t>при</w:t>
            </w:r>
            <w:r>
              <w:t xml:space="preserve"> принципите на споделено управление и партньорство </w:t>
            </w:r>
            <w:r>
              <w:rPr>
                <w:b/>
                <w:i/>
              </w:rPr>
              <w:t>с увеличен бюджет</w:t>
            </w:r>
            <w:r>
              <w:t>;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t>9.</w:t>
            </w:r>
            <w:r>
              <w:tab/>
            </w:r>
            <w:r>
              <w:t xml:space="preserve">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w:t>
            </w:r>
            <w:r>
              <w:rPr>
                <w:b/>
                <w:i/>
              </w:rPr>
              <w:t>съгласно</w:t>
            </w:r>
            <w:r>
              <w:t xml:space="preserve"> принципите на споделено управление и партньорство;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призовава предложената директива да бъде придружена от </w:t>
            </w:r>
            <w:r>
              <w:rPr>
                <w:b/>
                <w:i/>
              </w:rPr>
              <w:t>обновен</w:t>
            </w:r>
            <w:r>
              <w:t xml:space="preserve">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w:t>
            </w:r>
            <w:r>
              <w:rPr>
                <w:b/>
                <w:i/>
              </w:rPr>
              <w:t>новият</w:t>
            </w:r>
            <w:r>
              <w:t xml:space="preserve"> фонд следва да </w:t>
            </w:r>
            <w:r>
              <w:rPr>
                <w:b/>
                <w:i/>
              </w:rPr>
              <w:t>подкрепя</w:t>
            </w:r>
            <w:r>
              <w:t xml:space="preserve"> работодателите при предоставянето на правото на работниците на обучение, </w:t>
            </w:r>
            <w:r>
              <w:rPr>
                <w:b/>
                <w:i/>
              </w:rPr>
              <w:t>както и при</w:t>
            </w:r>
            <w:r>
              <w:t xml:space="preserve">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t>9.</w:t>
            </w:r>
            <w:r>
              <w:tab/>
            </w:r>
            <w:r>
              <w:rPr>
                <w:b/>
                <w:i/>
              </w:rPr>
              <w:t>изразява безпокойство поради факта, че в неотдавнашните си предложения относно бъдещата многогодишна финансова рамка (МФР) Комисията не е предложила самостоятелен Фонд за справедлив преход (ФСП);</w:t>
            </w:r>
            <w:r>
              <w:t xml:space="preserve"> </w:t>
            </w:r>
            <w:r>
              <w:rPr>
                <w:b/>
                <w:i/>
              </w:rPr>
              <w:t>ето защо</w:t>
            </w:r>
            <w:r>
              <w:t xml:space="preserve"> призовава предложената директива да бъде придружена от </w:t>
            </w:r>
            <w:r>
              <w:rPr>
                <w:b/>
                <w:i/>
              </w:rPr>
              <w:t>разширен и увеличен</w:t>
            </w:r>
            <w:r>
              <w:t xml:space="preserve"> Фонд за справедлив преход за програмния период след 2027 г., като се гарантира, че той функционира при принципите на споделено управление и партньорство</w:t>
            </w:r>
            <w:r>
              <w:rPr>
                <w:b/>
                <w:i/>
              </w:rPr>
              <w:t>, в рамките на политиката на сближаване и</w:t>
            </w:r>
            <w:r>
              <w:t xml:space="preserve"> с увеличен бюджет; подчертава, че </w:t>
            </w:r>
            <w:r>
              <w:rPr>
                <w:b/>
                <w:i/>
              </w:rPr>
              <w:t>този нов</w:t>
            </w:r>
            <w:r>
              <w:t xml:space="preserve"> фонд следва да </w:t>
            </w:r>
            <w:r>
              <w:rPr>
                <w:b/>
                <w:i/>
              </w:rPr>
              <w:t>предоставя подкрепа на общностите за преход и да дава възможност за капацитет за намеса, съизмерим с мащаба на социално-икономическото въздействие, въздействието върху заетостта, демографското и екологичното въздействие на прехода към енергийните цели на ЕС за 2030 г., както и на</w:t>
            </w:r>
            <w:r>
              <w:t xml:space="preserve"> работодателите при предоставянето на правото на работниците на обучение, </w:t>
            </w:r>
            <w:r>
              <w:rPr>
                <w:b/>
                <w:i/>
              </w:rPr>
              <w:t>а също така и</w:t>
            </w:r>
            <w:r>
              <w:t xml:space="preserve">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 </w:t>
            </w:r>
            <w:r>
              <w:rPr>
                <w:b/>
                <w:i/>
              </w:rPr>
              <w:t>подчертава, че този фонд следва да разполага със собствени предвидими бюджетни средства, като неговата автономност бъде гарантирана от извънредни инструменти за реакция при кризи, например Next Generation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t>9.</w:t>
            </w:r>
            <w:r>
              <w:tab/>
            </w:r>
            <w:r>
              <w:rPr>
                <w:b/>
                <w:i/>
              </w:rPr>
              <w:t>изразява съжаление, че предложението за Многогодишната финансова рамка за периода 2028—2034 г. не включва самостоятелен инструмент за справяне със справедливия преход;</w:t>
            </w:r>
            <w:r>
              <w:t xml:space="preserve"> </w:t>
            </w:r>
            <w:r>
              <w:rPr>
                <w:b/>
                <w:i/>
              </w:rPr>
              <w:t>подчертава, че продължава да е необходимо специално финансиране, за да се помогне на засегнатите региони да се справят с предизвикателствата, произтичащи от зеления преход;</w:t>
            </w:r>
            <w:r>
              <w:t xml:space="preserve"> </w:t>
            </w:r>
            <w:r>
              <w:rPr>
                <w:b/>
                <w:i/>
              </w:rPr>
              <w:t>в този контекст</w:t>
            </w:r>
            <w:r>
              <w:t xml:space="preserve"> 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t>9.</w:t>
            </w:r>
            <w:r>
              <w:tab/>
            </w:r>
            <w:r>
              <w:t xml:space="preserve">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 </w:t>
            </w:r>
            <w:r>
              <w:rPr>
                <w:b/>
                <w:i/>
              </w:rPr>
              <w:t>подчертава, че обучението следва да бъде с високо качество, съобразено с потребностите на пазара на труда, и да води до квалификация, която се валидира чрез прозрачни и ясни системи за сертифициране, които дават възможност за взаимно признаване между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c>
          <w:tcPr>
            <w:tcW w:w="4876" w:type="dxa"/>
            <w:tcBorders>
              <w:top w:val="nil"/>
              <w:left w:val="nil"/>
              <w:bottom w:val="nil"/>
              <w:right w:val="nil"/>
            </w:tcBorders>
          </w:tcPr>
          <w:p>
            <w:pPr>
              <w:pStyle w:val="Normal6a"/>
            </w:pPr>
            <w:r>
              <w:t>9.</w:t>
            </w:r>
            <w:r>
              <w:tab/>
            </w:r>
            <w:r>
              <w:rPr>
                <w:b/>
                <w:i/>
              </w:rPr>
              <w:t>изразява съжаление по повод на факта, че в своето неотдавнашно предложение за бъдещата многогодишна финансова рамка (МФР) за периода 2028-2034 г. Комисията не е предложила самостоятелен Фонд за справедлив преход;</w:t>
            </w:r>
            <w:r>
              <w:t xml:space="preserve"> 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обвързаност със социални условия в подкрепа на приобщаването;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w:t>
            </w:r>
            <w:r>
              <w:rPr>
                <w:b/>
                <w:i/>
              </w:rPr>
              <w:t>обвързаност със</w:t>
            </w:r>
            <w:r>
              <w:t xml:space="preserve"> социални условия в подкрепа на приобщаването;</w:t>
            </w:r>
          </w:p>
        </w:tc>
        <w:tc>
          <w:tcPr>
            <w:tcW w:w="4876" w:type="dxa"/>
            <w:tcBorders>
              <w:top w:val="nil"/>
              <w:left w:val="nil"/>
              <w:bottom w:val="nil"/>
              <w:right w:val="nil"/>
            </w:tcBorders>
          </w:tcPr>
          <w:p>
            <w:pPr>
              <w:pStyle w:val="Normal6a"/>
            </w:pPr>
            <w:r>
              <w:t>9.</w:t>
            </w:r>
            <w:r>
              <w:tab/>
            </w:r>
            <w:r>
              <w:t>призовава предложената директива да бъде придружена от обновен Фонд за справедлив преход за програмния период след 2027 г., като се гарантира, че той функционира при принципите на споделено управление и партньорство с увеличен бюджет; подчертава, че новият фонд следва да подкрепя работодателите при предоставянето на правото на работниците на обучение, както и при въвеждането на планове за преход на равнището на предприятията; настоятелно призовава финансирането на прехода да включва социални условия в подкрепа на приобщаването</w:t>
            </w:r>
            <w:r>
              <w:rPr>
                <w:b/>
                <w:i/>
              </w:rPr>
              <w:t>, при условие че се спазват колективните трудови договори, зачитането на трудовите права, равенството в заплащането на жените и мъжете и недискриминацията</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изразява съжаление по повод на факта, че в неотдавнашните си предложения относно бъдещата многогодишна финансова рамка (МФР) Комисията не е предложила самостоятелен Фонд за справедлив преход (ФСП);</w:t>
            </w:r>
            <w:r>
              <w:t xml:space="preserve"> </w:t>
            </w:r>
            <w:r>
              <w:rPr>
                <w:b/>
                <w:i/>
              </w:rPr>
              <w:t>ето защо изисква ФСП да продължи да съществува като ФСП II за програмния период след 2027 г., за да се осигури пряка подкрепа за домакинствата и общностите по време на прехода и да се даде възможност за капацитет за намеса, съизмерим с мащаба на социално-икономическото въздействие върху заетостта и демографското и екологичното въздействие на прехода към енергийните цели на ЕС за 2030 г.;</w:t>
            </w:r>
            <w:r>
              <w:t xml:space="preserve"> </w:t>
            </w:r>
            <w:r>
              <w:rPr>
                <w:b/>
                <w:i/>
              </w:rPr>
              <w:t>подчертава, че този фонд следва да функционира при споделено управление и принципи на партньорство в рамките на политиката на сближаване и че той следва да разполага със собствени предвидими бюджетни средства, като се гарантира неговата автономност от извънредните инструменти за реакция при кризи, като например NextGenerationEU;</w:t>
            </w:r>
            <w:r>
              <w:t xml:space="preserve"> </w:t>
            </w:r>
            <w:r>
              <w:rPr>
                <w:b/>
                <w:i/>
              </w:rPr>
              <w:t>Фондът функционира при споделено управление и принципи на партньорство, с увеличен бюджет;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приветства политическия обзор на Европейския център за развитие на професионалното обучение (Cedefop) относно изграждането на европейска карта</w:t>
            </w:r>
            <w:r>
              <w:rPr>
                <w:b/>
                <w:i/>
                <w:vertAlign w:val="superscript"/>
              </w:rPr>
              <w:t>1a</w:t>
            </w:r>
            <w:r>
              <w:t xml:space="preserve"> </w:t>
            </w:r>
            <w:r>
              <w:rPr>
                <w:b/>
                <w:i/>
              </w:rPr>
              <w:t>на квалификациите, която засилва прозрачността, съпоставимостта и преносимостта на квалификациите в цяла Европа;</w:t>
            </w:r>
            <w:r>
              <w:t xml:space="preserve"> </w:t>
            </w:r>
            <w:r>
              <w:rPr>
                <w:b/>
                <w:i/>
              </w:rPr>
              <w:t>подчертава, че тази карта трябва да излиза извън рамките на академичното упражнение и да служи като практически инструмент за конкурентоспособност, значение за пазара на труда и мобилност;</w:t>
            </w:r>
            <w:r>
              <w:t xml:space="preserve"> </w:t>
            </w:r>
            <w:r>
              <w:rPr>
                <w:b/>
                <w:i/>
              </w:rPr>
              <w:t>призовава Комисията и държавите членки да гарантират, че европейската квалификационна рамка е тясно свързана с икономическите нужди, промишлената политика и инвестициите в умения, за да се подкрепят предприемачите, МСП и дружествата при достъпа до работна сила, разполагаща както с технически, така и с трансверсални умения;</w:t>
            </w:r>
            <w:r>
              <w:t xml:space="preserve"> </w:t>
            </w:r>
            <w:r>
              <w:rPr>
                <w:b/>
                <w:i/>
              </w:rPr>
              <w:t>подчертава, че този подход е от съществено значение за постигане на съответствие между предлагането на умения и търсенето, за насърчаване на растежа и иновациите;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подчертава, че преките публични и частни инвестиции в чиста инфраструктура, проекти за енергия от възобновяеми източници и дейности, свързани с кръговата икономика, са необходими за съживяване на местните икономики и допринасяне за създаването на работни места;</w:t>
            </w:r>
            <w:r>
              <w:t xml:space="preserve"> </w:t>
            </w:r>
            <w:r>
              <w:rPr>
                <w:b/>
                <w:i/>
              </w:rPr>
              <w:t>подчертава необходимостта от привличане на регионални активи чрез инвестиции в сектори, в които регионите вече имат силни страни или сравнителни предимства;</w:t>
            </w:r>
            <w:r>
              <w:t xml:space="preserve"> </w:t>
            </w:r>
            <w:r>
              <w:rPr>
                <w:b/>
                <w:i/>
              </w:rPr>
              <w:t>счита, че регионалната специализация може да бъде в основата на „зелени“ промишлени клъстери;</w:t>
            </w:r>
            <w:r>
              <w:t xml:space="preserve"> </w:t>
            </w:r>
            <w:r>
              <w:rPr>
                <w:b/>
                <w:i/>
              </w:rPr>
              <w:t>подчертава, че подкрепата за научните изследвания и иновациите и насърчаването на сътрудничеството между университетите и предприятията могат да стимулират нови устойчиви бизнес модели;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Пал Секереш, Северин Вербрук, Никола Бартушек, Мелани Дидие, Мари Доши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призовава за проучване на осъществимостта за програмния период след 2027 г., за да се прецени дали и до каква степен настоящите фондове функционират въз основа на всеобхватни подходи, насочени към миграцията, енергийната политика, научните изследвания и европейските иновации, и да се подкрепи създаването на национални стратегии за справедлив преход със специален акцент върху разработването на дългосрочна визия и осезаеми перспективи за местните икономики и работна сила във всички засегнати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Анджей Була, Георге Фалка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подчертава значението на развитието на цифровите умения за работниците както на основно, така и на напреднало равнище;</w:t>
            </w:r>
            <w:r>
              <w:t xml:space="preserve"> </w:t>
            </w:r>
            <w:r>
              <w:rPr>
                <w:b/>
                <w:i/>
              </w:rPr>
              <w:t>подчертава необходимостта от предоставяне на гражданите на основна цифрова грамотност, осведоменост по отношение на данните и безопасно използване на онлайн инструменти, за да продължат да бъдат пригодни за заетост и приспособими, като същевременно се насърчават по-усъвършенствани компетентности;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подчертава, че ефективното обучение зависи от наличието на учители и обучители с актуални знания за устойчивата и екологична икономика, енергийната ефективност и екологосъобразните и цифровите технологии;</w:t>
            </w:r>
            <w:r>
              <w:t xml:space="preserve"> </w:t>
            </w:r>
            <w:r>
              <w:rPr>
                <w:b/>
                <w:i/>
              </w:rPr>
              <w:t>подчертава, че тяхната роля е от решаващо значение за насърчаването на правилните умения и компетентности както за по-младите, така и за по-възрастните поколения работници, и за подходящото обучение за преквалификация и повишаване на квалификацията за лицата, засегнати от екологичния преход;</w:t>
            </w:r>
            <w:r>
              <w:t xml:space="preserve"> </w:t>
            </w:r>
            <w:r>
              <w:rPr>
                <w:b/>
                <w:i/>
              </w:rPr>
              <w:t>подчертава, че поради това образованието и обучението на такива учители и обучители следва да бъде основен приоритет във всяка стратегия за реагиране по отношение на уменията на европейско, национално, регионално и местно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призовава държавите членки да осигурят устойчиво финансиране за мерките за справедлив преход чрез националните фондове за справедлив преход въз основа на публични ресурси, вноски от работодатели и фондове на ЕС.</w:t>
            </w:r>
            <w:r>
              <w:t xml:space="preserve"> </w:t>
            </w:r>
            <w:r>
              <w:rPr>
                <w:b/>
                <w:i/>
              </w:rPr>
              <w:t>Работодателите поемат справедлив дял от разходите за обучение и пренасочване;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подчертава, че за постигането на целите на справедливия преход е необходимо съгласувано и интегрирано съчетание от политики;</w:t>
            </w:r>
            <w:r>
              <w:t xml:space="preserve"> </w:t>
            </w:r>
            <w:r>
              <w:rPr>
                <w:b/>
                <w:i/>
              </w:rPr>
              <w:t>призовава за интегриране на целите за приобщаване, социална закрила и умения във всички мерки на ЕС в областта на климата и промишлеността;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9в.</w:t>
            </w:r>
            <w:r>
              <w:tab/>
            </w:r>
            <w:r>
              <w:rPr>
                <w:b/>
                <w:i/>
              </w:rPr>
              <w:t>подчертава, че институциите за образование и обучение трябва да подобрят целесъобразността на своето обучение в съответствие с потребностите на конкурентния пазар на труда и да подготвят учащите се, обучителите и преподавателите със съответните знания и умения, така че те да бъдат активни двигатели на промяната в рамките на справедливия преход към екологично устойчиви икономики и общество за всички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9г.</w:t>
            </w:r>
            <w:r>
              <w:tab/>
            </w:r>
            <w:r>
              <w:rPr>
                <w:b/>
                <w:i/>
              </w:rPr>
              <w:t>подчертава значението на основните и когнитивните умения и подготовката на необходимите инструменти за насърчаване на гражданите да обмислят също така своето личностно развитие и растеж чрез тези умения, като например творческо мислене, устойчивост, гъвкавост и адаптивност, мотивация и самоосъзнатост, любознателност и учене през целия живот — като признание на значението на способността на работниците да се адаптират към коренно променени работни места, самостоятелност и работа с други хора в екипи;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9д.</w:t>
            </w:r>
            <w:r>
              <w:tab/>
            </w:r>
            <w:r>
              <w:rPr>
                <w:b/>
                <w:i/>
              </w:rPr>
              <w:t>подчертава, че изграждането на силен административен и технически капацитет на национално, регионално и местно равнище е от съществено значение за ефективното използване на средствата на ЕС;</w:t>
            </w:r>
            <w:r>
              <w:t xml:space="preserve"> </w:t>
            </w:r>
            <w:r>
              <w:rPr>
                <w:b/>
                <w:i/>
              </w:rPr>
              <w:t>призовава за увеличаване на инвестициите в изграждането на административен и технически капацитет на местно равнище;</w:t>
            </w:r>
            <w:r>
              <w:t xml:space="preserve"> </w:t>
            </w:r>
            <w:r>
              <w:rPr>
                <w:b/>
                <w:i/>
              </w:rPr>
              <w:t>подчертава необходимостта от подходящ персонал, умения и системи в управляващите органи, за да се гарантира подходяща подготовка, съответствие, мониторинг и оценка на проектите;</w:t>
            </w:r>
            <w:r>
              <w:t xml:space="preserve"> </w:t>
            </w:r>
            <w:r>
              <w:rPr>
                <w:b/>
                <w:i/>
              </w:rPr>
              <w:t>подчертава, че укрепването на административния капацитет е предпоставка за мобилизирането на инвестиции, намаляването на сложността и привеждането на действията в областта на климата в съответствие с растежа;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9е.</w:t>
            </w:r>
            <w:r>
              <w:tab/>
            </w:r>
            <w:r>
              <w:rPr>
                <w:b/>
                <w:i/>
              </w:rPr>
              <w:t>призовава Комисията и държавите членки да улеснят както широкомащабните, така и маломащабните инвестиции чрез намаляване на административната тежест, опростяване на процедурите и гарантиране на ефективното използване на средствата на ЕС;</w:t>
            </w:r>
            <w:r>
              <w:t xml:space="preserve"> </w:t>
            </w:r>
            <w:r>
              <w:rPr>
                <w:b/>
                <w:i/>
              </w:rPr>
              <w:t>подчертава, че на предприемачите, МСП, както и на по-големите дружества трябва да се предоставят благоприятни условия за инвестиции, растеж и иновации, особено в селските и по-слабо развитите региони;</w:t>
            </w:r>
            <w:r>
              <w:t xml:space="preserve"> </w:t>
            </w:r>
            <w:r>
              <w:rPr>
                <w:b/>
                <w:i/>
              </w:rPr>
              <w:t>подчертава, че тези инвестиции са от съществено значение за укрепване на промишлената и технологичната база на Европа, за създаване на висококачествени работни места и за осигуряване на квалифицирана работна сила, която е адаптирана към местната реалност, ресурси и специфични нужди, за да се използва пълноценно регионалният потенциал и да се стимулира конкурентоспособността, устойчивият растеж и създаването на стойност в дългосрочен план;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w:t>
            </w:r>
            <w:r>
              <w:t xml:space="preserve"> </w:t>
            </w:r>
            <w:r>
              <w:rPr>
                <w:b/>
                <w:i/>
              </w:rPr>
              <w:t>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w:t>
            </w:r>
            <w:r>
              <w:t xml:space="preserve"> </w:t>
            </w:r>
            <w:r>
              <w:rPr>
                <w:b/>
                <w:i/>
              </w:rPr>
              <w:t>призовава 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w:t>
            </w:r>
            <w:r>
              <w:t xml:space="preserve"> </w:t>
            </w:r>
            <w:r>
              <w:rPr>
                <w:b/>
                <w:i/>
              </w:rPr>
              <w:t>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w:t>
            </w:r>
            <w:r>
              <w:rPr>
                <w:b/>
                <w:i/>
              </w:rPr>
              <w:t>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w:t>
            </w:r>
            <w:r>
              <w:t xml:space="preserve"> </w:t>
            </w:r>
            <w:r>
              <w:rPr>
                <w:b/>
                <w:i/>
              </w:rPr>
              <w:t>призовава</w:t>
            </w:r>
            <w:r>
              <w:t xml:space="preserve">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w:t>
            </w:r>
            <w:r>
              <w:rPr>
                <w:b/>
                <w:i/>
              </w:rPr>
              <w:t>, по-специално правото на обучение за отделните работници</w:t>
            </w:r>
            <w:r>
              <w:t>;</w:t>
            </w:r>
          </w:p>
        </w:tc>
        <w:tc>
          <w:tcPr>
            <w:tcW w:w="4876" w:type="dxa"/>
            <w:tcBorders>
              <w:top w:val="nil"/>
              <w:left w:val="nil"/>
              <w:bottom w:val="nil"/>
              <w:right w:val="nil"/>
            </w:tcBorders>
          </w:tcPr>
          <w:p>
            <w:pPr>
              <w:pStyle w:val="Normal6a"/>
            </w:pPr>
            <w:r>
              <w:t>10.</w:t>
            </w:r>
            <w:r>
              <w:tab/>
            </w:r>
            <w:r>
              <w:t>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призовава</w:t>
            </w:r>
            <w:r>
              <w:t xml:space="preserve"> държавите членки да </w:t>
            </w:r>
            <w:r>
              <w:rPr>
                <w:b/>
                <w:i/>
              </w:rPr>
              <w:t>гарантират достатъчно финансиране за</w:t>
            </w:r>
            <w:r>
              <w:t xml:space="preserve">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tc>
        <w:tc>
          <w:tcPr>
            <w:tcW w:w="4876" w:type="dxa"/>
            <w:tcBorders>
              <w:top w:val="nil"/>
              <w:left w:val="nil"/>
              <w:bottom w:val="nil"/>
              <w:right w:val="nil"/>
            </w:tcBorders>
          </w:tcPr>
          <w:p>
            <w:pPr>
              <w:pStyle w:val="Normal6a"/>
            </w:pPr>
            <w:r>
              <w:t>10.</w:t>
            </w:r>
            <w:r>
              <w:tab/>
            </w:r>
            <w:r>
              <w:rPr>
                <w:b/>
                <w:i/>
              </w:rPr>
              <w:t>насърчава</w:t>
            </w:r>
            <w:r>
              <w:t xml:space="preserve"> държавите членки да </w:t>
            </w:r>
            <w:r>
              <w:rPr>
                <w:b/>
                <w:i/>
              </w:rPr>
              <w:t>осигурят</w:t>
            </w:r>
            <w:r>
              <w:t xml:space="preserve">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w:t>
            </w:r>
            <w:r>
              <w:rPr>
                <w:b/>
                <w:i/>
              </w:rPr>
              <w:t>в производителността, растежа и конкурентоспособността на работниците и предприятията</w:t>
            </w:r>
            <w:r>
              <w:t xml:space="preserve">;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w:t>
            </w:r>
            <w:r>
              <w:rPr>
                <w:b/>
                <w:i/>
              </w:rPr>
              <w:t>обучение</w:t>
            </w:r>
            <w:r>
              <w:t xml:space="preserve"> на работниците и за преразпределение на труда;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tc>
        <w:tc>
          <w:tcPr>
            <w:tcW w:w="4876" w:type="dxa"/>
            <w:tcBorders>
              <w:top w:val="nil"/>
              <w:left w:val="nil"/>
              <w:bottom w:val="nil"/>
              <w:right w:val="nil"/>
            </w:tcBorders>
          </w:tcPr>
          <w:p>
            <w:pPr>
              <w:pStyle w:val="Normal6a"/>
            </w:pPr>
            <w:r>
              <w:t>10.</w:t>
            </w:r>
            <w:r>
              <w:tab/>
            </w:r>
            <w:r>
              <w:t xml:space="preserve">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w:t>
            </w:r>
            <w:r>
              <w:rPr>
                <w:b/>
                <w:i/>
              </w:rPr>
              <w:t>обучението</w:t>
            </w:r>
            <w:r>
              <w:t xml:space="preserve"> на работниците и за преразпределение на труда;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 </w:t>
            </w:r>
            <w:r>
              <w:rPr>
                <w:b/>
                <w:i/>
              </w:rPr>
              <w:t>призовава държавите членки, с подкрепата на Комисията, да заделят специално финансиране за изграждане на институционалния капацитет на публичните органи и социалните партньори за прилагане на приобщаващо участие на работниците и техните представители (както и на други съответни целеви групи като младежки организации и местни общности), да участват в структуриран социален диалог и колективно договаряне и съвместно да разработят, изпълняват и наблюдават висококачествени териториални планове за справедлив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tc>
        <w:tc>
          <w:tcPr>
            <w:tcW w:w="4876" w:type="dxa"/>
            <w:tcBorders>
              <w:top w:val="nil"/>
              <w:left w:val="nil"/>
              <w:bottom w:val="nil"/>
              <w:right w:val="nil"/>
            </w:tcBorders>
          </w:tcPr>
          <w:p>
            <w:pPr>
              <w:pStyle w:val="Normal6a"/>
            </w:pPr>
            <w:r>
              <w:t>10.</w:t>
            </w:r>
            <w:r>
              <w:tab/>
            </w:r>
            <w:r>
              <w:t xml:space="preserve">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 </w:t>
            </w:r>
            <w:r>
              <w:rPr>
                <w:b/>
                <w:i/>
              </w:rPr>
              <w:t>призовава Комисията, заедно със социалните партньори, да определи хармонизиран набор от минимални социални условия във всички държави членки, които действително ще бъдат от полза за работниците при предоставянето на публични средства на дружествата и промишлените отрасли, включително за да се гарантират разпоредби за колективно договаряне, адекватни заплати, достойни условия на труд и разпоредби за здравословни и безопасни условия на труд, както и за проучване на намаляването на работното време и промените в производителността с цел намаляване на неравенствата в сферата на труда.</w:t>
            </w:r>
            <w:r>
              <w:t xml:space="preserve"> </w:t>
            </w:r>
            <w:r>
              <w:rPr>
                <w:b/>
                <w:i/>
              </w:rPr>
              <w:t>Това би могло да включва и създаване на гаранции за работни места, създаване на висококачествени работни места, инвестиции в умения, гарантиране, че дейностите няма да се преместват в трети държави с по-ниски стандарти, както и че публичните средства се използват за инвестиции в работни места на местно равнище;</w:t>
            </w:r>
            <w:r>
              <w:t xml:space="preserve"> </w:t>
            </w:r>
            <w:r>
              <w:rPr>
                <w:b/>
                <w:i/>
              </w:rPr>
              <w:t>призовава държавите членки с обхват на колективното договаряне под 80% да изготвят национални планове с ясни срокове и конкретни мерки за увеличаване на обхвата;</w:t>
            </w:r>
            <w:r>
              <w:t xml:space="preserve"> </w:t>
            </w:r>
            <w:r>
              <w:rPr>
                <w:b/>
                <w:i/>
              </w:rPr>
              <w:t>призовава Комисията да предостави насоки и подкрепа на държавите членки за укрепване на системите за договаряне, особено на секторно равнище, включително с пълноценното участие на социалните партньори;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tc>
        <w:tc>
          <w:tcPr>
            <w:tcW w:w="4876" w:type="dxa"/>
            <w:tcBorders>
              <w:top w:val="nil"/>
              <w:left w:val="nil"/>
              <w:bottom w:val="nil"/>
              <w:right w:val="nil"/>
            </w:tcBorders>
          </w:tcPr>
          <w:p>
            <w:pPr>
              <w:pStyle w:val="Normal6a"/>
            </w:pPr>
            <w:r>
              <w:t>10.</w:t>
            </w:r>
            <w:r>
              <w:tab/>
            </w:r>
            <w:r>
              <w:t>призовава държавите членки да гарантират достатъчно финансиране за качествени умения и програми за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прилагане на Съюза на уменията, по-специално Гаранцията за уменията; призовава държавите членки да увеличат използването на приходите от националните схеми за търговия с емисии за обучение на работниците и за преразпределение на труда</w:t>
            </w:r>
            <w:r>
              <w:rPr>
                <w:b/>
                <w:i/>
              </w:rPr>
              <w:t>, като отхвърлят всякакви възможни съкращения</w:t>
            </w:r>
            <w:r>
              <w:t>; призовава Комисията да проучи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припомня ролята, която Европейският фонд за приспособяване към глобализацията за съкратени работници (ЕФПГ) може да играе в подкрепа на работниците, засегнати от екологичния и цифровия преход през оставащия програмен период;</w:t>
            </w:r>
            <w:r>
              <w:t xml:space="preserve"> </w:t>
            </w:r>
            <w:r>
              <w:rPr>
                <w:b/>
                <w:i/>
              </w:rPr>
              <w:t>приветства целта на предложеното преразглеждане на настоящия ЕФПГ да се ускори процедурата за одобрение на заявленията и да се окаже допълнителна и проактивна подкрепа на работниците, засегнати от предстоящо съкращение на работни места;</w:t>
            </w:r>
            <w:r>
              <w:t xml:space="preserve"> </w:t>
            </w:r>
            <w:r>
              <w:rPr>
                <w:b/>
                <w:i/>
              </w:rPr>
              <w:t>подчертава обаче, че е важно да се гарантира, че предприятията, които са в процес на преструктуриране и желаят да кандидатстват за фонда, правят това при пълно съгласуване с работниците и техните представители, включително при разработването на персонализирания пакет от мерки;</w:t>
            </w:r>
            <w:r>
              <w:t xml:space="preserve"> </w:t>
            </w:r>
            <w:r>
              <w:rPr>
                <w:b/>
                <w:i/>
              </w:rPr>
              <w:t>изразява съжаление във връзка с прекратяването на ЕФПГ в предложението за многогодишната финансова рамка за периода 2028—2034 г.;</w:t>
            </w:r>
            <w:r>
              <w:t xml:space="preserve"> </w:t>
            </w:r>
            <w:r>
              <w:rPr>
                <w:b/>
                <w:i/>
              </w:rPr>
              <w:t>подчертава значението на активните мерки на пазара на труда за реинтеграцията на съкратените работници на пазара на труда след случаи на голямо преструктуриране;</w:t>
            </w:r>
            <w:r>
              <w:t xml:space="preserve"> </w:t>
            </w:r>
            <w:r>
              <w:rPr>
                <w:b/>
                <w:i/>
              </w:rPr>
              <w:t>призовава Комисията да осигури непрекъсната специална подкрепа за работниците, изложени на риск от големи преструктурирания или съкратени вследствие на такива, в следващата МФР;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подчертава необходимостта от изграждане на капацитет на регионалните органи за успешно взаимодействие с целеви групи (като работници, младежки организации, възрастни хора, загрижени за околната среда граждани, сдружения на земеделски стопани и коренно население) за разработване и управление на схеми за социално подпомагане;</w:t>
            </w:r>
            <w:r>
              <w:t xml:space="preserve"> </w:t>
            </w:r>
            <w:r>
              <w:rPr>
                <w:b/>
                <w:i/>
              </w:rPr>
              <w:t>и за измерване на въздействието от разпределението на политиките;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призовава държавите членки да заделят част от приходите от СТЕ за преквалификация на работниците в регионите с високи въглеродни емисии и за подкрепа на МСП 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10б.</w:t>
            </w:r>
            <w:r>
              <w:tab/>
            </w:r>
            <w:r>
              <w:rPr>
                <w:b/>
                <w:i/>
              </w:rPr>
              <w:t>припомня, че е важно да се гарантира високо равнище на здравословни и безопасни условия на труд на работниците;</w:t>
            </w:r>
            <w:r>
              <w:t xml:space="preserve"> </w:t>
            </w:r>
            <w:r>
              <w:rPr>
                <w:b/>
                <w:i/>
              </w:rPr>
              <w:t>подчертава значението на проактивното справяне с променящите се рискове за здравословните и безопасни условия на труд за работните задачи и модели, както и работните места, по-специално екологичните и психосоциалните рискове, в контекста на двойния преход;</w:t>
            </w:r>
            <w:r>
              <w:t xml:space="preserve"> </w:t>
            </w:r>
            <w:r>
              <w:rPr>
                <w:b/>
                <w:i/>
              </w:rPr>
              <w:t>призовава Комисията да извърши цялостен преглед на настоящата стратегическа рамка за здравословни и безопасни условия на труд и на съществуващата законодателна рамка в областта на здравословните и безопасни условия на труд с цел да се установят оставащите пропуски и да се направят нови или актуализирани предложения, за да се гарантира, че достиженията на правото на ЕС продължават да бъдат подходящи за целта и да се допринесе за разработването на стратегическата рамка за периода след 2027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че силните мрежи за социална сигурност и системите за социална закрила са от съществено значение за подкрепата на работниците </w:t>
            </w:r>
            <w:r>
              <w:rPr>
                <w:b/>
                <w:i/>
              </w:rPr>
              <w:t>по време на периоди на</w:t>
            </w:r>
            <w:r>
              <w:t xml:space="preserve"> преход; </w:t>
            </w:r>
            <w:r>
              <w:rPr>
                <w:b/>
                <w:i/>
              </w:rPr>
              <w:t>призовава</w:t>
            </w:r>
            <w:r>
              <w:t xml:space="preserve"> държавите членки да модернизират и укрепват своите системи и услуги за социална закрила, за да гарантират устойчивост срещу сътресения, произтичащи от </w:t>
            </w:r>
            <w:r>
              <w:rPr>
                <w:b/>
                <w:i/>
              </w:rPr>
              <w:t>двойния преход, който оказва</w:t>
            </w:r>
            <w:r>
              <w:t xml:space="preserve"> въздействие върху пазара на труда;</w:t>
            </w:r>
          </w:p>
        </w:tc>
        <w:tc>
          <w:tcPr>
            <w:tcW w:w="4876" w:type="dxa"/>
            <w:tcBorders>
              <w:top w:val="nil"/>
              <w:left w:val="nil"/>
              <w:bottom w:val="nil"/>
              <w:right w:val="nil"/>
            </w:tcBorders>
          </w:tcPr>
          <w:p>
            <w:pPr>
              <w:pStyle w:val="Normal6a"/>
            </w:pPr>
            <w:r>
              <w:t>11.</w:t>
            </w:r>
            <w:r>
              <w:tab/>
            </w:r>
            <w:r>
              <w:t>подчертава, че силните мрежи за социална сигурност и системите за социална закрила са от съществено значение за подкрепата на работниците</w:t>
            </w:r>
            <w:r>
              <w:rPr>
                <w:b/>
                <w:i/>
              </w:rPr>
              <w:t>, които губят работата си поради политиките за</w:t>
            </w:r>
            <w:r>
              <w:t xml:space="preserve"> преход; </w:t>
            </w:r>
            <w:r>
              <w:rPr>
                <w:b/>
                <w:i/>
              </w:rPr>
              <w:t>препоръчва на</w:t>
            </w:r>
            <w:r>
              <w:t xml:space="preserve"> държавите членки да модернизират и укрепват своите системи и услуги за социална закрила, за да гарантират устойчивост срещу сътресения, произтичащи от </w:t>
            </w:r>
            <w:r>
              <w:rPr>
                <w:b/>
                <w:i/>
              </w:rPr>
              <w:t>разпоредбите на ЕС, които оказват</w:t>
            </w:r>
            <w:r>
              <w:t xml:space="preserve"> въздействие върху пазара на труда;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w:t>
            </w:r>
          </w:p>
        </w:tc>
        <w:tc>
          <w:tcPr>
            <w:tcW w:w="4876" w:type="dxa"/>
            <w:tcBorders>
              <w:top w:val="nil"/>
              <w:left w:val="nil"/>
              <w:bottom w:val="nil"/>
              <w:right w:val="nil"/>
            </w:tcBorders>
          </w:tcPr>
          <w:p>
            <w:pPr>
              <w:pStyle w:val="Normal6a"/>
            </w:pPr>
            <w:r>
              <w:t>11.</w:t>
            </w:r>
            <w:r>
              <w:tab/>
            </w:r>
            <w:r>
              <w:t xml:space="preserve">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 </w:t>
            </w:r>
            <w:r>
              <w:rPr>
                <w:b/>
                <w:i/>
              </w:rPr>
              <w:t>настоятелно призовава държавите членки да изпълнят изцяло Препоръката на Съвета относно социалната закрила на работниците и самостоятелно заетите лица;</w:t>
            </w:r>
            <w:r>
              <w:t xml:space="preserve"> </w:t>
            </w:r>
            <w:r>
              <w:rPr>
                <w:b/>
                <w:i/>
              </w:rPr>
              <w:t>призовава Комисията да наблюдава рисковете и напредъка по отношение на такива действия чрез набора от социални показатели и Рамката за социална конвергенция;</w:t>
            </w:r>
            <w:r>
              <w:t xml:space="preserve"> </w:t>
            </w:r>
            <w:r>
              <w:rPr>
                <w:b/>
                <w:i/>
              </w:rPr>
              <w:t>подчертава, че е важно да се гарантира, че предложенията на националните публични служби по заетостта са подходящи за променящото се развитие на пазара на труда, за да се осигури подкрепа и да се улеснят хората, които сменят работните си места поради преходи;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w:t>
            </w:r>
            <w:r>
              <w:rPr>
                <w:b/>
                <w:i/>
              </w:rPr>
              <w:t>модернизират и</w:t>
            </w:r>
            <w:r>
              <w:t xml:space="preserve">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w:t>
            </w:r>
          </w:p>
        </w:tc>
        <w:tc>
          <w:tcPr>
            <w:tcW w:w="4876" w:type="dxa"/>
            <w:tcBorders>
              <w:top w:val="nil"/>
              <w:left w:val="nil"/>
              <w:bottom w:val="nil"/>
              <w:right w:val="nil"/>
            </w:tcBorders>
          </w:tcPr>
          <w:p>
            <w:pPr>
              <w:pStyle w:val="Normal6a"/>
            </w:pPr>
            <w:r>
              <w:t>11.</w:t>
            </w:r>
            <w:r>
              <w:tab/>
            </w:r>
            <w:r>
              <w:t xml:space="preserve">подчертава, че силните мрежи за социална сигурност и системите за социална закрила са от съществено значение за подкрепата на работниците </w:t>
            </w:r>
            <w:r>
              <w:rPr>
                <w:b/>
                <w:i/>
              </w:rPr>
              <w:t>и за засилването на социалното сближаване</w:t>
            </w:r>
            <w:r>
              <w:t xml:space="preserve"> по време на периоди на преход; призовава държавите членки</w:t>
            </w:r>
            <w:r>
              <w:rPr>
                <w:b/>
                <w:i/>
              </w:rPr>
              <w:t>, в сътрудничество със социалните партньори и организациите на гражданското общество,</w:t>
            </w:r>
            <w:r>
              <w:t xml:space="preserve"> да укрепват своите системи и услуги за социална закрила</w:t>
            </w:r>
            <w:r>
              <w:rPr>
                <w:b/>
                <w:i/>
              </w:rPr>
              <w:t>, както и подкрепата за доставчиците на социални услуги с нестопанска цел, със специален акцент върху справедливото и прогресивно данъчно облагане, политиките за социално приобщаване, подпомагането на доходите и достъпа до основни услуги и жилищно настаняване на достъпни цени</w:t>
            </w:r>
            <w:r>
              <w:t>, за да гарантират устойчивост срещу сътресения, произтичащи от двойния преход, който оказва въздействие върху пазара на труда</w:t>
            </w:r>
            <w:r>
              <w:rPr>
                <w:b/>
                <w:i/>
              </w:rPr>
              <w:t>, както и че служителите, засегнати от загуба на работни места, могат да поддържат стандарта си на живот във възможно най-голяма степен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w:t>
            </w:r>
          </w:p>
        </w:tc>
        <w:tc>
          <w:tcPr>
            <w:tcW w:w="4876" w:type="dxa"/>
            <w:tcBorders>
              <w:top w:val="nil"/>
              <w:left w:val="nil"/>
              <w:bottom w:val="nil"/>
              <w:right w:val="nil"/>
            </w:tcBorders>
          </w:tcPr>
          <w:p>
            <w:pPr>
              <w:pStyle w:val="Normal6a"/>
            </w:pPr>
            <w:r>
              <w:t>11.</w:t>
            </w:r>
            <w:r>
              <w:tab/>
            </w:r>
            <w:r>
              <w:t>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w:t>
            </w:r>
            <w:r>
              <w:rPr>
                <w:b/>
                <w:i/>
              </w:rPr>
              <w:t>;</w:t>
            </w:r>
            <w:r>
              <w:t xml:space="preserve"> </w:t>
            </w:r>
            <w:r>
              <w:rPr>
                <w:b/>
                <w:i/>
              </w:rPr>
              <w:t>подчертава, че видимите ползи за домакинствата, като например по-ниските сметки за комунални услуги и подобрените условия на живот, са от ключово значение за гарантиране на общественото одобрение;</w:t>
            </w:r>
            <w:r>
              <w:t xml:space="preserve"> </w:t>
            </w:r>
            <w:r>
              <w:rPr>
                <w:b/>
                <w:i/>
              </w:rPr>
              <w:t>директивата следва да обвърже мерките за саниране с прозрачна комуникация относно тези предимства</w:t>
            </w:r>
            <w:r>
              <w:t>;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w:t>
            </w:r>
          </w:p>
        </w:tc>
        <w:tc>
          <w:tcPr>
            <w:tcW w:w="4876" w:type="dxa"/>
            <w:tcBorders>
              <w:top w:val="nil"/>
              <w:left w:val="nil"/>
              <w:bottom w:val="nil"/>
              <w:right w:val="nil"/>
            </w:tcBorders>
          </w:tcPr>
          <w:p>
            <w:pPr>
              <w:pStyle w:val="Normal6a"/>
            </w:pPr>
            <w:r>
              <w:t>11.</w:t>
            </w:r>
            <w:r>
              <w:tab/>
            </w:r>
            <w:r>
              <w:t xml:space="preserve">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 </w:t>
            </w:r>
            <w:r>
              <w:rPr>
                <w:b/>
                <w:i/>
              </w:rPr>
              <w:t>подчертава, че за да се гарантира справедлив и равнопоставен преход, системите за социална закрила и мрежите за социална сигурност следва да гарантират качество на работните места, доходи и стабилност за хората;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w:t>
            </w:r>
          </w:p>
        </w:tc>
        <w:tc>
          <w:tcPr>
            <w:tcW w:w="4876" w:type="dxa"/>
            <w:tcBorders>
              <w:top w:val="nil"/>
              <w:left w:val="nil"/>
              <w:bottom w:val="nil"/>
              <w:right w:val="nil"/>
            </w:tcBorders>
          </w:tcPr>
          <w:p>
            <w:pPr>
              <w:pStyle w:val="Normal6a"/>
            </w:pPr>
            <w:r>
              <w:t>11.</w:t>
            </w:r>
            <w:r>
              <w:tab/>
            </w:r>
            <w:r>
              <w:t xml:space="preserve">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 </w:t>
            </w:r>
            <w:r>
              <w:rPr>
                <w:b/>
                <w:i/>
              </w:rPr>
              <w:t>призовава за гарантиране на всеобщ достъп до обезщетения за безработица и обществени услуги, за да се предотврати бедността и социалното изключване по време на прехода;</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за да гарантират устойчивост срещу сътресения, произтичащи от двойния преход, който оказва въздействие върху пазара на труда;</w:t>
            </w:r>
          </w:p>
        </w:tc>
        <w:tc>
          <w:tcPr>
            <w:tcW w:w="4876" w:type="dxa"/>
            <w:tcBorders>
              <w:top w:val="nil"/>
              <w:left w:val="nil"/>
              <w:bottom w:val="nil"/>
              <w:right w:val="nil"/>
            </w:tcBorders>
          </w:tcPr>
          <w:p>
            <w:pPr>
              <w:pStyle w:val="Normal6a"/>
            </w:pPr>
            <w:r>
              <w:t>11.</w:t>
            </w:r>
            <w:r>
              <w:tab/>
            </w:r>
            <w:r>
              <w:t xml:space="preserve">подчертава, че силните мрежи за социална сигурност и системите за социална закрила са от съществено значение за подкрепата на работниците по време на периоди на преход; призовава държавите членки да модернизират и укрепват своите системи и услуги за социална закрила, </w:t>
            </w:r>
            <w:r>
              <w:rPr>
                <w:b/>
                <w:i/>
              </w:rPr>
              <w:t>като същевременно осигурят тяхната дългосрочна устойчивост, </w:t>
            </w:r>
            <w:r>
              <w:t>за да гарантират устойчивост срещу сътресения, произтичащи от двойния преход, който оказва въздействие върху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Яна Том</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подчертава значението на целенасочените политики в подкрепа на хората, които са най-силно засегнати от двойния преход, и по-специално тези в уязвимо положение;</w:t>
            </w:r>
            <w:r>
              <w:t xml:space="preserve"> </w:t>
            </w:r>
            <w:r>
              <w:rPr>
                <w:b/>
                <w:i/>
              </w:rPr>
              <w:t>подчертава, че са необходими активна подкрепа и ранна намеса, за да се предотврати изпадането на хората в уязвимо положение в продължителни периоди на безработица или превръщането им в обезкуражени работници;</w:t>
            </w:r>
            <w:r>
              <w:t xml:space="preserve"> </w:t>
            </w:r>
            <w:r>
              <w:rPr>
                <w:b/>
                <w:i/>
              </w:rPr>
              <w:t>призовава държавите членки значително да увеличат активната подкрепа за качествена заетост, по-специално чрез подкрепа за достъпа до запазването на качествената заетост, насърчаването на предприемачеството и стимулирането на създаването на качествени работни места;</w:t>
            </w:r>
            <w:r>
              <w:t xml:space="preserve"> </w:t>
            </w:r>
            <w:r>
              <w:rPr>
                <w:b/>
                <w:i/>
              </w:rPr>
              <w:t>подчертава ролята на субсидирането на заплатите, целенасочените обществени поръчки и обществените поръчки на местно равнище за създаването на работни места 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изисква в случай на неспазване на разпоредбите на националното законодателство, приети съгласно настоящата директива, държавите членки да гарантират, че налогът за работодателите, дължим във Фонда за справедлив преход, се удвоява за период от шест месеца;</w:t>
            </w:r>
            <w:r>
              <w:t xml:space="preserve"> </w:t>
            </w:r>
            <w:r>
              <w:rPr>
                <w:b/>
                <w:i/>
              </w:rPr>
              <w:t>ако дадено дружество не изпълни тази имуществена санкция в приложимия срок, държавите членки публикуват публично изявление, в което се посочват отговорното за нарушението дружество и естеството на нарушението;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припомня значението на Европейския фонд за приспособяване към глобализацията за съкратени работници във връзка с предоставянето на подкрепа на работниците, засегнати от предстоящо съкращение на работни места в предприятия в процес на преструктуриране, и насърчава държавите членки, с подкрепата на Комисията, да използват пълноценно фонда;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подчертава, че по време на периоди на преход трябва да бъде гарантиран достъпът до основни социални услуги като здравеопазване, транспорт, енергетика и образование;</w:t>
            </w:r>
            <w:r>
              <w:t xml:space="preserve"> </w:t>
            </w:r>
            <w:r>
              <w:rPr>
                <w:b/>
                <w:i/>
              </w:rPr>
              <w:t>призовава за оценки на социалното въздействие за всички големи регионални инвестиции, свързани с прехода;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11б.</w:t>
            </w:r>
            <w:r>
              <w:tab/>
            </w:r>
            <w:r>
              <w:rPr>
                <w:b/>
                <w:i/>
              </w:rPr>
              <w:t>призовава държавите членки да изискват от дружествата да установят справедлива, публично налична, достъпна, предвидима и прозрачна процедура, за да се даде възможност на работниците, попадащи в обхвата на настоящата директива, техните представители и други съответни заинтересовани страни да подават жалби до тях във връзка с прилагането на правата на справедлив преход и свързаните с тях права на работниците;</w:t>
            </w:r>
            <w:r>
              <w:t xml:space="preserve"> </w:t>
            </w:r>
            <w:r>
              <w:rPr>
                <w:b/>
                <w:i/>
              </w:rPr>
              <w:t>тази процедура може да бъде включена в процедурата, предвидена в член 14 от Директива (ЕС) 2024/1760, когато е приложимо;</w:t>
            </w:r>
            <w:r>
              <w:t xml:space="preserve"> </w:t>
            </w:r>
            <w:r>
              <w:rPr>
                <w:b/>
                <w:i/>
              </w:rPr>
              <w:t>дружествата вземат мерки за предотвратяване на всякакви форми на ответни действия с цел отмъщение, като гарантират поверителността на самоличността на лицето или организацията, подаващи жалбата, в съответствие с Директива (ЕС) 2019/1937 и съответното национално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11б.</w:t>
            </w:r>
            <w:r>
              <w:tab/>
            </w:r>
            <w:r>
              <w:rPr>
                <w:b/>
                <w:i/>
              </w:rPr>
              <w:t>подчертава необходимостта от подкрепа за схемите за подпомагане на работата на непълно работно време и значението на целенасочената подкрепа за работниците, засегнати от преходи, като се надгражда положителният опит от Европейския инструмент за временна подкрепа с цел смекчаване на рисковете от безработица при извънредни обстоятелства (SURE);</w:t>
            </w:r>
            <w:r>
              <w:t xml:space="preserve"> </w:t>
            </w:r>
            <w:r>
              <w:rPr>
                <w:b/>
                <w:i/>
              </w:rPr>
              <w:t>призовава за засилен механизъм SURE, тъй като подкрепата за такива мерки за защита на заетостта по време на кризи може да стабилизира публичните разходи, предназначени за политиките в областта на заетостта, както и мерките за справедлив преход, с цел смекчаване на непосредственото въздействие на необходимата трансформация на икономиката на ЕС върху работните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подчертава, че въздействието върху заетостта ще се различава в отделните региони и население;</w:t>
            </w:r>
            <w:r>
              <w:t xml:space="preserve"> </w:t>
            </w:r>
            <w:r>
              <w:rPr>
                <w:b/>
                <w:i/>
              </w:rPr>
              <w:t>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w:t>
            </w:r>
            <w:r>
              <w:t xml:space="preserve"> </w:t>
            </w:r>
            <w:r>
              <w:rPr>
                <w:b/>
                <w:i/>
              </w:rPr>
              <w:t>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w:t>
            </w:r>
            <w:r>
              <w:t xml:space="preserve"> </w:t>
            </w:r>
            <w:r>
              <w:rPr>
                <w:b/>
                <w:i/>
              </w:rPr>
              <w:t>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на МСП и младите хора в регионалните координационни органи;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w:t>
            </w:r>
            <w:r>
              <w:rPr>
                <w:b/>
                <w:i/>
              </w:rPr>
              <w:t>необходимостта от</w:t>
            </w:r>
            <w:r>
              <w:t xml:space="preserve">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w:t>
            </w:r>
            <w:r>
              <w:rPr>
                <w:b/>
                <w:i/>
              </w:rPr>
              <w:t>стратегически консултации и сътрудничество</w:t>
            </w:r>
            <w:r>
              <w:t xml:space="preserve"> със социалните партньори по време на управлението на прехода; подчертава, че пълноценното участие може да бъде осигурено чрез </w:t>
            </w:r>
            <w:r>
              <w:rPr>
                <w:b/>
                <w:i/>
              </w:rPr>
              <w:t>консултации на ранен етап и ясни мандати и права на глас за</w:t>
            </w:r>
            <w:r>
              <w:t xml:space="preserve"> социалните партньори, гражданското общество </w:t>
            </w:r>
            <w:r>
              <w:rPr>
                <w:b/>
                <w:i/>
              </w:rPr>
              <w:t>на МСП</w:t>
            </w:r>
            <w:r>
              <w:t xml:space="preserve"> и младите хора в регионалните координационни органи;</w:t>
            </w:r>
          </w:p>
        </w:tc>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w:t>
            </w:r>
            <w:r>
              <w:rPr>
                <w:b/>
                <w:i/>
              </w:rPr>
              <w:t>изискването за</w:t>
            </w:r>
            <w:r>
              <w:t xml:space="preserve">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w:t>
            </w:r>
            <w:r>
              <w:rPr>
                <w:b/>
                <w:i/>
              </w:rPr>
              <w:t>стратегическо съвместно проектиране</w:t>
            </w:r>
            <w:r>
              <w:t xml:space="preserve"> със социалните партньори по време на управлението на прехода; подчертава, че пълноценното участие може да бъде осигурено чрез </w:t>
            </w:r>
            <w:r>
              <w:rPr>
                <w:b/>
                <w:i/>
              </w:rPr>
              <w:t>ангажиране на</w:t>
            </w:r>
            <w:r>
              <w:t xml:space="preserve"> социалните партньори</w:t>
            </w:r>
            <w:r>
              <w:rPr>
                <w:b/>
                <w:i/>
              </w:rPr>
              <w:t>, МСП</w:t>
            </w:r>
            <w:r>
              <w:t xml:space="preserve">, гражданското общество и младите хора в регионалните координационни органи </w:t>
            </w:r>
            <w:r>
              <w:rPr>
                <w:b/>
                <w:i/>
              </w:rPr>
              <w:t>и чрез предоставяне на достъпни методи и мерки за участие, включително, но не само достъп до езици, платено време/грижи за деца, подкрепа за пътуване и ефективни механизми за подаване на жалби и обжалване, така че засегнатите общности да могат да оспорват и отстраняват вредите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w:t>
            </w:r>
            <w:r>
              <w:rPr>
                <w:b/>
                <w:i/>
              </w:rPr>
              <w:t>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на МСП и младите хора в регионалните координационни органи;</w:t>
            </w:r>
          </w:p>
        </w:tc>
        <w:tc>
          <w:tcPr>
            <w:tcW w:w="4876" w:type="dxa"/>
            <w:tcBorders>
              <w:top w:val="nil"/>
              <w:left w:val="nil"/>
              <w:bottom w:val="nil"/>
              <w:right w:val="nil"/>
            </w:tcBorders>
          </w:tcPr>
          <w:p>
            <w:pPr>
              <w:pStyle w:val="Normal6a"/>
            </w:pPr>
            <w:r>
              <w:t>12.</w:t>
            </w:r>
            <w:r>
              <w:tab/>
            </w:r>
            <w:r>
              <w:t>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Бранислав Ондруш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w:t>
            </w:r>
            <w:r>
              <w:rPr>
                <w:b/>
                <w:i/>
              </w:rPr>
              <w:t>на МСП</w:t>
            </w:r>
            <w:r>
              <w:t xml:space="preserve"> и младите хора в регионалните координационни органи;</w:t>
            </w:r>
          </w:p>
        </w:tc>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w:t>
            </w:r>
            <w:r>
              <w:rPr>
                <w:b/>
                <w:i/>
              </w:rPr>
              <w:t>МСП, включително социалните предприятия,</w:t>
            </w:r>
            <w:r>
              <w:t xml:space="preserve"> гражданското общество и младите хора в регионалните координационни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w:t>
            </w:r>
            <w:r>
              <w:rPr>
                <w:b/>
                <w:i/>
              </w:rPr>
              <w:t>на МСП и</w:t>
            </w:r>
            <w:r>
              <w:t xml:space="preserve"> младите хора в регионалните координационни органи;</w:t>
            </w:r>
          </w:p>
        </w:tc>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w:t>
            </w:r>
            <w:r>
              <w:rPr>
                <w:b/>
                <w:i/>
              </w:rPr>
              <w:t>МСП,</w:t>
            </w:r>
            <w:r>
              <w:t xml:space="preserve"> гражданското общество</w:t>
            </w:r>
            <w:r>
              <w:rPr>
                <w:b/>
                <w:i/>
              </w:rPr>
              <w:t>,</w:t>
            </w:r>
            <w:r>
              <w:t xml:space="preserve"> младите хора</w:t>
            </w:r>
            <w:r>
              <w:rPr>
                <w:b/>
                <w:i/>
              </w:rPr>
              <w:t>, профсъюзите, организациите на жените и местните социални движения</w:t>
            </w:r>
            <w:r>
              <w:t xml:space="preserve"> в регионалните координационни органи;</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w:t>
            </w:r>
            <w:r>
              <w:rPr>
                <w:b/>
                <w:i/>
              </w:rPr>
              <w:t>на МСП</w:t>
            </w:r>
            <w:r>
              <w:t xml:space="preserve"> и младите хора в регионалните координационни органи;</w:t>
            </w:r>
          </w:p>
        </w:tc>
        <w:tc>
          <w:tcPr>
            <w:tcW w:w="4876" w:type="dxa"/>
            <w:tcBorders>
              <w:top w:val="nil"/>
              <w:left w:val="nil"/>
              <w:bottom w:val="nil"/>
              <w:right w:val="nil"/>
            </w:tcBorders>
          </w:tcPr>
          <w:p>
            <w:pPr>
              <w:pStyle w:val="Normal6a"/>
            </w:pPr>
            <w:r>
              <w:t>12.</w:t>
            </w:r>
            <w:r>
              <w:tab/>
            </w:r>
            <w:r>
              <w:t>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w:t>
            </w:r>
            <w:r>
              <w:rPr>
                <w:b/>
                <w:i/>
              </w:rPr>
              <w:t>, включително организациите на гражданското общество,</w:t>
            </w:r>
            <w:r>
              <w:t xml:space="preserve"> да бъдат активни участници в прехода</w:t>
            </w:r>
            <w:r>
              <w:rPr>
                <w:b/>
                <w:i/>
              </w:rPr>
              <w:t>;</w:t>
            </w:r>
            <w:r>
              <w:t xml:space="preserve"> </w:t>
            </w:r>
            <w:r>
              <w:rPr>
                <w:b/>
                <w:i/>
              </w:rPr>
              <w:t>подчертава, че е важно да се насърчават инициативи, ръководени от работниците, включително работнически кооперации, изкупувания на дружества от техните служители и други форми на колективна и общностна собственост</w:t>
            </w:r>
            <w:r>
              <w:t xml:space="preserve">; подчертава, че публичните органи трябва да участват в стратегически консултации и сътрудничество със социалните партньори </w:t>
            </w:r>
            <w:r>
              <w:rPr>
                <w:b/>
                <w:i/>
              </w:rPr>
              <w:t>и гражданското общество</w:t>
            </w:r>
            <w:r>
              <w:t xml:space="preserve">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w:t>
            </w:r>
            <w:r>
              <w:rPr>
                <w:b/>
                <w:i/>
              </w:rPr>
              <w:t>МСП,</w:t>
            </w:r>
            <w:r>
              <w:t xml:space="preserve"> гражданското общество</w:t>
            </w:r>
            <w:r>
              <w:rPr>
                <w:b/>
                <w:i/>
              </w:rPr>
              <w:t>, социалната икономика</w:t>
            </w:r>
            <w:r>
              <w:t xml:space="preserve"> и младите хора в регионалните координационни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на МСП и младите хора в регионалните координационни органи;</w:t>
            </w:r>
          </w:p>
        </w:tc>
        <w:tc>
          <w:tcPr>
            <w:tcW w:w="4876" w:type="dxa"/>
            <w:tcBorders>
              <w:top w:val="nil"/>
              <w:left w:val="nil"/>
              <w:bottom w:val="nil"/>
              <w:right w:val="nil"/>
            </w:tcBorders>
          </w:tcPr>
          <w:p>
            <w:pPr>
              <w:pStyle w:val="Normal6a"/>
            </w:pPr>
            <w:r>
              <w:t>12.</w:t>
            </w:r>
            <w:r>
              <w:tab/>
            </w:r>
            <w:r>
              <w:t>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w:t>
            </w:r>
            <w:r>
              <w:rPr>
                <w:b/>
                <w:i/>
              </w:rPr>
              <w:t>, включително организациите на гражданското общество, които имат добро разбиране за предизвикателствата и потребностите на местните общности,</w:t>
            </w:r>
            <w:r>
              <w:t xml:space="preserve"> да бъдат активни участници в прехода;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на МСП и младите хора в регионалните координационни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Бистрон Петър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w:t>
            </w:r>
            <w:r>
              <w:rPr>
                <w:b/>
                <w:i/>
              </w:rPr>
              <w:t>в прехода</w:t>
            </w:r>
            <w:r>
              <w:t>;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на МСП и младите хора в регионалните координационни органи;</w:t>
            </w:r>
          </w:p>
        </w:tc>
        <w:tc>
          <w:tcPr>
            <w:tcW w:w="4876" w:type="dxa"/>
            <w:tcBorders>
              <w:top w:val="nil"/>
              <w:left w:val="nil"/>
              <w:bottom w:val="nil"/>
              <w:right w:val="nil"/>
            </w:tcBorders>
          </w:tcPr>
          <w:p>
            <w:pPr>
              <w:pStyle w:val="Normal6a"/>
            </w:pPr>
            <w:r>
              <w:t>12.</w:t>
            </w:r>
            <w:r>
              <w:tab/>
            </w:r>
            <w:r>
              <w:t>подчертава, че въздействието върху заетостта ще се различава в отделните региони и население; подчертава в този контекст необходимостта от ангажиране и овластяване на местните граждани и заинтересовани страни да бъдат активни участници </w:t>
            </w:r>
            <w:r>
              <w:rPr>
                <w:b/>
                <w:i/>
              </w:rPr>
              <w:t>при вземането на решения дали следва да има преход</w:t>
            </w:r>
            <w:r>
              <w:t>; подчертава, че публичните 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гражданското общество на МСП и младите хора в регионалните координационни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настоява, че настоящата директива не представлява валидно основание за намаляване на общото равнище на защита, което вече се предоставя на работниците в рамките на държавите членки, по-специално по отношение на правата на обучение, професионален преход, сигурност на работното място и участие на работниците;</w:t>
            </w:r>
            <w:r>
              <w:t xml:space="preserve"> </w:t>
            </w:r>
            <w:r>
              <w:rPr>
                <w:b/>
                <w:i/>
              </w:rPr>
              <w:t>подчертава, че настоящата директива не засяга правото на държавите членки да прилагат или въвеждат по-благоприятни за работниците законови, подзаконови или административни разпоредби или да насърчават или разрешават прилагането на по-благоприятни за работниците колективни трудови договори;</w:t>
            </w:r>
            <w:r>
              <w:t xml:space="preserve"> </w:t>
            </w:r>
            <w:r>
              <w:rPr>
                <w:b/>
                <w:i/>
              </w:rPr>
              <w:t>подчертава, че нищо в настоящата директива не се тълкува или прилага по начин, който ограничава, нарушава или подкопава основните права, признати в държавите членки, включително правото на колективно договаряне, правото на стачка или правото да се предприемат колективни действия;</w:t>
            </w:r>
            <w:r>
              <w:t xml:space="preserve"> </w:t>
            </w:r>
            <w:r>
              <w:rPr>
                <w:b/>
                <w:i/>
              </w:rPr>
              <w:t>настоява, че настоящата директива зачита автономността на социалните партньори и не засяга тяхната способност да договарят, сключват или прилагат колективни трудови договори или да участват в други дейности, съвместими с националните системи за колективни трудови правоотношения;</w:t>
            </w:r>
            <w:r>
              <w:t xml:space="preserve"> </w:t>
            </w:r>
            <w:r>
              <w:rPr>
                <w:b/>
                <w:i/>
              </w:rPr>
              <w:t>подчертава освен това, че настоящата директива създава допълнителни права, като право на информиране, на консултации и на колективно договаряне в ситуации на преход и не засяга прилагането на други инструменти на правото на Съюза относно участието на служителите;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призовава Комисията и държавите членки да разработят политики, които да отключат икономически възможности за частния сектор, по-специално за МСП, чрез намаляване на административната тежест, намаляване на изискванията за съфинансиране и опростяване на достъпа до финансиране;</w:t>
            </w:r>
            <w:r>
              <w:t xml:space="preserve"> </w:t>
            </w:r>
            <w:r>
              <w:rPr>
                <w:b/>
                <w:i/>
              </w:rPr>
              <w:t>подчертава, че предприемачите и малките предприятия са от основно значение за инвестициите, иновациите и създаването на работни места и че компонентите за финансиране и техническата помощ трябва да бъдат съобразени с техните нужди, за да се използва напълно техният потенциал в екологичната и цифровата икономика;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подчертава, че правителствата следва да подкрепят изграждането на капацитета на социалните партньори, особено на регионално равнище (и като част от изпълнението на Препоръката на Съвета относно гарантирането на справедлив преход към неутралност по отношение на климата);</w:t>
            </w:r>
            <w:r>
              <w:t xml:space="preserve"> </w:t>
            </w:r>
            <w:r>
              <w:rPr>
                <w:b/>
                <w:i/>
              </w:rPr>
              <w:t>подчертава, че съвещателната демокрация позволява на гражданите да разработват съвместно местни и регионални политики, които отговарят на потребностите и особеностите на територията, като така се увеличава ангажираността и придържането към политиките;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призовава Комисията да включи в директивата стандарти, благоприятни за хората с увреждания, включително достъпност на работното място, гъвкави договорености и разумни улеснения в обучението;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подчертава значението на целенасочените стратегии за селските и периферните райони, където недостатъчните инвестиции, миграцията и слабото предлагане на работна ръка застрашават дългосрочното развитие;</w:t>
            </w:r>
            <w:r>
              <w:t xml:space="preserve"> </w:t>
            </w:r>
            <w:r>
              <w:rPr>
                <w:b/>
                <w:i/>
              </w:rPr>
              <w:t>призовава Комисията и държавите членки да подкрепят ориентирани към местните условия политики, които създават икономически възможности както за хората, така и за дружествата в селските райони, привличат частни инвестиции и създават работни места на местно равнище;</w:t>
            </w:r>
            <w:r>
              <w:t xml:space="preserve"> </w:t>
            </w:r>
            <w:r>
              <w:rPr>
                <w:b/>
                <w:i/>
              </w:rPr>
              <w:t>подчертава, че такива стратегии са необходими, за да се гарантира, че гражданите могат да градят своето бъдеще в своите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призовава Комисията да признае „правото на индивидуален и колективен справедлив преход“ за работниците и общностите — в Европа и извън ЕС.</w:t>
            </w:r>
            <w:r>
              <w:t xml:space="preserve"> </w:t>
            </w:r>
            <w:r>
              <w:rPr>
                <w:b/>
                <w:i/>
              </w:rPr>
              <w:t>На индивидуално равнище правото на справедлив преход включва правото на оставане на работа или на достъп до заетост при справедливи и достойни условия.</w:t>
            </w:r>
            <w:r>
              <w:t xml:space="preserve"> </w:t>
            </w:r>
            <w:r>
              <w:rPr>
                <w:b/>
                <w:i/>
              </w:rPr>
              <w:t>На колективно равнище правото на справедлив преход означава, че нито едно лице, група или територия няма да бъдат изоставени;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подчертава, че е важно да се обърне специално внимание на сектора на грижите, както и на работниците и регионите в отраслите, които са най-силно засегнати от прехода;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Мириам Лексман,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12в.</w:t>
            </w:r>
            <w:r>
              <w:tab/>
            </w:r>
            <w:r>
              <w:rPr>
                <w:b/>
                <w:i/>
              </w:rPr>
              <w:t>подчертава, че регионалните прогнози на Евростат показват продължаващ спад на населението в трудоспособна възраст на много територии през 20-те и 30-те години на 21-ви век, особено в регионите, които вече са засегнати от застаряването и миграцията;</w:t>
            </w:r>
            <w:r>
              <w:t xml:space="preserve"> </w:t>
            </w:r>
            <w:r>
              <w:rPr>
                <w:b/>
                <w:i/>
              </w:rPr>
              <w:t>отбелязва, че демографските дисбаланси увеличават социалните и фискалните разходи, свързани с недостатъчното инвестиране в селските райони, включително по-ниските данъчни основи и по-високите разходи за услуги на глава от населението;</w:t>
            </w:r>
            <w:r>
              <w:t xml:space="preserve"> </w:t>
            </w:r>
            <w:r>
              <w:rPr>
                <w:b/>
                <w:i/>
              </w:rPr>
              <w:t>подчертава, че тези тенденции рискуват да отслабят предлагането на работна ръка в самия момент, когато квалифицираните работници са от съществено значение за екологичния и цифровия преход;</w:t>
            </w:r>
            <w:r>
              <w:t xml:space="preserve"> </w:t>
            </w:r>
            <w:r>
              <w:rPr>
                <w:b/>
                <w:i/>
              </w:rPr>
              <w:t>поради това призовава Комисията и държавите членки да дадат приоритет на целенасочените инвестиции и политики, които укрепват икономическите възможности в селските райони, подкрепят създаването на работни места и гарантират дългосрочната наличност на квалифицирана работна сила;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12в.</w:t>
            </w:r>
            <w:r>
              <w:tab/>
            </w:r>
            <w:r>
              <w:rPr>
                <w:b/>
                <w:i/>
              </w:rPr>
              <w:t>призовава Комисията да признае и „правото на оставане“ срещу принудителната мобилност.</w:t>
            </w:r>
            <w:r>
              <w:t xml:space="preserve"> </w:t>
            </w:r>
            <w:r>
              <w:rPr>
                <w:b/>
                <w:i/>
              </w:rPr>
              <w:t>Прилагането на мерки за справедлив преход трябва да гарантира, че работниците и общностите имат възможността да останат в настоящия си географски район на заетост и/или на пребиваване. Това отразява „правото на оставане“, без което съществува риск мерките за справедлив преход да тласнат работниците към нежелана географска мобилност;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отправя искане към Комисията да представи до 31 януари 2027 г., въз основа на член 153, параграф 2, буква б), в съчетание с член 153, параграф 1, букви а), б), д) и з) от ДФЕС, предложение за директива относно справедливия преход в сферата на труда, като следва препоръките, изложени в приложението към настоящата резолюция;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отправя искане към Комисията да представи до 31 януари 2027 г., въз основа на член 153, параграф 2, буква б), в съчетание с член 153, параграф 1, букви а), б), д) и з) от ДФЕС, предложение за директива относно справедливия преход в сферата на труда, като следва препоръките, изложени в приложението към настоящата резолюция;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отправя искане към Комисията да представи до 31 януари 2027 г., въз основа на член 153, параграф 2, буква б), в съчетание с член 153, параграф 1, букви а), б), д) и з) от ДФЕС, предложение за директива относно справедливия преход в сферата на труда, като следва препоръките, изложени в приложението към настоящата резолюция;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отправя искане към Комисията да представи </w:t>
            </w:r>
            <w:r>
              <w:rPr>
                <w:b/>
                <w:i/>
              </w:rPr>
              <w:t>до 31 януари 2027 г., въз основа на член 153, параграф 2, буква б), в съчетание с член 153, параграф 1, букви а), б), д) и з) от ДФЕС,</w:t>
            </w:r>
            <w:r>
              <w:t xml:space="preserve"> предложение за </w:t>
            </w:r>
            <w:r>
              <w:rPr>
                <w:b/>
                <w:i/>
              </w:rPr>
              <w:t>директива</w:t>
            </w:r>
            <w:r>
              <w:t xml:space="preserve"> относно справедливия преход в сферата на труда, </w:t>
            </w:r>
            <w:r>
              <w:rPr>
                <w:b/>
                <w:i/>
              </w:rPr>
              <w:t>като следва препоръките, изложени в приложението към настоящата резолюция</w:t>
            </w:r>
            <w:r>
              <w:t>;</w:t>
            </w:r>
          </w:p>
        </w:tc>
        <w:tc>
          <w:tcPr>
            <w:tcW w:w="4876" w:type="dxa"/>
            <w:tcBorders>
              <w:top w:val="nil"/>
              <w:left w:val="nil"/>
              <w:bottom w:val="nil"/>
              <w:right w:val="nil"/>
            </w:tcBorders>
          </w:tcPr>
          <w:p>
            <w:pPr>
              <w:pStyle w:val="Normal6a"/>
            </w:pPr>
            <w:r>
              <w:t>13.</w:t>
            </w:r>
            <w:r>
              <w:tab/>
            </w:r>
            <w:r>
              <w:t xml:space="preserve">отправя искане към Комисията да представи предложение за </w:t>
            </w:r>
            <w:r>
              <w:rPr>
                <w:b/>
                <w:i/>
              </w:rPr>
              <w:t>рамка от незаконодателни мерки</w:t>
            </w:r>
            <w:r>
              <w:t xml:space="preserve"> относно справедливия преход в сферата на труда, </w:t>
            </w:r>
            <w:r>
              <w:rPr>
                <w:b/>
                <w:i/>
              </w:rPr>
              <w:t>след като се консултира с европейските социални партньори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Евелин Регнер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отправя искане към Комисията да представи до 31 януари 2027 г., въз основа на член 153, параграф 2, буква б), в съчетание с член 153, параграф 1, букви а), б), д) и з) от ДФЕС, предложение за директива относно справедливия преход в сферата на труда, като следва препоръките, изложени в приложението към настоящата резолюция;</w:t>
            </w:r>
          </w:p>
        </w:tc>
        <w:tc>
          <w:tcPr>
            <w:tcW w:w="4876" w:type="dxa"/>
            <w:tcBorders>
              <w:top w:val="nil"/>
              <w:left w:val="nil"/>
              <w:bottom w:val="nil"/>
              <w:right w:val="nil"/>
            </w:tcBorders>
          </w:tcPr>
          <w:p>
            <w:pPr>
              <w:pStyle w:val="Normal6a"/>
            </w:pPr>
            <w:r>
              <w:t>13.</w:t>
            </w:r>
            <w:r>
              <w:tab/>
            </w:r>
            <w:r>
              <w:t>отправя искане към Комисията да представи до 31 януари 2027 г., въз основа на член 153, параграф 2, буква б</w:t>
            </w:r>
            <w:r>
              <w:rPr>
                <w:b/>
                <w:i/>
              </w:rPr>
              <w:t>) и буква в</w:t>
            </w:r>
            <w:r>
              <w:t>), в съчетание с член 153, параграф 1, букви а), б), д) и з) от ДФЕС, предложение за директива относно справедливия преход в сферата на труда, като следва препоръките, изложени в приложението към настоящата резолюция;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Андреа Векслер, Мириам Лексман, Раул Де Ла Ос Кинтано, Ангелика Винциг, Хенрик Дал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счита, че финансовите последици от </w:t>
            </w:r>
            <w:r>
              <w:rPr>
                <w:b/>
                <w:i/>
              </w:rPr>
              <w:t>исканите предложения</w:t>
            </w:r>
            <w:r>
              <w:t xml:space="preserve"> следва да бъдат обезпечени от съществуващите бюджетни средства;</w:t>
            </w:r>
          </w:p>
        </w:tc>
        <w:tc>
          <w:tcPr>
            <w:tcW w:w="4876" w:type="dxa"/>
            <w:tcBorders>
              <w:top w:val="nil"/>
              <w:left w:val="nil"/>
              <w:bottom w:val="nil"/>
              <w:right w:val="nil"/>
            </w:tcBorders>
          </w:tcPr>
          <w:p>
            <w:pPr>
              <w:pStyle w:val="Normal6a"/>
            </w:pPr>
            <w:r>
              <w:t>14.</w:t>
            </w:r>
            <w:r>
              <w:tab/>
            </w:r>
            <w:r>
              <w:t xml:space="preserve">счита, че финансовите последици от </w:t>
            </w:r>
            <w:r>
              <w:rPr>
                <w:b/>
                <w:i/>
              </w:rPr>
              <w:t>настоящата резолюция</w:t>
            </w:r>
            <w:r>
              <w:t xml:space="preserve"> следва да бъдат обезпечени от съществуващите бюджетни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счита</w:t>
            </w:r>
            <w:r>
              <w:t>, че финансовите последици от исканите предложения следва да бъдат обезпечени от съществуващите бюджетни средства;</w:t>
            </w:r>
          </w:p>
        </w:tc>
        <w:tc>
          <w:tcPr>
            <w:tcW w:w="4876" w:type="dxa"/>
            <w:tcBorders>
              <w:top w:val="nil"/>
              <w:left w:val="nil"/>
              <w:bottom w:val="nil"/>
              <w:right w:val="nil"/>
            </w:tcBorders>
          </w:tcPr>
          <w:p>
            <w:pPr>
              <w:pStyle w:val="Normal6a"/>
            </w:pPr>
            <w:r>
              <w:t>14.</w:t>
            </w:r>
            <w:r>
              <w:tab/>
            </w:r>
            <w:r>
              <w:rPr>
                <w:b/>
                <w:i/>
              </w:rPr>
              <w:t>категорично подчертава</w:t>
            </w:r>
            <w:r>
              <w:t>, че финансовите последици от исканите предложения следва да бъдат обезпечени от съществуващите бюджетни средства</w:t>
            </w:r>
            <w:r>
              <w:rPr>
                <w:b/>
                <w:i/>
              </w:rPr>
              <w:t>, без да се увеличават разходите на Съюза или да се налага нова тежест на данъкоплатците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счита, че финансовите последици от исканите предложения следва да бъдат обезпечени от съществуващите бюджетни средства;</w:t>
            </w:r>
          </w:p>
        </w:tc>
        <w:tc>
          <w:tcPr>
            <w:tcW w:w="4876" w:type="dxa"/>
            <w:tcBorders>
              <w:top w:val="nil"/>
              <w:left w:val="nil"/>
              <w:bottom w:val="nil"/>
              <w:right w:val="nil"/>
            </w:tcBorders>
          </w:tcPr>
          <w:p>
            <w:pPr>
              <w:pStyle w:val="Normal6a"/>
            </w:pPr>
            <w:r>
              <w:t>14.</w:t>
            </w:r>
            <w:r>
              <w:tab/>
            </w:r>
            <w:r>
              <w:t xml:space="preserve">счита, че финансовите последици от исканите предложения следва да бъдат обезпечени </w:t>
            </w:r>
            <w:r>
              <w:rPr>
                <w:b/>
                <w:i/>
              </w:rPr>
              <w:t>предимно</w:t>
            </w:r>
            <w:r>
              <w:t xml:space="preserve"> от съществуващите бюджетни средства; </w:t>
            </w:r>
            <w:r>
              <w:rPr>
                <w:b/>
                <w:i/>
              </w:rPr>
              <w:t>подчертава необходимостта от оценка на национално равнище и на равнището на Съюза на нивото на ресурсите, необходими за постигане на целите на предложената директива;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подчертава, че директивата трябва да включва ефективни, пропорционални и възпиращи санкции, приложими за нарушения на правата и задълженията, посочени в директивата;</w:t>
            </w:r>
            <w:r>
              <w:t xml:space="preserve"> </w:t>
            </w:r>
            <w:r>
              <w:rPr>
                <w:b/>
                <w:i/>
              </w:rPr>
              <w:t>подчертава, че директивата трябва също така да включва разпоредби за запазване на равнището на защита и по-благоприятни разпоредби, за да се гарантира, че тя се прилага справедливо и последователно в целия Съюз, както и да се осигурят еднакви условия на конкуренция за дружествата, да се предотврати нелоялната конкуренция и да се даде сигурност както на работодателите, така и на работниците;</w:t>
            </w:r>
            <w:r>
              <w:t xml:space="preserve"> </w:t>
            </w:r>
            <w:r>
              <w:rPr>
                <w:b/>
                <w:i/>
              </w:rPr>
              <w:t>подчертава освен това, че директивата трябва да защитава съществуващите права и да зачита автономността на социалните партньори;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възлага на своя председател да предаде настоящата резолюция </w:t>
            </w:r>
            <w:r>
              <w:rPr>
                <w:b/>
                <w:i/>
              </w:rPr>
              <w:t>и приложените към нея препоръки</w:t>
            </w:r>
            <w:r>
              <w:t xml:space="preserve"> съответно на Комисията и на Съвета.</w:t>
            </w:r>
          </w:p>
        </w:tc>
        <w:tc>
          <w:tcPr>
            <w:tcW w:w="4876" w:type="dxa"/>
            <w:tcBorders>
              <w:top w:val="nil"/>
              <w:left w:val="nil"/>
              <w:bottom w:val="nil"/>
              <w:right w:val="nil"/>
            </w:tcBorders>
          </w:tcPr>
          <w:p>
            <w:pPr>
              <w:pStyle w:val="Normal6a"/>
            </w:pPr>
            <w:r>
              <w:t>15.</w:t>
            </w:r>
            <w:r>
              <w:tab/>
            </w:r>
            <w:r>
              <w:t>възлага на своя председател да предаде настоящата резолюция съответно на Комисията и на Съвета.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Мириам Лексман, Хенрик Дал, Андреа Векслер, Арба Кокалари, Ангелика Винциг, Раул Де Ла Ос Кинтано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ПРЕПОРЪКИ ПО СЪДЪРЖАНИЕТО НА ИСКАНОТО ПРЕДЛОЖЕНИЕ</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Европейска директива за справедлив преход в сферата на труда:</w:t>
            </w:r>
            <w:r>
              <w:rPr>
                <w:b/>
                <w:i/>
              </w:rPr>
              <w:t xml:space="preserve"> </w:t>
            </w:r>
            <w:r>
              <w:rPr>
                <w:b/>
                <w:i/>
              </w:rPr>
              <w:t>гарантиране на създаването на работни места и съживяване на местните икономики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Европейският парламент счита, че бъдещото законодателно предложение за директива относно справедливия преход в сферата на труда:</w:t>
            </w:r>
            <w:r>
              <w:rPr>
                <w:b/>
                <w:i/>
              </w:rPr>
              <w:t xml:space="preserve"> </w:t>
            </w:r>
            <w:r>
              <w:rPr>
                <w:b/>
                <w:i/>
              </w:rPr>
              <w:t>гарантиране на създаването на работни места и съживяването на местните икономики следва да следва тези принципи и цели: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на качествени работни места.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на качествени работни места.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Препоръка № 2:</w:t>
            </w:r>
            <w:r>
              <w:rPr>
                <w:b/>
                <w:i/>
              </w:rPr>
              <w:t xml:space="preserve"> </w:t>
            </w:r>
            <w:r>
              <w:rPr>
                <w:b/>
                <w:i/>
              </w:rPr>
              <w:t>Форма на предложението</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Предложението следва да бъде под формата на директива.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Поради необходимостта от цялостен пакет от мерки, необходими за постигането на тази цел, предложението следва да включва елементи в следните области: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условия на труд;</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интегриране на лицата, изключени от пазара на труда;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информиране и консултиране на работниците;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подобрения на работната среда с цел закрила на здравето и безопасността на работниците.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Препоръка № 3:</w:t>
            </w:r>
            <w:r>
              <w:rPr>
                <w:b/>
                <w:i/>
              </w:rPr>
              <w:t xml:space="preserve"> </w:t>
            </w:r>
            <w:r>
              <w:rPr>
                <w:b/>
                <w:i/>
              </w:rPr>
              <w:t>Предмет на предложението</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Предложението следва да се съсредоточи върху следните мерки на политиката: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създаване на специална рамка за предугаждане и управление на промените в регионите и секторите, изправени пред преход, въз основа на принципите на информиране и консултиране, социален диалог и колективно договаряне;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гарантиране, въз основа на преглед на законодателната рамка, че правото на информиране и консултиране на работниците и техните представители се прилага ефективно в контекста на преходите;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установяване на индивидуално право на безплатно обучение за работниците и в работно време;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разработване на програми за подпомагане на предприятията, по-специално МСП и местните участници, за да се насърчава създаването на работни места на местно равнище;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 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 с доставчиците на обучение и насърчаване на планове за преход на равнището на дружествата;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ж) разработване на структура за наблюдение с цел предоставяне на стратегическо прогнозиране на въздействието на прехода и развитието на пазара на труда.</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Джорджиана Теодореску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ПРЕПОРЪКИ ПО СЪДЪРЖАНИЕТО НА ИСКАНОТО ПРЕДЛОЖЕНИЕ</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Европейска директива за справедлив преход в сферата на труда:</w:t>
            </w:r>
            <w:r>
              <w:rPr>
                <w:b/>
                <w:i/>
              </w:rPr>
              <w:t xml:space="preserve"> </w:t>
            </w:r>
            <w:r>
              <w:rPr>
                <w:b/>
                <w:i/>
              </w:rPr>
              <w:t>гарантиране на създаването на работни места и съживяване на местните икономики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Европейският парламент счита, че бъдещото законодателно предложение за директива относно справедливия преход в сферата на труда:</w:t>
            </w:r>
            <w:r>
              <w:rPr>
                <w:b/>
                <w:i/>
              </w:rPr>
              <w:t xml:space="preserve"> </w:t>
            </w:r>
            <w:r>
              <w:rPr>
                <w:b/>
                <w:i/>
              </w:rPr>
              <w:t>гарантиране на създаването на работни места и съживяването на местните икономики следва да следва тези принципи и цели: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на качествени работни места.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на качествени работни места.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Препоръка № 2:</w:t>
            </w:r>
            <w:r>
              <w:rPr>
                <w:b/>
                <w:i/>
              </w:rPr>
              <w:t xml:space="preserve"> </w:t>
            </w:r>
            <w:r>
              <w:rPr>
                <w:b/>
                <w:i/>
              </w:rPr>
              <w:t>Форма на предложението</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Предложението следва да бъде под формата на директива.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Поради необходимостта от цялостен пакет от мерки, необходими за постигането на тази цел, предложението следва да включва елементи в следните области: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условия на труд;</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интегриране на лицата, изключени от пазара на труда;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информиране и консултиране на работниците;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подобрения на работната среда с цел закрила на здравето и безопасността на работниците.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Препоръка № 3:</w:t>
            </w:r>
            <w:r>
              <w:rPr>
                <w:b/>
                <w:i/>
              </w:rPr>
              <w:t xml:space="preserve"> </w:t>
            </w:r>
            <w:r>
              <w:rPr>
                <w:b/>
                <w:i/>
              </w:rPr>
              <w:t>Предмет на предложението</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Предложението следва да се съсредоточи върху следните мерки на политиката: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създаване на специална рамка за предугаждане и управление на промените в регионите и секторите, изправени пред преход, въз основа на принципите на информиране и консултиране, социален диалог и колективно договаряне;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гарантиране, въз основа на преглед на законодателната рамка, че правото на информиране и консултиране на работниците и техните представители се прилага ефективно в контекста на преходите;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установяване на индивидуално право на безплатно обучение за работниците и в работно време;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разработване на програми за подпомагане на предприятията, по-специално МСП и местните участници, за да се насърчава създаването на работни места на местно равнище;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 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 с доставчиците на обучение и насърчаване на планове за преход на равнището на дружествата;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ж) разработване на структура за наблюдение с цел предоставяне на стратегическо прогнозиране на въздействието на прехода и развитието на пазара на труда.</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Препоръка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Общата цел на предложението е да се </w:t>
            </w:r>
            <w:r>
              <w:rPr>
                <w:b/>
                <w:i/>
              </w:rPr>
              <w:t>създаде рамка на Съюза от</w:t>
            </w:r>
            <w:r>
              <w:t xml:space="preserve"> мерки на политиката, които могат да бъдат прилагани на практика в </w:t>
            </w:r>
            <w:r>
              <w:rPr>
                <w:b/>
                <w:i/>
              </w:rPr>
              <w:t>регионите</w:t>
            </w:r>
            <w:r>
              <w:t xml:space="preserve">, засегнати от зеления и цифровия преход, </w:t>
            </w:r>
            <w:r>
              <w:rPr>
                <w:b/>
                <w:i/>
              </w:rPr>
              <w:t>с цел</w:t>
            </w:r>
            <w:r>
              <w:t xml:space="preserve"> да се </w:t>
            </w:r>
            <w:r>
              <w:rPr>
                <w:b/>
                <w:i/>
              </w:rPr>
              <w:t>гарантира социално справедлив и приобщаващ преход и създаването на</w:t>
            </w:r>
            <w:r>
              <w:t xml:space="preserve"> качествени работни места.</w:t>
            </w:r>
          </w:p>
        </w:tc>
        <w:tc>
          <w:tcPr>
            <w:tcW w:w="4876" w:type="dxa"/>
            <w:tcBorders>
              <w:top w:val="nil"/>
              <w:left w:val="nil"/>
              <w:bottom w:val="nil"/>
              <w:right w:val="nil"/>
            </w:tcBorders>
          </w:tcPr>
          <w:p>
            <w:pPr>
              <w:pStyle w:val="Normal6a"/>
            </w:pPr>
            <w:r>
              <w:t xml:space="preserve">Общата цел на предложението е да се </w:t>
            </w:r>
            <w:r>
              <w:rPr>
                <w:b/>
                <w:i/>
              </w:rPr>
              <w:t>насърчи появата на</w:t>
            </w:r>
            <w:r>
              <w:t xml:space="preserve"> мерки на политиката </w:t>
            </w:r>
            <w:r>
              <w:rPr>
                <w:b/>
                <w:i/>
              </w:rPr>
              <w:t>в рамките на държавите членки</w:t>
            </w:r>
            <w:r>
              <w:t xml:space="preserve">, които могат да бъдат прилагани на практика в </w:t>
            </w:r>
            <w:r>
              <w:rPr>
                <w:b/>
                <w:i/>
              </w:rPr>
              <w:t>районите</w:t>
            </w:r>
            <w:r>
              <w:t xml:space="preserve">, засегнати от зеления и цифровия преход, </w:t>
            </w:r>
            <w:r>
              <w:rPr>
                <w:b/>
                <w:i/>
              </w:rPr>
              <w:t>за</w:t>
            </w:r>
            <w:r>
              <w:t xml:space="preserve"> да се </w:t>
            </w:r>
            <w:r>
              <w:rPr>
                <w:b/>
                <w:i/>
              </w:rPr>
              <w:t>гарантират</w:t>
            </w:r>
            <w:r>
              <w:t xml:space="preserve"> качествени работни места.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Препоръка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на качествени работни места.</w:t>
            </w:r>
          </w:p>
        </w:tc>
        <w:tc>
          <w:tcPr>
            <w:tcW w:w="4876" w:type="dxa"/>
            <w:tcBorders>
              <w:top w:val="nil"/>
              <w:left w:val="nil"/>
              <w:bottom w:val="nil"/>
              <w:right w:val="nil"/>
            </w:tcBorders>
          </w:tcPr>
          <w:p>
            <w:pPr>
              <w:pStyle w:val="Normal6a"/>
            </w:pPr>
            <w:r>
              <w:t xml:space="preserve">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на качествени работни места </w:t>
            </w:r>
            <w:r>
              <w:rPr>
                <w:b/>
                <w:i/>
              </w:rPr>
              <w:t>с акцент върху стабилните работни места на пълно работно време, справедливото заплащане, колективните трудови договори, равенството между половете, както и намаляването на несигурността и недекларирания труд</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препоръка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на качествени работни места.</w:t>
            </w:r>
          </w:p>
        </w:tc>
        <w:tc>
          <w:tcPr>
            <w:tcW w:w="4876" w:type="dxa"/>
            <w:tcBorders>
              <w:top w:val="nil"/>
              <w:left w:val="nil"/>
              <w:bottom w:val="nil"/>
              <w:right w:val="nil"/>
            </w:tcBorders>
          </w:tcPr>
          <w:p>
            <w:pPr>
              <w:pStyle w:val="Normal6a"/>
            </w:pPr>
            <w:r>
              <w:t xml:space="preserve">Общата цел на предложението е да се създаде рамка на Съюза от мерки на политиката, които могат да бъдат прилагани на практика в регионите, засегнати от зеления и цифровия преход, с цел да се гарантира социално справедлив и приобщаващ преход и създаването </w:t>
            </w:r>
            <w:r>
              <w:rPr>
                <w:b/>
                <w:i/>
              </w:rPr>
              <w:t>и защитата </w:t>
            </w:r>
            <w:r>
              <w:t>на качествени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Пал Секереш, Северин Вербрук, Никола Бартушек, Мелани Дидие, Мари Доши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1 – параграф 1 – алинея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Общата цел на предложението следва също така да засегне въпроса за намаляване на притока на неквалифицирана незаконна миграция и за осигуряване на достъпна и евтина енергия за МСП.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препоръка 2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Предложението следва да бъде под формата на директива.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2 – параграф 2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включване на задължителни минимални стандарти, за да се гарантира силна социална закрила, защита срещу съкращения по време на преходи и правно признаване на правата на участие на работниците.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Йоан Даниелсон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2 – параграф 2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Подобна директива трябва да позволява на държавите членки да предоставят на социалните партньори, на подходящото равнище и при определени от държавите членки условия, възможността да поддържат или сключват колективни трудови договори, които адаптират, допълват и/или се различават от правилата, включени в директивата, при условие че националната система гарантира справедлив резултат и не нарушава основните права.</w:t>
            </w:r>
            <w:r>
              <w:t xml:space="preserve"> </w:t>
            </w:r>
            <w:r>
              <w:rPr>
                <w:b/>
                <w:i/>
              </w:rPr>
              <w:t>Подобна директива не засяга по никакъв начин упражняването на основни права, признати от държавите членки и на равнището на Съюза, включително правото или свободата да се стачкува или да се предприемат други действия, обхванати от специфичните системи на колективни трудови правоотношения в държавите членки в съответствие с националното право и/или практика.</w:t>
            </w:r>
            <w:r>
              <w:t xml:space="preserve"> </w:t>
            </w:r>
            <w:r>
              <w:rPr>
                <w:b/>
                <w:i/>
              </w:rPr>
              <w:t>Също така тя не засяга правото да се договарят, сключват и изпълняват колективни трудови договори или да се предприемат колективни действия в съответствие с националното право и/или практика.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Мелани Дидие, Мари Доши, Никола Бартушек, Пал Секереш</w:t>
      </w:r>
      <w:r>
        <w:rPr>
          <w:rStyle w:val="HideTWBExt"/>
          <w:b w:val="0"/>
        </w:rPr>
        <w:t>&lt;/Members&gt;</w:t>
      </w:r>
    </w:p>
    <w:p>
      <w:r>
        <w:rPr>
          <w:rStyle w:val="HideTWBExt"/>
          <w:b w:val="0"/>
        </w:rPr>
        <w:t>&lt;AuNomDe&gt;</w:t>
      </w:r>
      <w:r>
        <w:rPr>
          <w:rStyle w:val="HideTWBInt"/>
        </w:rPr>
        <w:t>{PfE}</w:t>
      </w:r>
      <w:r>
        <w:t>от името на групата PfE</w:t>
      </w:r>
      <w:r>
        <w:rPr>
          <w:rStyle w:val="HideTWBExt"/>
          <w:b w:val="0"/>
        </w:rPr>
        <w:t>&lt;/AuNomDe&gt;</w:t>
      </w:r>
    </w:p>
    <w:p>
      <w:pPr>
        <w:pStyle w:val="NormalBold"/>
      </w:pPr>
      <w:r>
        <w:rPr>
          <w:rStyle w:val="HideTWBExt"/>
          <w:b w:val="0"/>
        </w:rPr>
        <w:t>&lt;Members&gt;</w:t>
      </w:r>
      <w:r>
        <w:t>Северин Вербрук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препоръка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Предложението следва да се съсредоточи върху следните мерки на политиката:</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Предложението следва да се съсредоточи върху следните мерки на политиката: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създаване на специална рамка за предугаждане и управление на промените в регионите и секторите, изправени пред преход, въз основа на принципите на информиране и консултиране, социален диалог и колективно договаряне;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гарантиране, въз основа на преглед на законодателната рамка, че правото на информиране и консултиране на работниците и техните представители се прилага ефективно в контекста на преходите;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установяване на индивидуално право на безплатно обучение за работниците и в работно време;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разработване на програми за подпомагане на предприятията, по-специално МСП и местните участници, за да се насърчава създаването на работни места на местно равнище;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 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 с доставчиците на обучение и насърчаване на планове за преход на равнището на дружествата;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ж) разработване на структура за наблюдение с цел предоставяне на стратегическо прогнозиране на въздействието на прехода и развитието на пазара на труда.</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създаване на специална рамка за предугаждане и управление на промените в регионите </w:t>
            </w:r>
            <w:r>
              <w:rPr>
                <w:b/>
                <w:i/>
              </w:rPr>
              <w:t>и</w:t>
            </w:r>
            <w:r>
              <w:t xml:space="preserve"> секторите, изправени пред преход, </w:t>
            </w:r>
            <w:r>
              <w:rPr>
                <w:b/>
                <w:i/>
              </w:rPr>
              <w:t>въз основа на принципите на</w:t>
            </w:r>
            <w:r>
              <w:t xml:space="preserve"> информиране и консултиране, социален диалог и колективно договаряне;</w:t>
            </w:r>
          </w:p>
        </w:tc>
        <w:tc>
          <w:tcPr>
            <w:tcW w:w="4876" w:type="dxa"/>
            <w:tcBorders>
              <w:top w:val="nil"/>
              <w:left w:val="nil"/>
              <w:bottom w:val="nil"/>
              <w:right w:val="nil"/>
            </w:tcBorders>
          </w:tcPr>
          <w:p>
            <w:pPr>
              <w:pStyle w:val="Normal6a"/>
            </w:pPr>
            <w:r>
              <w:rPr>
                <w:b/>
                <w:i/>
              </w:rPr>
              <w:t>a</w:t>
            </w:r>
            <w:r>
              <w:t>)</w:t>
            </w:r>
            <w:r>
              <w:tab/>
            </w:r>
            <w:r>
              <w:t>създаване на специална рамка за предугаждане и управление на промените в регионите</w:t>
            </w:r>
            <w:r>
              <w:rPr>
                <w:b/>
                <w:i/>
              </w:rPr>
              <w:t>,</w:t>
            </w:r>
            <w:r>
              <w:t xml:space="preserve"> секторите </w:t>
            </w:r>
            <w:r>
              <w:rPr>
                <w:b/>
                <w:i/>
              </w:rPr>
              <w:t>и дружествата</w:t>
            </w:r>
            <w:r>
              <w:t xml:space="preserve">, изправени пред преход, </w:t>
            </w:r>
            <w:r>
              <w:rPr>
                <w:b/>
                <w:i/>
              </w:rPr>
              <w:t>чрез навременно и ефективно</w:t>
            </w:r>
            <w:r>
              <w:t xml:space="preserve"> информиране и консултиране </w:t>
            </w:r>
            <w:r>
              <w:rPr>
                <w:b/>
                <w:i/>
              </w:rPr>
              <w:t>на работниците и техните представители (както и на други съответни заинтересовани страни</w:t>
            </w:r>
            <w:r>
              <w:t xml:space="preserve">, </w:t>
            </w:r>
            <w:r>
              <w:rPr>
                <w:b/>
                <w:i/>
              </w:rPr>
              <w:t>включително местните общности, коренното население, младежките групи и засегнатите граждани) чрез</w:t>
            </w:r>
            <w:r>
              <w:t xml:space="preserve"> социален диалог и колективно договаряне;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създаване на специална рамка за предугаждане и управление на промените в регионите </w:t>
            </w:r>
            <w:r>
              <w:rPr>
                <w:b/>
                <w:i/>
              </w:rPr>
              <w:t>и</w:t>
            </w:r>
            <w:r>
              <w:t xml:space="preserve"> секторите, изправени пред преход, </w:t>
            </w:r>
            <w:r>
              <w:rPr>
                <w:b/>
                <w:i/>
              </w:rPr>
              <w:t>въз основа на принципите на</w:t>
            </w:r>
            <w:r>
              <w:t xml:space="preserve"> информиране и консултиране, социален диалог и колективно договаряне;</w:t>
            </w:r>
          </w:p>
        </w:tc>
        <w:tc>
          <w:tcPr>
            <w:tcW w:w="4876" w:type="dxa"/>
            <w:tcBorders>
              <w:top w:val="nil"/>
              <w:left w:val="nil"/>
              <w:bottom w:val="nil"/>
              <w:right w:val="nil"/>
            </w:tcBorders>
          </w:tcPr>
          <w:p>
            <w:pPr>
              <w:pStyle w:val="Normal6a"/>
            </w:pPr>
            <w:r>
              <w:rPr>
                <w:b/>
                <w:i/>
              </w:rPr>
              <w:t>a</w:t>
            </w:r>
            <w:r>
              <w:t>)</w:t>
            </w:r>
            <w:r>
              <w:tab/>
            </w:r>
            <w:r>
              <w:t>създаване на специална рамка за предугаждане и управление на промените в регионите</w:t>
            </w:r>
            <w:r>
              <w:rPr>
                <w:b/>
                <w:i/>
              </w:rPr>
              <w:t>,</w:t>
            </w:r>
            <w:r>
              <w:t xml:space="preserve"> секторите </w:t>
            </w:r>
            <w:r>
              <w:rPr>
                <w:b/>
                <w:i/>
              </w:rPr>
              <w:t>и дружествата</w:t>
            </w:r>
            <w:r>
              <w:t xml:space="preserve">, изправени пред преход, </w:t>
            </w:r>
            <w:r>
              <w:rPr>
                <w:b/>
                <w:i/>
              </w:rPr>
              <w:t>чрез навременно и ефективно</w:t>
            </w:r>
            <w:r>
              <w:t xml:space="preserve"> информиране и консултиране, социален диалог и колективно договаряне;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създаване на специална рамка за предугаждане и управление на промените в регионите </w:t>
            </w:r>
            <w:r>
              <w:rPr>
                <w:b/>
                <w:i/>
              </w:rPr>
              <w:t>и</w:t>
            </w:r>
            <w:r>
              <w:t xml:space="preserve"> секторите, изправени пред преход, </w:t>
            </w:r>
            <w:r>
              <w:rPr>
                <w:b/>
                <w:i/>
              </w:rPr>
              <w:t>въз основа на принципите на</w:t>
            </w:r>
            <w:r>
              <w:t xml:space="preserve"> информиране и консултиране, социален диалог и колективно договаряне;</w:t>
            </w:r>
          </w:p>
        </w:tc>
        <w:tc>
          <w:tcPr>
            <w:tcW w:w="4876" w:type="dxa"/>
            <w:tcBorders>
              <w:top w:val="nil"/>
              <w:left w:val="nil"/>
              <w:bottom w:val="nil"/>
              <w:right w:val="nil"/>
            </w:tcBorders>
          </w:tcPr>
          <w:p>
            <w:pPr>
              <w:pStyle w:val="Normal6a"/>
            </w:pPr>
            <w:r>
              <w:rPr>
                <w:b/>
                <w:i/>
              </w:rPr>
              <w:t>a</w:t>
            </w:r>
            <w:r>
              <w:t>)</w:t>
            </w:r>
            <w:r>
              <w:tab/>
            </w:r>
            <w:r>
              <w:t>създаване на специална рамка за предугаждане и управление на промените в регионите</w:t>
            </w:r>
            <w:r>
              <w:rPr>
                <w:b/>
                <w:i/>
              </w:rPr>
              <w:t>,</w:t>
            </w:r>
            <w:r>
              <w:t xml:space="preserve"> секторите </w:t>
            </w:r>
            <w:r>
              <w:rPr>
                <w:b/>
                <w:i/>
              </w:rPr>
              <w:t>и дружествата</w:t>
            </w:r>
            <w:r>
              <w:t xml:space="preserve">, изправени пред преход, </w:t>
            </w:r>
            <w:r>
              <w:rPr>
                <w:b/>
                <w:i/>
              </w:rPr>
              <w:t>чрез навременното и ефективно</w:t>
            </w:r>
            <w:r>
              <w:t xml:space="preserve"> информиране и консултиране, социален диалог и колективно договаряне;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създаване на специална рамка за предугаждане и управление на промените в регионите и секторите, изправени пред преход, въз основа на принципите на информиране и консултиране, социален диалог и колективно договаряне;</w:t>
            </w:r>
          </w:p>
        </w:tc>
        <w:tc>
          <w:tcPr>
            <w:tcW w:w="4876" w:type="dxa"/>
            <w:tcBorders>
              <w:top w:val="nil"/>
              <w:left w:val="nil"/>
              <w:bottom w:val="nil"/>
              <w:right w:val="nil"/>
            </w:tcBorders>
          </w:tcPr>
          <w:p>
            <w:pPr>
              <w:pStyle w:val="Normal6a"/>
            </w:pPr>
            <w:r>
              <w:rPr>
                <w:b/>
                <w:i/>
              </w:rPr>
              <w:t>a</w:t>
            </w:r>
            <w:r>
              <w:t>)</w:t>
            </w:r>
            <w:r>
              <w:tab/>
            </w:r>
            <w:r>
              <w:t xml:space="preserve">създаване на специална рамка за предугаждане и управление на промените в регионите и секторите, изправени пред преход, въз основа на принципите на информиране и консултиране, </w:t>
            </w:r>
            <w:r>
              <w:rPr>
                <w:b/>
                <w:i/>
              </w:rPr>
              <w:t>задължителен</w:t>
            </w:r>
            <w:r>
              <w:t xml:space="preserve"> социален диалог и колективно договаряне;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а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установяване на индивидуални права на справедлив преход:</w:t>
            </w:r>
            <w:r>
              <w:t xml:space="preserve"> </w:t>
            </w:r>
            <w:r>
              <w:rPr>
                <w:b/>
                <w:i/>
              </w:rPr>
              <w:t>за работниците право на справедливи и достойни условия на труд и уменията и обучението, необходими за преходите;</w:t>
            </w:r>
            <w:r>
              <w:t xml:space="preserve"> </w:t>
            </w:r>
            <w:r>
              <w:rPr>
                <w:b/>
                <w:i/>
              </w:rPr>
              <w:t>за всички лица, засегнати от двойния преход и свързаните преструктурирания, правото на достъп до заетост при справедливи и достойни условия и правото на оставане в настоящия им географски район;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а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аб)</w:t>
            </w:r>
            <w:r>
              <w:tab/>
            </w:r>
            <w:r>
              <w:rPr>
                <w:b/>
                <w:i/>
              </w:rPr>
              <w:t>установяване на колективно право на справедлив преход:</w:t>
            </w:r>
            <w:r>
              <w:t xml:space="preserve"> </w:t>
            </w:r>
            <w:r>
              <w:rPr>
                <w:b/>
                <w:i/>
              </w:rPr>
              <w:t>държавите членки гарантират, че нито една територия или общност няма да бъдат изоставени;</w:t>
            </w:r>
            <w:r>
              <w:t xml:space="preserve"> </w:t>
            </w:r>
            <w:r>
              <w:rPr>
                <w:b/>
                <w:i/>
              </w:rPr>
              <w:t>това означава право на живот в здравословна околна среда, възползване от възможностите за заетост в различни сектори и достъп до социални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Йоан Даниелсон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гарантиране</w:t>
            </w:r>
            <w:r>
              <w:rPr>
                <w:b/>
                <w:i/>
              </w:rPr>
              <w:t>, въз основа на преглед на законодателната рамка</w:t>
            </w:r>
            <w:r>
              <w:t>, че правото на информиране и консултиране на работниците и техните представители се прилага ефективно в контекста на преходите;</w:t>
            </w:r>
          </w:p>
        </w:tc>
        <w:tc>
          <w:tcPr>
            <w:tcW w:w="4876" w:type="dxa"/>
            <w:tcBorders>
              <w:top w:val="nil"/>
              <w:left w:val="nil"/>
              <w:bottom w:val="nil"/>
              <w:right w:val="nil"/>
            </w:tcBorders>
          </w:tcPr>
          <w:p>
            <w:pPr>
              <w:pStyle w:val="Normal6a"/>
            </w:pPr>
            <w:r>
              <w:t>б)</w:t>
            </w:r>
            <w:r>
              <w:tab/>
            </w:r>
            <w:r>
              <w:t>гарантиране, че правото на информиране и консултиране на работниците и техните представители</w:t>
            </w:r>
            <w:r>
              <w:rPr>
                <w:b/>
                <w:i/>
              </w:rPr>
              <w:t>, както е предвидено в разпоредбите на Съюза и националните разпоредби относно информирането и консултирането, включително Директива 2002/14/ЕО,</w:t>
            </w:r>
            <w:r>
              <w:t xml:space="preserve"> се прилага ефективно в контекста на преходите;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гарантиране, въз основа на преглед на законодателната рамка, че </w:t>
            </w:r>
            <w:r>
              <w:rPr>
                <w:b/>
                <w:i/>
              </w:rPr>
              <w:t>правото</w:t>
            </w:r>
            <w:r>
              <w:t xml:space="preserve"> на информиране и консултиране на работниците и техните представители </w:t>
            </w:r>
            <w:r>
              <w:rPr>
                <w:b/>
                <w:i/>
              </w:rPr>
              <w:t>се прилага</w:t>
            </w:r>
            <w:r>
              <w:t xml:space="preserve"> ефективно в контекста на преходите;</w:t>
            </w:r>
          </w:p>
        </w:tc>
        <w:tc>
          <w:tcPr>
            <w:tcW w:w="4876" w:type="dxa"/>
            <w:tcBorders>
              <w:top w:val="nil"/>
              <w:left w:val="nil"/>
              <w:bottom w:val="nil"/>
              <w:right w:val="nil"/>
            </w:tcBorders>
          </w:tcPr>
          <w:p>
            <w:pPr>
              <w:pStyle w:val="Normal6a"/>
            </w:pPr>
            <w:r>
              <w:t>б)</w:t>
            </w:r>
            <w:r>
              <w:tab/>
            </w:r>
            <w:r>
              <w:t xml:space="preserve">гарантиране, въз основа на преглед на законодателната рамка, че </w:t>
            </w:r>
            <w:r>
              <w:rPr>
                <w:b/>
                <w:i/>
              </w:rPr>
              <w:t>правата</w:t>
            </w:r>
            <w:r>
              <w:t xml:space="preserve"> на информиране и </w:t>
            </w:r>
            <w:r>
              <w:rPr>
                <w:b/>
                <w:i/>
              </w:rPr>
              <w:t>на</w:t>
            </w:r>
            <w:r>
              <w:t xml:space="preserve"> консултиране на работниците и техните представители </w:t>
            </w:r>
            <w:r>
              <w:rPr>
                <w:b/>
                <w:i/>
              </w:rPr>
              <w:t>са укрепени и се прилагат</w:t>
            </w:r>
            <w:r>
              <w:t xml:space="preserve"> ефективно в контекста на преходите; </w:t>
            </w:r>
            <w:r>
              <w:rPr>
                <w:b/>
                <w:i/>
              </w:rPr>
              <w:t>и укрепване на правомощията за съвместно проектиране и вземане на решения на заинтересованите страни, включително работниците и местните общности, по отношение на мерките за справедлив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гарантиране, въз основа на преглед на законодателната рамка, че </w:t>
            </w:r>
            <w:r>
              <w:rPr>
                <w:b/>
                <w:i/>
              </w:rPr>
              <w:t>правото</w:t>
            </w:r>
            <w:r>
              <w:t xml:space="preserve"> на информиране и консултиране на работниците и техните представители </w:t>
            </w:r>
            <w:r>
              <w:rPr>
                <w:b/>
                <w:i/>
              </w:rPr>
              <w:t>се прилага</w:t>
            </w:r>
            <w:r>
              <w:t xml:space="preserve"> ефективно в контекста на преходите;</w:t>
            </w:r>
          </w:p>
        </w:tc>
        <w:tc>
          <w:tcPr>
            <w:tcW w:w="4876" w:type="dxa"/>
            <w:tcBorders>
              <w:top w:val="nil"/>
              <w:left w:val="nil"/>
              <w:bottom w:val="nil"/>
              <w:right w:val="nil"/>
            </w:tcBorders>
          </w:tcPr>
          <w:p>
            <w:pPr>
              <w:pStyle w:val="Normal6a"/>
            </w:pPr>
            <w:r>
              <w:t>б)</w:t>
            </w:r>
            <w:r>
              <w:tab/>
            </w:r>
            <w:r>
              <w:t xml:space="preserve">гарантиране, въз основа на преглед на законодателната рамка, че </w:t>
            </w:r>
            <w:r>
              <w:rPr>
                <w:b/>
                <w:i/>
              </w:rPr>
              <w:t>правата</w:t>
            </w:r>
            <w:r>
              <w:t xml:space="preserve"> на информиране и </w:t>
            </w:r>
            <w:r>
              <w:rPr>
                <w:b/>
                <w:i/>
              </w:rPr>
              <w:t>на</w:t>
            </w:r>
            <w:r>
              <w:t xml:space="preserve"> консултиране на работниците и техните представители </w:t>
            </w:r>
            <w:r>
              <w:rPr>
                <w:b/>
                <w:i/>
              </w:rPr>
              <w:t>са укрепени и се прилагат</w:t>
            </w:r>
            <w:r>
              <w:t xml:space="preserve"> ефективно в контекста на преходите;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гарантиране, въз основа на преглед на законодателната рамка, че </w:t>
            </w:r>
            <w:r>
              <w:rPr>
                <w:b/>
                <w:i/>
              </w:rPr>
              <w:t>правото</w:t>
            </w:r>
            <w:r>
              <w:t xml:space="preserve"> на информиране и консултиране на работниците и техните представители </w:t>
            </w:r>
            <w:r>
              <w:rPr>
                <w:b/>
                <w:i/>
              </w:rPr>
              <w:t>се прилага</w:t>
            </w:r>
            <w:r>
              <w:t xml:space="preserve"> ефективно в контекста на преходите;</w:t>
            </w:r>
          </w:p>
        </w:tc>
        <w:tc>
          <w:tcPr>
            <w:tcW w:w="4876" w:type="dxa"/>
            <w:tcBorders>
              <w:top w:val="nil"/>
              <w:left w:val="nil"/>
              <w:bottom w:val="nil"/>
              <w:right w:val="nil"/>
            </w:tcBorders>
          </w:tcPr>
          <w:p>
            <w:pPr>
              <w:pStyle w:val="Normal6a"/>
            </w:pPr>
            <w:r>
              <w:t>б)</w:t>
            </w:r>
            <w:r>
              <w:tab/>
            </w:r>
            <w:r>
              <w:t xml:space="preserve">гарантиране, въз основа на преглед на законодателната рамка, че </w:t>
            </w:r>
            <w:r>
              <w:rPr>
                <w:b/>
                <w:i/>
              </w:rPr>
              <w:t>правата</w:t>
            </w:r>
            <w:r>
              <w:t xml:space="preserve"> на информиране и </w:t>
            </w:r>
            <w:r>
              <w:rPr>
                <w:b/>
                <w:i/>
              </w:rPr>
              <w:t>на</w:t>
            </w:r>
            <w:r>
              <w:t xml:space="preserve"> консултиране на работниците и техните представители </w:t>
            </w:r>
            <w:r>
              <w:rPr>
                <w:b/>
                <w:i/>
              </w:rPr>
              <w:t>са укрепени и се прилагат</w:t>
            </w:r>
            <w:r>
              <w:t xml:space="preserve"> ефективно в контекста на преходите;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установяване на </w:t>
            </w:r>
            <w:r>
              <w:rPr>
                <w:b/>
                <w:i/>
              </w:rPr>
              <w:t>индивидуално</w:t>
            </w:r>
            <w:r>
              <w:t xml:space="preserve"> право на безплатно обучение за работниците </w:t>
            </w:r>
            <w:r>
              <w:rPr>
                <w:b/>
                <w:i/>
              </w:rPr>
              <w:t>и</w:t>
            </w:r>
            <w:r>
              <w:t xml:space="preserve"> в работно време;</w:t>
            </w:r>
          </w:p>
        </w:tc>
        <w:tc>
          <w:tcPr>
            <w:tcW w:w="4876" w:type="dxa"/>
            <w:tcBorders>
              <w:top w:val="nil"/>
              <w:left w:val="nil"/>
              <w:bottom w:val="nil"/>
              <w:right w:val="nil"/>
            </w:tcBorders>
          </w:tcPr>
          <w:p>
            <w:pPr>
              <w:pStyle w:val="Normal6a"/>
            </w:pPr>
            <w:r>
              <w:t>в)</w:t>
            </w:r>
            <w:r>
              <w:tab/>
            </w:r>
            <w:r>
              <w:t xml:space="preserve">установяване на </w:t>
            </w:r>
            <w:r>
              <w:rPr>
                <w:b/>
                <w:i/>
              </w:rPr>
              <w:t>всеобщо</w:t>
            </w:r>
            <w:r>
              <w:t xml:space="preserve"> право на безплатно обучение за работниците</w:t>
            </w:r>
            <w:r>
              <w:rPr>
                <w:b/>
                <w:i/>
              </w:rPr>
              <w:t>, финансирано предимно с публични средства и провеждано</w:t>
            </w:r>
            <w:r>
              <w:t xml:space="preserve"> в работно време;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Паскал Аримон, Джузепина Принчи, 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установяване на индивидуално право на </w:t>
            </w:r>
            <w:r>
              <w:rPr>
                <w:b/>
                <w:i/>
              </w:rPr>
              <w:t>безплатно</w:t>
            </w:r>
            <w:r>
              <w:t xml:space="preserve"> обучение </w:t>
            </w:r>
            <w:r>
              <w:rPr>
                <w:b/>
                <w:i/>
              </w:rPr>
              <w:t>за работниците и в работно време</w:t>
            </w:r>
            <w:r>
              <w:t>;</w:t>
            </w:r>
          </w:p>
        </w:tc>
        <w:tc>
          <w:tcPr>
            <w:tcW w:w="4876" w:type="dxa"/>
            <w:tcBorders>
              <w:top w:val="nil"/>
              <w:left w:val="nil"/>
              <w:bottom w:val="nil"/>
              <w:right w:val="nil"/>
            </w:tcBorders>
          </w:tcPr>
          <w:p>
            <w:pPr>
              <w:pStyle w:val="Normal6a"/>
            </w:pPr>
            <w:r>
              <w:t>в)</w:t>
            </w:r>
            <w:r>
              <w:tab/>
            </w:r>
            <w:r>
              <w:t>установяване на индивидуално право на обучение;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установяване на индивидуално право на безплатно обучение за работниците и в работно време;</w:t>
            </w:r>
          </w:p>
        </w:tc>
        <w:tc>
          <w:tcPr>
            <w:tcW w:w="4876" w:type="dxa"/>
            <w:tcBorders>
              <w:top w:val="nil"/>
              <w:left w:val="nil"/>
              <w:bottom w:val="nil"/>
              <w:right w:val="nil"/>
            </w:tcBorders>
          </w:tcPr>
          <w:p>
            <w:pPr>
              <w:pStyle w:val="Normal6a"/>
            </w:pPr>
            <w:r>
              <w:t>в)</w:t>
            </w:r>
            <w:r>
              <w:tab/>
            </w:r>
            <w:r>
              <w:t xml:space="preserve">установяване на индивидуално право на безплатно обучение </w:t>
            </w:r>
            <w:r>
              <w:rPr>
                <w:b/>
                <w:i/>
              </w:rPr>
              <w:t>и учене през целия живот</w:t>
            </w:r>
            <w:r>
              <w:t xml:space="preserve"> за работниците и в работно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в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укрепване на колективното договаряне, увеличаване на обхвата на колективното договаряне с цел ефективна подкрепа за прехода на работниците;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r>
              <w:t>г)</w:t>
            </w:r>
            <w:r>
              <w:tab/>
            </w:r>
            <w:r>
              <w:t xml:space="preserve">създаване на национални стратегии за справедлив преход </w:t>
            </w:r>
            <w:r>
              <w:rPr>
                <w:b/>
                <w:i/>
              </w:rPr>
              <w:t>в съдържателен социален диалог с профсъюзите</w:t>
            </w:r>
            <w:r>
              <w:t xml:space="preserve">, със специален акцент върху разработването на дългосрочна визия за местните икономики и работна сила във всички засегнати региони </w:t>
            </w:r>
            <w:r>
              <w:rPr>
                <w:b/>
                <w:i/>
              </w:rPr>
              <w:t>и сектори</w:t>
            </w:r>
            <w:r>
              <w:t xml:space="preserve">; </w:t>
            </w:r>
            <w:r>
              <w:rPr>
                <w:b/>
                <w:i/>
              </w:rPr>
              <w:t>гарантиране, че секторните стратегии и мерки, включително плановете за умения и обучение, се разработват съвместно чрез социален диалог, като социалните партньори имат равни права за вземане на решения.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r>
              <w:t>г)</w:t>
            </w:r>
            <w:r>
              <w:tab/>
            </w:r>
            <w:r>
              <w:t xml:space="preserve">създаване на </w:t>
            </w:r>
            <w:r>
              <w:rPr>
                <w:b/>
                <w:i/>
              </w:rPr>
              <w:t>задължителни</w:t>
            </w:r>
            <w:r>
              <w:t xml:space="preserve"> национални стратегии за справедлив преход </w:t>
            </w:r>
            <w:r>
              <w:rPr>
                <w:b/>
                <w:i/>
              </w:rPr>
              <w:t>в съдържателен социален диалог с профсъюзите</w:t>
            </w:r>
            <w:r>
              <w:t xml:space="preserve">, със специален акцент върху разработването на дългосрочна визия за местните икономики и работна сила във всички засегнати региони </w:t>
            </w:r>
            <w:r>
              <w:rPr>
                <w:b/>
                <w:i/>
              </w:rPr>
              <w:t>и сектори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r>
              <w:t>г)</w:t>
            </w:r>
            <w:r>
              <w:tab/>
            </w:r>
            <w:r>
              <w:t xml:space="preserve">създаване на национални стратегии за справедлив преход </w:t>
            </w:r>
            <w:r>
              <w:rPr>
                <w:b/>
                <w:i/>
              </w:rPr>
              <w:t>в съдържателен социален диалог с профсъюзите</w:t>
            </w:r>
            <w:r>
              <w:t xml:space="preserve">, със специален акцент върху разработването на дългосрочна визия за местните икономики и работна сила във всички засегнати региони </w:t>
            </w:r>
            <w:r>
              <w:rPr>
                <w:b/>
                <w:i/>
              </w:rPr>
              <w:t>и сектори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Георге Фалка, Романа Томц, Анджей Була, Лисбет Сомен, Паскал Аримон, Джузепина Принчи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r>
              <w:t>г)</w:t>
            </w:r>
            <w:r>
              <w:tab/>
            </w:r>
            <w:r>
              <w:t xml:space="preserve">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 </w:t>
            </w:r>
            <w:r>
              <w:rPr>
                <w:b/>
                <w:i/>
              </w:rPr>
              <w:t>и сектори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Андраш Тивадар Куля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w:t>
            </w:r>
          </w:p>
        </w:tc>
        <w:tc>
          <w:tcPr>
            <w:tcW w:w="4876" w:type="dxa"/>
            <w:tcBorders>
              <w:top w:val="nil"/>
              <w:left w:val="nil"/>
              <w:bottom w:val="nil"/>
              <w:right w:val="nil"/>
            </w:tcBorders>
          </w:tcPr>
          <w:p>
            <w:pPr>
              <w:pStyle w:val="Normal6a"/>
            </w:pPr>
            <w:r>
              <w:t>г)</w:t>
            </w:r>
            <w:r>
              <w:tab/>
            </w:r>
            <w:r>
              <w:t xml:space="preserve">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w:t>
            </w:r>
            <w:r>
              <w:rPr>
                <w:b/>
                <w:i/>
              </w:rPr>
              <w:t>сектори и</w:t>
            </w:r>
            <w:r>
              <w:t xml:space="preserve">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гарантиране на капацитета на публичните органи и социалните партньори за ангажиране със заинтересованите страни в съвместното разработване и наблюдението на въздействащи политики за справедлив преход, които отчитат разпределителното въздействие на политиките.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Бранислав Ондруш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разработване на програми за подпомагане на предприятията, по-специално МСП </w:t>
            </w:r>
            <w:r>
              <w:rPr>
                <w:b/>
                <w:i/>
              </w:rPr>
              <w:t>и</w:t>
            </w:r>
            <w:r>
              <w:t xml:space="preserve"> местните участници, за да се насърчава създаването на работни места на местно равнище;</w:t>
            </w:r>
          </w:p>
        </w:tc>
        <w:tc>
          <w:tcPr>
            <w:tcW w:w="4876" w:type="dxa"/>
            <w:tcBorders>
              <w:top w:val="nil"/>
              <w:left w:val="nil"/>
              <w:bottom w:val="nil"/>
              <w:right w:val="nil"/>
            </w:tcBorders>
          </w:tcPr>
          <w:p>
            <w:pPr>
              <w:pStyle w:val="Normal6a"/>
            </w:pPr>
            <w:r>
              <w:t>д)</w:t>
            </w:r>
            <w:r>
              <w:tab/>
            </w:r>
            <w:r>
              <w:t>разработване на програми за подпомагане на предприятията, по-специално МСП</w:t>
            </w:r>
            <w:r>
              <w:rPr>
                <w:b/>
                <w:i/>
              </w:rPr>
              <w:t>,</w:t>
            </w:r>
            <w:r>
              <w:t xml:space="preserve"> местните участници </w:t>
            </w:r>
            <w:r>
              <w:rPr>
                <w:b/>
                <w:i/>
              </w:rPr>
              <w:t>и субектите на социалната икономика</w:t>
            </w:r>
            <w:r>
              <w:t>, за да се насърчава създаването на работни места на местно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разработване на програми за подпомагане на предприятията, по-специално МСП и местните участници, за да се насърчава създаването на работни места на местно равнище;</w:t>
            </w:r>
          </w:p>
        </w:tc>
        <w:tc>
          <w:tcPr>
            <w:tcW w:w="4876" w:type="dxa"/>
            <w:tcBorders>
              <w:top w:val="nil"/>
              <w:left w:val="nil"/>
              <w:bottom w:val="nil"/>
              <w:right w:val="nil"/>
            </w:tcBorders>
          </w:tcPr>
          <w:p>
            <w:pPr>
              <w:pStyle w:val="Normal6a"/>
            </w:pPr>
            <w:r>
              <w:t>д)</w:t>
            </w:r>
            <w:r>
              <w:tab/>
            </w:r>
            <w:r>
              <w:t xml:space="preserve">разработване на програми за подпомагане на предприятията </w:t>
            </w:r>
            <w:r>
              <w:rPr>
                <w:b/>
                <w:i/>
              </w:rPr>
              <w:t>въз основа на социални условия</w:t>
            </w:r>
            <w:r>
              <w:t>, по-специално МСП и местните участници, за да се насърчава създаването на работни места на местно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разработване на програми за подпомагане на предприятията, по-специално МСП и местните участници, за да се насърчава създаването на работни места на местно равнище;</w:t>
            </w:r>
          </w:p>
        </w:tc>
        <w:tc>
          <w:tcPr>
            <w:tcW w:w="4876" w:type="dxa"/>
            <w:tcBorders>
              <w:top w:val="nil"/>
              <w:left w:val="nil"/>
              <w:bottom w:val="nil"/>
              <w:right w:val="nil"/>
            </w:tcBorders>
          </w:tcPr>
          <w:p>
            <w:pPr>
              <w:pStyle w:val="Normal6a"/>
            </w:pPr>
            <w:r>
              <w:t>д)</w:t>
            </w:r>
            <w:r>
              <w:tab/>
            </w:r>
            <w:r>
              <w:t xml:space="preserve">разработване на програми за подпомагане на предприятията, по-специално МСП и местните участници, за да се насърчава създаването на </w:t>
            </w:r>
            <w:r>
              <w:rPr>
                <w:b/>
                <w:i/>
              </w:rPr>
              <w:t>качествени</w:t>
            </w:r>
            <w:r>
              <w:t xml:space="preserve"> работни места на местно равнище;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д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за случаите на преструктуриране с потенциално уволнение държавите членки разработват програми за подкрепа и стимули за инициативи, ръководени от работниците, включително работнически кооперации, изкупувания на дружества от техните служители и други форми на колективна или общностна собственост, когато те са насочени към гарантиране на справедлив в социално и екологично отношение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 с доставчиците на обучение и насърчаване на планове за преход на равнището на дружествата;</w:t>
            </w:r>
          </w:p>
        </w:tc>
        <w:tc>
          <w:tcPr>
            <w:tcW w:w="4876" w:type="dxa"/>
            <w:tcBorders>
              <w:top w:val="nil"/>
              <w:left w:val="nil"/>
              <w:bottom w:val="nil"/>
              <w:right w:val="nil"/>
            </w:tcBorders>
          </w:tcPr>
          <w:p>
            <w:pPr>
              <w:pStyle w:val="Normal6a"/>
            </w:pPr>
            <w:r>
              <w:t>е)</w:t>
            </w:r>
            <w:r>
              <w:tab/>
            </w:r>
            <w:r>
              <w:t xml:space="preserve">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 </w:t>
            </w:r>
            <w:r>
              <w:rPr>
                <w:b/>
                <w:i/>
              </w:rPr>
              <w:t>и социалните партньори</w:t>
            </w:r>
            <w:r>
              <w:t xml:space="preserve"> с доставчиците на обучение и насърчаване на планове за преход на равнището на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осигуряване на съответствие между търсенето и предлагането на работна ръка и умения чрез комбинирано използване на данни за пазара на труда</w:t>
            </w:r>
            <w:r>
              <w:rPr>
                <w:b/>
                <w:i/>
              </w:rPr>
              <w:t>,</w:t>
            </w:r>
            <w:r>
              <w:t xml:space="preserve"> засилено сътрудничество на местните участници с доставчиците на обучение </w:t>
            </w:r>
            <w:r>
              <w:rPr>
                <w:b/>
                <w:i/>
              </w:rPr>
              <w:t>и насърчаване на планове за преход на равнището на дружествата</w:t>
            </w:r>
            <w:r>
              <w:t>;</w:t>
            </w:r>
          </w:p>
        </w:tc>
        <w:tc>
          <w:tcPr>
            <w:tcW w:w="4876" w:type="dxa"/>
            <w:tcBorders>
              <w:top w:val="nil"/>
              <w:left w:val="nil"/>
              <w:bottom w:val="nil"/>
              <w:right w:val="nil"/>
            </w:tcBorders>
          </w:tcPr>
          <w:p>
            <w:pPr>
              <w:pStyle w:val="Normal6a"/>
            </w:pPr>
            <w:r>
              <w:t>е)</w:t>
            </w:r>
            <w:r>
              <w:tab/>
            </w:r>
            <w:r>
              <w:t xml:space="preserve">осигуряване на съответствие между търсенето и предлагането на работна ръка и умения чрез комбинирано използване на данни за пазара на труда </w:t>
            </w:r>
            <w:r>
              <w:rPr>
                <w:b/>
                <w:i/>
              </w:rPr>
              <w:t>и</w:t>
            </w:r>
            <w:r>
              <w:t xml:space="preserve"> засилено сътрудничество на </w:t>
            </w:r>
            <w:r>
              <w:rPr>
                <w:b/>
                <w:i/>
              </w:rPr>
              <w:t>социалните партньори и</w:t>
            </w:r>
            <w:r>
              <w:t xml:space="preserve"> местните участници с доставчиците на обучение;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 с доставчиците на обучение и насърчаване на планове за преход на равнището на дружествата;</w:t>
            </w:r>
          </w:p>
        </w:tc>
        <w:tc>
          <w:tcPr>
            <w:tcW w:w="4876" w:type="dxa"/>
            <w:tcBorders>
              <w:top w:val="nil"/>
              <w:left w:val="nil"/>
              <w:bottom w:val="nil"/>
              <w:right w:val="nil"/>
            </w:tcBorders>
          </w:tcPr>
          <w:p>
            <w:pPr>
              <w:pStyle w:val="Normal6a"/>
            </w:pPr>
            <w:r>
              <w:t>е)</w:t>
            </w:r>
            <w:r>
              <w:tab/>
            </w:r>
            <w:r>
              <w:t>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w:t>
            </w:r>
            <w:r>
              <w:rPr>
                <w:b/>
                <w:i/>
              </w:rPr>
              <w:t>, социалните партньори</w:t>
            </w:r>
            <w:r>
              <w:t xml:space="preserve"> с доставчиците на обучение и насърчаване на планове за преход на равнището на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е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установяване на задължителни планове за преход за предприятията, пропорционални на техния размер и вид;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разработване на структура за наблюдение с цел предоставяне на стратегическо прогнозиране на въздействието на прехода и развитието на пазара на труда.</w:t>
            </w:r>
          </w:p>
        </w:tc>
        <w:tc>
          <w:tcPr>
            <w:tcW w:w="4876" w:type="dxa"/>
            <w:tcBorders>
              <w:top w:val="nil"/>
              <w:left w:val="nil"/>
              <w:bottom w:val="nil"/>
              <w:right w:val="nil"/>
            </w:tcBorders>
          </w:tcPr>
          <w:p>
            <w:pPr>
              <w:pStyle w:val="Normal6a"/>
            </w:pPr>
            <w:r>
              <w:t>ж)</w:t>
            </w:r>
            <w:r>
              <w:tab/>
            </w:r>
            <w:r>
              <w:t xml:space="preserve">разработване на структура за наблюдение с цел предоставяне на стратегическо прогнозиране на въздействието на прехода и развитието на пазара на труда </w:t>
            </w:r>
            <w:r>
              <w:rPr>
                <w:b/>
                <w:i/>
              </w:rPr>
              <w:t>и изпълнението на задълженията за минимална работна заплата въз основа на колективни трудови договори с участието на социалните партньори (профсъюзи и организации на местните общности)</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разработване на структура за наблюдение с цел предоставяне на стратегическо прогнозиране на въздействието на прехода и развитието на пазара на труда.</w:t>
            </w:r>
          </w:p>
        </w:tc>
        <w:tc>
          <w:tcPr>
            <w:tcW w:w="4876" w:type="dxa"/>
            <w:tcBorders>
              <w:top w:val="nil"/>
              <w:left w:val="nil"/>
              <w:bottom w:val="nil"/>
              <w:right w:val="nil"/>
            </w:tcBorders>
          </w:tcPr>
          <w:p>
            <w:pPr>
              <w:pStyle w:val="Normal6a"/>
            </w:pPr>
            <w:r>
              <w:t>ж)</w:t>
            </w:r>
            <w:r>
              <w:tab/>
            </w:r>
            <w:r>
              <w:t xml:space="preserve">разработване на структура за наблюдение </w:t>
            </w:r>
            <w:r>
              <w:rPr>
                <w:b/>
                <w:i/>
              </w:rPr>
              <w:t>с участието на социалните партньори и други съответни заинтересовани страни</w:t>
            </w:r>
            <w:r>
              <w:t xml:space="preserve"> с цел предоставяне на стратегическо прогнозиране на въздействието на прехода и развитието на пазара на труда</w:t>
            </w:r>
            <w:r>
              <w:rPr>
                <w:b/>
                <w:i/>
              </w:rPr>
              <w:t>, както и наблюдение на изпълнението и разпределителното въздействие на стратегиите за преход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разработване на структура за наблюдение с цел предоставяне на стратегическо прогнозиране на въздействието на прехода и развитието на пазара на труда.</w:t>
            </w:r>
          </w:p>
        </w:tc>
        <w:tc>
          <w:tcPr>
            <w:tcW w:w="4876" w:type="dxa"/>
            <w:tcBorders>
              <w:top w:val="nil"/>
              <w:left w:val="nil"/>
              <w:bottom w:val="nil"/>
              <w:right w:val="nil"/>
            </w:tcBorders>
          </w:tcPr>
          <w:p>
            <w:pPr>
              <w:pStyle w:val="Normal6a"/>
            </w:pPr>
            <w:r>
              <w:t>ж)</w:t>
            </w:r>
            <w:r>
              <w:tab/>
            </w:r>
            <w:r>
              <w:t xml:space="preserve">разработване на структура за наблюдение </w:t>
            </w:r>
            <w:r>
              <w:rPr>
                <w:b/>
                <w:i/>
              </w:rPr>
              <w:t>с участието на социалните партньори</w:t>
            </w:r>
            <w:r>
              <w:t xml:space="preserve"> с цел предоставяне на стратегическо прогнозиране на въздействието на прехода и развитието на пазара на труда</w:t>
            </w:r>
            <w:r>
              <w:rPr>
                <w:b/>
                <w:i/>
              </w:rPr>
              <w:t>, както и наблюдение на изпълнението на стратегиите за преход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разработване на структура за наблюдение с цел предоставяне на стратегическо прогнозиране на въздействието на прехода и развитието на пазара на труда</w:t>
            </w:r>
            <w:r>
              <w:rPr>
                <w:b/>
                <w:i/>
              </w:rPr>
              <w:t>.</w:t>
            </w:r>
          </w:p>
        </w:tc>
        <w:tc>
          <w:tcPr>
            <w:tcW w:w="4876" w:type="dxa"/>
            <w:tcBorders>
              <w:top w:val="nil"/>
              <w:left w:val="nil"/>
              <w:bottom w:val="nil"/>
              <w:right w:val="nil"/>
            </w:tcBorders>
          </w:tcPr>
          <w:p>
            <w:pPr>
              <w:pStyle w:val="Normal6a"/>
            </w:pPr>
            <w:r>
              <w:t>ж)</w:t>
            </w:r>
            <w:r>
              <w:tab/>
            </w:r>
            <w:r>
              <w:t xml:space="preserve">разработване на структура за наблюдение </w:t>
            </w:r>
            <w:r>
              <w:rPr>
                <w:b/>
                <w:i/>
              </w:rPr>
              <w:t>с участието на социалните партньори</w:t>
            </w:r>
            <w:r>
              <w:t xml:space="preserve"> с цел предоставяне на стратегическо прогнозиране на въздействието на прехода и развитието на пазара на труда</w:t>
            </w:r>
            <w:r>
              <w:rPr>
                <w:b/>
                <w:i/>
              </w:rPr>
              <w:t>, както и наблюдение на изпълнението на стратегиите за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укрепване на колективното договаряне и увеличаване на обхвата на колективното договаряне с цел ефективна подкрепа за прехода на работниците към нова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Сара Матийо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укрепване на колективното договаряне и увеличаване на обхвата на колективното договаряне с цел ефективна подкрепа за прехода на работниците;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Клара Добрев, Вилия Блинкевичуте, Марк Ангел, Алисия Омс Хинел, Идоя Мендия Куева, Евелин Регнер, Романа Йеркович,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определяне на ефективни, пропорционални и възпиращи санкции, приложими при нарушаване на правата и задълженията;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препоръка 3 – параграф 1 – буква ж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жб)</w:t>
            </w:r>
            <w:r>
              <w:tab/>
            </w:r>
            <w:r>
              <w:rPr>
                <w:b/>
                <w:i/>
              </w:rPr>
              <w:t>гарантиране, че в контекста на преходите и изпълнението на плановете за справедлив преход индивидуалните или колективните уволнения се разглеждат само като крайна мярка;</w:t>
            </w:r>
            <w:r>
              <w:t xml:space="preserve"> </w:t>
            </w:r>
            <w:r>
              <w:rPr>
                <w:b/>
                <w:i/>
              </w:rPr>
              <w:t>работниците, изложени на риск от съкращения, имат право на намаляване на платеното работно време, промяна на работата, схеми за ранно пенсиониране и платено обучение за преквалификация и повишаване на квалификацията, за да се избегне загубата на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препоръка 3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Препоръка 3a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Мерки за правоприлагане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 да се гарантира ефективното прилагане и изпълнение на директивата, предложението следва да включва най-малко следните мерки: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условен достъп до публични ресурси:</w:t>
            </w:r>
            <w:r>
              <w:t xml:space="preserve"> </w:t>
            </w:r>
            <w:r>
              <w:rPr>
                <w:b/>
                <w:i/>
              </w:rPr>
              <w:t>държавите членки гарантират, че при изпълнението на обществени поръчки икономическите оператори спазват задълженията по директивата и че бенефициерите на европейска и държавна помощ спазват задълженията по настоящата директива, приложимото социално и трудово право на Съюза и националното право, както и колективните трудови договори;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санкции:</w:t>
            </w:r>
            <w:r>
              <w:t xml:space="preserve"> </w:t>
            </w:r>
            <w:r>
              <w:rPr>
                <w:b/>
                <w:i/>
              </w:rPr>
              <w:t>директивата следва да определи минимално равнище на ефективни, пропорционални и възпиращи санкции, които да бъдат определени от държавите членки в случаи на нарушаване на правата и задълженията, попадащи в обхвата на настоящата директива;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запазване на равнището на защита и по-благоприятни разпоредби:</w:t>
            </w:r>
            <w:r>
              <w:t xml:space="preserve"> </w:t>
            </w:r>
            <w:r>
              <w:rPr>
                <w:b/>
                <w:i/>
              </w:rPr>
              <w:t>настоящата директива не представлява валидно основание за намаляване на общото ниво на защита, което вече се предоставя на работниците в държавите членки;</w:t>
            </w:r>
            <w:r>
              <w:t xml:space="preserve"> </w:t>
            </w:r>
            <w:r>
              <w:rPr>
                <w:b/>
                <w:i/>
              </w:rPr>
              <w:t>настоящата директива не засяга правото на държавите членки да прилагат или въвеждат по-благоприятни за работниците и/или засегнатите общности законови, подзаконови или административни разпоредби или да насърчават или разрешават прилагането на по-благоприятни за работниците колективни договори;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 гарантиране на основните права и автономността на социалните партньори:</w:t>
            </w:r>
            <w:r>
              <w:t xml:space="preserve"> </w:t>
            </w:r>
            <w:r>
              <w:rPr>
                <w:b/>
                <w:i/>
              </w:rPr>
              <w:t>нищо в настоящата директива не се тълкува или прилага по начин, който ограничава, нарушава или подкопава основните права, признати в държавите членки, включително правото на колективно договаряне, правото на стачка или правото да се предприемат колективни действия;</w:t>
            </w:r>
            <w:r>
              <w:t xml:space="preserve"> </w:t>
            </w:r>
            <w:r>
              <w:rPr>
                <w:b/>
                <w:i/>
              </w:rPr>
              <w:t>настоящата директива зачита автономността на социалните партньори и не засяга способността им да договарят, сключват или прилагат колективни трудови договори или да участват в други дейности, съвместими с националните системи на колективни трудови правоотношения, с цел надграждане и засилване на задълженията и правата, определени в настоящата директива.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206</w:t>
    </w:r>
    <w:r>
      <w:fldChar w:fldCharType="end"/>
    </w:r>
    <w:r>
      <w:t>/</w:t>
    </w:r>
    <w:r>
      <w:fldChar w:fldCharType="begin"/>
    </w:r>
    <w:r>
      <w:instrText xml:space="preserve"> NUMPAGES </w:instrText>
    </w:r>
    <w:r>
      <w:fldChar w:fldCharType="separate"/>
    </w:r>
    <w:r>
      <w:t>207</w:t>
    </w:r>
    <w:r>
      <w:fldChar w:fldCharType="end"/>
    </w:r>
    <w:r>
      <w:tab/>
    </w:r>
    <w:r>
      <w:rPr>
        <w:rStyle w:val="HideTWBExt"/>
      </w:rPr>
      <w:t>&lt;PathFdR&gt;</w:t>
    </w:r>
    <w:r>
      <w:t>AM\1328386BG.docx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AM\1328386BG.docx</w:t>
    </w:r>
    <w:r>
      <w:rPr>
        <w:rStyle w:val="HideTWBExt"/>
      </w:rPr>
      <w:t>&lt;/PathFdR&gt;</w:t>
    </w:r>
    <w:r>
      <w:tab/>
    </w:r>
    <w:r>
      <w:fldChar w:fldCharType="begin"/>
    </w:r>
    <w:r>
      <w:instrText xml:space="preserve"> PAGE </w:instrText>
    </w:r>
    <w:r>
      <w:fldChar w:fldCharType="separate"/>
    </w:r>
    <w:r>
      <w:t>207</w:t>
    </w:r>
    <w:r>
      <w:fldChar w:fldCharType="end"/>
    </w:r>
    <w:r>
      <w:t>/</w:t>
    </w:r>
    <w:r>
      <w:fldChar w:fldCharType="begin"/>
    </w:r>
    <w:r>
      <w:instrText xml:space="preserve"> NUMPAGES </w:instrText>
    </w:r>
    <w:r>
      <w:fldChar w:fldCharType="separate"/>
    </w:r>
    <w:r>
      <w:t>207</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AM\1328386BG.docx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207</Pages>
  <Words>43865</Words>
  <Characters>268318</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261575</vt:lpwstr>
  </property>
  <property fmtid="{D5CDD505-2E9C-101B-9397-08002B2CF9AE}" pid="7" name="dmxml.render.traceId">
    <vt:lpwstr>68ee0e8c35fecbdbb58e8badc1c40993</vt:lpwstr>
  </property>
  <property fmtid="{D5CDD505-2E9C-101B-9397-08002B2CF9AE}" pid="8" name="FooterPath">
    <vt:lpwstr>AM\1328386BG.docx</vt:lpwstr>
  </property>
  <property fmtid="{D5CDD505-2E9C-101B-9397-08002B2CF9AE}" pid="9" name="PE Number">
    <vt:lpwstr>778.022</vt:lpwstr>
  </property>
  <property fmtid="{D5CDD505-2E9C-101B-9397-08002B2CF9AE}" pid="10" name="UID">
    <vt:lpwstr>eu.europa.europarl-DIN1-2025-0000177077_02.00-bg-01.00_text-xml</vt:lpwstr>
  </property>
</Properties>
</file>