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Tööhõive- ja sotsiaalkomisjon</w:t>
      </w:r>
      <w:r>
        <w:rPr>
          <w:rStyle w:val="HideTWBExt"/>
        </w:rPr>
        <w:t>&lt;/Commission&gt;</w:t>
      </w:r>
    </w:p>
    <w:p>
      <w:pPr>
        <w:pStyle w:val="LineBottom"/>
      </w:pPr>
      <w:r>
        <w:t xml:space="preserve"> </w:t>
      </w:r>
    </w:p>
    <w:p>
      <w:pPr>
        <w:pStyle w:val="CoverReference"/>
      </w:pPr>
      <w:r>
        <w:rPr>
          <w:rStyle w:val="HideTWBExt"/>
        </w:rPr>
        <w:t>&lt;RefProc&gt;</w:t>
      </w:r>
      <w:r>
        <w:t>2025/2131</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{26/09/2025}</w:t>
      </w:r>
      <w:r>
        <w:t>26.9.2025</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1</w:t>
      </w:r>
      <w:r>
        <w:t xml:space="preserve"> - </w:t>
      </w:r>
      <w:r>
        <w:t>312</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Jana Toom</w:t>
      </w:r>
      <w:r>
        <w:rPr>
          <w:rStyle w:val="HideTWBExt"/>
        </w:rPr>
        <w:t>&lt;/Rapporteur&gt;</w:t>
      </w:r>
    </w:p>
    <w:p>
      <w:pPr>
        <w:pStyle w:val="CoverNormal24a"/>
      </w:pPr>
      <w:r>
        <w:rPr>
          <w:rStyle w:val="HideTWBExt"/>
        </w:rPr>
        <w:t>&lt;DocRefPE&gt;</w:t>
      </w:r>
      <w:r>
        <w:t>(PE775.632v01-00)</w:t>
      </w:r>
      <w:r>
        <w:rPr>
          <w:rStyle w:val="HideTWBExt"/>
        </w:rPr>
        <w:t>&lt;/DocRefPE&gt;</w:t>
      </w:r>
    </w:p>
    <w:p>
      <w:pPr>
        <w:pStyle w:val="CoverNormal"/>
      </w:pPr>
      <w:r>
        <w:rPr>
          <w:rStyle w:val="HideTWBExt"/>
        </w:rPr>
        <w:t>&lt;Titre&gt;</w:t>
      </w:r>
      <w:r>
        <w:t>Õiglase ülemineku direktiiv töömaailmas: töökohtade loomise tagamine ja kohaliku majanduse elavdamine</w:t>
      </w:r>
      <w:r>
        <w:rPr>
          <w:rStyle w:val="HideTWBExt"/>
        </w:rPr>
        <w:t>&lt;/Titre&gt;</w:t>
      </w:r>
    </w:p>
    <w:p>
      <w:pPr>
        <w:pStyle w:val="CoverNormal24a"/>
      </w:pPr>
      <w:r>
        <w:rPr>
          <w:rStyle w:val="HideTWBExt"/>
        </w:rPr>
        <w:t>&lt;DocRef&gt;</w:t>
      </w:r>
      <w:r>
        <w:t>(2025/2131(INL))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võttes arvesse Euroopa Liidu toimimise lepingu (ELi toimimise leping) artiklit </w:t>
            </w:r>
            <w:r>
              <w:rPr>
                <w:b/>
                <w:i/>
              </w:rPr>
              <w:t>225</w:t>
            </w:r>
            <w:r>
              <w:t>,</w:t>
            </w:r>
          </w:p>
        </w:tc>
        <w:tc>
          <w:tcPr>
            <w:tcW w:w="4876" w:type="dxa"/>
            <w:tcBorders>
              <w:top w:val="nil"/>
              <w:left w:val="nil"/>
              <w:bottom w:val="nil"/>
              <w:right w:val="nil"/>
            </w:tcBorders>
          </w:tcPr>
          <w:p>
            <w:pPr>
              <w:pStyle w:val="Normal6a"/>
            </w:pPr>
            <w:r>
              <w:rPr>
                <w:b/>
                <w:i/>
              </w:rPr>
              <w:t>–</w:t>
            </w:r>
            <w:r>
              <w:tab/>
            </w:r>
            <w:r>
              <w:t xml:space="preserve">võttes arvesse Euroopa Liidu toimimise lepingu (ELi toimimise leping) artiklit </w:t>
            </w:r>
            <w:r>
              <w:rPr>
                <w:b/>
                <w:i/>
              </w:rPr>
              <w:t>153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komisjoni 11. detsembri 2019. aasta teatist Euroopa rohelise kokkuleppe kohta (COM(2019)0640),</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lisaväärtuse hindamise 2025. aasta septembri ülevaadet „Õiglase ülemineku direktiiv töömaailmas:</w:t>
            </w:r>
            <w:r>
              <w:t xml:space="preserve"> </w:t>
            </w:r>
            <w:r>
              <w:rPr>
                <w:b/>
                <w:i/>
              </w:rPr>
              <w:t> töökohtade loomise tagamine ja kohaliku majanduse elavdamine“;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23. novembri 2023. aasta resolutsiooni töökohtade loomise kohta: õiglane üleminek ning sotsiaalse ja ökoloogilise mõjuga investeeringud,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Rahvusvahelise Tööorganisatsiooni (ILO) resolutsiooni kõigiga arvestava õiglase ülemineku kohta keskkonnakestlikule majandusele ja ühiskonnale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ILC.111 / V resolutsioon, 16. juuni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12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Enrico Letta 10. aprilli 2024. aasta aruannet „Much more than a market“ (palju enamat kui turg)</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https://www.consilium.europa.eu/media/ny3j24sm/much-more-than-a-market-report-by-enrico-letta.pdf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Mario Draghi 9. septembri 2024. aasta aruannet Euroopa konkurentsivõime tuleviku kohta (edaspidi „Draghi aruanne“),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Mario Draghi 9. septembri 2024. aasta aruannet Euroopa konkurentsivõime tuleviku kohta (edaspidi „Draghi aruanne“),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10. septembri 2025. aasta resolutsiooni ühtekuuluvuspoliitika rolli kohta õiglase ülemineku toetamisel,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võttes arvesse nõukogu 2022. aasta soovitust õiglase kliimaneutraalsusele ülemineku kohta,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17. detsembri 2020. aasta resolutsiooni tugeva sotsiaalse Euroopa kohta õiglaste üleminekute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poliitilisi suuniseid Euroopa Komisjonile 2024–2029</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https://com.mission.europa.eu/document/download/e6cd4328-673c-4e7a-8683-f63ffb2cf648_et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komisjoni 26. veebruari 2025. aasta teatist puhta tööstuse kokkuleppe kohta (COM (2025) 85 final)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https://eur-lex.europa.eu/legal-content/ET/TXT/PDF/?uri=CELEX:52025DC0085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23. novembri 2023. aasta resolutsiooni töökohtade loomise kohta: õiglane üleminek ning sotsiaalse ja ökoloogilise mõjuga investeeringud,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komisjoni 2025. aasta juuli teatist „Puhta tööstuse kokkuleppe toetamiseks võetavate riigiabi meetmete raamistik“ (C/2025/3602),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komisjoni 26. veebruari 2025. aasta teatist puhta tööstuse kokkuleppe kohta (COM (2025) 85 final)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https://eur-lex.europa.eu/legal-content/ET/TXT/PDF/?uri=CELEX:52025DC0085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La Hulpe’i 16. aprilli 2024. aasta deklaratsiooni Euroopa sotsiaalõiguste samba tuleviku kohta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23. novembri 2023. aasta resolutsiooni töökohtade loomise kohta: õiglane üleminek ning sotsiaalse ja ökoloogilise mõjuga investeeringud,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tööhõivekomitee ja sotsiaalkaitsekomitee põhisõnumeid õiglase kliimaneutraalsusele ülemineku tagamist käsitleva nõukogu 17. novembri 2023. aasta soovituse</w:t>
            </w:r>
            <w:r>
              <w:rPr>
                <w:b/>
                <w:i/>
                <w:vertAlign w:val="superscript"/>
              </w:rPr>
              <w:t>1a</w:t>
            </w:r>
            <w:r>
              <w:t xml:space="preserve"> </w:t>
            </w:r>
            <w:r>
              <w:rPr>
                <w:b/>
                <w:i/>
              </w:rPr>
              <w:t>rakendamise kohta,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https://data.consilium.europa.eu/doc/document/ST-15439-2023-ADD-1/en/pdf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Liidu Nõukogu tööhõivekomitee 6. juuni 2025. aasta arvamust töökohtade kvaliteedi mõõtmete kohta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https://data.consilium.europa.eu/doc/document/ST-9417-2025-INIT/et/pdf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oma 9. septembri 2005. aasta resolutsiooni riigihangete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komisjoni 25. juuli 2025. aasta teatist puhta tööstuse kokkuleppe toetamiseks võetavate riigiabi meetmete raamistiku</w:t>
            </w:r>
            <w:r>
              <w:rPr>
                <w:b/>
                <w:i/>
                <w:vertAlign w:val="superscript"/>
              </w:rPr>
              <w:t>1a</w:t>
            </w:r>
            <w:r>
              <w:rPr>
                <w:b/>
                <w:i/>
              </w:rPr>
              <w:t>kohta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https://eur-lex.europa.eu/eli/C/2025/3602/oj/est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h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tööhõivekomitee ja sotsiaalkaitsekomitee põhisõnumeid õiglase kliimaneutraalsusele ülemineku tagamist käsitleva nõukogu 17. novembri 2023. aasta soovituse rakendamise kohta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https://data.consilium.europa.eu/doc/document/ST-15439-2023-ADD-1/en/pdf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16 i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Majandus- ja Sotsiaalkomitee 4. detsembri 2024. aasta arvamust õiglase ülemineku seadusandliku ettepaneku ja ELi poliitikavahendite kohta, mis võimaldavad sotsiaalsemat Euroopa rohelist kokkulepet</w:t>
            </w:r>
            <w:r>
              <w:rPr>
                <w:b/>
                <w:i/>
                <w:vertAlign w:val="superscript"/>
              </w:rPr>
              <w:t>1a</w:t>
            </w:r>
            <w:r>
              <w:t xml:space="preserve"> </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https://eur-lex.europa.eu/legal-content/ET/TXT/PDF/?uri=OJ:C_202504203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rohe- ja digipöördel on Euroopa majandusele, piirkondadele ja töökohtadele põhjalik ümberkujundav mõju; arvestades, et mõjusa ülemineku tagamine </w:t>
            </w:r>
            <w:r>
              <w:rPr>
                <w:b/>
                <w:i/>
              </w:rPr>
              <w:t>kliimaneutraalsele ja</w:t>
            </w:r>
            <w:r>
              <w:t xml:space="preserve"> digiteeritud majandusele ning sõltuvuse vähendamine energiavarustuse valdkonnas on Euroopa kestlikkuse, majanduskasvu ja konkurentsivõime jaoks väga </w:t>
            </w:r>
            <w:r>
              <w:rPr>
                <w:b/>
                <w:i/>
              </w:rPr>
              <w:t>oluline</w:t>
            </w:r>
            <w:r>
              <w:t xml:space="preserve">; </w:t>
            </w:r>
            <w:r>
              <w:rPr>
                <w:b/>
                <w:i/>
              </w:rPr>
              <w:t>arvestades, et kaksikülemineku lõplik edu sõltub suurel määral selle tagamisest, et üleminek on töötajate, ettevõtjate ja mõjutatud piirkondade jaoks õiglane ja kaasav;</w:t>
            </w:r>
          </w:p>
        </w:tc>
        <w:tc>
          <w:tcPr>
            <w:tcW w:w="4876" w:type="dxa"/>
            <w:tcBorders>
              <w:top w:val="nil"/>
              <w:left w:val="nil"/>
              <w:bottom w:val="nil"/>
              <w:right w:val="nil"/>
            </w:tcBorders>
          </w:tcPr>
          <w:p>
            <w:pPr>
              <w:pStyle w:val="Normal6a"/>
            </w:pPr>
            <w:r>
              <w:t>A.</w:t>
            </w:r>
            <w:r>
              <w:tab/>
            </w:r>
            <w:r>
              <w:t>arvestades, et rohe- ja digipöördel on Euroopa majandusele, piirkondadele ja töökohtadele põhjalik ümberkujundav mõju</w:t>
            </w:r>
            <w:r>
              <w:rPr>
                <w:b/>
                <w:i/>
              </w:rPr>
              <w:t>, ning arvestades, et need toovad kaasa suured kulud</w:t>
            </w:r>
            <w:r>
              <w:t xml:space="preserve">; arvestades, et mõjusa ülemineku tagamine digiteeritud majandusele ning sõltuvuse vähendamine energiavarustuse valdkonnas on Euroopa kestlikkuse, majanduskasvu ja konkurentsivõime jaoks väga </w:t>
            </w:r>
            <w:r>
              <w:rPr>
                <w:b/>
                <w:i/>
              </w:rPr>
              <w:t>vajalik</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rohe- ja digipöördel on Euroopa majandusele, piirkondadele ja töökohtadele </w:t>
            </w:r>
            <w:r>
              <w:rPr>
                <w:b/>
                <w:i/>
              </w:rPr>
              <w:t>põhjalik</w:t>
            </w:r>
            <w:r>
              <w:t xml:space="preserve"> ümberkujundav mõju; arvestades, et mõjusa ülemineku tagamine kliimaneutraalsele ja digiteeritud majandusele ning sõltuvuse vähendamine energiavarustuse valdkonnas on </w:t>
            </w:r>
            <w:r>
              <w:rPr>
                <w:b/>
                <w:i/>
              </w:rPr>
              <w:t>Euroopa kestlikkuse, majanduskasvu ja konkurentsivõime jaoks väga oluline</w:t>
            </w:r>
            <w:r>
              <w:t xml:space="preserve">; arvestades, et kaksikülemineku lõplik edu sõltub suurel määral selle tagamisest, et </w:t>
            </w:r>
            <w:r>
              <w:rPr>
                <w:b/>
                <w:i/>
              </w:rPr>
              <w:t>üleminek on töötajate, ettevõtjate</w:t>
            </w:r>
            <w:r>
              <w:t xml:space="preserve"> ja mõjutatud </w:t>
            </w:r>
            <w:r>
              <w:rPr>
                <w:b/>
                <w:i/>
              </w:rPr>
              <w:t>piirkondade jaoks õiglane ja kaasav</w:t>
            </w:r>
            <w:r>
              <w:t>;</w:t>
            </w:r>
          </w:p>
        </w:tc>
        <w:tc>
          <w:tcPr>
            <w:tcW w:w="4876" w:type="dxa"/>
            <w:tcBorders>
              <w:top w:val="nil"/>
              <w:left w:val="nil"/>
              <w:bottom w:val="nil"/>
              <w:right w:val="nil"/>
            </w:tcBorders>
          </w:tcPr>
          <w:p>
            <w:pPr>
              <w:pStyle w:val="Normal6a"/>
            </w:pPr>
            <w:r>
              <w:t>A.</w:t>
            </w:r>
            <w:r>
              <w:tab/>
            </w:r>
            <w:r>
              <w:t xml:space="preserve">arvestades, et rohe- ja digipöördel on Euroopa majandusele, piirkondadele ja töökohtadele </w:t>
            </w:r>
            <w:r>
              <w:rPr>
                <w:b/>
                <w:i/>
              </w:rPr>
              <w:t>läbinisti negatiivne</w:t>
            </w:r>
            <w:r>
              <w:t xml:space="preserve"> ümberkujundav mõju; arvestades, et mõjusa ülemineku tagamine kliimaneutraalsele ja digiteeritud majandusele ning sõltuvuse vähendamine energiavarustuse valdkonnas on </w:t>
            </w:r>
            <w:r>
              <w:rPr>
                <w:b/>
                <w:i/>
              </w:rPr>
              <w:t>ekslik ja tõestamata rohefantaasia</w:t>
            </w:r>
            <w:r>
              <w:t xml:space="preserve">; arvestades, et kaksikülemineku lõplik edu sõltub suurel määral selle tagamisest, et </w:t>
            </w:r>
            <w:r>
              <w:rPr>
                <w:b/>
                <w:i/>
              </w:rPr>
              <w:t>töötajaid, ettevõtjaid</w:t>
            </w:r>
            <w:r>
              <w:t xml:space="preserve"> ja mõjutatud </w:t>
            </w:r>
            <w:r>
              <w:rPr>
                <w:b/>
                <w:i/>
              </w:rPr>
              <w:t>piirkondi survestatakse aktsepteerima kahjumit kui normaalset nähtust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rohe- ja digipöördel on Euroopa majandusele, piirkondadele ja töökohtadele põhjalik ümberkujundav mõju; arvestades, et mõjusa ülemineku tagamine kliimaneutraalsele ja digiteeritud majandusele ning sõltuvuse vähendamine energiavarustuse valdkonnas on Euroopa kestlikkuse, majanduskasvu ja konkurentsivõime jaoks väga oluline; arvestades, et kaksikülemineku lõplik edu sõltub suurel määral selle tagamisest, et üleminek on töötajate, ettevõtjate ja </w:t>
            </w:r>
            <w:r>
              <w:rPr>
                <w:b/>
                <w:i/>
              </w:rPr>
              <w:t>mõjutatud</w:t>
            </w:r>
            <w:r>
              <w:t xml:space="preserve"> piirkondade jaoks õiglane ja kaasav;</w:t>
            </w:r>
          </w:p>
        </w:tc>
        <w:tc>
          <w:tcPr>
            <w:tcW w:w="4876" w:type="dxa"/>
            <w:tcBorders>
              <w:top w:val="nil"/>
              <w:left w:val="nil"/>
              <w:bottom w:val="nil"/>
              <w:right w:val="nil"/>
            </w:tcBorders>
          </w:tcPr>
          <w:p>
            <w:pPr>
              <w:pStyle w:val="Normal6a"/>
            </w:pPr>
            <w:r>
              <w:t>A.</w:t>
            </w:r>
            <w:r>
              <w:tab/>
            </w:r>
            <w:r>
              <w:t xml:space="preserve">arvestades, et rohe- ja digipöördel on Euroopa majandusele, piirkondadele ja töökohtadele </w:t>
            </w:r>
            <w:r>
              <w:rPr>
                <w:b/>
                <w:i/>
              </w:rPr>
              <w:t>ning inimestele</w:t>
            </w:r>
            <w:r>
              <w:t xml:space="preserve"> põhjalik ümberkujundav mõju; arvestades, et mõjusa ülemineku tagamine kliimaneutraalsele ja digiteeritud majandusele ning sõltuvuse vähendamine energiavarustuse valdkonnas on Euroopa kestlikkuse, majanduskasvu ja konkurentsivõime jaoks väga oluline; arvestades, et kaksikülemineku lõplik edu sõltub suurel määral selle tagamisest, et üleminek on töötajate, ettevõtjate ja piirkondade jaoks õiglane ja kaasav; </w:t>
            </w:r>
            <w:r>
              <w:rPr>
                <w:b/>
                <w:i/>
              </w:rPr>
              <w:t>arvestades, et ainuüksi õiglane üleminek võib tuua kasu 261 miljardit eurot aastas, eelkõige sotsiaalse ebavõrdsuse ja piirkondlike erinevuste vähendamise kaudu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https://www.europarl.europa.eu/RegData/etudes/BRIE/2022/730346/EPRS_BRI(2022)730346_EN.pdf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rohe- ja digipöördel on Euroopa majandusele, piirkondadele ja töökohtadele põhjalik ümberkujundav mõju; arvestades, et mõjusa ülemineku tagamine kliimaneutraalsele ja digiteeritud majandusele ning sõltuvuse vähendamine energiavarustuse valdkonnas on Euroopa kestlikkuse, majanduskasvu ja konkurentsivõime jaoks väga oluline; arvestades, et kaksikülemineku lõplik edu sõltub suurel määral selle tagamisest, et üleminek on töötajate, ettevõtjate ja mõjutatud piirkondade jaoks õiglane ja kaasav;</w:t>
            </w:r>
          </w:p>
        </w:tc>
        <w:tc>
          <w:tcPr>
            <w:tcW w:w="4876" w:type="dxa"/>
            <w:tcBorders>
              <w:top w:val="nil"/>
              <w:left w:val="nil"/>
              <w:bottom w:val="nil"/>
              <w:right w:val="nil"/>
            </w:tcBorders>
          </w:tcPr>
          <w:p>
            <w:pPr>
              <w:pStyle w:val="Normal6a"/>
            </w:pPr>
            <w:r>
              <w:t>A.</w:t>
            </w:r>
            <w:r>
              <w:tab/>
            </w:r>
            <w:r>
              <w:t>arvestades, et rohe- ja digipöördel on Euroopa majandusele, piirkondadele ja töökohtadele põhjalik ümberkujundav mõju; arvestades, et mõjusa ülemineku tagamine kliimaneutraalsele ja digiteeritud majandusele ning sõltuvuse vähendamine energiavarustuse valdkonnas on Euroopa kestlikkuse, majanduskasvu ja konkurentsivõime jaoks väga oluline; arvestades, et kaksikülemineku lõplik edu sõltub suurel määral selle tagamisest, et üleminek on töötajate, ettevõtjate ja mõjutatud piirkondade jaoks õiglane ja kaasav</w:t>
            </w:r>
            <w:r>
              <w:rPr>
                <w:b/>
                <w:i/>
              </w:rPr>
              <w:t> nii vahetu mõjuga valdkondades kui ka ettevõtete tegevusahelate ülemaailmsetes väärtusahelates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rohe- ja digipöördel on Euroopa majandusele, piirkondadele ja töökohtadele põhjalik ümberkujundav mõju; arvestades, et mõjusa ülemineku tagamine kliimaneutraalsele ja digiteeritud majandusele ning sõltuvuse vähendamine energiavarustuse valdkonnas on Euroopa kestlikkuse, majanduskasvu ja konkurentsivõime jaoks väga oluline; arvestades, et kaksikülemineku lõplik edu sõltub suurel määral selle tagamisest, et üleminek on töötajate, ettevõtjate ja mõjutatud piirkondade jaoks õiglane ja kaasav;</w:t>
            </w:r>
          </w:p>
        </w:tc>
        <w:tc>
          <w:tcPr>
            <w:tcW w:w="4876" w:type="dxa"/>
            <w:tcBorders>
              <w:top w:val="nil"/>
              <w:left w:val="nil"/>
              <w:bottom w:val="nil"/>
              <w:right w:val="nil"/>
            </w:tcBorders>
          </w:tcPr>
          <w:p>
            <w:pPr>
              <w:pStyle w:val="Normal6a"/>
            </w:pPr>
            <w:r>
              <w:t>A.</w:t>
            </w:r>
            <w:r>
              <w:tab/>
            </w:r>
            <w:r>
              <w:t xml:space="preserve">arvestades, et rohe- ja digipöördel on Euroopa majandusele, </w:t>
            </w:r>
            <w:r>
              <w:rPr>
                <w:b/>
                <w:i/>
              </w:rPr>
              <w:t>ühiskonnale,</w:t>
            </w:r>
            <w:r>
              <w:t xml:space="preserve"> piirkondadele ja töökohtadele </w:t>
            </w:r>
            <w:r>
              <w:rPr>
                <w:b/>
                <w:i/>
              </w:rPr>
              <w:t>eri moel</w:t>
            </w:r>
            <w:r>
              <w:t xml:space="preserve"> põhjalik ümberkujundav mõju</w:t>
            </w:r>
            <w:r>
              <w:rPr>
                <w:b/>
                <w:i/>
              </w:rPr>
              <w:t>, mis eeldab ulatuslikke sotsiaal- ja tööhõivepoliitika meetmeid, et hoida ära kahjulik mõju ning edendada majanduslikku, sotsiaalset ja territoriaalset ühtekuuluvust</w:t>
            </w:r>
            <w:r>
              <w:t xml:space="preserve">; arvestades, et mõjusa ülemineku tagamine kliimaneutraalsele ja digiteeritud majandusele ning sõltuvuse vähendamine energiavarustuse valdkonnas on Euroopa </w:t>
            </w:r>
            <w:r>
              <w:rPr>
                <w:b/>
                <w:i/>
              </w:rPr>
              <w:t>pikaajalise jõukuse, heaolu,</w:t>
            </w:r>
            <w:r>
              <w:t xml:space="preserve"> kestlikkuse, majanduskasvu ja konkurentsivõime jaoks väga oluline; arvestades, et kaksikülemineku lõplik edu sõltub suurel määral selle tagamisest, et üleminek on töötajate, ettevõtjate ja mõjutatud piirkondade jaoks õiglane ja kaasav </w:t>
            </w:r>
            <w:r>
              <w:rPr>
                <w:b/>
                <w:i/>
              </w:rPr>
              <w:t>ning et see aitab kaasa sotsiaalse õigluse tagamisele kõigi jaoks, pöörates erilist tähelepanu kõige haavatavamatele, tagamaks, et kedagi ei jäeta kõrvale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arvestades, et rohe- ja digipöördel on Euroopa majandusele, piirkondadele ja töökohtadele põhjalik ümberkujundav mõju; arvestades, et mõjusa ülemineku tagamine kliimaneutraalsele ja digiteeritud majandusele ning sõltuvuse vähendamine energiavarustuse valdkonnas on Euroopa kestlikkuse, majanduskasvu ja konkurentsivõime jaoks väga oluline; arvestades, et kaksikülemineku lõplik edu sõltub suurel määral selle tagamisest, et üleminek on töötajate, ettevõtjate ja mõjutatud piirkondade jaoks õiglane ja kaasav;</w:t>
            </w:r>
          </w:p>
        </w:tc>
        <w:tc>
          <w:tcPr>
            <w:tcW w:w="4876" w:type="dxa"/>
            <w:tcBorders>
              <w:top w:val="nil"/>
              <w:left w:val="nil"/>
              <w:bottom w:val="nil"/>
              <w:right w:val="nil"/>
            </w:tcBorders>
          </w:tcPr>
          <w:p>
            <w:pPr>
              <w:pStyle w:val="Normal6a"/>
            </w:pPr>
            <w:r>
              <w:t>A.</w:t>
            </w:r>
            <w:r>
              <w:tab/>
            </w:r>
            <w:r>
              <w:t xml:space="preserve">arvestades, et rohe- ja digipöördel on Euroopa majandusele, piirkondadele ja töökohtadele põhjalik ümberkujundav mõju; arvestades, et mõjusa ülemineku tagamine kliimaneutraalsele ja digiteeritud majandusele ning sõltuvuse vähendamine energiavarustuse valdkonnas on Euroopa kestlikkuse, majanduskasvu ja konkurentsivõime jaoks väga oluline; arvestades, et kaksikülemineku lõplik edu sõltub suurel määral selle tagamisest, et üleminek on töötajate, ettevõtjate ja mõjutatud piirkondade jaoks õiglane ja kaasav </w:t>
            </w:r>
            <w:r>
              <w:rPr>
                <w:b/>
                <w:i/>
              </w:rPr>
              <w:t>ning võimaldab liikmesriikidele piisavat paindlikkust nende majandusliku ja sotsiaalse olukorraga kõige paremini sobivate võimaluste leidmiseks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rohe- ja digipöörde mõistlik ja teostatav rakendamine võib viia Euroopa majanduse, piirkondade ja tööturgude põhjaliku ja kestliku ümberkujundamiseni;</w:t>
            </w:r>
            <w:r>
              <w:t xml:space="preserve"> </w:t>
            </w:r>
            <w:r>
              <w:rPr>
                <w:b/>
                <w:i/>
              </w:rPr>
              <w:t>arvestades, et mõjusa ja taskukohase arenenud ja digiteeritud majandusele ülemineku tagamine koos energiavarustuse sõltuvuse vähendamisega kõigist suurematest välismajandustest on Euroopa pikaajalise kestlikkuse ja majanduskasvu jaoks hädavajalik;</w:t>
            </w:r>
            <w:r>
              <w:t xml:space="preserve"> </w:t>
            </w:r>
            <w:r>
              <w:rPr>
                <w:b/>
                <w:i/>
              </w:rPr>
              <w:t>arvestades, et ülemineku lõplik edu sõltub selle tagamisest, et selline üleminek toimub õiglasel ja kaasaval viisil, võttes arvesse mõjutatud töötajate, ettevõtjate ja piirkondade huve, ning et seda toetavad rahaliselt elujõulised uuenduslikud tehnoloogiad ja üldiselt taskukohane energia;</w:t>
            </w:r>
            <w:r>
              <w:t xml:space="preserve"> </w:t>
            </w:r>
            <w:r>
              <w:rPr>
                <w:b/>
                <w:i/>
              </w:rPr>
              <w:t>arvestades, et rõhutada tuleks ka seda, et praegused Euroopa tööturu probleemid on osaliselt tingitud oskustööjõu nappusest ja kvalifitseerimata ebaseaduslike rändajate sissevoolust, mida kinnitati Euroopa Komisjoni avalikustatud andmetega, mille kohaselt elab praegu Euroopa Liidus rohkem kui 7 miljonit töötut rändajat</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Euroopa Komisjoni 2025. aasta aruandes Euroopa tööhõive ja sotsiaalarengu kohta märgitakse, et rohkem kui seitse miljonit väljastpoolt ELi pärit rändajat ei osale ELi tööturul: https://op.europa.eu/en/publication-detail/-/publication/17b34170-8138-11ef-a67d-01aa75ed71a1/language-en.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kaksikülemineku mõju tööhõivele on kogu liidus asümmeetriline;</w:t>
            </w:r>
            <w:r>
              <w:t xml:space="preserve"> </w:t>
            </w:r>
            <w:r>
              <w:rPr>
                <w:b/>
                <w:i/>
              </w:rPr>
              <w:t>arvestades, et süsinikuheite vähendamisel on suurem negatiivne sotsiaal-majanduslik mõju piirkondadele, kus on suur tööhõive osakaal kaevandussektoris;</w:t>
            </w:r>
            <w:r>
              <w:t xml:space="preserve"> </w:t>
            </w:r>
            <w:r>
              <w:rPr>
                <w:b/>
                <w:i/>
              </w:rPr>
              <w:t>arvestades, et positiivne mõju tööhõivele jaguneb suurema tõenäosusega eri piirkondade vahel;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üleminekut tuleks hallata selliselt, et tagada sotsiaalne kaasatus, vähendada vaesust ja ebavõrdsust, kasutada kvaliteetsete töökohtade loomise potentsiaali, edendada demokraatiat töökohal, tagada kvaliteetne tööhõive ja inimväärsed töötingimused, kaitsta töötajate õigusi ja tõsta tööstandardeid kõigis sektorites;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arvestades, et ELi tööturud on endiselt territoriaalselt jagatud, ning arvestades, et töökohtade kvaliteet ja töölepingud näitavad mittestandardsete vormide lisandumist, eriti noorte hulgas;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arvestades, et CO</w:t>
            </w:r>
            <w:r>
              <w:rPr>
                <w:b/>
                <w:i/>
                <w:vertAlign w:val="subscript"/>
              </w:rPr>
              <w:t>2</w:t>
            </w:r>
            <w:r>
              <w:rPr>
                <w:b/>
                <w:i/>
              </w:rPr>
              <w:t>-neutraalsele majandusele ülemineku juhtimine ei peaks mitte ainult toetama üleminekut uutele töökohtadele tärkavates sektorites, vaid ka hoidma ja kohandama olemasolevaid töökohti ja tegevusvaldkondi kliimaneutraalse ja puhta tööstuse ning tehnoloogiaga, arvestades mõjutatud territooriumidel elavate inimestega;</w:t>
            </w:r>
            <w:r>
              <w:t xml:space="preserve"> </w:t>
            </w:r>
            <w:r>
              <w:rPr>
                <w:b/>
                <w:i/>
              </w:rPr>
              <w:t>arvestades, et on oluline, et töötajad ja tööotsijad tunneksid, et nad saavad tuge üleminekuga toimetulekul, et tagada 2050. aasta strateegia eesmärkide mõistmine ja heakskiitmine;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CO</w:t>
            </w:r>
            <w:r>
              <w:rPr>
                <w:vertAlign w:val="subscript"/>
              </w:rPr>
              <w:t>2</w:t>
            </w:r>
            <w:r>
              <w:t xml:space="preserve">-neutraalsele majandusele ülemineku juhtimine ei peaks mitte ainult toetama üleminekut uutele töökohtadele tärkavates sektorites, vaid ka hoidma ja kohandama olemasolevaid töökohti ja tegevusvaldkondi kliimaneutraalse ja puhta tööstuse ning tehnoloogiaga, </w:t>
            </w:r>
            <w:r>
              <w:rPr>
                <w:b/>
                <w:i/>
              </w:rPr>
              <w:t>arvestades</w:t>
            </w:r>
            <w:r>
              <w:t xml:space="preserve"> mõjutatud territooriumidel elavate inimestega; arvestades, et on oluline, et töötajad ja tööotsijad tunneksid, et nad saavad tuge üleminekuga toimetulekul, et tagada 2050. aasta strateegia eesmärkide mõistmine </w:t>
            </w:r>
            <w:r>
              <w:rPr>
                <w:b/>
                <w:i/>
              </w:rPr>
              <w:t>ja heakskiitmine</w:t>
            </w:r>
            <w:r>
              <w:t>;</w:t>
            </w:r>
          </w:p>
        </w:tc>
        <w:tc>
          <w:tcPr>
            <w:tcW w:w="4876" w:type="dxa"/>
            <w:tcBorders>
              <w:top w:val="nil"/>
              <w:left w:val="nil"/>
              <w:bottom w:val="nil"/>
              <w:right w:val="nil"/>
            </w:tcBorders>
          </w:tcPr>
          <w:p>
            <w:pPr>
              <w:pStyle w:val="Normal6a"/>
            </w:pPr>
            <w:r>
              <w:t>B.</w:t>
            </w:r>
            <w:r>
              <w:tab/>
            </w:r>
            <w:r>
              <w:t>arvestades, et CO</w:t>
            </w:r>
            <w:r>
              <w:rPr>
                <w:vertAlign w:val="subscript"/>
              </w:rPr>
              <w:t>2</w:t>
            </w:r>
            <w:r>
              <w:t xml:space="preserve">-neutraalsele majandusele ülemineku juhtimine ei peaks mitte ainult toetama üleminekut uutele töökohtadele tärkavates sektorites, vaid ka hoidma ja kohandama olemasolevaid töökohti ja tegevusvaldkondi kliimaneutraalse ja puhta tööstuse ning tehnoloogiaga, </w:t>
            </w:r>
            <w:r>
              <w:rPr>
                <w:b/>
                <w:i/>
              </w:rPr>
              <w:t>tehes seda partnerluses</w:t>
            </w:r>
            <w:r>
              <w:t xml:space="preserve"> mõjutatud territooriumidel elavate inimestega; arvestades, et on oluline, et töötajad ja tööotsijad tunneksid, et nad saavad tuge üleminekuga toimetulekul </w:t>
            </w:r>
            <w:r>
              <w:rPr>
                <w:b/>
                <w:i/>
              </w:rPr>
              <w:t>varajase ja pideva sotsiaaldialoogi, ühise kavandamise ja läbipaistva otsustusprotsessi kaudu</w:t>
            </w:r>
            <w:r>
              <w:t>, et tagada 2050. aasta strateegia eesmärkide mõistmine</w:t>
            </w:r>
            <w:r>
              <w:rPr>
                <w:b/>
                <w:i/>
              </w:rPr>
              <w:t>, usaldus ja kestvad demokraatlikud volitused</w:t>
            </w:r>
            <w:r>
              <w:t xml:space="preserve">; </w:t>
            </w:r>
            <w:r>
              <w:rPr>
                <w:b/>
                <w:i/>
              </w:rPr>
              <w:t>arvestades, et Eurofoundi uuringu</w:t>
            </w:r>
            <w:r>
              <w:rPr>
                <w:b/>
                <w:i/>
                <w:vertAlign w:val="superscript"/>
              </w:rPr>
              <w:t>1a</w:t>
            </w:r>
            <w:r>
              <w:t xml:space="preserve"> </w:t>
            </w:r>
            <w:r>
              <w:rPr>
                <w:b/>
                <w:i/>
              </w:rPr>
              <w:t>kohaselt on kodanikuühiskonna, sotsiaalpartnerite ja avaliku sektori asutuste laialdane kaasamine üleminekuprotsessi otsustava tähtsusega majandustegevusest ja ressurssidest saadava tulu kindlustamiseks ja õiglaseks jaotamiseks ning konfliktidega toimetulekuks;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(2024), „Creating a new social contract for the just transition:</w:t>
            </w:r>
            <w:r>
              <w:t xml:space="preserve"> </w:t>
            </w:r>
            <w:r>
              <w:rPr>
                <w:b/>
                <w:i/>
              </w:rPr>
              <w:t>Is partnership working?" (uue sotsiaalse lepingu sõlmimine õiglaseks üleminekuks: kas partnerlus toimib?)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w:t>
            </w:r>
            <w:r>
              <w:rPr>
                <w:b/>
                <w:i/>
              </w:rPr>
              <w:t>CO</w:t>
            </w:r>
            <w:r>
              <w:rPr>
                <w:b/>
                <w:i/>
                <w:vertAlign w:val="subscript"/>
              </w:rPr>
              <w:t>2</w:t>
            </w:r>
            <w:r>
              <w:rPr>
                <w:b/>
                <w:i/>
              </w:rPr>
              <w:t>-neutraalsele</w:t>
            </w:r>
            <w:r>
              <w:t xml:space="preserve"> majandusele ülemineku </w:t>
            </w:r>
            <w:r>
              <w:rPr>
                <w:b/>
                <w:i/>
              </w:rPr>
              <w:t>juhtimine</w:t>
            </w:r>
            <w:r>
              <w:t xml:space="preserve"> ei peaks mitte ainult toetama </w:t>
            </w:r>
            <w:r>
              <w:rPr>
                <w:b/>
                <w:i/>
              </w:rPr>
              <w:t>üleminekut uutele töökohtadele</w:t>
            </w:r>
            <w:r>
              <w:t xml:space="preserve"> tärkavates sektorites, vaid ka </w:t>
            </w:r>
            <w:r>
              <w:rPr>
                <w:b/>
                <w:i/>
              </w:rPr>
              <w:t>hoidma ja kohandama</w:t>
            </w:r>
            <w:r>
              <w:t xml:space="preserve"> olemasolevaid töökohti ja </w:t>
            </w:r>
            <w:r>
              <w:rPr>
                <w:b/>
                <w:i/>
              </w:rPr>
              <w:t>tegevusvaldkondi kliimaneutraalse ja puhta</w:t>
            </w:r>
            <w:r>
              <w:t xml:space="preserve"> tööstuse </w:t>
            </w:r>
            <w:r>
              <w:rPr>
                <w:b/>
                <w:i/>
              </w:rPr>
              <w:t>ning</w:t>
            </w:r>
            <w:r>
              <w:t xml:space="preserve"> tehnoloogiaga</w:t>
            </w:r>
            <w:r>
              <w:rPr>
                <w:b/>
                <w:i/>
              </w:rPr>
              <w:t>, arvestades mõjutatud territooriumidel elavate inimestega</w:t>
            </w:r>
            <w:r>
              <w:t xml:space="preserve">; </w:t>
            </w:r>
            <w:r>
              <w:rPr>
                <w:b/>
                <w:i/>
              </w:rPr>
              <w:t>arvestades, et on oluline, et töötajad ja tööotsijad tunneksid, et nad saavad tuge üleminekuga toimetulekul, et tagada 2050. aasta strateegia eesmärkide mõistmine ja heakskiitmine;</w:t>
            </w:r>
          </w:p>
        </w:tc>
        <w:tc>
          <w:tcPr>
            <w:tcW w:w="4876" w:type="dxa"/>
            <w:tcBorders>
              <w:top w:val="nil"/>
              <w:left w:val="nil"/>
              <w:bottom w:val="nil"/>
              <w:right w:val="nil"/>
            </w:tcBorders>
          </w:tcPr>
          <w:p>
            <w:pPr>
              <w:pStyle w:val="Normal6a"/>
            </w:pPr>
            <w:r>
              <w:t>B.</w:t>
            </w:r>
            <w:r>
              <w:tab/>
            </w:r>
            <w:r>
              <w:t xml:space="preserve">arvestades, et </w:t>
            </w:r>
            <w:r>
              <w:rPr>
                <w:b/>
                <w:i/>
              </w:rPr>
              <w:t>sellisele</w:t>
            </w:r>
            <w:r>
              <w:t xml:space="preserve"> majandusele ülemineku </w:t>
            </w:r>
            <w:r>
              <w:rPr>
                <w:b/>
                <w:i/>
              </w:rPr>
              <w:t>juhtimisel, milles suhtutakse enda poolt tekitatud saastesse vastutustundlikumalt,</w:t>
            </w:r>
            <w:r>
              <w:t xml:space="preserve"> ei peaks mitte ainult toetama </w:t>
            </w:r>
            <w:r>
              <w:rPr>
                <w:b/>
                <w:i/>
              </w:rPr>
              <w:t>investeeringuid uutesse töökohtadesse</w:t>
            </w:r>
            <w:r>
              <w:t xml:space="preserve"> tärkavates sektorites, vaid ka olemasolevaid töökohti ja </w:t>
            </w:r>
            <w:r>
              <w:rPr>
                <w:b/>
                <w:i/>
              </w:rPr>
              <w:t>sektoreid säilitama ning kohandama neid puhtama</w:t>
            </w:r>
            <w:r>
              <w:t xml:space="preserve"> tööstuse </w:t>
            </w:r>
            <w:r>
              <w:rPr>
                <w:b/>
                <w:i/>
              </w:rPr>
              <w:t>ja</w:t>
            </w:r>
            <w:r>
              <w:t xml:space="preserve"> tehnoloogiaga;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CO</w:t>
            </w:r>
            <w:r>
              <w:rPr>
                <w:vertAlign w:val="subscript"/>
              </w:rPr>
              <w:t>2</w:t>
            </w:r>
            <w:r>
              <w:t xml:space="preserve">-neutraalsele majandusele ülemineku juhtimine ei peaks mitte ainult toetama üleminekut uutele töökohtadele tärkavates sektorites, vaid ka hoidma ja kohandama olemasolevaid töökohti ja tegevusvaldkondi </w:t>
            </w:r>
            <w:r>
              <w:rPr>
                <w:b/>
                <w:i/>
              </w:rPr>
              <w:t>kliimaneutraalse</w:t>
            </w:r>
            <w:r>
              <w:t xml:space="preserve"> ja puhta tööstuse ning tehnoloogiaga, arvestades mõjutatud territooriumidel elavate inimestega; arvestades, et on oluline, et töötajad ja tööotsijad tunneksid, et nad saavad tuge üleminekuga toimetulekul, et tagada 2050. aasta strateegia eesmärkide mõistmine ja heakskiitmine;</w:t>
            </w:r>
          </w:p>
        </w:tc>
        <w:tc>
          <w:tcPr>
            <w:tcW w:w="4876" w:type="dxa"/>
            <w:tcBorders>
              <w:top w:val="nil"/>
              <w:left w:val="nil"/>
              <w:bottom w:val="nil"/>
              <w:right w:val="nil"/>
            </w:tcBorders>
          </w:tcPr>
          <w:p>
            <w:pPr>
              <w:pStyle w:val="Normal6a"/>
            </w:pPr>
            <w:r>
              <w:t>B.</w:t>
            </w:r>
            <w:r>
              <w:tab/>
            </w:r>
            <w:r>
              <w:t>arvestades, et CO</w:t>
            </w:r>
            <w:r>
              <w:rPr>
                <w:vertAlign w:val="subscript"/>
              </w:rPr>
              <w:t>2</w:t>
            </w:r>
            <w:r>
              <w:t xml:space="preserve">-neutraalsele majandusele ülemineku juhtimine ei peaks mitte ainult toetama üleminekut uutele töökohtadele tärkavates sektorites, vaid ka hoidma ja kohandama olemasolevaid töökohti ja tegevusvaldkondi </w:t>
            </w:r>
            <w:r>
              <w:rPr>
                <w:b/>
                <w:i/>
              </w:rPr>
              <w:t>vähese süsinikuheitega</w:t>
            </w:r>
            <w:r>
              <w:t xml:space="preserve"> ja puhta tööstuse ning tehnoloogiaga, arvestades mõjutatud territooriumidel elavate inimestega</w:t>
            </w:r>
            <w:r>
              <w:rPr>
                <w:b/>
                <w:i/>
              </w:rPr>
              <w:t>;</w:t>
            </w:r>
            <w:r>
              <w:t xml:space="preserve"> </w:t>
            </w:r>
            <w:r>
              <w:rPr>
                <w:b/>
                <w:i/>
              </w:rPr>
              <w:t>arvestades, et 2050. aastaks tuleb ümber kujundada terved fossiilkütustest sõltuvad piirkonnad ja tööstusharud</w:t>
            </w:r>
            <w:r>
              <w:t>; arvestades, et on oluline, et töötajad ja tööotsijad tunneksid, et nad saavad tuge üleminekuga toimetulekul, et tagada 2050. aasta strateegia eesmärkide mõistmine ja heakskiitmine;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CO</w:t>
            </w:r>
            <w:r>
              <w:rPr>
                <w:vertAlign w:val="subscript"/>
              </w:rPr>
              <w:t>2</w:t>
            </w:r>
            <w:r>
              <w:t>-neutraalsele majandusele ülemineku juhtimine ei peaks mitte ainult toetama üleminekut uutele töökohtadele tärkavates sektorites, vaid ka hoidma ja kohandama olemasolevaid töökohti ja tegevusvaldkondi kliimaneutraalse ja puhta tööstuse ning tehnoloogiaga</w:t>
            </w:r>
            <w:r>
              <w:rPr>
                <w:b/>
                <w:i/>
              </w:rPr>
              <w:t>, arvestades</w:t>
            </w:r>
            <w:r>
              <w:t xml:space="preserve"> mõjutatud territooriumidel elavate </w:t>
            </w:r>
            <w:r>
              <w:rPr>
                <w:b/>
                <w:i/>
              </w:rPr>
              <w:t>inimestega</w:t>
            </w:r>
            <w:r>
              <w:t xml:space="preserve">; arvestades, et on oluline, et töötajad ja tööotsijad tunneksid, et nad saavad tuge üleminekuga toimetulekul, et tagada 2050. aasta strateegia eesmärkide mõistmine </w:t>
            </w:r>
            <w:r>
              <w:rPr>
                <w:b/>
                <w:i/>
              </w:rPr>
              <w:t>ja</w:t>
            </w:r>
            <w:r>
              <w:t xml:space="preserve"> heakskiitmine;</w:t>
            </w:r>
          </w:p>
        </w:tc>
        <w:tc>
          <w:tcPr>
            <w:tcW w:w="4876" w:type="dxa"/>
            <w:tcBorders>
              <w:top w:val="nil"/>
              <w:left w:val="nil"/>
              <w:bottom w:val="nil"/>
              <w:right w:val="nil"/>
            </w:tcBorders>
          </w:tcPr>
          <w:p>
            <w:pPr>
              <w:pStyle w:val="Normal6a"/>
            </w:pPr>
            <w:r>
              <w:t>B.</w:t>
            </w:r>
            <w:r>
              <w:tab/>
            </w:r>
            <w:r>
              <w:t>arvestades, et CO</w:t>
            </w:r>
            <w:r>
              <w:rPr>
                <w:vertAlign w:val="subscript"/>
              </w:rPr>
              <w:t>2</w:t>
            </w:r>
            <w:r>
              <w:t xml:space="preserve">-neutraalsele majandusele ülemineku juhtimine ei peaks mitte ainult toetama üleminekut uutele töökohtadele tärkavates sektorites, vaid ka hoidma ja kohandama olemasolevaid töökohti ja tegevusvaldkondi kliimaneutraalse ja puhta tööstuse ning tehnoloogiaga </w:t>
            </w:r>
            <w:r>
              <w:rPr>
                <w:b/>
                <w:i/>
              </w:rPr>
              <w:t>ning inimeste, eriti rohkem</w:t>
            </w:r>
            <w:r>
              <w:t xml:space="preserve"> mõjutatud territooriumidel elavate </w:t>
            </w:r>
            <w:r>
              <w:rPr>
                <w:b/>
                <w:i/>
              </w:rPr>
              <w:t>inimeste jaoks mõeldud tehnoloogiaga</w:t>
            </w:r>
            <w:r>
              <w:t>; arvestades, et on oluline, et töötajad ja tööotsijad tunneksid, et nad saavad tuge üleminekuga toimetulekul, et tagada 2050. aasta strateegia eesmärkide mõistmine</w:t>
            </w:r>
            <w:r>
              <w:rPr>
                <w:b/>
                <w:i/>
              </w:rPr>
              <w:t>,</w:t>
            </w:r>
            <w:r>
              <w:t xml:space="preserve"> heakskiitmine </w:t>
            </w:r>
            <w:r>
              <w:rPr>
                <w:b/>
                <w:i/>
              </w:rPr>
              <w:t>ja mõjusus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CO</w:t>
            </w:r>
            <w:r>
              <w:rPr>
                <w:vertAlign w:val="subscript"/>
              </w:rPr>
              <w:t>2</w:t>
            </w:r>
            <w:r>
              <w:t>-neutraalsele majandusele ülemineku juhtimine ei peaks mitte ainult toetama üleminekut uutele töökohtadele tärkavates sektorites, vaid ka hoidma ja kohandama olemasolevaid töökohti ja tegevusvaldkondi kliimaneutraalse ja puhta tööstuse ning tehnoloogiaga, arvestades mõjutatud territooriumidel elavate inimestega; arvestades, et on oluline, et töötajad ja tööotsijad tunneksid, et nad saavad tuge üleminekuga toimetulekul, et tagada 2050. aasta strateegia eesmärkide mõistmine ja heakskiitmine;</w:t>
            </w:r>
          </w:p>
        </w:tc>
        <w:tc>
          <w:tcPr>
            <w:tcW w:w="4876" w:type="dxa"/>
            <w:tcBorders>
              <w:top w:val="nil"/>
              <w:left w:val="nil"/>
              <w:bottom w:val="nil"/>
              <w:right w:val="nil"/>
            </w:tcBorders>
          </w:tcPr>
          <w:p>
            <w:pPr>
              <w:pStyle w:val="Normal6a"/>
            </w:pPr>
            <w:r>
              <w:t>B.</w:t>
            </w:r>
            <w:r>
              <w:tab/>
            </w:r>
            <w:r>
              <w:t>arvestades, et CO</w:t>
            </w:r>
            <w:r>
              <w:rPr>
                <w:vertAlign w:val="subscript"/>
              </w:rPr>
              <w:t>2</w:t>
            </w:r>
            <w:r>
              <w:t xml:space="preserve">-neutraalsele majandusele ülemineku juhtimine ei peaks mitte ainult toetama üleminekut uutele </w:t>
            </w:r>
            <w:r>
              <w:rPr>
                <w:b/>
                <w:i/>
              </w:rPr>
              <w:t>kvaliteetsetele</w:t>
            </w:r>
            <w:r>
              <w:t xml:space="preserve"> töökohtadele tärkavates sektorites, vaid ka hoidma ja kohandama olemasolevaid töökohti ja tegevusvaldkondi kliimaneutraalse ja puhta tööstuse ning tehnoloogiaga, arvestades mõjutatud territooriumidel elavate inimestega; arvestades, et on oluline, et </w:t>
            </w:r>
            <w:r>
              <w:rPr>
                <w:b/>
                <w:i/>
              </w:rPr>
              <w:t>kõik, sealhulgas</w:t>
            </w:r>
            <w:r>
              <w:t xml:space="preserve"> töötajad ja tööotsijad</w:t>
            </w:r>
            <w:r>
              <w:rPr>
                <w:b/>
                <w:i/>
              </w:rPr>
              <w:t>,</w:t>
            </w:r>
            <w:r>
              <w:t xml:space="preserve"> tunneksid, et nad saavad tuge üleminekuga toimetulekul, et tagada 2050. aasta strateegia eesmärkide mõistmine ja heakskiitmine;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lisaks vajadusele tagada, et piisavalt tööturule sisenejaid omandavad tulevikumajanduse jaoks vajalikud oskused, on veel üks probleem — töötajate täiendus- ja ümberõpe, eelkõige selleks, et vastata tööturu praegustele ja muutuvatele vajadustele;</w:t>
            </w:r>
            <w:r>
              <w:t xml:space="preserve"> </w:t>
            </w:r>
            <w:r>
              <w:rPr>
                <w:b/>
                <w:i/>
              </w:rPr>
              <w:t>arvestades, et see on sageli keerulisem eakamate töötajate ja eriti madala kvalifikatsiooniga töötajate jaoks, kellel võivad olla suuremad takistused oskuste täiendamisel ja uute töökohtade pärast konkureerimisel;</w:t>
            </w:r>
            <w:r>
              <w:t xml:space="preserve"> </w:t>
            </w:r>
            <w:r>
              <w:rPr>
                <w:b/>
                <w:i/>
              </w:rPr>
              <w:t>arvestades, et tekib ka ruumiline probleem, kuna vähese süsinikuheitega majanduses võidakse töökohti luua piirkondades, mis on väga erinevad piirkondadest, kus töökohad kaovad;</w:t>
            </w:r>
            <w:r>
              <w:t xml:space="preserve"> </w:t>
            </w:r>
            <w:r>
              <w:rPr>
                <w:b/>
                <w:i/>
              </w:rPr>
              <w:t>arvestades, et haridus- ja koolitusalased pingutused peavad seetõttu olema tihedalt seotud õiglase ülemineku poliitikaga;</w:t>
            </w:r>
            <w:r>
              <w:t xml:space="preserve"> </w:t>
            </w:r>
            <w:r>
              <w:rPr>
                <w:b/>
                <w:i/>
              </w:rPr>
              <w:t>arvestades, et ebasoodsas olukorras olevad töötajad ja kogukonnad vajavad sihipärast tuge, et neid ei jäetaks kõrvale;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arvestades, et rohepööre eeldab märkimisväärseid investeeringuid ümberõppesse ja oskuste täiendamisse, et anda töötajatele nii igale kutsealale omased tehnilised oskused kui ka nõutavad pehmed põhioskused;</w:t>
            </w:r>
            <w:r>
              <w:t xml:space="preserve"> </w:t>
            </w:r>
            <w:r>
              <w:rPr>
                <w:b/>
                <w:i/>
              </w:rPr>
              <w:t>arvestades, et oskuste nappus ja tööjõupuudus on iga uue toote või teenuse tekkimisel peaaegu vältimatud ning rohe- ja digimajandus ei ole erand;</w:t>
            </w:r>
            <w:r>
              <w:t xml:space="preserve"> </w:t>
            </w:r>
            <w:r>
              <w:rPr>
                <w:b/>
                <w:i/>
              </w:rPr>
              <w:t>ning arvestades, et integreeritud poliitikameetmed, milles on ühendatud oskuste arendamine, rahandus- ja tööstuspoliitika, on peamine konkurentsivõime, investeeringute ja kestlike töökohtade loomise võimaldaja;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arvestades, et oskuste ja kvalifikatsioonide Euroopa kaardi loomine on oluline vahend konkurentsivõime tugevdamiseks, tööturu asjakohasuse ja tööjõu liikuvuse tagamiseks ning ettevõtjate ja ettevõtete juurdepääsul nii tehniliste kui ka valdkonnaüleste pädevustega tööjõule;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arvestades, et teatavate põhioskuste omandamine või parandamine on inimese tööalase konkurentsivõime seisukohalt tõenäoliselt olulisem kui teatavate ametite või tehnoloogiate jaoks väga spetsiifilised oskused ja pädevused;</w:t>
            </w:r>
            <w:r>
              <w:t xml:space="preserve"> </w:t>
            </w:r>
            <w:r>
              <w:rPr>
                <w:b/>
                <w:i/>
              </w:rPr>
              <w:t>arvestades, et kirja- ja arvutusoskused, samuti otsuste tegemine, meeskonnatöö ja suhtlemisoskused on kriitilise tähtsusega, kuna need mõjutavad inimeste võimet meeskonnas hästi toimida, suurendades seeläbi nende kohanemisvõimet ja tööalast liikuvust;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arvestades, et Euroopa majanduse ümberkorraldamine eeldab tugevat keskendumist konkurentsivõimele ja majanduskasvule;</w:t>
            </w:r>
            <w:r>
              <w:t xml:space="preserve"> </w:t>
            </w:r>
            <w:r>
              <w:rPr>
                <w:b/>
                <w:i/>
              </w:rPr>
              <w:t>arvestades, et erainvesteeringute kaasamiseks on väga oluline vähendada bürokraatiat ja tagada rahaliste vahendite tõhus kasutamine;</w:t>
            </w:r>
            <w:r>
              <w:t xml:space="preserve"> </w:t>
            </w:r>
            <w:r>
              <w:rPr>
                <w:b/>
                <w:i/>
              </w:rPr>
              <w:t>arvestades, et ettevõtjatele ja töökohtade loojatele tuleb anda õiged tingimused investeerimiseks ja tegevuse laiendamiseks;</w:t>
            </w:r>
            <w:r>
              <w:t xml:space="preserve"> </w:t>
            </w:r>
            <w:r>
              <w:rPr>
                <w:b/>
                <w:i/>
              </w:rPr>
              <w:t>ning arvestades, et oskuste poliitika peaks olema suunatud tööturu nõudlusele, ühendades ümberõppe, täiendõppe, kutsehariduse ja -õppe ning elukestva õppe, et ehitada üles tööjõud, mis tugevdab Euroopa strateegilist autonoomiat;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arvestades, et Euroopa oskuste, konkurentsivõime ja investeeringute strateegiad peaksid looma võimalusi nii suurettevõtetele kui ka VKEdele, tegeledes samal ajal ka riiklike, piirkondlike ja kohalike vajadustega;</w:t>
            </w:r>
            <w:r>
              <w:t xml:space="preserve"> </w:t>
            </w:r>
            <w:r>
              <w:rPr>
                <w:b/>
                <w:i/>
              </w:rPr>
              <w:t>arvestades, et poliitika, mis tugevdab tööstussuutlikkust, soodustab ettevõtlust ja kujundab välja töötajaskonna, kellel on kohalikele oludele kohandatud oskused, on oluline tagamaks, et kõik eurooplased saaksid majanduskasvust ja innovatsioonist kasu;</w:t>
            </w:r>
            <w:r>
              <w:t xml:space="preserve"> </w:t>
            </w:r>
            <w:r>
              <w:rPr>
                <w:b/>
                <w:i/>
              </w:rPr>
              <w:t>arvestades, et tähtis on nii linnas kui ka maapiirkondades elavad kodanikud oleksid kaasatud õiglasesse üleminekusse, millega tasakaalustatakse konkurentsivõime solidaarsusega, nii et kodanikud saaksid olla kindlad oma töös, panuses ja eluviisis, et kedagi ei jäetaks kõrvale ning et kodanikud toetaksid seda;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arvestades, et kuigi mitme olulise liidu seadusandliku ja muu kui seadusandliku algatuse (eelkõige õiglase ülemineku mehhanism, õiglase ülemineku fond, oskuste liit, kliimameetmete sotsiaalfond, ESF+ ning taaste- ja vastupidavusrahastu) eesmärk on leevendada kaksikülemineku mõju või saab selliste algatuste abil kaksikülemineku mõju leevendada, esineb õigus- ja poliitikaraamistikus endiselt lünki seoses häiretega töökohal, töötajate õiguste, sotsiaalkaitse ja sotsiaaldialoogiga;</w:t>
            </w:r>
            <w:r>
              <w:t xml:space="preserve"> </w:t>
            </w:r>
            <w:r>
              <w:rPr>
                <w:b/>
                <w:i/>
              </w:rPr>
              <w:t>arvestades, et ainult liidu tasandi meetmetega saab tagada tõelise lisaväärtuse ja samaaegse ülespoole suunatud sotsiaalse lähenemise, et täita lubadus mitte kedagi kõrvale jätta;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arvestades, et kuigi mitme olulise liidu seadusandliku ja muu kui seadusandliku algatuse (eelkõige õiglase ülemineku mehhanism, õiglase ülemineku fond, oskuste liit, kliimameetmete sotsiaalfond, ESF+ ning taaste- ja vastupidavusrahastu) eesmärk on leevendada kaksikülemineku mõju või saab selliste algatuste abil kaksikülemineku mõju leevendada, esineb õigus- ja poliitikaraamistikus endiselt lünki seoses häiretega töökohal, töötajate õiguste, sotsiaalkaitse ja sotsiaaldialoogiga;</w:t>
            </w:r>
            <w:r>
              <w:t xml:space="preserve"> </w:t>
            </w:r>
            <w:r>
              <w:rPr>
                <w:b/>
                <w:i/>
              </w:rPr>
              <w:t>arvestades, et ainult liidu tasandi meetmetega saab tagada tõelise lisaväärtuse ja samaaegse ülespoole suunatud sotsiaalse lähenemise, et täita lubadus mitte kedagi kõrvale jätta;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kuigi mitme olulise liidu seadusandliku ja muu kui seadusandliku algatuse (eelkõige õiglase ülemineku mehhanism, õiglase ülemineku fond, oskuste liit, kliimameetmete sotsiaalfond, ESF+ ning taaste- ja vastupidavusrahastu) eesmärk on leevendada kaksikülemineku mõju või saab selliste algatuste abil kaksikülemineku mõju leevendada, </w:t>
            </w:r>
            <w:r>
              <w:rPr>
                <w:b/>
                <w:i/>
              </w:rPr>
              <w:t>esineb õigus- ja poliitikaraamistikus endiselt lünki</w:t>
            </w:r>
            <w:r>
              <w:t xml:space="preserve"> seoses häiretega töökohal, töötajate õiguste, sotsiaalkaitse ja sotsiaaldialoogiga; arvestades, et </w:t>
            </w:r>
            <w:r>
              <w:rPr>
                <w:b/>
                <w:i/>
              </w:rPr>
              <w:t>ainult liidu tasandi meetmetega saab tagada tõelise lisaväärtuse ja samaaegse ülespoole suunatud sotsiaalse lähenemise, et täita lubadus mitte kedagi kõrvale jätta</w:t>
            </w:r>
            <w:r>
              <w:t>;</w:t>
            </w:r>
          </w:p>
        </w:tc>
        <w:tc>
          <w:tcPr>
            <w:tcW w:w="4876" w:type="dxa"/>
            <w:tcBorders>
              <w:top w:val="nil"/>
              <w:left w:val="nil"/>
              <w:bottom w:val="nil"/>
              <w:right w:val="nil"/>
            </w:tcBorders>
          </w:tcPr>
          <w:p>
            <w:pPr>
              <w:pStyle w:val="Normal6a"/>
            </w:pPr>
            <w:r>
              <w:t>C.</w:t>
            </w:r>
            <w:r>
              <w:tab/>
            </w:r>
            <w:r>
              <w:t xml:space="preserve">arvestades, et kuigi mitme olulise liidu seadusandliku ja muu kui seadusandliku algatuse (eelkõige õiglase ülemineku mehhanism, õiglase ülemineku fond, oskuste liit, kliimameetmete sotsiaalfond, ESF+ ning taaste- ja vastupidavusrahastu) eesmärk on leevendada kaksikülemineku mõju või saab selliste algatuste abil kaksikülemineku mõju leevendada, </w:t>
            </w:r>
            <w:r>
              <w:rPr>
                <w:b/>
                <w:i/>
              </w:rPr>
              <w:t>tuleb neid muuta</w:t>
            </w:r>
            <w:r>
              <w:t xml:space="preserve"> seoses häiretega töökohal, töötajate õiguste, sotsiaalkaitse ja sotsiaaldialoogiga; arvestades, et </w:t>
            </w:r>
            <w:r>
              <w:rPr>
                <w:b/>
                <w:i/>
              </w:rPr>
              <w:t>liit peaks keskenduma liikmesriikide toetamisele valdkondades, kus Euroopa koostöö loob selget lisaväärtust, vältides samal ajal kõigile sobivat ühtset lähenemisviisi, mis võib kahjustada riiklikke tööturumudeleid ja traditsioone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kuigi mitme olulise liidu seadusandliku ja muu kui seadusandliku algatuse (eelkõige õiglase ülemineku mehhanism, õiglase ülemineku fond, oskuste liit, kliimameetmete sotsiaalfond, ESF+ ning taaste- ja vastupidavusrahastu) eesmärk on leevendada kaksikülemineku mõju või saab selliste algatuste abil kaksikülemineku mõju leevendada, esineb õigus- ja poliitikaraamistikus endiselt lünki seoses häiretega töökohal, töötajate õiguste, sotsiaalkaitse ja sotsiaaldialoogiga; arvestades, et </w:t>
            </w:r>
            <w:r>
              <w:rPr>
                <w:b/>
                <w:i/>
              </w:rPr>
              <w:t>ainult liidu tasandi meetmetega saab tagada</w:t>
            </w:r>
            <w:r>
              <w:t xml:space="preserve"> tõelise lisaväärtuse </w:t>
            </w:r>
            <w:r>
              <w:rPr>
                <w:b/>
                <w:i/>
              </w:rPr>
              <w:t>ja samaaegse ülespoole suunatud sotsiaalse lähenemise, et täita lubadus mitte kedagi kõrvale jätta</w:t>
            </w:r>
            <w:r>
              <w:t>;</w:t>
            </w:r>
          </w:p>
        </w:tc>
        <w:tc>
          <w:tcPr>
            <w:tcW w:w="4876" w:type="dxa"/>
            <w:tcBorders>
              <w:top w:val="nil"/>
              <w:left w:val="nil"/>
              <w:bottom w:val="nil"/>
              <w:right w:val="nil"/>
            </w:tcBorders>
          </w:tcPr>
          <w:p>
            <w:pPr>
              <w:pStyle w:val="Normal6a"/>
            </w:pPr>
            <w:r>
              <w:t>C.</w:t>
            </w:r>
            <w:r>
              <w:tab/>
            </w:r>
            <w:r>
              <w:t xml:space="preserve">arvestades, et kuigi mitme olulise liidu seadusandliku ja muu kui seadusandliku algatuse </w:t>
            </w:r>
            <w:r>
              <w:rPr>
                <w:b/>
                <w:i/>
              </w:rPr>
              <w:t>ja maksumaksja rahastatava toetuse</w:t>
            </w:r>
            <w:r>
              <w:t xml:space="preserve"> (eelkõige õiglase ülemineku mehhanism, õiglase ülemineku fond, oskuste liit, kliimameetmete sotsiaalfond, ESF+ ning taaste- ja vastupidavusrahastu) eesmärk on leevendada kaksikülemineku mõju või saab selliste algatuste abil kaksikülemineku mõju leevendada, esineb õigus- ja poliitikaraamistikus endiselt lünki seoses häiretega töökohal, töötajate õiguste, sotsiaalkaitse ja sotsiaaldialoogiga; arvestades, et tõelise lisaväärtuse </w:t>
            </w:r>
            <w:r>
              <w:rPr>
                <w:b/>
                <w:i/>
              </w:rPr>
              <w:t>saab tagada ainult liikmesriikide tasandi meetmetega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kuigi mitme olulise liidu seadusandliku ja muu kui seadusandliku algatuse (eelkõige õiglase ülemineku mehhanism, õiglase ülemineku fond, oskuste liit, kliimameetmete sotsiaalfond, ESF+ ning taaste- ja vastupidavusrahastu) eesmärk on leevendada kaksikülemineku mõju või saab selliste algatuste abil kaksikülemineku mõju leevendada, esineb õigus- ja poliitikaraamistikus endiselt lünki seoses häiretega töökohal, töötajate õiguste, sotsiaalkaitse </w:t>
            </w:r>
            <w:r>
              <w:rPr>
                <w:b/>
                <w:i/>
              </w:rPr>
              <w:t>ja sotsiaaldialoogiga</w:t>
            </w:r>
            <w:r>
              <w:t>; arvestades, et ainult liidu tasandi meetmetega saab tagada tõelise lisaväärtuse ja samaaegse ülespoole suunatud sotsiaalse lähenemise, et täita lubadus mitte kedagi kõrvale jätta;</w:t>
            </w:r>
          </w:p>
        </w:tc>
        <w:tc>
          <w:tcPr>
            <w:tcW w:w="4876" w:type="dxa"/>
            <w:tcBorders>
              <w:top w:val="nil"/>
              <w:left w:val="nil"/>
              <w:bottom w:val="nil"/>
              <w:right w:val="nil"/>
            </w:tcBorders>
          </w:tcPr>
          <w:p>
            <w:pPr>
              <w:pStyle w:val="Normal6a"/>
            </w:pPr>
            <w:r>
              <w:t>C.</w:t>
            </w:r>
            <w:r>
              <w:tab/>
            </w:r>
            <w:r>
              <w:t>arvestades, et kuigi mitme olulise liidu seadusandliku ja muu kui seadusandliku algatuse (eelkõige õiglase ülemineku mehhanism, õiglase ülemineku fond</w:t>
            </w:r>
            <w:r>
              <w:rPr>
                <w:b/>
                <w:i/>
              </w:rPr>
              <w:t>, EGF</w:t>
            </w:r>
            <w:r>
              <w:t>, oskuste liit, kliimameetmete sotsiaalfond, ESF+ ning taaste- ja vastupidavusrahastu) eesmärk on leevendada kaksikülemineku mõju või saab selliste algatuste abil kaksikülemineku mõju leevendada, esineb õigus- ja poliitikaraamistikus endiselt lünki seoses häiretega töökohal, töötajate õiguste, sotsiaalkaitse</w:t>
            </w:r>
            <w:r>
              <w:rPr>
                <w:b/>
                <w:i/>
              </w:rPr>
              <w:t>, sotsiaaldialoogi ning haridus- ja koolitusvõimalustega</w:t>
            </w:r>
            <w:r>
              <w:t xml:space="preserve">; arvestades, et ainult liidu tasandi meetmetega saab tagada tõelise lisaväärtuse ja samaaegse ülespoole suunatud sotsiaalse lähenemise, et täita lubadus mitte kedagi kõrvale jätta </w:t>
            </w:r>
            <w:r>
              <w:rPr>
                <w:b/>
                <w:i/>
              </w:rPr>
              <w:t>ja Euroopa sotsiaalõiguse samba põhimõtteid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kuigi mitme olulise liidu seadusandliku ja muu kui seadusandliku algatuse (eelkõige õiglase ülemineku mehhanism, õiglase ülemineku fond, oskuste liit, kliimameetmete sotsiaalfond, ESF+ ning taaste- ja vastupidavusrahastu) eesmärk on leevendada kaksikülemineku mõju või saab selliste algatuste abil kaksikülemineku mõju leevendada</w:t>
            </w:r>
            <w:r>
              <w:rPr>
                <w:b/>
                <w:i/>
              </w:rPr>
              <w:t>, esineb</w:t>
            </w:r>
            <w:r>
              <w:t xml:space="preserve"> õigus- ja poliitikaraamistikus endiselt lünki seoses häiretega töökohal, töötajate õiguste, sotsiaalkaitse ja sotsiaaldialoogiga; arvestades, et ainult liidu tasandi meetmetega saab tagada tõelise lisaväärtuse ja samaaegse ülespoole suunatud sotsiaalse lähenemise, et täita lubadus mitte kedagi kõrvale jätta;</w:t>
            </w:r>
          </w:p>
        </w:tc>
        <w:tc>
          <w:tcPr>
            <w:tcW w:w="4876" w:type="dxa"/>
            <w:tcBorders>
              <w:top w:val="nil"/>
              <w:left w:val="nil"/>
              <w:bottom w:val="nil"/>
              <w:right w:val="nil"/>
            </w:tcBorders>
          </w:tcPr>
          <w:p>
            <w:pPr>
              <w:pStyle w:val="Normal6a"/>
            </w:pPr>
            <w:r>
              <w:t>C.</w:t>
            </w:r>
            <w:r>
              <w:tab/>
            </w:r>
            <w:r>
              <w:t xml:space="preserve">arvestades, et kuigi mitme olulise liidu seadusandliku ja muu kui seadusandliku algatuse (eelkõige õiglase ülemineku mehhanism, õiglase ülemineku fond, oskuste liit, kliimameetmete sotsiaalfond, ESF+ ning taaste- ja vastupidavusrahastu) eesmärk on leevendada kaksikülemineku mõju või saab selliste algatuste abil kaksikülemineku mõju leevendada </w:t>
            </w:r>
            <w:r>
              <w:rPr>
                <w:b/>
                <w:i/>
              </w:rPr>
              <w:t>ning konkurentsivõimet suurendada;</w:t>
            </w:r>
            <w:r>
              <w:t xml:space="preserve"> õigus- ja poliitikaraamistikus </w:t>
            </w:r>
            <w:r>
              <w:rPr>
                <w:b/>
                <w:i/>
              </w:rPr>
              <w:t>esineb</w:t>
            </w:r>
            <w:r>
              <w:t xml:space="preserve"> endiselt lünki seoses häiretega töökohal, töötajate õiguste, sotsiaalkaitse ja sotsiaaldialoogiga; arvestades, et ainult liidu tasandi meetmetega saab tagada tõelise lisaväärtuse ja samaaegse ülespoole suunatud sotsiaalse lähenemise, et täita lubadus mitte kedagi kõrvale jätta;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arvestades, et Eurofoundi uuringu</w:t>
            </w:r>
            <w:r>
              <w:rPr>
                <w:b/>
                <w:i/>
                <w:vertAlign w:val="superscript"/>
              </w:rPr>
              <w:t>1b</w:t>
            </w:r>
            <w:r>
              <w:t xml:space="preserve"> </w:t>
            </w:r>
            <w:r>
              <w:rPr>
                <w:b/>
                <w:i/>
              </w:rPr>
              <w:t>kohaselt on kaksiküleminekuga seotud aspektid kollektiivlepingutes vaevu esindatud ning töötajate esindajad näivad olevat rohe- ja digipöördega seotud restruktureerimisjuhtumitesse vähem kaasatud kui muudesse restruktureerimisjuhtumitesse;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Eurofound (2024) „Creating a new social contract for the just transition:</w:t>
            </w:r>
            <w:r>
              <w:t xml:space="preserve"> </w:t>
            </w:r>
            <w:r>
              <w:rPr>
                <w:b/>
                <w:i/>
              </w:rPr>
              <w:t>Is partnership working?" (uue sotsiaalse lepingu sõlmimine õiglaseks üleminekuks kas partnerlus toimib?)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arvestades, et Draghi aruandes leitakse, et püsiv oskuste nappus takistab innovatsiooni, tehnoloogia kasutuselevõttu ja CO</w:t>
            </w:r>
            <w:r>
              <w:rPr>
                <w:b/>
                <w:i/>
                <w:vertAlign w:val="subscript"/>
              </w:rPr>
              <w:t>2</w:t>
            </w:r>
            <w:r>
              <w:rPr>
                <w:b/>
                <w:i/>
              </w:rPr>
              <w:t xml:space="preserve"> heite vähendamist, mis omakorda pärsib majanduskasvu ja konkurentsivõimet;</w:t>
            </w:r>
            <w:r>
              <w:t xml:space="preserve"> </w:t>
            </w:r>
            <w:r>
              <w:rPr>
                <w:b/>
                <w:i/>
              </w:rPr>
              <w:t>arvestades, et Draghi aruandes märgitakse, et peaaegu 80 %-l väikestel ja keskmise suurusega ettevõtjatel on raskusi õigete oskustega töötajate leidmisega;</w:t>
            </w:r>
            <w:r>
              <w:t xml:space="preserve"> </w:t>
            </w:r>
            <w:r>
              <w:rPr>
                <w:b/>
                <w:i/>
              </w:rPr>
              <w:t>arvestades, et Draghi aruandes rõhutatakse ka vajadust tagada see, et tootlikkuse kasv ja sotsiaalne kaasatus käiksid käsikäes ning et liikmesriikide sotsiaalhoolekandesüsteemidel oleks oluline roll tugevate avalike teenuste, sotsiaalkaitse, eluasemete, transpordi ja lastehoiu võimaldamisel ülemineku ajal;</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et Draghi aruandes leitakse, et püsiv oskuste nappus takistab innovatsiooni, tehnoloogia kasutuselevõttu ja CO</w:t>
            </w:r>
            <w:r>
              <w:rPr>
                <w:vertAlign w:val="subscript"/>
              </w:rPr>
              <w:t>2</w:t>
            </w:r>
            <w:r>
              <w:t xml:space="preserve"> heite vähendamist, mis omakorda pärsib majanduskasvu ja konkurentsivõimet; arvestades, et Draghi aruandes märgitakse, et peaaegu 80 %-l väikestel ja keskmise suurusega ettevõtjatel on raskusi õigete oskustega töötajate leidmisega; arvestades, et Draghi aruandes rõhutatakse ka vajadust tagada see, et tootlikkuse kasv ja sotsiaalne kaasatus käiksid käsikäes ning et liikmesriikide sotsiaalhoolekandesüsteemidel oleks oluline roll tugevate avalike teenuste, sotsiaalkaitse, eluasemete, transpordi ja lastehoiu võimaldamisel ülemineku ajal;</w:t>
            </w:r>
          </w:p>
        </w:tc>
        <w:tc>
          <w:tcPr>
            <w:tcW w:w="4876" w:type="dxa"/>
            <w:tcBorders>
              <w:top w:val="nil"/>
              <w:left w:val="nil"/>
              <w:bottom w:val="nil"/>
              <w:right w:val="nil"/>
            </w:tcBorders>
          </w:tcPr>
          <w:p>
            <w:pPr>
              <w:pStyle w:val="Normal6a"/>
            </w:pPr>
            <w:r>
              <w:t>D.</w:t>
            </w:r>
            <w:r>
              <w:tab/>
            </w:r>
            <w:r>
              <w:rPr>
                <w:b/>
                <w:i/>
              </w:rPr>
              <w:t>arvestades, et kõrge kvalifikatsiooniga arengusse investeerides saab EL edendada suurema tootlikkuse, kõrgemate palkade ja suurema majandusliku võrdõiguslikkuse positiivset mõjuringi;</w:t>
            </w:r>
            <w:r>
              <w:t xml:space="preserve"> </w:t>
            </w:r>
            <w:r>
              <w:rPr>
                <w:b/>
                <w:i/>
              </w:rPr>
              <w:t>arvestades, et peaaegu 50 % täiskasvanutest võib vajada täiend- või ümberõpet</w:t>
            </w:r>
            <w:r>
              <w:rPr>
                <w:b/>
                <w:i/>
                <w:vertAlign w:val="superscript"/>
              </w:rPr>
              <w:t>1a</w:t>
            </w:r>
            <w:r>
              <w:rPr>
                <w:b/>
                <w:i/>
              </w:rPr>
              <w:t>;</w:t>
            </w:r>
            <w:r>
              <w:t xml:space="preserve"> </w:t>
            </w:r>
            <w:r>
              <w:rPr>
                <w:b/>
                <w:i/>
              </w:rPr>
              <w:t>arvestades, et ainuüksi ELi energiasektoris on 2030. aastaks vaja vähemalt 145 000 kvalifitseeritud töötajat</w:t>
            </w:r>
            <w:r>
              <w:rPr>
                <w:b/>
                <w:i/>
                <w:vertAlign w:val="superscript"/>
              </w:rPr>
              <w:t>2a</w:t>
            </w:r>
            <w:r>
              <w:rPr>
                <w:b/>
                <w:i/>
              </w:rPr>
              <w:t>;</w:t>
            </w:r>
            <w:r>
              <w:t xml:space="preserve"> </w:t>
            </w:r>
            <w:r>
              <w:rPr>
                <w:b/>
                <w:i/>
              </w:rPr>
              <w:t>arvestades, et puhas tehnoloogia on üks Euroopa majandusliku heaolu liikumapanevaid jõude, mis annab 30 % ELi majanduskasvust ja loob miljoneid töökohti ainuüksi 2023. aastal</w:t>
            </w:r>
            <w:r>
              <w:rPr>
                <w:b/>
                <w:i/>
                <w:vertAlign w:val="superscript"/>
              </w:rPr>
              <w:t>3a</w:t>
            </w:r>
            <w:r>
              <w:rPr>
                <w:b/>
                <w:i/>
              </w:rPr>
              <w:t>;</w:t>
            </w:r>
            <w:r>
              <w:t xml:space="preserve"> arvestades, et Draghi aruandes leitakse, et püsiv oskuste nappus takistab innovatsiooni, tehnoloogia kasutuselevõttu ja CO</w:t>
            </w:r>
            <w:r>
              <w:rPr>
                <w:vertAlign w:val="subscript"/>
              </w:rPr>
              <w:t>2</w:t>
            </w:r>
            <w:r>
              <w:t xml:space="preserve"> heite vähendamist, mis omakorda pärsib majanduskasvu ja konkurentsivõimet; arvestades, et Draghi aruandes märgitakse, et peaaegu 80 %-l väikestel ja keskmise suurusega ettevõtjatel on raskusi õigete oskustega töötajate leidmisega; arvestades, et Draghi aruandes rõhutatakse ka vajadust tagada see, et tootlikkuse kasv ja sotsiaalne kaasatus käiksid käsikäes ning et liikmesriikide sotsiaalhoolekandesüsteemidel oleks oluline roll tugevate avalike teenuste, sotsiaalkaitse, eluasemete, transpordi ja lastehoiu võimaldamisel ülemineku ajal; </w:t>
            </w:r>
            <w:r>
              <w:rPr>
                <w:b/>
                <w:i/>
              </w:rPr>
              <w:t>arvestades, et oskuste nappus võib ebaproportsionaalselt rohkem mõjutada vanemaid, madala kvalifikatsiooniga ja naistöötajaid;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https://www.cedefop.europa.eu/en/publications/4223#group-downloads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https://op.europa.eu/en/publication-detail/-/publication/4826f4290545-11f0-b1a3-01aa75ed71a1/language-en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https://www.cedefop.europa.eu/en/news/green-transition-creates-more-jobs-it-destroys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w:t>
            </w:r>
            <w:r>
              <w:rPr>
                <w:b/>
                <w:i/>
              </w:rPr>
              <w:t>, et Draghi aruandes leitakse, et püsiv oskuste nappus takistab innovatsiooni, tehnoloogia kasutuselevõttu ja CO</w:t>
            </w:r>
            <w:r>
              <w:rPr>
                <w:b/>
                <w:i/>
                <w:vertAlign w:val="subscript"/>
              </w:rPr>
              <w:t>2</w:t>
            </w:r>
            <w:r>
              <w:t xml:space="preserve"> </w:t>
            </w:r>
            <w:r>
              <w:rPr>
                <w:b/>
                <w:i/>
              </w:rPr>
              <w:t>heite vähendamist, mis omakorda pärsib majanduskasvu ja konkurentsivõimet;</w:t>
            </w:r>
            <w:r>
              <w:t xml:space="preserve"> </w:t>
            </w:r>
            <w:r>
              <w:rPr>
                <w:b/>
                <w:i/>
              </w:rPr>
              <w:t>arvestades, et Draghi aruandes märgitakse</w:t>
            </w:r>
            <w:r>
              <w:t xml:space="preserve">, et peaaegu 80 %-l väikestel ja keskmise suurusega ettevõtjatel on raskusi õigete oskustega töötajate leidmisega; </w:t>
            </w:r>
            <w:r>
              <w:rPr>
                <w:b/>
                <w:i/>
              </w:rPr>
              <w:t>arvestades, et Draghi aruandes rõhutatakse ka vajadust tagada see, et tootlikkuse kasv ja sotsiaalne kaasatus käiksid käsikäes ning et liikmesriikide sotsiaalhoolekandesüsteemidel oleks oluline roll tugevate avalike teenuste, sotsiaalkaitse, eluasemete, transpordi ja lastehoiu võimaldamisel ülemineku ajal;</w:t>
            </w:r>
          </w:p>
        </w:tc>
        <w:tc>
          <w:tcPr>
            <w:tcW w:w="4876" w:type="dxa"/>
            <w:tcBorders>
              <w:top w:val="nil"/>
              <w:left w:val="nil"/>
              <w:bottom w:val="nil"/>
              <w:right w:val="nil"/>
            </w:tcBorders>
          </w:tcPr>
          <w:p>
            <w:pPr>
              <w:pStyle w:val="Normal6a"/>
            </w:pPr>
            <w:r>
              <w:t>D.</w:t>
            </w:r>
            <w:r>
              <w:tab/>
            </w:r>
            <w:r>
              <w:t>arvestades, et peaaegu 80 %-l väikestel ja keskmise suurusega ettevõtjatel on raskusi õigete oskustega töötajate leidmisega;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et Draghi aruandes leitakse, et püsiv oskuste nappus takistab innovatsiooni, tehnoloogia kasutuselevõttu ja CO</w:t>
            </w:r>
            <w:r>
              <w:rPr>
                <w:vertAlign w:val="subscript"/>
              </w:rPr>
              <w:t>2</w:t>
            </w:r>
            <w:r>
              <w:t xml:space="preserve"> heite vähendamist, mis omakorda pärsib majanduskasvu ja konkurentsivõimet; arvestades, et </w:t>
            </w:r>
            <w:r>
              <w:rPr>
                <w:b/>
                <w:i/>
              </w:rPr>
              <w:t>Draghi aruandes märgitakse, et</w:t>
            </w:r>
            <w:r>
              <w:t xml:space="preserve"> peaaegu </w:t>
            </w:r>
            <w:r>
              <w:rPr>
                <w:b/>
                <w:i/>
              </w:rPr>
              <w:t>80 %-l väikestel</w:t>
            </w:r>
            <w:r>
              <w:t xml:space="preserve"> ja keskmise suurusega </w:t>
            </w:r>
            <w:r>
              <w:rPr>
                <w:b/>
                <w:i/>
              </w:rPr>
              <w:t>ettevõtjatel on</w:t>
            </w:r>
            <w:r>
              <w:t xml:space="preserve"> raskusi õigete oskustega töötajate </w:t>
            </w:r>
            <w:r>
              <w:rPr>
                <w:b/>
                <w:i/>
              </w:rPr>
              <w:t>leidmisega</w:t>
            </w:r>
            <w:r>
              <w:t xml:space="preserve">; arvestades, et </w:t>
            </w:r>
            <w:r>
              <w:rPr>
                <w:b/>
                <w:i/>
              </w:rPr>
              <w:t>Draghi aruandes rõhutatakse ka vajadust tagada see, et tootlikkuse kasv ja sotsiaalne kaasatus käiksid käsikäes ning et liikmesriikide sotsiaalhoolekandesüsteemidel oleks oluline roll tugevate avalike teenuste, sotsiaalkaitse, eluasemete, transpordi ja lastehoiu võimaldamisel ülemineku ajal</w:t>
            </w:r>
            <w:r>
              <w:t>;</w:t>
            </w:r>
          </w:p>
        </w:tc>
        <w:tc>
          <w:tcPr>
            <w:tcW w:w="4876" w:type="dxa"/>
            <w:tcBorders>
              <w:top w:val="nil"/>
              <w:left w:val="nil"/>
              <w:bottom w:val="nil"/>
              <w:right w:val="nil"/>
            </w:tcBorders>
          </w:tcPr>
          <w:p>
            <w:pPr>
              <w:pStyle w:val="Normal6a"/>
            </w:pPr>
            <w:r>
              <w:t>D.</w:t>
            </w:r>
            <w:r>
              <w:tab/>
            </w:r>
            <w:r>
              <w:t>arvestades, et Draghi aruandes leitakse, et püsiv oskuste nappus takistab innovatsiooni, tehnoloogia kasutuselevõttu ja CO</w:t>
            </w:r>
            <w:r>
              <w:rPr>
                <w:vertAlign w:val="subscript"/>
              </w:rPr>
              <w:t>2</w:t>
            </w:r>
            <w:r>
              <w:t xml:space="preserve"> heite vähendamist, mis omakorda pärsib majanduskasvu ja konkurentsivõimet; arvestades, et </w:t>
            </w:r>
            <w:r>
              <w:rPr>
                <w:b/>
                <w:i/>
              </w:rPr>
              <w:t>ELis on</w:t>
            </w:r>
            <w:r>
              <w:t xml:space="preserve"> peaaegu </w:t>
            </w:r>
            <w:r>
              <w:rPr>
                <w:b/>
                <w:i/>
              </w:rPr>
              <w:t>neli viiest väikesest</w:t>
            </w:r>
            <w:r>
              <w:t xml:space="preserve"> ja keskmise suurusega </w:t>
            </w:r>
            <w:r>
              <w:rPr>
                <w:b/>
                <w:i/>
              </w:rPr>
              <w:t>ettevõtjatest vastanud, et neil on olnud</w:t>
            </w:r>
            <w:r>
              <w:t xml:space="preserve"> raskusi õigete oskustega töötajate </w:t>
            </w:r>
            <w:r>
              <w:rPr>
                <w:b/>
                <w:i/>
              </w:rPr>
              <w:t>leidmisel</w:t>
            </w:r>
            <w:r>
              <w:t xml:space="preserve">; arvestades, et </w:t>
            </w:r>
            <w:r>
              <w:rPr>
                <w:b/>
                <w:i/>
              </w:rPr>
              <w:t>haridus- ja koolitussüsteemide, eelkõige täiskasvanuhariduse ja -koolituse vähenemine ei suuda valmistada tööjõudu ette kaksiküleminekuks;</w:t>
            </w:r>
            <w:r>
              <w:t xml:space="preserve"> </w:t>
            </w:r>
            <w:r>
              <w:rPr>
                <w:b/>
                <w:i/>
              </w:rPr>
              <w:t>arvestades, et täiskasvanuhariduses osalemine on endiselt ebapiisav, kuna ainult 39,5 % täiskasvanutest osaleb igal aastal koolitusel</w:t>
            </w:r>
            <w:r>
              <w:rPr>
                <w:b/>
                <w:i/>
                <w:vertAlign w:val="superscript"/>
              </w:rPr>
              <w:t>1a</w:t>
            </w:r>
            <w:r>
              <w:rPr>
                <w:b/>
                <w:i/>
              </w:rPr>
              <w:t>, mis on kaugelt väiksem 2030. aastaks seatud eesmärgist, milleks on vähemalt 60 %, ja selle saavutamiseks peaks koolitust saama veel 50 miljonit töötajat</w:t>
            </w:r>
            <w:r>
              <w:rPr>
                <w:b/>
                <w:i/>
                <w:vertAlign w:val="superscript"/>
              </w:rPr>
              <w:t>1b</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https://eur-lex.europa.eu/legal-content/ET/TXT/PDF/?uri=CELEX%3A52025DC0090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Draghi aruanne, lk 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et Draghi aruandes leitakse, et püsiv oskuste nappus takistab innovatsiooni, tehnoloogia kasutuselevõttu ja CO</w:t>
            </w:r>
            <w:r>
              <w:rPr>
                <w:vertAlign w:val="subscript"/>
              </w:rPr>
              <w:t>2</w:t>
            </w:r>
            <w:r>
              <w:t xml:space="preserve"> heite vähendamist, mis omakorda pärsib majanduskasvu ja konkurentsivõimet; arvestades, et Draghi aruandes märgitakse, et peaaegu 80 %-l väikestel ja keskmise suurusega ettevõtjatel on raskusi õigete oskustega töötajate leidmisega; arvestades, et Draghi aruandes rõhutatakse ka vajadust tagada see, et tootlikkuse kasv ja sotsiaalne kaasatus käiksid käsikäes ning et liikmesriikide sotsiaalhoolekandesüsteemidel oleks oluline roll tugevate avalike teenuste, sotsiaalkaitse, eluasemete, transpordi ja lastehoiu võimaldamisel ülemineku ajal;</w:t>
            </w:r>
          </w:p>
        </w:tc>
        <w:tc>
          <w:tcPr>
            <w:tcW w:w="4876" w:type="dxa"/>
            <w:tcBorders>
              <w:top w:val="nil"/>
              <w:left w:val="nil"/>
              <w:bottom w:val="nil"/>
              <w:right w:val="nil"/>
            </w:tcBorders>
          </w:tcPr>
          <w:p>
            <w:pPr>
              <w:pStyle w:val="Normal6a"/>
            </w:pPr>
            <w:r>
              <w:t>D.</w:t>
            </w:r>
            <w:r>
              <w:tab/>
            </w:r>
            <w:r>
              <w:t>arvestades, et Draghi aruandes leitakse, et püsiv oskuste nappus takistab innovatsiooni, tehnoloogia kasutuselevõttu ja CO</w:t>
            </w:r>
            <w:r>
              <w:rPr>
                <w:vertAlign w:val="subscript"/>
              </w:rPr>
              <w:t>2</w:t>
            </w:r>
            <w:r>
              <w:t xml:space="preserve"> heite vähendamist, mis omakorda pärsib majanduskasvu ja konkurentsivõimet; arvestades, et Draghi aruandes märgitakse, et peaaegu 80 %-l väikestel ja keskmise suurusega ettevõtjatel on raskusi õigete oskustega töötajate leidmisega; arvestades, et Draghi aruandes rõhutatakse ka vajadust tagada see, et tootlikkuse kasv ja sotsiaalne kaasatus käiksid käsikäes ning et liikmesriikide sotsiaalhoolekandesüsteemidel oleks oluline roll tugevate avalike teenuste, sotsiaalkaitse, eluasemete, transpordi ja lastehoiu võimaldamisel ülemineku ajal; </w:t>
            </w:r>
            <w:r>
              <w:rPr>
                <w:b/>
                <w:i/>
              </w:rPr>
              <w:t>arvestades, et tugevad ja piisavalt rahastatud sotsiaalhoolekande- ja sotsiaalkaitsesüsteemid on eeltingimus ausa ja õiglase kliimaneutraalsusele ülemineku ja digiüleminekule tagamiseks;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et Draghi aruandes leitakse, et püsiv oskuste nappus takistab innovatsiooni, tehnoloogia kasutuselevõttu ja CO</w:t>
            </w:r>
            <w:r>
              <w:rPr>
                <w:vertAlign w:val="subscript"/>
              </w:rPr>
              <w:t>2</w:t>
            </w:r>
            <w:r>
              <w:t xml:space="preserve"> heite vähendamist, mis omakorda pärsib majanduskasvu ja konkurentsivõimet; arvestades, et Draghi aruandes märgitakse, et peaaegu 80 %-l väikestel ja keskmise suurusega ettevõtjatel on raskusi õigete oskustega töötajate leidmisega; arvestades, et Draghi aruandes rõhutatakse ka vajadust tagada see, et tootlikkuse kasv ja sotsiaalne kaasatus käiksid käsikäes ning et liikmesriikide sotsiaalhoolekandesüsteemidel oleks oluline roll tugevate avalike teenuste, sotsiaalkaitse, eluasemete, transpordi ja lastehoiu võimaldamisel ülemineku ajal;</w:t>
            </w:r>
          </w:p>
        </w:tc>
        <w:tc>
          <w:tcPr>
            <w:tcW w:w="4876" w:type="dxa"/>
            <w:tcBorders>
              <w:top w:val="nil"/>
              <w:left w:val="nil"/>
              <w:bottom w:val="nil"/>
              <w:right w:val="nil"/>
            </w:tcBorders>
          </w:tcPr>
          <w:p>
            <w:pPr>
              <w:pStyle w:val="Normal6a"/>
            </w:pPr>
            <w:r>
              <w:t>D.</w:t>
            </w:r>
            <w:r>
              <w:tab/>
            </w:r>
            <w:r>
              <w:t>arvestades, et Draghi aruandes leitakse, et püsiv oskuste nappus takistab innovatsiooni, tehnoloogia kasutuselevõttu ja CO</w:t>
            </w:r>
            <w:r>
              <w:rPr>
                <w:vertAlign w:val="subscript"/>
              </w:rPr>
              <w:t>2</w:t>
            </w:r>
            <w:r>
              <w:t xml:space="preserve"> heite vähendamist, mis omakorda pärsib majanduskasvu ja konkurentsivõimet; arvestades, et Draghi aruandes märgitakse, et peaaegu 80 %-l väikestel ja keskmise suurusega ettevõtjatel on raskusi õigete oskustega töötajate leidmisega; arvestades, et Draghi aruandes rõhutatakse ka vajadust tagada see, et tootlikkuse kasv ja sotsiaalne kaasatus käiksid käsikäes ning et liikmesriikide sotsiaalhoolekandesüsteemidel oleks oluline roll tugevate avalike teenuste, sotsiaalkaitse, eluasemete, transpordi ja lastehoiu võimaldamisel ülemineku ajal</w:t>
            </w:r>
            <w:r>
              <w:rPr>
                <w:b/>
                <w:i/>
              </w:rPr>
              <w:t> – teisisõnu, me loodame saada raha sealt, mis meie tööstusest alles jääb, et maksta neile, kes ei tööta või ei saa töötada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Draghi aruandes tunnistatakse ka Euroopa sotsiaalmudeli tähtsust ja rõhutatakse, et konkurentsivõime edendamine ei tohiks põhineda palgatõusu takistamisel suhteliste kulude vähendamise eesmärgil;</w:t>
            </w:r>
            <w:r>
              <w:t xml:space="preserve"> </w:t>
            </w:r>
            <w:r>
              <w:rPr>
                <w:b/>
                <w:i/>
              </w:rPr>
              <w:t>arvestades, et loodavad uued keskkonnahoidlikud töökohad peaksid kõik olema kvaliteetsed;</w:t>
            </w:r>
            <w:r>
              <w:t xml:space="preserve"> </w:t>
            </w:r>
            <w:r>
              <w:rPr>
                <w:b/>
                <w:i/>
              </w:rPr>
              <w:t> arvestades, et kvaliteetset töökohta iseloomustavad järgmised aspektid: I) kollektiivläbirääkimised, ii) töötajate ja ametiühingute õiguste täielik austamine, iii) õiglane palk, iv) töökindlus ja sotsiaalkaitse, v) tasuta tööajal toimuv koolitus, vi) head töötingimused, vii) töötervishoid ja tööohutus, viii) töö- ja eraelu tasakaal, ix) võrdsus ja mittediskrimineerimine;</w:t>
            </w:r>
            <w:r>
              <w:t xml:space="preserve"> </w:t>
            </w:r>
            <w:r>
              <w:rPr>
                <w:b/>
                <w:i/>
              </w:rPr>
              <w:t>arvestades, et head töötingimused, sotsiaaldialoog ja kollektiivläbirääkimised on meie Euroopa sotsiaalhoolekandesüsteemide, liidu konkurentsivõime ja ka demokraatia jaoks hädavajalikud;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kvaliteetsed töökohad, mida muu hulgas iseloomustavad korralik palk, standardsed töölepingud, juurdepääs sotsiaalkaitsele, elukestva õppe võimalused, töötervishoiu ja tööohutuse kõrge tase, mõistlik tööaeg hea töö- ja eraelu tasakaaluga, töötajate esindatus, demokraatia töökohal ja kollektiivlepingud, mängivad keskset rolli tööjõu kaasamisel ja hoidmisel;</w:t>
            </w:r>
            <w:r>
              <w:t xml:space="preserve"> </w:t>
            </w:r>
            <w:r>
              <w:rPr>
                <w:b/>
                <w:i/>
              </w:rPr>
              <w:t>arvestades, et selleks et tööjõul oleksid digi- ja rohepöördeks vajalikud oskused, on oluline tagada kõigile juurdepääs kvaliteetsele ja kaasavale haridusele, koolitusele ja elukestvale õppele.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eri sidusrühmade haldus- ja tehnilist suutlikkust tuleb suurendada;</w:t>
            </w:r>
            <w:r>
              <w:t xml:space="preserve"> </w:t>
            </w:r>
            <w:r>
              <w:rPr>
                <w:b/>
                <w:i/>
              </w:rPr>
              <w:t>arvestades, et liikmesriigid seisavad endiselt silmitsi märkimisväärsete probleemidega ELi vahendite tõhusal haldamisel ja rakendamisel kohalikul tasandil ning kliimapoliitika eri mõjude hindamisel;</w:t>
            </w:r>
            <w:r>
              <w:t xml:space="preserve"> </w:t>
            </w:r>
            <w:r>
              <w:rPr>
                <w:b/>
                <w:i/>
              </w:rPr>
              <w:t>ning arvestades, et oluline on töötada välja poliitika, millega edendatakse majanduslikke võimalusi, eriti maapiirkondades, et meelitada ligi investeeringuid, toetada ettevõtteid, luua kohalikke töökohti ja võimaldada inimestel jääda oma kogukonda;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VKEd moodustavad Euroopa majanduse selgroo ja loovad suure osa alalistest kohalikest töökohtadest;</w:t>
            </w:r>
            <w:r>
              <w:t xml:space="preserve"> </w:t>
            </w:r>
            <w:r>
              <w:rPr>
                <w:b/>
                <w:i/>
              </w:rPr>
              <w:t>arvestades, et õiglase ülemineku võimaldamiseks töövaldkonnas tuleb VKEde jaoks luua õiglane lihtsustamispakett, mis sisaldab erisätteid, nagu pikendatud üleminekuperioodid ja lihtsustatud nõuded VKEdele;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kliimaärevus, sealhulgas valenarratiivid looduslike kliimamuutuste, elurikkuse ja kütusepuudusega seotud ohtude kohta, tekitavad kunstliku paanika, mis õigustab tööstustegevuse vastaste õigusaktide vastuvõtmist, millega viiakse äritegevus liidust kolmandatesse riikidesse, eelkõige Hiinasse ja Indiasse;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Draghi aruandes rõhutatakse ka vajadust tagada see, et tootlikkuse kasv ja sotsiaalne kaasatus käiksid käsikäes ning et liikmesriikide sotsiaalhoolekandesüsteemidel oleks oluline roll tugevate avalike teenuste, sotsiaalkaitse, eluasemete, transpordi ja lastehoiu võimaldamisel ülemineku ajal;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õiglase ülemineku edu sõltub avaliku sektori investeeringutest, ressursside ümberjaotamisest ja tugevatest sotsiaalkaitsevõrgustikest, tagamaks, et ühtegi töötajat ega kogukonda ei jäeta kõrvale;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arvestades, et Letta aruandes leitakse, et õigust jääda tuleks käsitleda selliselt, et see on liikumisvabaduse mündi teine pool;</w:t>
            </w:r>
            <w:r>
              <w:t xml:space="preserve"> </w:t>
            </w:r>
            <w:r>
              <w:rPr>
                <w:b/>
                <w:i/>
              </w:rPr>
              <w:t>arvestades, et Letta aruandes peetakse liikumisvabadust põhiõiguseks ja vabaks valikuks, mitte vajaduseks kompenseerida atraktiivsete ja inimväärsete töökohtade puudumist mõnes piirkonnas;</w:t>
            </w:r>
            <w:r>
              <w:t xml:space="preserve"> </w:t>
            </w:r>
            <w:r>
              <w:rPr>
                <w:b/>
                <w:i/>
              </w:rPr>
              <w:t>arvestades, et aruandes rõhutatakse vajadust pakkuda kodanikele võimalusi kõigis piirkondades, eelkõige mahajäetud piirkondades, sealhulgas vajadust kvaliteetsete töökohtade järele ning vajadust võidelda ebavõrdsuse vastu riikide sees ja nende vahel</w:t>
            </w:r>
            <w:r>
              <w:rPr>
                <w:b/>
                <w:i/>
                <w:vertAlign w:val="superscript"/>
              </w:rPr>
              <w:t>2a</w:t>
            </w:r>
            <w:r>
              <w:rPr>
                <w:b/>
                <w:i/>
              </w:rPr>
              <w:t>;</w:t>
            </w:r>
            <w:r>
              <w:t xml:space="preserve"> </w:t>
            </w:r>
            <w:r>
              <w:rPr>
                <w:b/>
                <w:i/>
              </w:rPr>
              <w:t>arvestades, et kui rohepööret ei kavandata ega toetata piisavalt, võib see mõjutada Ida- ja Lõuna-Euroopa haavatavaid piirkondi ebaproportsionaalselt rohkem</w:t>
            </w:r>
            <w:r>
              <w:rPr>
                <w:b/>
                <w:i/>
                <w:vertAlign w:val="superscript"/>
              </w:rPr>
              <w:t>3a</w:t>
            </w:r>
            <w:r>
              <w:t xml:space="preserve"> </w:t>
            </w:r>
            <w:r>
              <w:rPr>
                <w:b/>
                <w:i/>
              </w:rPr>
              <w:t>töötuse riski ja töökohtade kadumise seisukohast;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https://cohesiondata.ec.europa.eu/stories/s/py4s-5ad4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https://op.europa.eu/en/publication-detail/-/publication/24c7aa492451-11ee-94cb-01aa75ed71a1/language-en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arvestades, et komisjoni aruande „Employment and Social Developments in Europe 2024“ (tööhõive ja sotsiaalareng Euroopas 2024)</w:t>
            </w:r>
            <w:r>
              <w:rPr>
                <w:b/>
                <w:i/>
                <w:vertAlign w:val="superscript"/>
              </w:rPr>
              <w:t>1a</w:t>
            </w:r>
            <w:r>
              <w:t xml:space="preserve"> </w:t>
            </w:r>
            <w:r>
              <w:rPr>
                <w:b/>
                <w:i/>
              </w:rPr>
              <w:t>kohaselt on täiskasvanuhariduses ja -koolituses osalemise piirangud tingitud sellistest takistustest nagu tajutav vajalikkuse puudumine, ebapiisav pakkumine või raskused asjakohasele kvaliteetsele koolitusele juurdepääsul, sobimatu ajakava, perekondlikud kohustused ja rahalised piirangud;</w:t>
            </w:r>
            <w:r>
              <w:t xml:space="preserve"> </w:t>
            </w:r>
            <w:r>
              <w:rPr>
                <w:b/>
                <w:i/>
              </w:rPr>
              <w:t>arvestades, et Draghi aruandes nõutakse, et EL tagaks, et kõigil töötajatel oleks õigus haridusele ja ümberõppele, mis võimaldab neil minna üle uutele ametikohtadele, kui nende ettevõtted võtavad kasutusele tehnoloogia, või headele töökohtadele uutes sektorites</w:t>
            </w:r>
            <w:r>
              <w:rPr>
                <w:b/>
                <w:i/>
                <w:vertAlign w:val="superscript"/>
              </w:rPr>
              <w:t>1b</w:t>
            </w:r>
            <w:r>
              <w:t xml:space="preserve"> </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https://employment-social-affairs.ec.europa.eu/employment-and-social-developments-europe-2024-upward-social-convergence-eu-and-role-social_en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Draghi aruanne, lk 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arvestades, et töökohtade geograafiat iseloomustab endiselt suur lõhe loode- ja kagupiirkonna vahel ning et nn sinises koridoris, mis ulatub Lõuna-Rootsist läbi Taani, Põhja-Saksamaa, Austria ja Madalmaade, oli tööhõivemäära 78 % või üle selle, samas kui suuremas osas Lõuna-Hispaaniast, Kreekast, Lõuna-Itaaliast, Ida-Horvaatiast, Bulgaariast ja Rumeeniast oli see näitaja alla 68 %;</w:t>
            </w:r>
            <w:r>
              <w:t xml:space="preserve"> </w:t>
            </w:r>
            <w:r>
              <w:rPr>
                <w:b/>
                <w:i/>
              </w:rPr>
              <w:t>arvestades, et söest sõltuvate piirkondadega lisandub veel üks haavatavate piirkondade kiht:</w:t>
            </w:r>
            <w:r>
              <w:t xml:space="preserve"> </w:t>
            </w:r>
            <w:r>
              <w:rPr>
                <w:b/>
                <w:i/>
              </w:rPr>
              <w:t>tööhõive määrad on seal ELi keskmisest 10–15 % madalamad</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„Just Transition on the World of Work‛ (õiglane üleminek töömaailmas), ühtekuuluvuse, põllumajanduse ja sotsiaalpoliitika peadirektoraadi transpordi, tööhõive ja sotsiaalküsimuste poliitikaosakond, Izabela MARCINKOWSKA, Veronika HVOZDIKOVA, september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arvestades, et kvaliteetsete töökohtade tegevuskava peaks edendama meetmeid, millega toetatakse liikmesriike ja tööstust inimväärsete töötingimuste ja koolituse kättesaadavuse, rangete tervishoiu- ja tööohutusstandardite kehtestamise, töötajatele ja füüsilisest isikust ettevõtjatele õiglaste töökohavahetuse tingimuste ja kollektiivläbirääkimiste tagamiseks, selleks et meelitada ligi talente ja aidata kaasa Euroopa tööstuse konkurentsivõimele;</w:t>
            </w:r>
            <w:r>
              <w:t xml:space="preserve"> </w:t>
            </w:r>
            <w:r>
              <w:rPr>
                <w:b/>
                <w:i/>
              </w:rPr>
              <w:t>arvestades, et selleks oodatakse komisjonilt sotsiaalpartneritega arutelude pidamist raamistiku üle, millega toetada restruktureerimisprotsesse ELi ja liikmesriikide tasandil;</w:t>
            </w:r>
            <w:r>
              <w:t xml:space="preserve"> </w:t>
            </w:r>
            <w:r>
              <w:rPr>
                <w:b/>
                <w:i/>
              </w:rPr>
              <w:t>arvestades, et raamistikus keskendutakse õiglasele üleminekule, õigusele saada koolitust, muutusteks valmisolekule, varasele sekkumisele restruktureerimise ohu korral ning paremale teavitamisele ja konsulteerimisele;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arvestades, et alates 2012. aastast on liidus olnud uus sissetulekute ühtlustumise laine, kusjuures mõned endised söe- ja rasketööstuse piirkonnad Poolas, Ungaris ja Ida-Saksamaal on kasvanud ELi keskmisest kiiremini, samas kui teistes piirkondades, nagu Lõuna-Itaalia, suur osa Kreekast ja mitmes Rumeenia piirkonnas, on SKP järele jõudnud vähe või üldse mitte</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„Just Transition in the World of Work“ (õiglane üleminek töömaailmas), EMPL-komisjoni tellitud uuring, september 2025 https://www.europarl.europa.eu/RegData/etudes/STUD/2025/759354/CASP_STU(2025)759354_EN.pdf.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arvestades, et õiglase ülemineku fondi rakendamine on olnud aeglane, nagu näitab maksete määr, mis oli 2024. aasta lõpuks vaid 32,2 %</w:t>
            </w:r>
            <w:r>
              <w:rPr>
                <w:b/>
                <w:i/>
                <w:vertAlign w:val="superscript"/>
              </w:rPr>
              <w:t>1d</w:t>
            </w:r>
            <w:r>
              <w:rPr>
                <w:b/>
                <w:i/>
              </w:rPr>
              <w:t>;</w:t>
            </w:r>
            <w:r>
              <w:t xml:space="preserve"> </w:t>
            </w:r>
            <w:r>
              <w:rPr>
                <w:b/>
                <w:i/>
              </w:rPr>
              <w:t>arvestades, et Õiglase Ülemineku Fondi loodud töökohtade arv ei ole piisavalt suur, et katta nende töökohtade arv, mis prognoosi kohaselt kaovad CO</w:t>
            </w:r>
            <w:r>
              <w:rPr>
                <w:b/>
                <w:i/>
                <w:vertAlign w:val="subscript"/>
              </w:rPr>
              <w:t>2</w:t>
            </w:r>
            <w:r>
              <w:rPr>
                <w:b/>
                <w:i/>
              </w:rPr>
              <w:t>-mahukate tööstusharude ülemineku tõttu puhtamatele tehnoloogiatele;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Õiglase ülemineku mehhanism – tulemuslikkus 2025. aastal, Euroopa Komisjon https://commission.europa.eu/strategy-and-policy/eu-budget/performance-and-reporting/programme-performance-statements/just-transition-mechanism-performance_en.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arvestades, et puhta tööstuse kokkulepe kiirendab CO</w:t>
            </w:r>
            <w:r>
              <w:rPr>
                <w:b/>
                <w:i/>
                <w:vertAlign w:val="subscript"/>
              </w:rPr>
              <w:t>2</w:t>
            </w:r>
            <w:r>
              <w:t xml:space="preserve"> </w:t>
            </w:r>
            <w:r>
              <w:rPr>
                <w:b/>
                <w:i/>
              </w:rPr>
              <w:t>heite vähendamist, muutes selle Euroopa tööstuse kasvu mootoriks, alandades energiahindu ja luues kvaliteetseid töökohti;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arvestades, et riigihangete direktiivide eelseisva läbivaatamise eesmärk on viia hankelepingute sõlmimise kord kooskõlla liidu laiemate strateegiliste eesmärkidega, nagu muu hulgas rohe- ja digipööre, õiglased töökohad, innovatsioon, kõrged sotsiaalsed ja keskkonnahoidlikud standardid ning vastupanuvõime;</w:t>
            </w:r>
            <w:r>
              <w:t xml:space="preserve"> </w:t>
            </w:r>
            <w:r>
              <w:rPr>
                <w:b/>
                <w:i/>
              </w:rPr>
              <w:t>arvestades, et see läbivaatamine annab võimaluse edendada kollektiivläbirääkimiste ja sotsiaalklausli kasutamist ning kollektiivlepingutega ettevõtete eeliskohtlemist;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rõhutab, et edukas üleminek kestlikumatele energiaallikatele ja kestlikumatele majandusvaldkondadele mängib olulist rolli liidu ettevõtjate pikaajalise konkurentsivõime tagamisel üleilmsel turul;</w:t>
            </w:r>
            <w:r>
              <w:t xml:space="preserve"> rõhutab vajadust tagada see, et äriühingud ja töötajad oleksid igati valmis kasutama ära võimalusi, mis tulenevad üleminekust uutele ja uuenduslikele lahendustele; </w:t>
            </w:r>
            <w:r>
              <w:rPr>
                <w:b/>
                <w:i/>
              </w:rPr>
              <w:t>on veendunud, et siduv raamistik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w:t>
            </w:r>
            <w:r>
              <w:t xml:space="preserve"> rõhutab, et </w:t>
            </w:r>
            <w:r>
              <w:rPr>
                <w:b/>
                <w:i/>
              </w:rPr>
              <w:t>piirkonnad</w:t>
            </w:r>
            <w:r>
              <w:t xml:space="preserve"> saavad </w:t>
            </w:r>
            <w:r>
              <w:rPr>
                <w:b/>
                <w:i/>
              </w:rPr>
              <w:t>toetada õiglast</w:t>
            </w:r>
            <w:r>
              <w:t xml:space="preserve"> üleminekut, ühendades sotsiaalkaitse, majanduse mitmekesistamise ja territoriaalse koordineerimise, et vähendada negatiivset mõju </w:t>
            </w:r>
            <w:r>
              <w:rPr>
                <w:b/>
                <w:i/>
              </w:rPr>
              <w:t>ja edendada kaasavamat arengut</w:t>
            </w:r>
            <w:r>
              <w:t>;</w:t>
            </w:r>
          </w:p>
        </w:tc>
        <w:tc>
          <w:tcPr>
            <w:tcW w:w="4876" w:type="dxa"/>
            <w:tcBorders>
              <w:top w:val="nil"/>
              <w:left w:val="nil"/>
              <w:bottom w:val="nil"/>
              <w:right w:val="nil"/>
            </w:tcBorders>
          </w:tcPr>
          <w:p>
            <w:pPr>
              <w:pStyle w:val="Normal6a"/>
            </w:pPr>
            <w:r>
              <w:t>1.</w:t>
            </w:r>
            <w:r>
              <w:tab/>
            </w:r>
            <w:r>
              <w:t xml:space="preserve">rõhutab vajadust tagada see, et äriühingud ja töötajad oleksid igati valmis kasutama ära võimalusi, mis tulenevad üleminekust uutele ja uuenduslikele lahendustele; rõhutab, et </w:t>
            </w:r>
            <w:r>
              <w:rPr>
                <w:b/>
                <w:i/>
              </w:rPr>
              <w:t>liikmesriigid</w:t>
            </w:r>
            <w:r>
              <w:t xml:space="preserve"> saavad üleminekut </w:t>
            </w:r>
            <w:r>
              <w:rPr>
                <w:b/>
                <w:i/>
              </w:rPr>
              <w:t>juhtida</w:t>
            </w:r>
            <w:r>
              <w:t xml:space="preserve">, ühendades sotsiaalkaitse, majanduse mitmekesistamise ja territoriaalse koordineerimise, et vähendada </w:t>
            </w:r>
            <w:r>
              <w:rPr>
                <w:b/>
                <w:i/>
              </w:rPr>
              <w:t>selle</w:t>
            </w:r>
            <w:r>
              <w:t xml:space="preserve"> negatiivset mõju;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rõhutab, et edukas üleminek kestlikumatele energiaallikatele ja kestlikumatele majandusvaldkondadele mängib olulist rolli liidu ettevõtjate pikaajalise konkurentsivõime tagamisel üleilmsel turul; rõhutab vajadust tagada see, et äriühingud ja töötajad oleksid igati valmis kasutama ära võimalusi, mis tulenevad üleminekust uutele ja uuenduslikele lahendustele; </w:t>
            </w:r>
            <w:r>
              <w:rPr>
                <w:b/>
                <w:i/>
              </w:rPr>
              <w:t>on veendunud, et siduv raamistik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w:t>
            </w:r>
            <w:r>
              <w:t xml:space="preserve"> </w:t>
            </w:r>
            <w:r>
              <w:rPr>
                <w:b/>
                <w:i/>
              </w:rPr>
              <w:t>rõhutab, et piirkonnad saavad toetada õiglast üleminekut, ühendades sotsiaalkaitse, majanduse mitmekesistamise ja territoriaalse koordineerimise, et vähendada negatiivset mõju ja edendada kaasavamat arengut;</w:t>
            </w:r>
          </w:p>
        </w:tc>
        <w:tc>
          <w:tcPr>
            <w:tcW w:w="4876" w:type="dxa"/>
            <w:tcBorders>
              <w:top w:val="nil"/>
              <w:left w:val="nil"/>
              <w:bottom w:val="nil"/>
              <w:right w:val="nil"/>
            </w:tcBorders>
          </w:tcPr>
          <w:p>
            <w:pPr>
              <w:pStyle w:val="Normal6a"/>
            </w:pPr>
            <w:r>
              <w:t>1.</w:t>
            </w:r>
            <w:r>
              <w:tab/>
            </w:r>
            <w:r>
              <w:t>rõhutab, et edukas üleminek kestlikumatele energiaallikatele ja kestlikumatele majandusvaldkondadele mängib olulist rolli liidu ettevõtjate pikaajalise konkurentsivõime tagamisel üleilmsel turul; rõhutab vajadust tagada see, et äriühingud ja töötajad oleksid igati valmis kasutama ära võimalusi, mis tulenevad üleminekust uutele ja uuenduslikele lahendustele;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rõhutab, et edukas üleminek kestlikumatele energiaallikatele ja kestlikumatele majandusvaldkondadele mängib olulist rolli liidu ettevõtjate pikaajalise konkurentsivõime </w:t>
            </w:r>
            <w:r>
              <w:rPr>
                <w:b/>
                <w:i/>
              </w:rPr>
              <w:t>tagamisel</w:t>
            </w:r>
            <w:r>
              <w:t xml:space="preserve"> üleilmsel turul; rõhutab vajadust tagada see, et äriühingud ja töötajad oleksid igati valmis kasutama ära võimalusi, mis tulenevad üleminekust uutele ja uuenduslikele lahendustele</w:t>
            </w:r>
            <w:r>
              <w:rPr>
                <w:b/>
                <w:i/>
              </w:rPr>
              <w:t>;</w:t>
            </w:r>
            <w:r>
              <w:t xml:space="preserve"> </w:t>
            </w:r>
            <w:r>
              <w:rPr>
                <w:b/>
                <w:i/>
              </w:rPr>
              <w:t>on veendunud, et siduv raamistik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w:t>
            </w:r>
            <w:r>
              <w:t xml:space="preserve">; </w:t>
            </w:r>
            <w:r>
              <w:rPr>
                <w:b/>
                <w:i/>
              </w:rPr>
              <w:t>rõhutab, et piirkonnad saavad toetada õiglast üleminekut, ühendades sotsiaalkaitse, majanduse mitmekesistamise ja territoriaalse koordineerimise, et vähendada negatiivset mõju ja edendada kaasavamat arengut;</w:t>
            </w:r>
          </w:p>
        </w:tc>
        <w:tc>
          <w:tcPr>
            <w:tcW w:w="4876" w:type="dxa"/>
            <w:tcBorders>
              <w:top w:val="nil"/>
              <w:left w:val="nil"/>
              <w:bottom w:val="nil"/>
              <w:right w:val="nil"/>
            </w:tcBorders>
          </w:tcPr>
          <w:p>
            <w:pPr>
              <w:pStyle w:val="Normal6a"/>
            </w:pPr>
            <w:r>
              <w:t>1.</w:t>
            </w:r>
            <w:r>
              <w:tab/>
            </w:r>
            <w:r>
              <w:t xml:space="preserve">rõhutab, et edukas üleminek kestlikumatele energiaallikatele ja kestlikumatele majandusvaldkondadele mängib olulist </w:t>
            </w:r>
            <w:r>
              <w:rPr>
                <w:b/>
                <w:i/>
              </w:rPr>
              <w:t>negatiivset</w:t>
            </w:r>
            <w:r>
              <w:t xml:space="preserve"> rolli liidu ettevõtjate pikaajalise konkurentsivõime </w:t>
            </w:r>
            <w:r>
              <w:rPr>
                <w:b/>
                <w:i/>
              </w:rPr>
              <w:t>seisukohalt</w:t>
            </w:r>
            <w:r>
              <w:t xml:space="preserve"> üleilmsel turul; rõhutab vajadust tagada see, et äriühingud ja töötajad oleksid igati valmis kasutama ära võimalusi, mis tulenevad üleminekust uutele ja uuenduslikele lahendustele</w:t>
            </w:r>
            <w:r>
              <w:rPr>
                <w:b/>
                <w:i/>
              </w:rPr>
              <w:t>, jätmata kõrvale traditsioonilist tööstust, mis on pannud liikmesriikidele majandusliku aluse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rõhutab, et edukas üleminek kestlikumatele energiaallikatele ja kestlikumatele majandusvaldkondadele mängib olulist rolli liidu ettevõtjate pikaajalise konkurentsivõime tagamisel üleilmsel turul; rõhutab vajadust tagada see, et äriühingud ja töötajad oleksid igati valmis kasutama ära võimalusi, mis tulenevad üleminekust uutele ja uuenduslikele lahendustele; on veendunud, et </w:t>
            </w:r>
            <w:r>
              <w:rPr>
                <w:b/>
                <w:i/>
              </w:rPr>
              <w:t>siduv raamistik</w:t>
            </w:r>
            <w:r>
              <w:t xml:space="preserve">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 rõhutab, et piirkonnad saavad toetada õiglast üleminekut, ühendades sotsiaalkaitse, majanduse mitmekesistamise ja territoriaalse koordineerimise, et vähendada negatiivset mõju ja edendada kaasavamat arengut;</w:t>
            </w:r>
          </w:p>
        </w:tc>
        <w:tc>
          <w:tcPr>
            <w:tcW w:w="4876" w:type="dxa"/>
            <w:tcBorders>
              <w:top w:val="nil"/>
              <w:left w:val="nil"/>
              <w:bottom w:val="nil"/>
              <w:right w:val="nil"/>
            </w:tcBorders>
          </w:tcPr>
          <w:p>
            <w:pPr>
              <w:pStyle w:val="Normal6a"/>
            </w:pPr>
            <w:r>
              <w:t>1.</w:t>
            </w:r>
            <w:r>
              <w:tab/>
            </w:r>
            <w:r>
              <w:t xml:space="preserve">rõhutab, et edukas üleminek kestlikumatele energiaallikatele ja kestlikumatele majandusvaldkondadele mängib olulist rolli liidu ettevõtjate pikaajalise konkurentsivõime tagamisel üleilmsel turul; rõhutab vajadust tagada see, et äriühingud ja töötajad oleksid igati valmis kasutama ära võimalusi, mis tulenevad üleminekust uutele ja uuenduslikele lahendustele; on veendunud, et </w:t>
            </w:r>
            <w:r>
              <w:rPr>
                <w:b/>
                <w:i/>
              </w:rPr>
              <w:t>kehtiva õigusraamistiku läbivaatamine</w:t>
            </w:r>
            <w:r>
              <w:t xml:space="preserve">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 rõhutab, et piirkonnad saavad toetada õiglast üleminekut, ühendades sotsiaalkaitse, majanduse mitmekesistamise ja territoriaalse koordineerimise, et vähendada negatiivset mõju ja edendada kaasavamat arengut;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Gheorghe Falcă, Romana Tomc,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rõhutab, et edukas üleminek kestlikumatele energiaallikatele ja kestlikumatele majandusvaldkondadele mängib olulist rolli liidu ettevõtjate pikaajalise konkurentsivõime tagamisel üleilmsel turul; rõhutab vajadust tagada see, et äriühingud ja töötajad oleksid igati valmis kasutama ära võimalusi, mis tulenevad üleminekust uutele ja uuenduslikele lahendustele; on veendunud, et siduv raamistik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 rõhutab, et piirkonnad saavad toetada õiglast üleminekut, ühendades sotsiaalkaitse, majanduse mitmekesistamise ja territoriaalse koordineerimise, et vähendada negatiivset mõju ja edendada </w:t>
            </w:r>
            <w:r>
              <w:rPr>
                <w:b/>
                <w:i/>
              </w:rPr>
              <w:t>kaasavamat</w:t>
            </w:r>
            <w:r>
              <w:t xml:space="preserve"> arengut;</w:t>
            </w:r>
          </w:p>
        </w:tc>
        <w:tc>
          <w:tcPr>
            <w:tcW w:w="4876" w:type="dxa"/>
            <w:tcBorders>
              <w:top w:val="nil"/>
              <w:left w:val="nil"/>
              <w:bottom w:val="nil"/>
              <w:right w:val="nil"/>
            </w:tcBorders>
          </w:tcPr>
          <w:p>
            <w:pPr>
              <w:pStyle w:val="Normal6a"/>
            </w:pPr>
            <w:r>
              <w:t>1.</w:t>
            </w:r>
            <w:r>
              <w:tab/>
            </w:r>
            <w:r>
              <w:t>rõhutab, et edukas üleminek kestlikumatele energiaallikatele ja kestlikumatele majandusvaldkondadele mängib olulist rolli liidu ettevõtjate pikaajalise konkurentsivõime tagamisel üleilmsel turul; rõhutab vajadust tagada see, et äriühingud ja töötajad oleksid igati valmis kasutama ära võimalusi, mis tulenevad üleminekust uutele ja uuenduslikele lahendustele; on veendunud, et siduv raamistik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 rõhutab, et piirkonnad saavad toetada õiglast üleminekut, ühendades sotsiaalkaitse, majanduse mitmekesistamise ja territoriaalse koordineerimise, et vähendada negatiivset mõju ja edendada arengut;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rõhutab, et edukas üleminek kestlikumatele energiaallikatele </w:t>
            </w:r>
            <w:r>
              <w:rPr>
                <w:b/>
                <w:i/>
              </w:rPr>
              <w:t>ja kestlikumatele</w:t>
            </w:r>
            <w:r>
              <w:t xml:space="preserve"> majandusvaldkondadele mängib olulist rolli liidu ettevõtjate pikaajalise konkurentsivõime tagamisel üleilmsel turul; rõhutab vajadust tagada see, et äriühingud ja töötajad oleksid igati valmis kasutama ära võimalusi, mis tulenevad üleminekust uutele ja uuenduslikele lahendustele; on veendunud, et siduv raamistik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 rõhutab, et piirkonnad saavad toetada õiglast üleminekut, ühendades sotsiaalkaitse, majanduse mitmekesistamise ja territoriaalse koordineerimise, et vähendada negatiivset mõju ja edendada kaasavamat arengut;</w:t>
            </w:r>
          </w:p>
        </w:tc>
        <w:tc>
          <w:tcPr>
            <w:tcW w:w="4876" w:type="dxa"/>
            <w:tcBorders>
              <w:top w:val="nil"/>
              <w:left w:val="nil"/>
              <w:bottom w:val="nil"/>
              <w:right w:val="nil"/>
            </w:tcBorders>
          </w:tcPr>
          <w:p>
            <w:pPr>
              <w:pStyle w:val="Normal6a"/>
            </w:pPr>
            <w:r>
              <w:t>1.</w:t>
            </w:r>
            <w:r>
              <w:tab/>
            </w:r>
            <w:r>
              <w:t>rõhutab, et edukas üleminek kestlikumatele energiaallikatele</w:t>
            </w:r>
            <w:r>
              <w:rPr>
                <w:b/>
                <w:i/>
              </w:rPr>
              <w:t>, kaasaegsematele</w:t>
            </w:r>
            <w:r>
              <w:t xml:space="preserve"> majandusvaldkondadele </w:t>
            </w:r>
            <w:r>
              <w:rPr>
                <w:b/>
                <w:i/>
              </w:rPr>
              <w:t>ja digiteeritumale majandusele</w:t>
            </w:r>
            <w:r>
              <w:t xml:space="preserve"> mängib olulist rolli liidu ettevõtjate pikaajalise konkurentsivõime tagamisel üleilmsel turul; rõhutab vajadust tagada see, et äriühingud ja töötajad oleksid igati valmis kasutama ära võimalusi, mis tulenevad üleminekust uutele ja uuenduslikele lahendustele; on veendunud, et siduv raamistik töökohal õiglase ülemineku probleemide ja võimaluste käsitlemiseks on oluline, et tagada </w:t>
            </w:r>
            <w:r>
              <w:rPr>
                <w:b/>
                <w:i/>
              </w:rPr>
              <w:t>piisavad</w:t>
            </w:r>
            <w:r>
              <w:t xml:space="preserve"> ühised miinimumstandardid, mis annavad nii töötajatele kui ka tööandjatele selguse ja struktuuri muutuste prognoosimisel ja juhtimisel ning lõppkokkuvõttes parandavad liidu vastupanuvõimet, konkurentsivõimet ja ülespoole suunatud sotsiaalset lähenemist </w:t>
            </w:r>
            <w:r>
              <w:rPr>
                <w:b/>
                <w:i/>
              </w:rPr>
              <w:t>ning sotsiaalset õiglust;</w:t>
            </w:r>
            <w:r>
              <w:t xml:space="preserve"> </w:t>
            </w:r>
            <w:r>
              <w:rPr>
                <w:b/>
                <w:i/>
              </w:rPr>
              <w:t>rõhutab eelkõige inimväärse töö ja kollektiivlepingutega hõlmatud töökohtade tähtsust, mis on hädavajalik, et tagada suurem sotsiaalne progress, õiglane jaotus ja ülemineku aktsepteerimine;</w:t>
            </w:r>
            <w:r>
              <w:t xml:space="preserve"> </w:t>
            </w:r>
            <w:r>
              <w:rPr>
                <w:b/>
                <w:i/>
              </w:rPr>
              <w:t>rõhutab, et kollektiivläbirääkimised on õiglase palga, sotsiaalse õigluse ja demokraatia jaoks töökohal keskse tähtsusega, kuid nende katvus on endiselt ebaühtlane;</w:t>
            </w:r>
            <w:r>
              <w:t xml:space="preserve"> </w:t>
            </w:r>
            <w:r>
              <w:rPr>
                <w:b/>
                <w:i/>
              </w:rPr>
              <w:t>rõhutab, et EL peaks andma suuniseid ja tuge, et aidata tugevdada läbirääkimissüsteeme, eelkõige valdkondlikul tasandil, ning tagama sotsiaalpartnerite täieliku kaasamise;</w:t>
            </w:r>
            <w:r>
              <w:t xml:space="preserve"> </w:t>
            </w:r>
            <w:r>
              <w:rPr>
                <w:b/>
                <w:i/>
              </w:rPr>
              <w:t>rõhutab, kui oluline on võtta kasutusele ELi vahendid, et suurendada vajaduse korral suutlikkust</w:t>
            </w:r>
            <w:r>
              <w:t>; rõhutab, et piirkonnad saavad toetada õiglast üleminekut, ühendades sotsiaalkaitse, majanduse mitmekesistamise ja territoriaalse koordineerimise, et vähendada negatiivset mõju ja edendada kaasavamat arengut;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et edukas üleminek kestlikumatele energiaallikatele ja kestlikumatele majandusvaldkondadele mängib olulist rolli liidu ettevõtjate pikaajalise konkurentsivõime tagamisel üleilmsel turul; rõhutab vajadust tagada see, et äriühingud ja töötajad oleksid igati valmis kasutama ära võimalusi, mis tulenevad üleminekust uutele ja uuenduslikele lahendustele; on veendunud, et siduv raamistik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 rõhutab, et piirkonnad saavad toetada õiglast üleminekut, ühendades sotsiaalkaitse, majanduse mitmekesistamise ja territoriaalse koordineerimise, et vähendada negatiivset mõju ja edendada kaasavamat arengut;</w:t>
            </w:r>
          </w:p>
        </w:tc>
        <w:tc>
          <w:tcPr>
            <w:tcW w:w="4876" w:type="dxa"/>
            <w:tcBorders>
              <w:top w:val="nil"/>
              <w:left w:val="nil"/>
              <w:bottom w:val="nil"/>
              <w:right w:val="nil"/>
            </w:tcBorders>
          </w:tcPr>
          <w:p>
            <w:pPr>
              <w:pStyle w:val="Normal6a"/>
            </w:pPr>
            <w:r>
              <w:t>1.</w:t>
            </w:r>
            <w:r>
              <w:tab/>
            </w:r>
            <w:r>
              <w:t>rõhutab, et edukas üleminek kestlikumatele energiaallikatele ja kestlikumatele majandusvaldkondadele mängib olulist rolli liidu ettevõtjate pikaajalise konkurentsivõime tagamisel üleilmsel turul</w:t>
            </w:r>
            <w:r>
              <w:rPr>
                <w:b/>
                <w:i/>
              </w:rPr>
              <w:t> ning toob kaasa märkimisväärse hulga keskkonnahoidlike töökohtade loomise Euroopas</w:t>
            </w:r>
            <w:r>
              <w:t xml:space="preserve">; rõhutab vajadust tagada see, et äriühingud ja töötajad oleksid igati valmis kasutama ära võimalusi, mis tulenevad üleminekust uutele ja uuenduslikele lahendustele; on veendunud, et siduv raamistik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 </w:t>
            </w:r>
            <w:r>
              <w:rPr>
                <w:b/>
                <w:i/>
              </w:rPr>
              <w:t>ning demokraatiat töökohal</w:t>
            </w:r>
            <w:r>
              <w:t>; rõhutab, et piirkonnad saavad toetada õiglast üleminekut, ühendades sotsiaalkaitse, majanduse mitmekesistamise ja territoriaalse koordineerimise, et vähendada negatiivset mõju ja edendada kaasavamat arengut;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et edukas üleminek kestlikumatele energiaallikatele ja kestlikumatele majandusvaldkondadele mängib olulist rolli liidu ettevõtjate pikaajalise konkurentsivõime tagamisel üleilmsel turul; rõhutab vajadust tagada see, et äriühingud ja töötajad oleksid igati valmis kasutama ära võimalusi, mis tulenevad üleminekust uutele ja uuenduslikele lahendustele; on veendunud, et siduv raamistik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 rõhutab, et piirkonnad saavad toetada õiglast üleminekut, ühendades sotsiaalkaitse, majanduse mitmekesistamise ja territoriaalse koordineerimise, et vähendada negatiivset mõju ja edendada kaasavamat arengut;</w:t>
            </w:r>
          </w:p>
        </w:tc>
        <w:tc>
          <w:tcPr>
            <w:tcW w:w="4876" w:type="dxa"/>
            <w:tcBorders>
              <w:top w:val="nil"/>
              <w:left w:val="nil"/>
              <w:bottom w:val="nil"/>
              <w:right w:val="nil"/>
            </w:tcBorders>
          </w:tcPr>
          <w:p>
            <w:pPr>
              <w:pStyle w:val="Normal6a"/>
            </w:pPr>
            <w:r>
              <w:t>1.</w:t>
            </w:r>
            <w:r>
              <w:tab/>
            </w:r>
            <w:r>
              <w:t>rõhutab, et edukas üleminek kestlikumatele energiaallikatele ja kestlikumatele majandusvaldkondadele mängib olulist rolli liidu ettevõtjate pikaajalise konkurentsivõime tagamisel üleilmsel turul; rõhutab vajadust tagada see, et äriühingud ja töötajad oleksid igati valmis kasutama ära võimalusi, mis tulenevad üleminekust uutele ja uuenduslikele lahendustele; on veendunud, et siduv raamistik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w:t>
            </w:r>
            <w:r>
              <w:rPr>
                <w:b/>
                <w:i/>
              </w:rPr>
              <w:t>, seades prioriteediks kollektiivlepingutega tagatud kvaliteetsete ja stabiilsete töökohtade loomise, suurema miinimumpalga ning soolise palgavõrdsuse</w:t>
            </w:r>
            <w:r>
              <w:t>; rõhutab, et piirkonnad saavad toetada õiglast üleminekut, ühendades sotsiaalkaitse, majanduse mitmekesistamise ja territoriaalse koordineerimise, et vähendada negatiivset mõju ja edendada kaasavamat arengut;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rõhutab, et edukas üleminek kestlikumatele energiaallikatele ja kestlikumatele majandusvaldkondadele mängib olulist rolli liidu ettevõtjate pikaajalise konkurentsivõime tagamisel üleilmsel turul; rõhutab vajadust tagada see, et äriühingud ja töötajad oleksid igati valmis kasutama ära võimalusi, mis tulenevad üleminekust uutele ja uuenduslikele lahendustele; on veendunud, et siduv raamistik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 rõhutab, et piirkonnad saavad toetada õiglast üleminekut, ühendades sotsiaalkaitse, majanduse mitmekesistamise ja territoriaalse koordineerimise, et vähendada negatiivset mõju ja edendada kaasavamat arengut;</w:t>
            </w:r>
          </w:p>
        </w:tc>
        <w:tc>
          <w:tcPr>
            <w:tcW w:w="4876" w:type="dxa"/>
            <w:tcBorders>
              <w:top w:val="nil"/>
              <w:left w:val="nil"/>
              <w:bottom w:val="nil"/>
              <w:right w:val="nil"/>
            </w:tcBorders>
          </w:tcPr>
          <w:p>
            <w:pPr>
              <w:pStyle w:val="Normal6a"/>
            </w:pPr>
            <w:r>
              <w:t>1.</w:t>
            </w:r>
            <w:r>
              <w:tab/>
            </w:r>
            <w:r>
              <w:t xml:space="preserve">rõhutab, et edukas üleminek kestlikumatele energiaallikatele ja kestlikumatele majandusvaldkondadele mängib olulist rolli liidu ettevõtjate pikaajalise konkurentsivõime tagamisel üleilmsel turul; rõhutab vajadust tagada see, et äriühingud ja töötajad oleksid igati valmis kasutama ära võimalusi, mis tulenevad üleminekust uutele ja uuenduslikele lahendustele; on veendunud, et </w:t>
            </w:r>
            <w:r>
              <w:rPr>
                <w:b/>
                <w:i/>
              </w:rPr>
              <w:t>õiguslikult</w:t>
            </w:r>
            <w:r>
              <w:t xml:space="preserve"> siduv raamistik töökohal õiglase ülemineku probleemide ja võimaluste käsitlemiseks on oluline, et tagada ühised miinimumstandardid, mis annavad nii töötajatele kui ka tööandjatele selguse ja struktuuri muutuste prognoosimisel ja juhtimisel ning lõppkokkuvõttes parandavad liidu vastupanuvõimet, konkurentsivõimet ja ülespoole suunatud sotsiaalset lähenemist; rõhutab, et piirkonnad saavad toetada õiglast üleminekut, ühendades sotsiaalkaitse, majanduse mitmekesistamise ja territoriaalse koordineerimise, et vähendada negatiivset mõju ja edendada kaasavamat arengut;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märgib kahetsusega, et viimastel aastakümnetel on paljud ettevõtjad kasutanud ökoloogilise ja digiüleminekuga seotud muutusi ettekäändena, et taotleda ja saada märkimisväärses summas avaliku sektori rahalisi vahendeid, osaledes samal ajal massilistes koondamistes, eelkõige auto- ja energiasektoris;</w:t>
            </w:r>
            <w:r>
              <w:t xml:space="preserve"> </w:t>
            </w:r>
            <w:r>
              <w:rPr>
                <w:b/>
                <w:i/>
              </w:rPr>
              <w:t>kutsub komisjoni üles looma õigusraamistik, et hoida ära sellise olukorra kordumine ning nõuda, et kui ettevõtjad saavad teadlikuks võimalikest kriisidest, peaks neilt olema kohustus esitada varajased hoiatusteated ning viivitamatult suhelda ametiühingute ning töötajate ja mõjutatud kogukondade esindajatega, et olukorda arutada ja käsitleda;</w:t>
            </w:r>
            <w:r>
              <w:t xml:space="preserve"> </w:t>
            </w:r>
            <w:r>
              <w:rPr>
                <w:b/>
                <w:i/>
              </w:rPr>
              <w:t>on seisukohal, et koondamine peaks olema viimane abinõu ainult siis, kui ettevõte suudab tõendada, et ta on heas usus püüdnud muutusi ette näha ja juhtida;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on veendunud, et säästvamatel ja sõltumatumatel energiaallikatel ja tööstusharudel põhinev edukas areng mängib olulist rolli ELi ettevõtete pikaajalises konkurentsivõimes maailmaturul, mis tugineb palju taskukohasemale energiale, eelkõige energiamahukatel serverifarmidel põhinevate kõrgelt arenenud tehisintellektipõhiste teenuste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w:t>
            </w:r>
            <w:r>
              <w:rPr>
                <w:b/>
                <w:i/>
              </w:rPr>
              <w:t>ümbermääratlemisele</w:t>
            </w:r>
            <w:r>
              <w:t xml:space="preserve"> ja üldisele </w:t>
            </w:r>
            <w:r>
              <w:rPr>
                <w:b/>
                <w:i/>
              </w:rPr>
              <w:t>üleminekule tööturul</w:t>
            </w:r>
            <w:r>
              <w:t xml:space="preserve">; </w:t>
            </w:r>
            <w:r>
              <w:rPr>
                <w:b/>
                <w:i/>
              </w:rPr>
              <w:t>rõhutab, et Euroopa sotsiaalõiguste samba tegevuskava ja uue kvaliteetsete töökohtade tegevuskava eelseisev ajakohastamine peab sisaldama konkreetseid seadusandlikke ja muid kui seadusandlikke meetmeid, millega parandada märgatavalt töötingimusi, tervishoidu ja ohutust, kollektiivläbirääkimistega hõlmatust ning töötajate ja füüsilisest isikust ettevõtjate koolitamist ja oskusi;</w:t>
            </w:r>
            <w:r>
              <w:t xml:space="preserve"> </w:t>
            </w:r>
            <w:r>
              <w:rPr>
                <w:b/>
                <w:i/>
              </w:rPr>
              <w:t>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w:t>
            </w:r>
          </w:p>
        </w:tc>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w:t>
            </w:r>
            <w:r>
              <w:rPr>
                <w:b/>
                <w:i/>
              </w:rPr>
              <w:t>kadumisele</w:t>
            </w:r>
            <w:r>
              <w:t xml:space="preserve"> ja üldisele </w:t>
            </w:r>
            <w:r>
              <w:rPr>
                <w:b/>
                <w:i/>
              </w:rPr>
              <w:t>tööturu kahanemisele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w:t>
            </w:r>
            <w:r>
              <w:rPr>
                <w:b/>
                <w:i/>
              </w:rPr>
              <w:t>laiem mõju</w:t>
            </w:r>
            <w:r>
              <w:t xml:space="preserve"> töökohtade </w:t>
            </w:r>
            <w:r>
              <w:rPr>
                <w:b/>
                <w:i/>
              </w:rPr>
              <w:t>ümbermääratlemisele ja üldisele üleminekule tööturul</w:t>
            </w:r>
            <w:r>
              <w:t>; rõhutab</w:t>
            </w:r>
            <w:r>
              <w:rPr>
                <w:b/>
                <w:i/>
              </w:rPr>
              <w:t>, et</w:t>
            </w:r>
            <w:r>
              <w:t xml:space="preserve"> Euroopa sotsiaalõiguste samba tegevuskava ja uue kvaliteetsete töökohtade tegevuskava </w:t>
            </w:r>
            <w:r>
              <w:rPr>
                <w:b/>
                <w:i/>
              </w:rPr>
              <w:t>eelseisev ajakohastamine peab sisaldama konkreetseid seadusandlikke ja muid kui seadusandlikke meetmeid, millega parandada märgatavalt töötingimusi, tervishoidu ja ohutust, kollektiivläbirääkimistega hõlmatust ning töötajate ja füüsilisest isikust ettevõtjate koolitamist ja oskusi</w:t>
            </w:r>
            <w:r>
              <w:t xml:space="preserve">; rõhutab, et sellised meetmed annavad ka võimaluse toetada liidu tööandjaid, eelkõige VKEsid, konkurentsivõime hoidmisel ja parandamisel, </w:t>
            </w:r>
            <w:r>
              <w:rPr>
                <w:b/>
                <w:i/>
              </w:rPr>
              <w:t>andes selge raamistiku muutuste ennetamiseks ja juhtimiseks partnerluses töötajatega ning investeerides kutseharidusse ja -õppesse, töötajate täiend- ja ümberõppesse, et tegeleda oskuste ja tööjõu nappusega, mis takistab tootlikkust ja majanduskasvu</w:t>
            </w:r>
            <w:r>
              <w:t>;</w:t>
            </w:r>
          </w:p>
        </w:tc>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töökohtade </w:t>
            </w:r>
            <w:r>
              <w:rPr>
                <w:b/>
                <w:i/>
              </w:rPr>
              <w:t>arvu vähenemise ja Euroopa tööturu üldise kahjustamise tõttu laiem mõju</w:t>
            </w:r>
            <w:r>
              <w:t xml:space="preserve">; rõhutab </w:t>
            </w:r>
            <w:r>
              <w:rPr>
                <w:b/>
                <w:i/>
              </w:rPr>
              <w:t>vajadust</w:t>
            </w:r>
            <w:r>
              <w:t xml:space="preserve"> Euroopa sotsiaalõiguste samba tegevuskava ja uue kvaliteetsete töökohtade tegevuskava </w:t>
            </w:r>
            <w:r>
              <w:rPr>
                <w:b/>
                <w:i/>
              </w:rPr>
              <w:t>eelseisva ajakohastamise järele, et vähendada liidus piiravaid tegureid, mis tööhõivet halvendavad</w:t>
            </w:r>
            <w:r>
              <w:t xml:space="preserve">; rõhutab, et sellised meetmed annavad ka võimaluse toetada liidu tööandjaid, eelkõige VKEsid, konkurentsivõime hoidmisel ja parandamisel, </w:t>
            </w:r>
            <w:r>
              <w:rPr>
                <w:b/>
                <w:i/>
              </w:rPr>
              <w:t>edendades dereguleerimist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 rõhutab, et Euroopa sotsiaalõiguste samba tegevuskava ja uue kvaliteetsete töökohtade tegevuskava eelseisev ajakohastamine peab sisaldama konkreetseid </w:t>
            </w:r>
            <w:r>
              <w:rPr>
                <w:b/>
                <w:i/>
              </w:rPr>
              <w:t>seadusandlikke ja muid kui seadusandlikke</w:t>
            </w:r>
            <w:r>
              <w:t xml:space="preserve"> meetmeid, millega parandada märgatavalt töötingimusi,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w:t>
            </w:r>
          </w:p>
        </w:tc>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 rõhutab, et Euroopa sotsiaalõiguste samba tegevuskava ja uue kvaliteetsete töökohtade tegevuskava eelseisev ajakohastamine peab sisaldama konkreetseid meetmeid, millega parandada märgatavalt töötingimusi,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 rõhutab, et Euroopa sotsiaalõiguste samba tegevuskava ja uue kvaliteetsete töökohtade tegevuskava eelseisev ajakohastamine peab sisaldama konkreetseid seadusandlikke ja muid kui seadusandlikke meetmeid, millega parandada märgatavalt töötingimusi,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w:t>
            </w:r>
            <w:r>
              <w:rPr>
                <w:b/>
                <w:i/>
              </w:rPr>
              <w:t>andes selge raamistiku</w:t>
            </w:r>
            <w:r>
              <w:t xml:space="preserve"> muutuste ennetamiseks ja juhtimiseks partnerluses töötajatega ning investeerides kutseharidusse ja -õppesse, töötajate täiend- ja ümberõppesse, et tegeleda oskuste ja tööjõu nappusega, mis takistab tootlikkust ja majanduskasvu;</w:t>
            </w:r>
          </w:p>
        </w:tc>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 rõhutab, et Euroopa sotsiaalõiguste samba tegevuskava ja uue kvaliteetsete töökohtade tegevuskava eelseisev ajakohastamine peab sisaldama konkreetseid seadusandlikke ja muid kui seadusandlikke meetmeid, millega parandada märgatavalt töötingimusi,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w:t>
            </w:r>
            <w:r>
              <w:rPr>
                <w:b/>
                <w:i/>
              </w:rPr>
              <w:t>pakkudes praktilisi suuniseid ja tugivahendeid</w:t>
            </w:r>
            <w:r>
              <w:t xml:space="preserve"> muutuste ennetamiseks ja juhtimiseks partnerluses töötajatega ning investeerides kutseharidusse ja -õppesse, töötajate täiend- ja ümberõppesse, et tegeleda oskuste ja tööjõu nappusega, mis takistab tootlikkust ja majanduskasvu;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 rõhutab, et Euroopa sotsiaalõiguste samba tegevuskava ja uue kvaliteetsete töökohtade tegevuskava eelseisev ajakohastamine peab sisaldama konkreetseid seadusandlikke ja muid kui seadusandlikke meetmeid, millega parandada märgatavalt töötingimusi,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w:t>
            </w:r>
          </w:p>
        </w:tc>
        <w:tc>
          <w:tcPr>
            <w:tcW w:w="4876" w:type="dxa"/>
            <w:tcBorders>
              <w:top w:val="nil"/>
              <w:left w:val="nil"/>
              <w:bottom w:val="nil"/>
              <w:right w:val="nil"/>
            </w:tcBorders>
          </w:tcPr>
          <w:p>
            <w:pPr>
              <w:pStyle w:val="Normal6a"/>
            </w:pPr>
            <w:r>
              <w:t>2.</w:t>
            </w:r>
            <w:r>
              <w:tab/>
            </w:r>
            <w:r>
              <w:t xml:space="preserve">toonitab </w:t>
            </w:r>
            <w:r>
              <w:rPr>
                <w:b/>
                <w:i/>
              </w:rPr>
              <w:t>asjaolu</w:t>
            </w:r>
            <w:r>
              <w:t>,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 rõhutab, et Euroopa sotsiaalõiguste samba tegevuskava ja uue kvaliteetsete töökohtade tegevuskava eelseisev ajakohastamine peab sisaldama konkreetseid seadusandlikke ja muid kui seadusandlikke meetmeid, millega parandada märgatavalt töötingimusi,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w:t>
            </w:r>
            <w:r>
              <w:rPr>
                <w:b/>
                <w:i/>
              </w:rPr>
              <w:t>, aga ka tööliste tulevikuväljavaateid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 rõhutab, et Euroopa sotsiaalõiguste samba tegevuskava ja uue kvaliteetsete töökohtade tegevuskava eelseisev ajakohastamine peab sisaldama konkreetseid seadusandlikke ja muid kui seadusandlikke meetmeid, millega parandada märgatavalt töötingimusi,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w:t>
            </w:r>
          </w:p>
        </w:tc>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 rõhutab, et Euroopa sotsiaalõiguste samba tegevuskava ja uue kvaliteetsete töökohtade tegevuskava eelseisev ajakohastamine peab sisaldama konkreetseid seadusandlikke ja muid kui seadusandlikke meetmeid, millega parandada märgatavalt töötingimusi,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 </w:t>
            </w:r>
            <w:r>
              <w:rPr>
                <w:b/>
                <w:i/>
              </w:rPr>
              <w:t>nõuab meetmeid, et tagada kollektiivläbirääkimiste üldine kohaldamine, tugevdada ametiühinguid ja kaitsta töötajate õigust osaleda üleminekukavade väljatöötamises;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 rõhutab, et Euroopa sotsiaalõiguste samba tegevuskava ja uue kvaliteetsete töökohtade tegevuskava eelseisev ajakohastamine peab sisaldama konkreetseid seadusandlikke ja muid kui seadusandlikke meetmeid, millega parandada märgatavalt töötingimusi,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w:t>
            </w:r>
          </w:p>
        </w:tc>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w:t>
            </w:r>
            <w:r>
              <w:rPr>
                <w:b/>
                <w:i/>
              </w:rPr>
              <w:t>;</w:t>
            </w:r>
            <w:r>
              <w:t xml:space="preserve"> </w:t>
            </w:r>
            <w:r>
              <w:rPr>
                <w:b/>
                <w:i/>
              </w:rPr>
              <w:t>rõhutab vajadust kohandada olemasolevaid töökohti, mida kliimamuutused edaspidi või juba praegu mõjutavad, temperatuuri tõusule ja muudele äärmuslikele ilmastikunähtustele</w:t>
            </w:r>
            <w:r>
              <w:t xml:space="preserve">; rõhutab, et Euroopa sotsiaalõiguste samba tegevuskava ja uue kvaliteetsete töökohtade tegevuskava eelseisev ajakohastamine peab sisaldama konkreetseid seadusandlikke ja muid kui seadusandlikke meetmeid, millega parandada märgatavalt töötingimusi, </w:t>
            </w:r>
            <w:r>
              <w:rPr>
                <w:b/>
                <w:i/>
              </w:rPr>
              <w:t>palkasid,</w:t>
            </w:r>
            <w:r>
              <w:t xml:space="preserve"> tervishoidu ja ohutust</w:t>
            </w:r>
            <w:r>
              <w:rPr>
                <w:b/>
                <w:i/>
              </w:rPr>
              <w:t>, demokraatiat töökohal</w:t>
            </w:r>
            <w:r>
              <w:t>, kollektiivläbirääkimistega hõlmatust ning töötajate ja füüsilisest isikust ettevõtjate koolitamist ja oskusi; 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 rõhutab, et Euroopa sotsiaalõiguste samba tegevuskava ja uue kvaliteetsete töökohtade tegevuskava </w:t>
            </w:r>
            <w:r>
              <w:rPr>
                <w:b/>
                <w:i/>
              </w:rPr>
              <w:t>eelseisev ajakohastamine peab</w:t>
            </w:r>
            <w:r>
              <w:t xml:space="preserve"> sisaldama konkreetseid seadusandlikke ja muid kui seadusandlikke meetmeid, millega parandada märgatavalt töötingimusi,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w:t>
            </w:r>
          </w:p>
        </w:tc>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 </w:t>
            </w:r>
            <w:r>
              <w:rPr>
                <w:b/>
                <w:i/>
              </w:rPr>
              <w:t>väljendab sellega seoses heameelt kvaliteetsete töökohtade õigusakti väljakuulutamise üle, kuna selle eesmärk on tagada, et tööhõivetavad vastaksid tänapäeva majanduse arengule;</w:t>
            </w:r>
            <w:r>
              <w:t xml:space="preserve"> rõhutab, et </w:t>
            </w:r>
            <w:r>
              <w:rPr>
                <w:b/>
                <w:i/>
              </w:rPr>
              <w:t>see õigusakt peab koos</w:t>
            </w:r>
            <w:r>
              <w:t xml:space="preserve"> Euroopa sotsiaalõiguste samba tegevuskava ja uue kvaliteetsete töökohtade tegevuskava </w:t>
            </w:r>
            <w:r>
              <w:rPr>
                <w:b/>
                <w:i/>
              </w:rPr>
              <w:t>eelseisva ajakohastamisega</w:t>
            </w:r>
            <w:r>
              <w:t xml:space="preserve"> sisaldama konkreetseid seadusandlikke ja muid kui seadusandlikke meetmeid, millega parandada märgatavalt töötingimusi,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sellel on laiem mõju töökohtade ümbermääratlemisele ja üldisele üleminekule tööturul; rõhutab, et Euroopa sotsiaalõiguste samba tegevuskava ja uue kvaliteetsete töökohtade tegevuskava eelseisev ajakohastamine peab sisaldama konkreetseid seadusandlikke ja muid kui seadusandlikke meetmeid, millega parandada märgatavalt töötingimusi,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w:t>
            </w:r>
          </w:p>
        </w:tc>
        <w:tc>
          <w:tcPr>
            <w:tcW w:w="4876" w:type="dxa"/>
            <w:tcBorders>
              <w:top w:val="nil"/>
              <w:left w:val="nil"/>
              <w:bottom w:val="nil"/>
              <w:right w:val="nil"/>
            </w:tcBorders>
          </w:tcPr>
          <w:p>
            <w:pPr>
              <w:pStyle w:val="Normal6a"/>
            </w:pPr>
            <w:r>
              <w:t>2.</w:t>
            </w:r>
            <w:r>
              <w:tab/>
            </w:r>
            <w:r>
              <w:t>toonitab, et CO</w:t>
            </w:r>
            <w:r>
              <w:rPr>
                <w:vertAlign w:val="subscript"/>
              </w:rPr>
              <w:t>2</w:t>
            </w:r>
            <w:r>
              <w:t xml:space="preserve"> heite vähendamise mõju tööhõivele on tunda ka mujal kui fossiilkütuste valdkonnas, kus töökohtade arv kahaneb, ning </w:t>
            </w:r>
            <w:r>
              <w:rPr>
                <w:b/>
                <w:i/>
              </w:rPr>
              <w:t>see puudutab järgmiste kümnendite jooksul kõiki kutsealasid ja</w:t>
            </w:r>
            <w:r>
              <w:t xml:space="preserve"> sellel on </w:t>
            </w:r>
            <w:r>
              <w:rPr>
                <w:b/>
                <w:i/>
              </w:rPr>
              <w:t>seega</w:t>
            </w:r>
            <w:r>
              <w:t xml:space="preserve"> laiem mõju töökohtade ümbermääratlemisele ja üldisele üleminekule tööturul; rõhutab, et Euroopa sotsiaalõiguste samba tegevuskava ja uue kvaliteetsete töökohtade tegevuskava eelseisev ajakohastamine peab sisaldama konkreetseid seadusandlikke ja muid kui seadusandlikke meetmeid, millega parandada märgatavalt töötingimusi</w:t>
            </w:r>
            <w:r>
              <w:rPr>
                <w:b/>
                <w:i/>
              </w:rPr>
              <w:t>, palkasid, demokraatiat töökohal</w:t>
            </w:r>
            <w:r>
              <w:t xml:space="preserve">, tervishoidu ja ohutust, kollektiivläbirääkimistega hõlmatust ning töötajate ja füüsilisest isikust ettevõtjate koolitamist ja oskusi; rõhutab, et sellised meetmed annavad ka võimaluse toetada liidu tööandjaid, eelkõige VKEsid, konkurentsivõime hoidmisel ja parandamisel, andes selge raamistiku muutuste ennetamiseks ja juhtimiseks partnerluses töötajatega ning investeerides kutseharidusse ja -õppesse, töötajate täiend- ja ümberõppesse, et tegeleda oskuste ja tööjõu nappusega, mis takistab tootlikkust ja majanduskasvu </w:t>
            </w:r>
            <w:r>
              <w:rPr>
                <w:b/>
                <w:i/>
              </w:rPr>
              <w:t>ning süvendab palgavaesust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rõhutab, et digiüleminekut tuleb ellu viia inimkesksel viisil, vältides töötajate liigset jälgimist ja tagades õiguse mitte olla kättesaadav ning õiglase tööaja korralduse;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kutsub komisjoni üles esitama pärast sotsiaalpartneritega konsulteerimist direktiivi ettepaneku, et tagada õiglane üleminek töömaailmas ning hõlbustada liidu üleminekut kestlikule, kliimaneutraalsele ja digitaalsele majandusele;</w:t>
            </w:r>
            <w:r>
              <w:t xml:space="preserve"> </w:t>
            </w:r>
            <w:r>
              <w:rPr>
                <w:b/>
                <w:i/>
              </w:rPr>
              <w:t>on veendunud, et kõnealune direktiiv peaks sisaldama meetmeid, millega muu hulgas tagada:</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sihtotstarbeline raamistik muutuste ennetamiseks ja juhtimiseks töötajate ja nende esindajate õigeaegse teavitamise ja nendega konsulteerimise, sotsiaaldialoogi ja kollektiivläbirääkimiste kaudu;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töötajate individuaalne õigus tasuta koolitusele tööajal;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riiklike õiglase ülemineku strateegiate koostamine;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ettevõtluse toetamise programmide väljatöötamine ja ettevõtte tasandi üleminekukavade edendamine;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tulevikusuundade strateegilise analüüsi võimekusega seirestruktuur;</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kutsub komisjoni üles esitama pärast sotsiaalpartneritega konsulteerimist direktiivi ettepaneku, et tagada õiglane üleminek töömaailmas ning hõlbustada liidu üleminekut kestlikule, kliimaneutraalsele ja digitaalsele majandusele;</w:t>
            </w:r>
            <w:r>
              <w:t xml:space="preserve"> </w:t>
            </w:r>
            <w:r>
              <w:rPr>
                <w:b/>
                <w:i/>
              </w:rPr>
              <w:t>on veendunud, et kõnealune direktiiv peaks sisaldama meetmeid, millega muu hulgas tagada:</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sihtotstarbeline raamistik muutuste ennetamiseks ja juhtimiseks töötajate ja nende esindajate õigeaegse teavitamise ja nendega konsulteerimise, sotsiaaldialoogi ja kollektiivläbirääkimiste kaudu;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töötajate individuaalne õigus tasuta koolitusele tööajal;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riiklike õiglase ülemineku strateegiate koostamine;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ettevõtluse toetamise programmide väljatöötamine ja ettevõtte tasandi üleminekukavade edendamine;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tulevikusuundade strateegilise analüüsi võimekusega seirestruktuur;</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kutsub komisjoni üles </w:t>
            </w:r>
            <w:r>
              <w:rPr>
                <w:b/>
                <w:i/>
              </w:rPr>
              <w:t>esitama</w:t>
            </w:r>
            <w:r>
              <w:t xml:space="preserve"> pärast sotsiaalpartneritega konsulteerimist </w:t>
            </w:r>
            <w:r>
              <w:rPr>
                <w:b/>
                <w:i/>
              </w:rPr>
              <w:t>direktiivi ettepaneku, et tagada õiglane üleminek</w:t>
            </w:r>
            <w:r>
              <w:t xml:space="preserve"> töömaailmas </w:t>
            </w:r>
            <w:r>
              <w:rPr>
                <w:b/>
                <w:i/>
              </w:rPr>
              <w:t>ning hõlbustada liidu üleminekut kestlikule, kliimaneutraalsele ja digitaalsele majandusele</w:t>
            </w:r>
            <w:r>
              <w:t xml:space="preserve">; on veendunud, et </w:t>
            </w:r>
            <w:r>
              <w:rPr>
                <w:b/>
                <w:i/>
              </w:rPr>
              <w:t>kõnealune direktiiv peaks sisaldama meetmeid, millega muu hulgas tagada</w:t>
            </w:r>
            <w:r>
              <w:t>:</w:t>
            </w:r>
          </w:p>
        </w:tc>
        <w:tc>
          <w:tcPr>
            <w:tcW w:w="4876" w:type="dxa"/>
            <w:tcBorders>
              <w:top w:val="nil"/>
              <w:left w:val="nil"/>
              <w:bottom w:val="nil"/>
              <w:right w:val="nil"/>
            </w:tcBorders>
          </w:tcPr>
          <w:p>
            <w:pPr>
              <w:pStyle w:val="Normal6a"/>
            </w:pPr>
            <w:r>
              <w:t>3.</w:t>
            </w:r>
            <w:r>
              <w:tab/>
            </w:r>
            <w:r>
              <w:t xml:space="preserve">kutsub komisjoni üles </w:t>
            </w:r>
            <w:r>
              <w:rPr>
                <w:b/>
                <w:i/>
              </w:rPr>
              <w:t>viima</w:t>
            </w:r>
            <w:r>
              <w:t xml:space="preserve"> pärast sotsiaalpartneritega konsulteerimist </w:t>
            </w:r>
            <w:r>
              <w:rPr>
                <w:b/>
                <w:i/>
              </w:rPr>
              <w:t>läbi täieliku mõju-uuringu majanduslike ja sotsiaalsete kulude kohta, mis kaasnevad mis tahes kavandatava õiglase üleminekuga</w:t>
            </w:r>
            <w:r>
              <w:t xml:space="preserve"> töömaailmas; on veendunud, et </w:t>
            </w:r>
            <w:r>
              <w:rPr>
                <w:b/>
                <w:i/>
              </w:rPr>
              <w:t>ettevõtjatele ega maksumaksjatele ei tohiks kehtestada lisabürokraatiat, kui puuduvad tõendid selle kohta, et süsinikuheite vähendamine ja digiüleminek toovad liikmesriikidele kaasa positiivseid muutusi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kutsub komisjoni üles </w:t>
            </w:r>
            <w:r>
              <w:rPr>
                <w:b/>
                <w:i/>
              </w:rPr>
              <w:t>esitama</w:t>
            </w:r>
            <w:r>
              <w:t xml:space="preserve"> pärast </w:t>
            </w:r>
            <w:r>
              <w:rPr>
                <w:b/>
                <w:i/>
              </w:rPr>
              <w:t>sotsiaalpartneritega</w:t>
            </w:r>
            <w:r>
              <w:t xml:space="preserve"> konsulteerimist </w:t>
            </w:r>
            <w:r>
              <w:rPr>
                <w:b/>
                <w:i/>
              </w:rPr>
              <w:t>direktiivi ettepaneku</w:t>
            </w:r>
            <w:r>
              <w:t>, et tagada õiglane üleminek töömaailmas ning hõlbustada liidu üleminekut kestlikule, kliimaneutraalsele ja digitaalsele majandusele; on veendunud, et kõnealune direktiiv peaks sisaldama meetmeid, millega muu hulgas tagada:</w:t>
            </w:r>
          </w:p>
        </w:tc>
        <w:tc>
          <w:tcPr>
            <w:tcW w:w="4876" w:type="dxa"/>
            <w:tcBorders>
              <w:top w:val="nil"/>
              <w:left w:val="nil"/>
              <w:bottom w:val="nil"/>
              <w:right w:val="nil"/>
            </w:tcBorders>
          </w:tcPr>
          <w:p>
            <w:pPr>
              <w:pStyle w:val="Normal6a"/>
            </w:pPr>
            <w:r>
              <w:t>3.</w:t>
            </w:r>
            <w:r>
              <w:tab/>
            </w:r>
            <w:r>
              <w:t xml:space="preserve">kutsub komisjoni üles </w:t>
            </w:r>
            <w:r>
              <w:rPr>
                <w:b/>
                <w:i/>
              </w:rPr>
              <w:t>vaatama</w:t>
            </w:r>
            <w:r>
              <w:t xml:space="preserve"> pärast </w:t>
            </w:r>
            <w:r>
              <w:rPr>
                <w:b/>
                <w:i/>
              </w:rPr>
              <w:t>hoolikat hindamist ning sotsiaalpartnerite ja sidusrühmadega</w:t>
            </w:r>
            <w:r>
              <w:t xml:space="preserve"> konsulteerimist </w:t>
            </w:r>
            <w:r>
              <w:rPr>
                <w:b/>
                <w:i/>
              </w:rPr>
              <w:t>läbi kehtivad õigusaktid</w:t>
            </w:r>
            <w:r>
              <w:t>, et tagada õiglane üleminek töömaailmas ning hõlbustada liidu üleminekut kestlikule, kliimaneutraalsele ja digitaalsele majandusele; on veendunud, et kõnealune direktiiv peaks sisaldama meetmeid, millega muu hulgas tagada: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kutsub komisjoni üles esitama pärast sotsiaalpartneritega konsulteerimist </w:t>
            </w:r>
            <w:r>
              <w:rPr>
                <w:b/>
                <w:i/>
              </w:rPr>
              <w:t>direktiivi</w:t>
            </w:r>
            <w:r>
              <w:t xml:space="preserve"> ettepaneku, et tagada õiglane üleminek töömaailmas ning hõlbustada liidu üleminekut kestlikule, kliimaneutraalsele ja digitaalsele majandusele; on veendunud, et kõnealune </w:t>
            </w:r>
            <w:r>
              <w:rPr>
                <w:b/>
                <w:i/>
              </w:rPr>
              <w:t>direktiiv</w:t>
            </w:r>
            <w:r>
              <w:t xml:space="preserve"> peaks sisaldama meetmeid, millega muu hulgas tagada:</w:t>
            </w:r>
          </w:p>
        </w:tc>
        <w:tc>
          <w:tcPr>
            <w:tcW w:w="4876" w:type="dxa"/>
            <w:tcBorders>
              <w:top w:val="nil"/>
              <w:left w:val="nil"/>
              <w:bottom w:val="nil"/>
              <w:right w:val="nil"/>
            </w:tcBorders>
          </w:tcPr>
          <w:p>
            <w:pPr>
              <w:pStyle w:val="Normal6a"/>
            </w:pPr>
            <w:r>
              <w:t>3.</w:t>
            </w:r>
            <w:r>
              <w:tab/>
            </w:r>
            <w:r>
              <w:t xml:space="preserve">kutsub komisjoni üles esitama pärast sotsiaalpartneritega konsulteerimist ettepaneku </w:t>
            </w:r>
            <w:r>
              <w:rPr>
                <w:b/>
                <w:i/>
              </w:rPr>
              <w:t>mitteseadusandlike meetmete raamistiku kohta</w:t>
            </w:r>
            <w:r>
              <w:t xml:space="preserve">, et tagada õiglane üleminek töömaailmas ning hõlbustada liidu üleminekut kestlikule, kliimaneutraalsele ja digitaalsele majandusele; on veendunud, et kõnealune </w:t>
            </w:r>
            <w:r>
              <w:rPr>
                <w:b/>
                <w:i/>
              </w:rPr>
              <w:t>raamistik</w:t>
            </w:r>
            <w:r>
              <w:t xml:space="preserve"> peaks sisaldama meetmeid, millega muu hulgas tagada: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kutsub komisjoni üles esitama</w:t>
            </w:r>
            <w:r>
              <w:t xml:space="preserve"> pärast sotsiaalpartneritega konsulteerimist direktiivi ettepaneku, et tagada õiglane üleminek töömaailmas ning hõlbustada liidu üleminekut kestlikule, kliimaneutraalsele ja digitaalsele majandusele; on veendunud, et kõnealune direktiiv peaks sisaldama meetmeid, millega muu hulgas tagada:</w:t>
            </w:r>
          </w:p>
        </w:tc>
        <w:tc>
          <w:tcPr>
            <w:tcW w:w="4876" w:type="dxa"/>
            <w:tcBorders>
              <w:top w:val="nil"/>
              <w:left w:val="nil"/>
              <w:bottom w:val="nil"/>
              <w:right w:val="nil"/>
            </w:tcBorders>
          </w:tcPr>
          <w:p>
            <w:pPr>
              <w:pStyle w:val="Normal6a"/>
            </w:pPr>
            <w:r>
              <w:t>3.</w:t>
            </w:r>
            <w:r>
              <w:tab/>
            </w:r>
            <w:r>
              <w:rPr>
                <w:b/>
                <w:i/>
              </w:rPr>
              <w:t>kordab oma üleskutset komisjonile, et ta esitaks</w:t>
            </w:r>
            <w:r>
              <w:t xml:space="preserve"> pärast sotsiaalpartneritega konsulteerimist </w:t>
            </w:r>
            <w:r>
              <w:rPr>
                <w:b/>
                <w:i/>
              </w:rPr>
              <w:t>viivitamata</w:t>
            </w:r>
            <w:r>
              <w:t xml:space="preserve"> direktiivi ettepaneku, et tagada õiglane üleminek töömaailmas ning hõlbustada liidu üleminekut kestlikule, kliimaneutraalsele ja digitaalsele majandusele; on veendunud, et kõnealune direktiiv peaks sisaldama meetmeid, millega muu hulgas tagada: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sissejuhatav osa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kutsub komisjoni üles esitama pärast sotsiaalpartneritega konsulteerimist direktiivi ettepaneku, et tagada õiglane üleminek töömaailmas ning hõlbustada liidu üleminekut kestlikule, kliimaneutraalsele ja digitaalsele majandusele; on veendunud, et kõnealune direktiiv peaks sisaldama meetmeid, millega muu hulgas tagada:</w:t>
            </w:r>
          </w:p>
        </w:tc>
        <w:tc>
          <w:tcPr>
            <w:tcW w:w="4876" w:type="dxa"/>
            <w:tcBorders>
              <w:top w:val="nil"/>
              <w:left w:val="nil"/>
              <w:bottom w:val="nil"/>
              <w:right w:val="nil"/>
            </w:tcBorders>
          </w:tcPr>
          <w:p>
            <w:pPr>
              <w:pStyle w:val="Normal6a"/>
            </w:pPr>
            <w:r>
              <w:t>3.</w:t>
            </w:r>
            <w:r>
              <w:tab/>
            </w:r>
            <w:r>
              <w:t xml:space="preserve">kutsub komisjoni üles esitama pärast sotsiaalpartneritega konsulteerimist direktiivi ettepaneku, et tagada õiglane üleminek töömaailmas ning hõlbustada liidu üleminekut kestlikule, kliimaneutraalsele ja digitaalsele majandusele; </w:t>
            </w:r>
            <w:r>
              <w:rPr>
                <w:b/>
                <w:i/>
              </w:rPr>
              <w:t>rõhutab, et selles direktiivis tuleb täielikult austada liikmesriikide sotsiaalpartnerite rolli ja autonoomiat;</w:t>
            </w:r>
            <w:r>
              <w:t xml:space="preserve"> on veendunud, et kõnealune direktiiv peaks sisaldama meetmeid, millega muu hulgas tagada: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sihtotstarbeline raamistik muutuste ennetamiseks ja juhtimiseks töötajate ja nende esindajate õigeaegse teavitamise ja nendega konsulteerimise, sotsiaaldialoogi ja kollektiivläbirääkimiste kaudu;</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sihtotstarbeline raamistik muutuste ennetamiseks ja juhtimiseks töötajate ja nende esindajate õigeaegse teavitamise ja nendega konsulteerimise, sotsiaaldialoogi ja kollektiivläbirääkimiste kaudu;</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sihtotstarbeline raamistik</w:t>
            </w:r>
            <w:r>
              <w:t xml:space="preserve"> muutuste ennetamiseks ja juhtimiseks töötajate ja nende esindajate õigeaegse teavitamise ja nendega konsulteerimise, sotsiaaldialoogi ja kollektiivläbirääkimiste kaudu;</w:t>
            </w:r>
          </w:p>
        </w:tc>
        <w:tc>
          <w:tcPr>
            <w:tcW w:w="4876" w:type="dxa"/>
            <w:tcBorders>
              <w:top w:val="nil"/>
              <w:left w:val="nil"/>
              <w:bottom w:val="nil"/>
              <w:right w:val="nil"/>
            </w:tcBorders>
          </w:tcPr>
          <w:p>
            <w:pPr>
              <w:pStyle w:val="Normal6a"/>
            </w:pPr>
            <w:r>
              <w:t>a)</w:t>
            </w:r>
            <w:r>
              <w:tab/>
            </w:r>
            <w:r>
              <w:rPr>
                <w:b/>
                <w:i/>
              </w:rPr>
              <w:t>suunised</w:t>
            </w:r>
            <w:r>
              <w:t xml:space="preserve"> muutuste ennetamiseks ja juhtimiseks töötajate ja nende esindajate õigeaegse teavitamise ja nendega konsulteerimise, sotsiaaldialoogi ja kollektiivläbirääkimiste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sihtotstarbeline raamistik muutuste ennetamiseks ja juhtimiseks töötajate ja nende esindajate õigeaegse teavitamise ja nendega konsulteerimise, sotsiaaldialoogi </w:t>
            </w:r>
            <w:r>
              <w:rPr>
                <w:b/>
                <w:i/>
              </w:rPr>
              <w:t>ja</w:t>
            </w:r>
            <w:r>
              <w:t xml:space="preserve"> kollektiivläbirääkimiste kaudu;</w:t>
            </w:r>
          </w:p>
        </w:tc>
        <w:tc>
          <w:tcPr>
            <w:tcW w:w="4876" w:type="dxa"/>
            <w:tcBorders>
              <w:top w:val="nil"/>
              <w:left w:val="nil"/>
              <w:bottom w:val="nil"/>
              <w:right w:val="nil"/>
            </w:tcBorders>
          </w:tcPr>
          <w:p>
            <w:pPr>
              <w:pStyle w:val="Normal6a"/>
            </w:pPr>
            <w:r>
              <w:t>a)</w:t>
            </w:r>
            <w:r>
              <w:tab/>
            </w:r>
            <w:r>
              <w:t xml:space="preserve">sihtotstarbeline raamistik muutuste ennetamiseks ja juhtimiseks töötajate ja nende esindajate </w:t>
            </w:r>
            <w:r>
              <w:rPr>
                <w:b/>
                <w:i/>
              </w:rPr>
              <w:t>ning muude asjaomaste sidusrühmade</w:t>
            </w:r>
            <w:r>
              <w:t xml:space="preserve"> õigeaegse teavitamise ja nendega konsulteerimise, sotsiaaldialoogi</w:t>
            </w:r>
            <w:r>
              <w:rPr>
                <w:b/>
                <w:i/>
              </w:rPr>
              <w:t>,</w:t>
            </w:r>
            <w:r>
              <w:t xml:space="preserve"> kollektiivläbirääkimiste </w:t>
            </w:r>
            <w:r>
              <w:rPr>
                <w:b/>
                <w:i/>
              </w:rPr>
              <w:t>ning õiglase ülemineku meetmete ja mehhanismide ühise kavandamise ja ühise juhtimise</w:t>
            </w:r>
            <w:r>
              <w:t xml:space="preserv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sihtotstarbeline raamistik muutuste ennetamiseks ja juhtimiseks töötajate ja nende esindajate õigeaegse teavitamise ja nendega konsulteerimise, sotsiaaldialoogi ja kollektiivläbirääkimiste kaudu;</w:t>
            </w:r>
          </w:p>
        </w:tc>
        <w:tc>
          <w:tcPr>
            <w:tcW w:w="4876" w:type="dxa"/>
            <w:tcBorders>
              <w:top w:val="nil"/>
              <w:left w:val="nil"/>
              <w:bottom w:val="nil"/>
              <w:right w:val="nil"/>
            </w:tcBorders>
          </w:tcPr>
          <w:p>
            <w:pPr>
              <w:pStyle w:val="Normal6a"/>
            </w:pPr>
            <w:r>
              <w:t>a)</w:t>
            </w:r>
            <w:r>
              <w:tab/>
            </w:r>
            <w:r>
              <w:t xml:space="preserve">sihtotstarbeline raamistik muutuste ennetamiseks ja juhtimiseks töötajate ja nende esindajate </w:t>
            </w:r>
            <w:r>
              <w:rPr>
                <w:b/>
                <w:i/>
              </w:rPr>
              <w:t>kohustusliku ja</w:t>
            </w:r>
            <w:r>
              <w:t xml:space="preserve"> õigeaegse teavitamise ja nendega konsulteerimise, sotsiaaldialoogi ja kollektiivläbirääkimiste kaudu </w:t>
            </w:r>
            <w:r>
              <w:rPr>
                <w:b/>
                <w:i/>
              </w:rPr>
              <w:t>kõigil asjakohastel tasanditel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töötajate individuaalne õigus tasuta koolitusele tööajal;</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töötajate individuaalne õigus tasuta koolitusele tööajal;</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töötajate individuaalne õigus </w:t>
            </w:r>
            <w:r>
              <w:rPr>
                <w:b/>
                <w:i/>
              </w:rPr>
              <w:t>tasuta</w:t>
            </w:r>
            <w:r>
              <w:t xml:space="preserve"> koolitusele </w:t>
            </w:r>
            <w:r>
              <w:rPr>
                <w:b/>
                <w:i/>
              </w:rPr>
              <w:t>tööajal</w:t>
            </w:r>
            <w:r>
              <w:t>;</w:t>
            </w:r>
          </w:p>
        </w:tc>
        <w:tc>
          <w:tcPr>
            <w:tcW w:w="4876" w:type="dxa"/>
            <w:tcBorders>
              <w:top w:val="nil"/>
              <w:left w:val="nil"/>
              <w:bottom w:val="nil"/>
              <w:right w:val="nil"/>
            </w:tcBorders>
          </w:tcPr>
          <w:p>
            <w:pPr>
              <w:pStyle w:val="Normal6a"/>
            </w:pPr>
            <w:r>
              <w:t>b)</w:t>
            </w:r>
            <w:r>
              <w:tab/>
            </w:r>
            <w:r>
              <w:t>töötajate individuaalne õigus koolitusele;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töötajate individuaalne õigus </w:t>
            </w:r>
            <w:r>
              <w:rPr>
                <w:b/>
                <w:i/>
              </w:rPr>
              <w:t>tasuta</w:t>
            </w:r>
            <w:r>
              <w:t xml:space="preserve"> koolitusele tööajal;</w:t>
            </w:r>
          </w:p>
        </w:tc>
        <w:tc>
          <w:tcPr>
            <w:tcW w:w="4876" w:type="dxa"/>
            <w:tcBorders>
              <w:top w:val="nil"/>
              <w:left w:val="nil"/>
              <w:bottom w:val="nil"/>
              <w:right w:val="nil"/>
            </w:tcBorders>
          </w:tcPr>
          <w:p>
            <w:pPr>
              <w:pStyle w:val="Normal6a"/>
            </w:pPr>
            <w:r>
              <w:t>b)</w:t>
            </w:r>
            <w:r>
              <w:tab/>
            </w:r>
            <w:r>
              <w:t>töötajate individuaalne õigus koolitusele tööajal;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töötajate </w:t>
            </w:r>
            <w:r>
              <w:rPr>
                <w:b/>
                <w:i/>
              </w:rPr>
              <w:t>individuaalne</w:t>
            </w:r>
            <w:r>
              <w:t xml:space="preserve"> õigus tasuta koolitusele tööajal;</w:t>
            </w:r>
          </w:p>
        </w:tc>
        <w:tc>
          <w:tcPr>
            <w:tcW w:w="4876" w:type="dxa"/>
            <w:tcBorders>
              <w:top w:val="nil"/>
              <w:left w:val="nil"/>
              <w:bottom w:val="nil"/>
              <w:right w:val="nil"/>
            </w:tcBorders>
          </w:tcPr>
          <w:p>
            <w:pPr>
              <w:pStyle w:val="Normal6a"/>
            </w:pPr>
            <w:r>
              <w:t>b)</w:t>
            </w:r>
            <w:r>
              <w:tab/>
            </w:r>
            <w:r>
              <w:t xml:space="preserve">töötajate </w:t>
            </w:r>
            <w:r>
              <w:rPr>
                <w:b/>
                <w:i/>
              </w:rPr>
              <w:t>üldine, seadusega kehtestatud</w:t>
            </w:r>
            <w:r>
              <w:t xml:space="preserve"> õigus tasuta </w:t>
            </w:r>
            <w:r>
              <w:rPr>
                <w:b/>
                <w:i/>
              </w:rPr>
              <w:t>ja kvaliteetsele</w:t>
            </w:r>
            <w:r>
              <w:t xml:space="preserve"> koolitusele tööajal;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töötajate individuaalne õigus tasuta koolitusele tööajal;</w:t>
            </w:r>
          </w:p>
        </w:tc>
        <w:tc>
          <w:tcPr>
            <w:tcW w:w="4876" w:type="dxa"/>
            <w:tcBorders>
              <w:top w:val="nil"/>
              <w:left w:val="nil"/>
              <w:bottom w:val="nil"/>
              <w:right w:val="nil"/>
            </w:tcBorders>
          </w:tcPr>
          <w:p>
            <w:pPr>
              <w:pStyle w:val="Normal6a"/>
            </w:pPr>
            <w:r>
              <w:t>b)</w:t>
            </w:r>
            <w:r>
              <w:tab/>
            </w:r>
            <w:r>
              <w:rPr>
                <w:b/>
                <w:i/>
              </w:rPr>
              <w:t>kõigi</w:t>
            </w:r>
            <w:r>
              <w:t xml:space="preserve"> töötajate individuaalne õigus tasuta koolitusele </w:t>
            </w:r>
            <w:r>
              <w:rPr>
                <w:b/>
                <w:i/>
              </w:rPr>
              <w:t>ja elukestvale õppele</w:t>
            </w:r>
            <w:r>
              <w:t xml:space="preserve"> tööajal;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töötajate individuaalne õigus tasuta koolitusele tööajal;</w:t>
            </w:r>
          </w:p>
        </w:tc>
        <w:tc>
          <w:tcPr>
            <w:tcW w:w="4876" w:type="dxa"/>
            <w:tcBorders>
              <w:top w:val="nil"/>
              <w:left w:val="nil"/>
              <w:bottom w:val="nil"/>
              <w:right w:val="nil"/>
            </w:tcBorders>
          </w:tcPr>
          <w:p>
            <w:pPr>
              <w:pStyle w:val="Normal6a"/>
            </w:pPr>
            <w:r>
              <w:t>b)</w:t>
            </w:r>
            <w:r>
              <w:tab/>
            </w:r>
            <w:r>
              <w:t>töötajate individuaalne õigus tasuta</w:t>
            </w:r>
            <w:r>
              <w:rPr>
                <w:b/>
                <w:i/>
              </w:rPr>
              <w:t>, kvaliteetsele ja enda valitud</w:t>
            </w:r>
            <w:r>
              <w:t xml:space="preserve"> koolitusele tööajal </w:t>
            </w:r>
            <w:r>
              <w:rPr>
                <w:b/>
                <w:i/>
              </w:rPr>
              <w:t>ja tasustatud õppepuhkusele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töötajate individuaalne õigus tasuta koolitusele tööajal;</w:t>
            </w:r>
          </w:p>
        </w:tc>
        <w:tc>
          <w:tcPr>
            <w:tcW w:w="4876" w:type="dxa"/>
            <w:tcBorders>
              <w:top w:val="nil"/>
              <w:left w:val="nil"/>
              <w:bottom w:val="nil"/>
              <w:right w:val="nil"/>
            </w:tcBorders>
          </w:tcPr>
          <w:p>
            <w:pPr>
              <w:pStyle w:val="Normal6a"/>
            </w:pPr>
            <w:r>
              <w:t>b)</w:t>
            </w:r>
            <w:r>
              <w:tab/>
            </w:r>
            <w:r>
              <w:t xml:space="preserve">töötajate </w:t>
            </w:r>
            <w:r>
              <w:rPr>
                <w:b/>
                <w:i/>
              </w:rPr>
              <w:t>tagatud</w:t>
            </w:r>
            <w:r>
              <w:t xml:space="preserve"> individuaalne õigus tasuta koolitusele tööajal;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individuaalne õigus õiglasele üleminekule:</w:t>
            </w:r>
            <w:r>
              <w:t xml:space="preserve"> </w:t>
            </w:r>
            <w:r>
              <w:rPr>
                <w:b/>
                <w:i/>
              </w:rPr>
              <w:t>töötajate õigus õiglastele ja inimväärsetele töötingimustele ning üleminekuteks vajalikele oskustele ja koolitusele;</w:t>
            </w:r>
            <w:r>
              <w:t xml:space="preserve"> </w:t>
            </w:r>
            <w:r>
              <w:rPr>
                <w:b/>
                <w:i/>
              </w:rPr>
              <w:t>kõigi kaksiküleminekust ja sellega seotud ümberkorraldustest mõjutatud isikute õigus saada õiglastel ja inimväärsetel tingimustel tööd ning õigus jääda oma alalisse elukohta;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tööotsijate individuaalne õigus kvaliteetsele ja enda valitud koolitusele;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kollektiivse õiglase ülemineku õiguse kehtestamine:</w:t>
            </w:r>
            <w:r>
              <w:t xml:space="preserve"> </w:t>
            </w:r>
            <w:r>
              <w:rPr>
                <w:b/>
                <w:i/>
              </w:rPr>
              <w:t>liikmesriigid tagavad, et ühtki territooriumi ega kogukonda ei jäeta kõrvale;</w:t>
            </w:r>
            <w:r>
              <w:t xml:space="preserve"> </w:t>
            </w:r>
            <w:r>
              <w:rPr>
                <w:b/>
                <w:i/>
              </w:rPr>
              <w:t>see tähendab õigust elada tervislikus keskkonnas, saada kasu töövõimalustest eri sektorites ja juurdepääsu sotsiaalteenustele;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b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individuaalne õigus liikuda ühelt töökohalt teisele, mis annab töötajatele õiguse säilitada oma töökohta või õiguse üleviimisele sobivale töökohale ettevõttes või õiguse saada enda valitud kvaliteetset koolitust või täiendkoolitust;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riiklike õiglase ülemineku strateegiate koostamine;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riiklike õiglase ülemineku strateegiate koostamine;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riiklike õiglase ülemineku strateegiate koostamine;</w:t>
            </w:r>
          </w:p>
        </w:tc>
        <w:tc>
          <w:tcPr>
            <w:tcW w:w="4876" w:type="dxa"/>
            <w:tcBorders>
              <w:top w:val="nil"/>
              <w:left w:val="nil"/>
              <w:bottom w:val="nil"/>
              <w:right w:val="nil"/>
            </w:tcBorders>
          </w:tcPr>
          <w:p>
            <w:pPr>
              <w:pStyle w:val="Normal6a"/>
            </w:pPr>
            <w:r>
              <w:t>c)</w:t>
            </w:r>
            <w:r>
              <w:tab/>
            </w:r>
            <w:r>
              <w:rPr>
                <w:b/>
                <w:i/>
              </w:rPr>
              <w:t>selliste</w:t>
            </w:r>
            <w:r>
              <w:t xml:space="preserve"> riiklike õiglase ülemineku strateegiate koostamine</w:t>
            </w:r>
            <w:r>
              <w:rPr>
                <w:b/>
                <w:i/>
              </w:rPr>
              <w:t>, mis hõlmavad piirkondlikke ja valdkondlikke kavasid, mis on kavandatud koos sotsiaalpartnerite ja mõjutatud sidusrühmadega, nagu kohalikud kogukonnad ja põlisrahvad,</w:t>
            </w:r>
            <w:r>
              <w:t xml:space="preserve"> </w:t>
            </w:r>
            <w:r>
              <w:rPr>
                <w:b/>
                <w:i/>
              </w:rPr>
              <w:t>ning mis hõlmavad valdkondlikke ja piirkondlikke oskuste kavasid ning need omakorda oskuste kindlakstegemist ja prognoosimist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riiklike õiglase ülemineku strateegiate koostamine;</w:t>
            </w:r>
          </w:p>
        </w:tc>
        <w:tc>
          <w:tcPr>
            <w:tcW w:w="4876" w:type="dxa"/>
            <w:tcBorders>
              <w:top w:val="nil"/>
              <w:left w:val="nil"/>
              <w:bottom w:val="nil"/>
              <w:right w:val="nil"/>
            </w:tcBorders>
          </w:tcPr>
          <w:p>
            <w:pPr>
              <w:pStyle w:val="Normal6a"/>
            </w:pPr>
            <w:r>
              <w:t>c)</w:t>
            </w:r>
            <w:r>
              <w:tab/>
            </w:r>
            <w:r>
              <w:rPr>
                <w:b/>
                <w:i/>
              </w:rPr>
              <w:t>selliste kohustuslike</w:t>
            </w:r>
            <w:r>
              <w:t xml:space="preserve"> riiklike </w:t>
            </w:r>
            <w:r>
              <w:rPr>
                <w:b/>
                <w:i/>
              </w:rPr>
              <w:t>ja asjakohasel juhul piirkondlike</w:t>
            </w:r>
            <w:r>
              <w:t xml:space="preserve"> õiglase ülemineku strateegiate koostamine</w:t>
            </w:r>
            <w:r>
              <w:rPr>
                <w:b/>
                <w:i/>
              </w:rPr>
              <w:t>, mis töötatakse välja ja mida rakendatakse sotsiaalpartnerite ja kollektiivläbirääkimiste struktuuride osalusel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piisavad sotsiaalkaitsesüsteemid;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ettevõtluse toetamise programmide väljatöötamine ja ettevõtte tasandi üleminekukavade edendamine;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ettevõtluse toetamise programmide väljatöötamine </w:t>
            </w:r>
            <w:r>
              <w:rPr>
                <w:b/>
                <w:i/>
              </w:rPr>
              <w:t>ja ettevõtte tasandi üleminekukavade edendamine</w:t>
            </w:r>
            <w:r>
              <w:t>;</w:t>
            </w:r>
          </w:p>
        </w:tc>
        <w:tc>
          <w:tcPr>
            <w:tcW w:w="4876" w:type="dxa"/>
            <w:tcBorders>
              <w:top w:val="nil"/>
              <w:left w:val="nil"/>
              <w:bottom w:val="nil"/>
              <w:right w:val="nil"/>
            </w:tcBorders>
          </w:tcPr>
          <w:p>
            <w:pPr>
              <w:pStyle w:val="Normal6a"/>
            </w:pPr>
            <w:r>
              <w:t>d)</w:t>
            </w:r>
            <w:r>
              <w:tab/>
            </w:r>
            <w:r>
              <w:t>ettevõtluse toetamise programmide väljatöötamine</w:t>
            </w:r>
            <w:r>
              <w:rPr>
                <w:b/>
                <w:i/>
              </w:rPr>
              <w:t>, eelkõige VKEde jaoks, nii et need oleksid seotud tugeva sotsiaalse tingimuslikkusega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kõigi ettevõtjate kohustus koostada ja rakendada ettevõtte suuruse ja liigiga proportsionaalseid üleminekukavasid, tuginedes sisulisele ja tulemuslikule sotsiaaldialoogile;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tulevikusuundade strateegilise analüüsi võimekusega seirestruktuur;</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tulevikusuundade strateegilise analüüsi võimekusega seirestruktuur;</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töötajate vaimse tervise ja psühhosotsiaalse heaolu kaitse üleminekute ajal, sealhulgas töökoha riskihindamise ja tugiteenuste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3 – alapunkt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ühtsed töötuskindlustuse miinimumnõuded;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w:t>
            </w:r>
            <w:r>
              <w:rPr>
                <w:b/>
                <w:i/>
              </w:rPr>
              <w:t>rõhutab, et kavad tuleb välja töötada sotsiaaldialoogi raames, austades täielikult õigust olla informeeritud ja ära kuulatud;</w:t>
            </w:r>
            <w:r>
              <w:t xml:space="preserve"> </w:t>
            </w:r>
            <w:r>
              <w:rPr>
                <w:b/>
                <w:i/>
              </w:rPr>
              <w:t>nõuab sellega seoses teavitamise ja konsulteerimise õigusraamistiku läbivaatamist, et tagada selle eesmärgipärasus kaksikülemineku kontekstis;</w:t>
            </w:r>
            <w:r>
              <w:t xml:space="preserve"> </w:t>
            </w:r>
            <w:r>
              <w:rPr>
                <w:b/>
                <w:i/>
              </w:rPr>
              <w:t>rõhutab vajadust pakkuda ettevõtetele stiimuleid oma üleminekukavade koostamiseks;</w:t>
            </w:r>
          </w:p>
        </w:tc>
        <w:tc>
          <w:tcPr>
            <w:tcW w:w="4876" w:type="dxa"/>
            <w:tcBorders>
              <w:top w:val="nil"/>
              <w:left w:val="nil"/>
              <w:bottom w:val="nil"/>
              <w:right w:val="nil"/>
            </w:tcBorders>
          </w:tcPr>
          <w:p>
            <w:pPr>
              <w:pStyle w:val="Normal6a"/>
            </w:pPr>
            <w:r>
              <w:t>4.</w:t>
            </w:r>
            <w:r>
              <w:tab/>
            </w:r>
            <w:r>
              <w:t xml:space="preserve">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võib hoida ennetavalt ära koondamisi </w:t>
            </w:r>
            <w:r>
              <w:rPr>
                <w:b/>
                <w:i/>
              </w:rPr>
              <w:t>ja viia töökohtade loomiseni</w:t>
            </w:r>
            <w:r>
              <w:t>, suurendada ettevõtete pikaajalist vastupanuvõimet ja kasutada olemasolevaid ressursse parimal viisil;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muutuste ennetamine ja ohjamine on äärmiselt oluline, et nii tööandjad kui ka töötajad saaksid edukalt </w:t>
            </w:r>
            <w:r>
              <w:rPr>
                <w:b/>
                <w:i/>
              </w:rPr>
              <w:t>orienteeruda rohepöördes</w:t>
            </w:r>
            <w:r>
              <w:t xml:space="preserve">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w:t>
            </w:r>
            <w:r>
              <w:rPr>
                <w:b/>
                <w:i/>
              </w:rPr>
              <w:t>rõhutab, et kavad tuleb välja töötada sotsiaaldialoogi raames, austades täielikult õigust olla informeeritud ja ära kuulatud;</w:t>
            </w:r>
            <w:r>
              <w:t xml:space="preserve"> </w:t>
            </w:r>
            <w:r>
              <w:rPr>
                <w:b/>
                <w:i/>
              </w:rPr>
              <w:t>nõuab sellega seoses teavitamise ja konsulteerimise õigusraamistiku läbivaatamist, et tagada selle eesmärgipärasus kaksikülemineku kontekstis;</w:t>
            </w:r>
            <w:r>
              <w:t xml:space="preserve"> </w:t>
            </w:r>
            <w:r>
              <w:rPr>
                <w:b/>
                <w:i/>
              </w:rPr>
              <w:t>rõhutab vajadust pakkuda ettevõtetele stiimuleid oma üleminekukavade koostamiseks;</w:t>
            </w:r>
          </w:p>
        </w:tc>
        <w:tc>
          <w:tcPr>
            <w:tcW w:w="4876" w:type="dxa"/>
            <w:tcBorders>
              <w:top w:val="nil"/>
              <w:left w:val="nil"/>
              <w:bottom w:val="nil"/>
              <w:right w:val="nil"/>
            </w:tcBorders>
          </w:tcPr>
          <w:p>
            <w:pPr>
              <w:pStyle w:val="Normal6a"/>
            </w:pPr>
            <w:r>
              <w:t>4.</w:t>
            </w:r>
            <w:r>
              <w:tab/>
            </w:r>
            <w:r>
              <w:t xml:space="preserve">rõhutab, et muutuste ennetamine ja ohjamine on äärmiselt oluline, et nii tööandjad kui ka töötajad saaksid </w:t>
            </w:r>
            <w:r>
              <w:rPr>
                <w:b/>
                <w:i/>
              </w:rPr>
              <w:t>uute piirangutega</w:t>
            </w:r>
            <w:r>
              <w:t xml:space="preserve"> edukalt </w:t>
            </w:r>
            <w:r>
              <w:rPr>
                <w:b/>
                <w:i/>
              </w:rPr>
              <w:t>kohaneda</w:t>
            </w:r>
            <w:r>
              <w:t xml:space="preserve"> ja tulla tulemuslikult toime ebasoodsatest geopoliitilistest sündmustest tulenevate majanduslike probleemidega</w:t>
            </w:r>
            <w:r>
              <w:rPr>
                <w:b/>
                <w:i/>
              </w:rPr>
              <w:t>;</w:t>
            </w:r>
            <w:r>
              <w:t xml:space="preserve"> </w:t>
            </w:r>
            <w:r>
              <w:rPr>
                <w:b/>
                <w:i/>
              </w:rPr>
              <w:t>sellise prognoosimise eest vastutavad otseselt ettevõtjad ja riigid, mitte riikideülene organisatsioon</w:t>
            </w:r>
            <w:r>
              <w:t>; rõhutab, et ülemineku kavandamine võib hoida ennetavalt ära koondamisi, suurendada ettevõtete pikaajalist vastupanuvõimet ja kasutada olemasolevaid ressursse parimal viisil;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Gheorghe Falcă, Romana Tomc,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rõhutab, et kavad tuleb välja töötada sotsiaaldialoogi raames, austades täielikult õigust olla informeeritud ja ära kuulatud; </w:t>
            </w:r>
            <w:r>
              <w:rPr>
                <w:b/>
                <w:i/>
              </w:rPr>
              <w:t>nõuab sellega seoses teavitamise ja konsulteerimise õigusraamistiku läbivaatamist, et tagada selle eesmärgipärasus kaksikülemineku kontekstis;</w:t>
            </w:r>
            <w:r>
              <w:t xml:space="preserve"> </w:t>
            </w:r>
            <w:r>
              <w:rPr>
                <w:b/>
                <w:i/>
              </w:rPr>
              <w:t>rõhutab vajadust pakkuda ettevõtetele stiimuleid oma üleminekukavade koostamiseks;</w:t>
            </w:r>
          </w:p>
        </w:tc>
        <w:tc>
          <w:tcPr>
            <w:tcW w:w="4876" w:type="dxa"/>
            <w:tcBorders>
              <w:top w:val="nil"/>
              <w:left w:val="nil"/>
              <w:bottom w:val="nil"/>
              <w:right w:val="nil"/>
            </w:tcBorders>
          </w:tcPr>
          <w:p>
            <w:pPr>
              <w:pStyle w:val="Normal6a"/>
            </w:pPr>
            <w:r>
              <w:t>4.</w:t>
            </w:r>
            <w:r>
              <w:tab/>
            </w:r>
            <w:r>
              <w:t>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rõhutab, et kavad tuleb välja töötada sotsiaaldialoogi raames, austades täielikult õigust olla informeeritud ja ära kuulatud;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rõhutab, et kavad tuleb välja töötada sotsiaaldialoogi raames, austades täielikult õigust olla informeeritud ja ära kuulatud; </w:t>
            </w:r>
            <w:r>
              <w:rPr>
                <w:b/>
                <w:i/>
              </w:rPr>
              <w:t>nõuab sellega seoses teavitamise ja konsulteerimise õigusraamistiku läbivaatamist, et tagada selle eesmärgipärasus kaksikülemineku kontekstis;</w:t>
            </w:r>
            <w:r>
              <w:t xml:space="preserve"> rõhutab vajadust pakkuda ettevõtetele stiimuleid oma üleminekukavade koostamiseks;</w:t>
            </w:r>
          </w:p>
        </w:tc>
        <w:tc>
          <w:tcPr>
            <w:tcW w:w="4876" w:type="dxa"/>
            <w:tcBorders>
              <w:top w:val="nil"/>
              <w:left w:val="nil"/>
              <w:bottom w:val="nil"/>
              <w:right w:val="nil"/>
            </w:tcBorders>
          </w:tcPr>
          <w:p>
            <w:pPr>
              <w:pStyle w:val="Normal6a"/>
            </w:pPr>
            <w:r>
              <w:t>4.</w:t>
            </w:r>
            <w:r>
              <w:tab/>
            </w:r>
            <w:r>
              <w:t>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rõhutab, et kavad tuleb välja töötada sotsiaaldialoogi raames, austades täielikult õigust olla informeeritud ja ära kuulatud; rõhutab vajadust pakkuda ettevõtetele stiimuleid oma üleminekukavade koostamiseks;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rõhutab, et kavad tuleb välja töötada sotsiaaldialoogi raames, austades täielikult õigust olla informeeritud ja ära kuulatud</w:t>
            </w:r>
            <w:r>
              <w:rPr>
                <w:b/>
                <w:i/>
              </w:rPr>
              <w:t>;</w:t>
            </w:r>
            <w:r>
              <w:t xml:space="preserve"> </w:t>
            </w:r>
            <w:r>
              <w:rPr>
                <w:b/>
                <w:i/>
              </w:rPr>
              <w:t>nõuab</w:t>
            </w:r>
            <w:r>
              <w:t xml:space="preserve"> sellega seoses teavitamise ja konsulteerimise õigusraamistiku läbivaatamist, et tagada selle eesmärgipärasus kaksikülemineku kontekstis; rõhutab </w:t>
            </w:r>
            <w:r>
              <w:rPr>
                <w:b/>
                <w:i/>
              </w:rPr>
              <w:t>vajadust pakkuda ettevõtetele stiimuleid oma üleminekukavade koostamiseks</w:t>
            </w:r>
            <w:r>
              <w:t>;</w:t>
            </w:r>
          </w:p>
        </w:tc>
        <w:tc>
          <w:tcPr>
            <w:tcW w:w="4876" w:type="dxa"/>
            <w:tcBorders>
              <w:top w:val="nil"/>
              <w:left w:val="nil"/>
              <w:bottom w:val="nil"/>
              <w:right w:val="nil"/>
            </w:tcBorders>
          </w:tcPr>
          <w:p>
            <w:pPr>
              <w:pStyle w:val="Normal6a"/>
            </w:pPr>
            <w:r>
              <w:t>4.</w:t>
            </w:r>
            <w:r>
              <w:tab/>
            </w:r>
            <w:r>
              <w:t xml:space="preserve">rõhutab, et muutuste ennetamine ja ohjamine on äärmiselt oluline, et nii tööandjad kui ka töötajad saaksid edukalt orienteeruda rohepöördes ja tulla tulemuslikult toime ebasoodsatest geopoliitilistest sündmustest tulenevate majanduslike probleemidega </w:t>
            </w:r>
            <w:r>
              <w:rPr>
                <w:b/>
                <w:i/>
              </w:rPr>
              <w:t>ning muuta need võimaluseks</w:t>
            </w:r>
            <w:r>
              <w:t xml:space="preserve">; rõhutab, et ülemineku kavandamine võib hoida ennetavalt ära koondamisi, suurendada ettevõtete pikaajalist vastupanuvõimet ja kasutada olemasolevaid ressursse parimal viisil; rõhutab, et kavad tuleb välja töötada sotsiaaldialoogi </w:t>
            </w:r>
            <w:r>
              <w:rPr>
                <w:b/>
                <w:i/>
              </w:rPr>
              <w:t>ja kollektiivläbirääkimiste</w:t>
            </w:r>
            <w:r>
              <w:t xml:space="preserve"> raames, austades täielikult õigust olla informeeritud ja ära kuulatud </w:t>
            </w:r>
            <w:r>
              <w:rPr>
                <w:b/>
                <w:i/>
              </w:rPr>
              <w:t>liikmesriigi tasandil, samuti tuleb tagada, et töötajaid ja nende esindajaid teavitatakse nende ettevõtte üleminekuprotsessidest aegsasti ja tulemuslikult ning nad kuulatakse ära;</w:t>
            </w:r>
            <w:r>
              <w:t xml:space="preserve"> </w:t>
            </w:r>
            <w:r>
              <w:rPr>
                <w:b/>
                <w:i/>
              </w:rPr>
              <w:t>rõhutab, et koondamine võib olla ülemineku kontekstis viimane abinõu ning seda võib rakendada alles siis, kui muud võimalused on ammendatud;</w:t>
            </w:r>
            <w:r>
              <w:t xml:space="preserve"> </w:t>
            </w:r>
            <w:r>
              <w:rPr>
                <w:b/>
                <w:i/>
              </w:rPr>
              <w:t>kutsub</w:t>
            </w:r>
            <w:r>
              <w:t xml:space="preserve"> sellega seoses </w:t>
            </w:r>
            <w:r>
              <w:rPr>
                <w:b/>
                <w:i/>
              </w:rPr>
              <w:t>liikmesriike üles võimaldama asjaomastel tasanditel sotsiaaldialoogi ühelt töökohalt teisele liikumise üle, eelkõige kutsealade puhul, mis võivad kaduda või mille järele nõudlus märkimisväärselt väheneda;</w:t>
            </w:r>
            <w:r>
              <w:t xml:space="preserve"> </w:t>
            </w:r>
            <w:r>
              <w:rPr>
                <w:b/>
                <w:i/>
              </w:rPr>
              <w:t>kutsub komisjoni üles looma uue mehhanismi, s.o TERA 2.0, mis peaks toimima rahastamisvahendina, mis stabiliseerib valitsemissektori kulutusi tööhõive kaitsele, töökohtade loomisele ja õiglase ülemineku protsessidele;</w:t>
            </w:r>
            <w:r>
              <w:t xml:space="preserve"> </w:t>
            </w:r>
            <w:r>
              <w:rPr>
                <w:b/>
                <w:i/>
              </w:rPr>
              <w:t>nõuab</w:t>
            </w:r>
            <w:r>
              <w:t xml:space="preserve"> teavitamise ja konsulteerimise õigusraamistiku läbivaatamist, et </w:t>
            </w:r>
            <w:r>
              <w:rPr>
                <w:b/>
                <w:i/>
              </w:rPr>
              <w:t>seda tõhustada ning</w:t>
            </w:r>
            <w:r>
              <w:t xml:space="preserve"> tagada selle </w:t>
            </w:r>
            <w:r>
              <w:rPr>
                <w:b/>
                <w:i/>
              </w:rPr>
              <w:t>järgimine ja</w:t>
            </w:r>
            <w:r>
              <w:t xml:space="preserve"> eesmärgipärasus kaksikülemineku kontekstis; </w:t>
            </w:r>
            <w:r>
              <w:rPr>
                <w:b/>
                <w:i/>
              </w:rPr>
              <w:t>kutsub ühtlasi liikmesriike üles töötama välja varajase hoiatamise süsteemid, mis on kättesaadavad sotsiaalpartneritele, et nad saaksid paremini avastada tulevasi muutusi ettevõtete tegevuses ja neile paremini reageerida, ning kehtestama erisätted varajase hoiatamise vahendite kohta suurettevõtjatele ja kontsernidele, võttes arvesse nende eripära;</w:t>
            </w:r>
            <w:r>
              <w:t xml:space="preserve"> rõhutab</w:t>
            </w:r>
            <w:r>
              <w:rPr>
                <w:b/>
                <w:i/>
              </w:rPr>
              <w:t>, et ettevõtted peavad koostama oma üleminekukavad sotsiaaldialoogi abil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muutuste ennetamine ja ohjamine on äärmiselt oluline, et nii tööandjad kui ka töötajad saaksid edukalt orienteeruda </w:t>
            </w:r>
            <w:r>
              <w:rPr>
                <w:b/>
                <w:i/>
              </w:rPr>
              <w:t>rohepöördes</w:t>
            </w:r>
            <w:r>
              <w:t xml:space="preserve">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rõhutab, et kavad tuleb välja töötada sotsiaaldialoogi raames, austades täielikult õigust olla informeeritud ja ära kuulatud; nõuab sellega seoses teavitamise ja konsulteerimise õigusraamistiku läbivaatamist, et tagada selle eesmärgipärasus kaksikülemineku kontekstis; rõhutab </w:t>
            </w:r>
            <w:r>
              <w:rPr>
                <w:b/>
                <w:i/>
              </w:rPr>
              <w:t>vajadust pakkuda ettevõtetele stiimuleid oma üleminekukavade koostamiseks</w:t>
            </w:r>
            <w:r>
              <w:t>;</w:t>
            </w:r>
          </w:p>
        </w:tc>
        <w:tc>
          <w:tcPr>
            <w:tcW w:w="4876" w:type="dxa"/>
            <w:tcBorders>
              <w:top w:val="nil"/>
              <w:left w:val="nil"/>
              <w:bottom w:val="nil"/>
              <w:right w:val="nil"/>
            </w:tcBorders>
          </w:tcPr>
          <w:p>
            <w:pPr>
              <w:pStyle w:val="Normal6a"/>
            </w:pPr>
            <w:r>
              <w:t>4.</w:t>
            </w:r>
            <w:r>
              <w:tab/>
            </w:r>
            <w:r>
              <w:t>rõhutab, et muutuste ennetamine ja ohjamine on äärmiselt oluline, et nii tööandjad kui ka töötajad</w:t>
            </w:r>
            <w:r>
              <w:rPr>
                <w:b/>
                <w:i/>
              </w:rPr>
              <w:t>, piirkondlikud ja kohalikud omavalitsused ning kogukonnad</w:t>
            </w:r>
            <w:r>
              <w:t xml:space="preserve"> saaksid edukalt orienteeruda </w:t>
            </w:r>
            <w:r>
              <w:rPr>
                <w:b/>
                <w:i/>
              </w:rPr>
              <w:t>rohe- ja digipöördes</w:t>
            </w:r>
            <w:r>
              <w:t xml:space="preserve">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rõhutab, et kavad tuleb välja töötada </w:t>
            </w:r>
            <w:r>
              <w:rPr>
                <w:b/>
                <w:i/>
              </w:rPr>
              <w:t>ulatusliku partnerluse,</w:t>
            </w:r>
            <w:r>
              <w:t xml:space="preserve"> sotsiaaldialoogi </w:t>
            </w:r>
            <w:r>
              <w:rPr>
                <w:b/>
                <w:i/>
              </w:rPr>
              <w:t>ja kollektiivläbirääkimiste</w:t>
            </w:r>
            <w:r>
              <w:t xml:space="preserve"> raames, austades täielikult õigust olla informeeritud ja ära kuulatud </w:t>
            </w:r>
            <w:r>
              <w:rPr>
                <w:b/>
                <w:i/>
              </w:rPr>
              <w:t>liikmesriigi tasandil, samuti tuleb tagada, et töötajaid ja nende esindajaid teavitatakse üleminekuprotsessidest aegsasti ja tulemuslikult ning nad kuulatakse ära</w:t>
            </w:r>
            <w:r>
              <w:t xml:space="preserve">; nõuab sellega seoses teavitamise ja konsulteerimise õigusraamistiku läbivaatamist, et </w:t>
            </w:r>
            <w:r>
              <w:rPr>
                <w:b/>
                <w:i/>
              </w:rPr>
              <w:t>seda tõhustada ning</w:t>
            </w:r>
            <w:r>
              <w:t xml:space="preserve"> tagada selle </w:t>
            </w:r>
            <w:r>
              <w:rPr>
                <w:b/>
                <w:i/>
              </w:rPr>
              <w:t>järgimine ja</w:t>
            </w:r>
            <w:r>
              <w:t xml:space="preserve"> eesmärgipärasus kaksikülemineku kontekstis; rõhutab </w:t>
            </w:r>
            <w:r>
              <w:rPr>
                <w:b/>
                <w:i/>
              </w:rPr>
              <w:t>siiski, et ELi õiglast üleminekut käsitlevate direktiividega tuleks kehtestada erisätted töötajate esindajate teavitamise, nendega konsulteerimise ja nende üleminekukavades osalemise kohta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w:t>
            </w:r>
            <w:r>
              <w:rPr>
                <w:b/>
                <w:i/>
              </w:rPr>
              <w:t>võib hoida ennetavalt</w:t>
            </w:r>
            <w:r>
              <w:t xml:space="preserve"> ära koondamisi, suurendada ettevõtete pikaajalist vastupanuvõimet ja kasutada olemasolevaid ressursse parimal viisil; rõhutab, et kavad tuleb välja töötada sotsiaaldialoogi raames, austades täielikult õigust olla informeeritud ja ära kuulatud; nõuab sellega seoses teavitamise ja konsulteerimise õigusraamistiku läbivaatamist, et tagada selle eesmärgipärasus kaksikülemineku kontekstis; rõhutab vajadust pakkuda ettevõtetele stiimuleid oma üleminekukavade koostamiseks;</w:t>
            </w:r>
          </w:p>
        </w:tc>
        <w:tc>
          <w:tcPr>
            <w:tcW w:w="4876" w:type="dxa"/>
            <w:tcBorders>
              <w:top w:val="nil"/>
              <w:left w:val="nil"/>
              <w:bottom w:val="nil"/>
              <w:right w:val="nil"/>
            </w:tcBorders>
          </w:tcPr>
          <w:p>
            <w:pPr>
              <w:pStyle w:val="Normal6a"/>
            </w:pPr>
            <w:r>
              <w:t>4.</w:t>
            </w:r>
            <w:r>
              <w:tab/>
            </w:r>
            <w:r>
              <w:t xml:space="preserve">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w:t>
            </w:r>
            <w:r>
              <w:rPr>
                <w:b/>
                <w:i/>
              </w:rPr>
              <w:t>peab hoidma</w:t>
            </w:r>
            <w:r>
              <w:t xml:space="preserve"> ära koondamisi, suurendada ettevõtete pikaajalist vastupanuvõimet ja kasutada olemasolevaid ressursse parimal viisil; rõhutab, et kavad tuleb välja töötada sotsiaaldialoogi raames, austades täielikult õigust olla informeeritud ja ära kuulatud; nõuab sellega seoses teavitamise ja konsulteerimise õigusraamistiku läbivaatamist, et tagada selle eesmärgipärasus kaksikülemineku kontekstis; rõhutab vajadust pakkuda ettevõtetele stiimuleid oma üleminekukavade koostamiseks;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rõhutab, et kavad tuleb välja töötada sotsiaaldialoogi raames, austades täielikult õigust olla informeeritud ja ära kuulatud; nõuab sellega seoses teavitamise ja konsulteerimise õigusraamistiku läbivaatamist, et tagada selle eesmärgipärasus kaksikülemineku kontekstis; rõhutab vajadust pakkuda ettevõtetele stiimuleid oma üleminekukavade koostamiseks;</w:t>
            </w:r>
          </w:p>
        </w:tc>
        <w:tc>
          <w:tcPr>
            <w:tcW w:w="4876" w:type="dxa"/>
            <w:tcBorders>
              <w:top w:val="nil"/>
              <w:left w:val="nil"/>
              <w:bottom w:val="nil"/>
              <w:right w:val="nil"/>
            </w:tcBorders>
          </w:tcPr>
          <w:p>
            <w:pPr>
              <w:pStyle w:val="Normal6a"/>
            </w:pPr>
            <w:r>
              <w:t>4.</w:t>
            </w:r>
            <w:r>
              <w:tab/>
            </w:r>
            <w:r>
              <w:t xml:space="preserve">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rõhutab, et kavad tuleb välja töötada sotsiaaldialoogi raames, austades täielikult õigust olla informeeritud ja ära kuulatud; nõuab sellega seoses teavitamise ja konsulteerimise õigusraamistiku läbivaatamist, et tagada selle eesmärgipärasus kaksikülemineku kontekstis; rõhutab vajadust pakkuda ettevõtetele stiimuleid oma üleminekukavade koostamiseks; </w:t>
            </w:r>
            <w:r>
              <w:rPr>
                <w:b/>
                <w:i/>
              </w:rPr>
              <w:t>rõhutab, et sidusrühmad ja kodanikuühiskond tuleb kaasata ülemineku kavandamise varaseimatest etappidest, tagades nende sisulise osalemise, mitte hilises etapis konsulteerimise;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rõhutab, et kavad tuleb välja töötada sotsiaaldialoogi raames, austades täielikult õigust olla informeeritud ja ära kuulatud; nõuab sellega seoses teavitamise ja konsulteerimise õigusraamistiku läbivaatamist, et tagada selle eesmärgipärasus kaksikülemineku kontekstis; rõhutab vajadust pakkuda ettevõtetele stiimuleid oma üleminekukavade koostamiseks;</w:t>
            </w:r>
          </w:p>
        </w:tc>
        <w:tc>
          <w:tcPr>
            <w:tcW w:w="4876" w:type="dxa"/>
            <w:tcBorders>
              <w:top w:val="nil"/>
              <w:left w:val="nil"/>
              <w:bottom w:val="nil"/>
              <w:right w:val="nil"/>
            </w:tcBorders>
          </w:tcPr>
          <w:p>
            <w:pPr>
              <w:pStyle w:val="Normal6a"/>
            </w:pPr>
            <w:r>
              <w:t>4.</w:t>
            </w:r>
            <w:r>
              <w:tab/>
            </w:r>
            <w:r>
              <w:t xml:space="preserve">rõhutab, et muutuste ennetamine ja ohjamine on äärmiselt oluline, et nii tööandjad kui ka töötajad saaksid edukalt orienteeruda rohepöördes ja tulla tulemuslikult toime ebasoodsatest geopoliitilistest sündmustest tulenevate majanduslike probleemidega; rõhutab, et ülemineku kavandamine võib hoida ennetavalt ära koondamisi, suurendada ettevõtete pikaajalist vastupanuvõimet ja kasutada olemasolevaid ressursse parimal viisil; rõhutab, et kavad tuleb välja töötada sotsiaaldialoogi raames, austades täielikult õigust olla informeeritud ja ära kuulatud; nõuab sellega seoses teavitamise ja konsulteerimise </w:t>
            </w:r>
            <w:r>
              <w:rPr>
                <w:b/>
                <w:i/>
              </w:rPr>
              <w:t>kehtiva</w:t>
            </w:r>
            <w:r>
              <w:t xml:space="preserve"> õigusraamistiku läbivaatamist, et </w:t>
            </w:r>
            <w:r>
              <w:rPr>
                <w:b/>
                <w:i/>
              </w:rPr>
              <w:t>seda lihtsustada ja ühtlustada, mitte laiendada, ning</w:t>
            </w:r>
            <w:r>
              <w:t xml:space="preserve"> tagada selle eesmärgipärasus kaksikülemineku kontekstis; rõhutab vajadust pakkuda ettevõtetele stiimuleid oma üleminekukavade koostamiseks;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rõhutab, et kavad tuleb välja töötada sotsiaaldialoogi ja kollektiivläbirääkimiste raames, austades täielikult õigust olla informeeritud ja ära kuulatud liikmesriigi tasandil, samuti tuleb tagada, et töötajaid ja nende esindajaid teavitatakse nende ettevõtte üleminekuprotsessidest aegsasti ja tulemuslikult, nad kuulatakse ära ja neil on otsustusõigus;</w:t>
            </w:r>
            <w:r>
              <w:t xml:space="preserve"> </w:t>
            </w:r>
            <w:r>
              <w:rPr>
                <w:b/>
                <w:i/>
              </w:rPr>
              <w:t>nõuab sellega seoses teavitamise ja konsulteerimise õigusraamistiku läbivaatamist, et seda tõhustada ning tagada selle järgimine ja eesmärgipärasus kaksikülemineku kontekstis;</w:t>
            </w:r>
            <w:r>
              <w:t xml:space="preserve"> </w:t>
            </w:r>
            <w:r>
              <w:rPr>
                <w:b/>
                <w:i/>
              </w:rPr>
              <w:t>ELi õiglast üleminekut käsitlevate direktiividega tuleks kehtestada erisätted töötajate esindajate teavitamise, nendega konsulteerimise ja nende üleminekukavades osalemise kohta;</w:t>
            </w:r>
            <w:r>
              <w:t xml:space="preserve"> </w:t>
            </w:r>
            <w:r>
              <w:rPr>
                <w:b/>
                <w:i/>
              </w:rPr>
              <w:t>rõhutab, et ettevõtted peavad koostama oma üleminekukavad sotsiaaldialoogi abil;</w:t>
            </w:r>
            <w:r>
              <w:t xml:space="preserve"> </w:t>
            </w:r>
            <w:r>
              <w:rPr>
                <w:b/>
                <w:i/>
              </w:rPr>
              <w:t>rõhutab, et töötajatel ja nende ametiühinguorganisatsioonidel peab olema õigus mitte ainult teavitamisele ja konsulteerimisele, vaid ka osaleda õiglase ülemineku kavade väljatöötamises, rakendamises ja järelevalves ning et kaasata tuleb ka kohalikud kogukonnad, kodanikuühiskonna organisatsioonid ja vähekaitstud rühmade esindajad;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rõhutab, et novaatoritel, teadlastel, tööandjatel ja töötajatel peab olema võimalik tõhusalt tegeleda ebasoodsatest geopoliitilistest sündmustest ning ressursside ja energia nappusest tingitud majanduslike probleemidega ja nendega edukalt toime tulla;</w:t>
            </w:r>
            <w:r>
              <w:t xml:space="preserve"> </w:t>
            </w:r>
            <w:r>
              <w:rPr>
                <w:b/>
                <w:i/>
              </w:rPr>
              <w:t>rõhutab, et ennetav teaduspõhine kavandamine, võttes arvesse majanduslikke perspektiive, võib aidata vältida koondamisi, tugevdada ettevõtete pikaajalist vastupanuvõimet ning tagada olemasolevate ressursside optimaalse ja kestliku kasutamise;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on veendunud, et keskkonnast lähtuvaid ümberkorraldusi kavandavad ettevõtjad võtavad vastu õiglase ülemineku kavad ja ajakohastavad neid korrapäraselt, konsulteerides töötajate ja nende esindajatega;</w:t>
            </w:r>
            <w:r>
              <w:t xml:space="preserve"> </w:t>
            </w:r>
            <w:r>
              <w:rPr>
                <w:b/>
                <w:i/>
              </w:rPr>
              <w:t>selliste kavadega prognoositakse, ennetatakse ja leevendatakse negatiivset mõju tööhõivele, oskustele, töötingimustele ja kohalikele kogukondadele;</w:t>
            </w:r>
            <w:r>
              <w:t xml:space="preserve"> </w:t>
            </w:r>
            <w:r>
              <w:rPr>
                <w:b/>
                <w:i/>
              </w:rPr>
              <w:t>kavades võetakse arvesse ka ümberkorralduskavade ja üleminekumeetmete mõju ettevõtte kogu tegevusahelale ning hinnatakse ja rakendatakse meetmeid õiglase ülemineku tagamiseks kõigis mõjutatud piirkondades;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rõhutab, et oskustööliste nappust saab </w:t>
            </w:r>
            <w:r>
              <w:rPr>
                <w:b/>
                <w:i/>
              </w:rPr>
              <w:t>sisuliselt</w:t>
            </w:r>
            <w:r>
              <w:t xml:space="preserve"> vähendada </w:t>
            </w:r>
            <w:r>
              <w:rPr>
                <w:b/>
                <w:i/>
              </w:rPr>
              <w:t>üksnes</w:t>
            </w:r>
            <w:r>
              <w:t xml:space="preserve"> koolitusvõimaluste </w:t>
            </w:r>
            <w:r>
              <w:rPr>
                <w:b/>
                <w:i/>
              </w:rPr>
              <w:t>kättesaadavuse ja juurdepääsetavusega tegelemisega;</w:t>
            </w:r>
            <w:r>
              <w:t xml:space="preserve"> </w:t>
            </w:r>
            <w:r>
              <w:rPr>
                <w:b/>
                <w:i/>
              </w:rPr>
              <w:t>rõhutab, et täienduskoolituses osaleda soovivate</w:t>
            </w:r>
            <w:r>
              <w:t xml:space="preserve"> töötajate </w:t>
            </w:r>
            <w:r>
              <w:rPr>
                <w:b/>
                <w:i/>
              </w:rPr>
              <w:t>jaoks on peamised takistused koolitusajad, perekondlikud kohustused ja kulud</w:t>
            </w:r>
            <w:r>
              <w:rPr>
                <w:b/>
                <w:i/>
                <w:vertAlign w:val="superscript"/>
              </w:rPr>
              <w:t>7</w:t>
            </w:r>
            <w:r>
              <w:rPr>
                <w:b/>
                <w:i/>
              </w:rPr>
              <w:t>;</w:t>
            </w:r>
            <w:r>
              <w:t xml:space="preserve"> </w:t>
            </w:r>
            <w:r>
              <w:rPr>
                <w:b/>
                <w:i/>
              </w:rPr>
              <w:t>on kindlalt veendunud, et töötajate individuaalne õigus tasuta koolitusele tööajal võib aidata töötajatel nendest takistustest üle saada ning tagada tööandjatele prognoositava ja stabiilse oskustööjõu pakkumise</w:t>
            </w:r>
            <w:r>
              <w:t>;</w:t>
            </w:r>
          </w:p>
        </w:tc>
        <w:tc>
          <w:tcPr>
            <w:tcW w:w="4876" w:type="dxa"/>
            <w:tcBorders>
              <w:top w:val="nil"/>
              <w:left w:val="nil"/>
              <w:bottom w:val="nil"/>
              <w:right w:val="nil"/>
            </w:tcBorders>
          </w:tcPr>
          <w:p>
            <w:pPr>
              <w:pStyle w:val="Normal6a"/>
            </w:pPr>
            <w:r>
              <w:t>5.</w:t>
            </w:r>
            <w:r>
              <w:tab/>
            </w:r>
            <w:r>
              <w:t xml:space="preserve">rõhutab, et oskustööliste nappust saab </w:t>
            </w:r>
            <w:r>
              <w:rPr>
                <w:b/>
                <w:i/>
              </w:rPr>
              <w:t>osaliselt</w:t>
            </w:r>
            <w:r>
              <w:t xml:space="preserve"> vähendada</w:t>
            </w:r>
            <w:r>
              <w:rPr>
                <w:b/>
                <w:i/>
              </w:rPr>
              <w:t>, kui käsitleda liikmesriikide tasandil ELi kodanike jaoks loodud</w:t>
            </w:r>
            <w:r>
              <w:t xml:space="preserve"> koolitusvõimaluste </w:t>
            </w:r>
            <w:r>
              <w:rPr>
                <w:b/>
                <w:i/>
              </w:rPr>
              <w:t>kättesaadavust ja juurdepääsetavust;</w:t>
            </w:r>
            <w:r>
              <w:t xml:space="preserve"> </w:t>
            </w:r>
            <w:r>
              <w:rPr>
                <w:b/>
                <w:i/>
              </w:rPr>
              <w:t>juhib tähelepanu sellele, et nii oskustööliste kui ka oskusteta</w:t>
            </w:r>
            <w:r>
              <w:t xml:space="preserve"> töötajate </w:t>
            </w:r>
            <w:r>
              <w:rPr>
                <w:b/>
                <w:i/>
              </w:rPr>
              <w:t>nappusele on võimalik pikaajaline lahendus leida igal juhul ainult ennetava poliitika abil, mis keskendub Euroopa Liidu sündimusele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(tööhõive ja sotsiaalareng Euroopas 2024), Euroopa Komisjon, lk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rõhutab, et oskustööliste nappust saab sisuliselt vähendada üksnes </w:t>
            </w:r>
            <w:r>
              <w:rPr>
                <w:b/>
                <w:i/>
              </w:rPr>
              <w:t>koolitusvõimaluste</w:t>
            </w:r>
            <w:r>
              <w:t xml:space="preserve"> kättesaadavuse ja </w:t>
            </w:r>
            <w:r>
              <w:rPr>
                <w:b/>
                <w:i/>
              </w:rPr>
              <w:t>juurdepääsetavusega tegelemisega</w:t>
            </w:r>
            <w:r>
              <w:t>; rõhutab, et täienduskoolituses osaleda soovivate töötajate jaoks on peamised takistused koolitusajad, perekondlikud kohustused ja kulud</w:t>
            </w:r>
            <w:r>
              <w:rPr>
                <w:vertAlign w:val="superscript"/>
              </w:rPr>
              <w:t>7</w:t>
            </w:r>
            <w:r>
              <w:t xml:space="preserve">; </w:t>
            </w:r>
            <w:r>
              <w:rPr>
                <w:b/>
                <w:i/>
              </w:rPr>
              <w:t>on kindlalt veendunud, et töötajate individuaalne õigus tasuta koolitusele tööajal võib aidata töötajatel nendest takistustest üle saada ning tagada tööandjatele prognoositava ja stabiilse oskustööjõu pakkumise;</w:t>
            </w:r>
          </w:p>
        </w:tc>
        <w:tc>
          <w:tcPr>
            <w:tcW w:w="4876" w:type="dxa"/>
            <w:tcBorders>
              <w:top w:val="nil"/>
              <w:left w:val="nil"/>
              <w:bottom w:val="nil"/>
              <w:right w:val="nil"/>
            </w:tcBorders>
          </w:tcPr>
          <w:p>
            <w:pPr>
              <w:pStyle w:val="Normal6a"/>
            </w:pPr>
            <w:r>
              <w:t>5.</w:t>
            </w:r>
            <w:r>
              <w:tab/>
            </w:r>
            <w:r>
              <w:t xml:space="preserve">rõhutab, et oskustööliste nappust saab sisuliselt vähendada üksnes </w:t>
            </w:r>
            <w:r>
              <w:rPr>
                <w:b/>
                <w:i/>
              </w:rPr>
              <w:t>sellega, kui tegeletakse töötada ja koolitusvõimalusi kasutada soovivate liikmesriigi kodanike</w:t>
            </w:r>
            <w:r>
              <w:t xml:space="preserve"> kättesaadavuse ja </w:t>
            </w:r>
            <w:r>
              <w:rPr>
                <w:b/>
                <w:i/>
              </w:rPr>
              <w:t>juurdepääsetavuse küsimusega</w:t>
            </w:r>
            <w:r>
              <w:t>; rõhutab, et täienduskoolituses osaleda soovivate töötajate jaoks on peamised takistused koolitusajad, perekondlikud kohustused ja kulud</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(tööhõive ja sotsiaalareng Euroopas 2024), Euroopa Komisjon, lk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(tööhõive ja sotsiaalareng Euroopas 2024), Euroopa Komisjon, lk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rõhutab, et oskustööliste nappust saab sisuliselt vähendada üksnes koolitusvõimaluste kättesaadavuse ja juurdepääsetavusega tegelemisega; rõhutab, et täienduskoolituses osaleda soovivate töötajate jaoks on peamised takistused koolitusajad, perekondlikud kohustused ja kulud</w:t>
            </w:r>
            <w:r>
              <w:rPr>
                <w:b/>
                <w:i/>
                <w:vertAlign w:val="superscript"/>
              </w:rPr>
              <w:t>7</w:t>
            </w:r>
            <w:r>
              <w:t xml:space="preserve">; </w:t>
            </w:r>
            <w:r>
              <w:rPr>
                <w:b/>
                <w:i/>
              </w:rPr>
              <w:t>on kindlalt veendunud, et töötajate individuaalne õigus tasuta koolitusele tööajal võib aidata töötajatel nendest takistustest üle saada ning tagada tööandjatele prognoositava ja stabiilse oskustööjõu pakkumise;</w:t>
            </w:r>
          </w:p>
        </w:tc>
        <w:tc>
          <w:tcPr>
            <w:tcW w:w="4876" w:type="dxa"/>
            <w:tcBorders>
              <w:top w:val="nil"/>
              <w:left w:val="nil"/>
              <w:bottom w:val="nil"/>
              <w:right w:val="nil"/>
            </w:tcBorders>
          </w:tcPr>
          <w:p>
            <w:pPr>
              <w:pStyle w:val="Normal6a"/>
            </w:pPr>
            <w:r>
              <w:t>5.</w:t>
            </w:r>
            <w:r>
              <w:tab/>
            </w:r>
            <w:r>
              <w:t>rõhutab, et oskustööliste nappust saab sisuliselt vähendada üksnes koolitusvõimaluste kättesaadavuse ja juurdepääsetavusega tegelemisega; rõhutab, et täienduskoolituses osaleda soovivate töötajate jaoks on peamised takistused koolitusajad, perekondlikud kohustused ja kulud;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(tööhõive ja sotsiaalareng Euroopas 2024), Euroopa Komisjon, lk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rõhutab, et oskustööliste nappust saab sisuliselt vähendada üksnes koolitusvõimaluste kättesaadavuse ja juurdepääsetavusega tegelemisega; rõhutab, et täienduskoolituses osaleda soovivate töötajate jaoks on peamised takistused koolitusajad, perekondlikud kohustused ja kulud</w:t>
            </w:r>
            <w:r>
              <w:rPr>
                <w:vertAlign w:val="superscript"/>
              </w:rPr>
              <w:t>7</w:t>
            </w:r>
            <w:r>
              <w:t xml:space="preserve">; on kindlalt veendunud, et </w:t>
            </w:r>
            <w:r>
              <w:rPr>
                <w:b/>
                <w:i/>
              </w:rPr>
              <w:t>töötajate</w:t>
            </w:r>
            <w:r>
              <w:t xml:space="preserve"> individuaalne õigus </w:t>
            </w:r>
            <w:r>
              <w:rPr>
                <w:b/>
                <w:i/>
              </w:rPr>
              <w:t>tasuta</w:t>
            </w:r>
            <w:r>
              <w:t xml:space="preserve"> koolitusele </w:t>
            </w:r>
            <w:r>
              <w:rPr>
                <w:b/>
                <w:i/>
              </w:rPr>
              <w:t>tööajal</w:t>
            </w:r>
            <w:r>
              <w:t xml:space="preserve"> võib aidata töötajatel nendest takistustest üle saada ning tagada tööandjatele prognoositava ja stabiilse oskustööjõu pakkumise;</w:t>
            </w:r>
          </w:p>
        </w:tc>
        <w:tc>
          <w:tcPr>
            <w:tcW w:w="4876" w:type="dxa"/>
            <w:tcBorders>
              <w:top w:val="nil"/>
              <w:left w:val="nil"/>
              <w:bottom w:val="nil"/>
              <w:right w:val="nil"/>
            </w:tcBorders>
          </w:tcPr>
          <w:p>
            <w:pPr>
              <w:pStyle w:val="Normal6a"/>
            </w:pPr>
            <w:r>
              <w:t>5.</w:t>
            </w:r>
            <w:r>
              <w:tab/>
            </w:r>
            <w:r>
              <w:t>rõhutab, et oskustööliste nappust saab sisuliselt vähendada üksnes koolitusvõimaluste kättesaadavuse ja juurdepääsetavusega tegelemisega; rõhutab, et täienduskoolituses osaleda soovivate töötajate jaoks on peamised takistused koolitusajad, perekondlikud kohustused ja kulud</w:t>
            </w:r>
            <w:r>
              <w:rPr>
                <w:vertAlign w:val="superscript"/>
              </w:rPr>
              <w:t>7</w:t>
            </w:r>
            <w:r>
              <w:t>; on kindlalt veendunud, et individuaalne õigus koolitusele võib aidata töötajatel nendest takistustest üle saada ning tagada tööandjatele prognoositava ja stabiilse oskustööjõu pakkumise;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(tööhõive ja sotsiaalareng Euroopas 2024), Euroopa Komisjon, lk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(tööhõive ja sotsiaalareng Euroopas 2024), Euroopa Komisjon, lk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rõhutab, et oskustööliste nappust saab sisuliselt vähendada üksnes koolitusvõimaluste kättesaadavuse ja juurdepääsetavusega tegelemisega; rõhutab, et täienduskoolituses osaleda soovivate töötajate jaoks on peamised takistused koolitusajad, perekondlikud kohustused ja kulud</w:t>
            </w:r>
            <w:r>
              <w:rPr>
                <w:vertAlign w:val="superscript"/>
              </w:rPr>
              <w:t>7</w:t>
            </w:r>
            <w:r>
              <w:t xml:space="preserve">; on kindlalt veendunud, et töötajate individuaalne õigus </w:t>
            </w:r>
            <w:r>
              <w:rPr>
                <w:b/>
                <w:i/>
              </w:rPr>
              <w:t>tasuta</w:t>
            </w:r>
            <w:r>
              <w:t xml:space="preserve"> koolitusele tööajal võib aidata töötajatel nendest takistustest üle saada ning tagada tööandjatele prognoositava ja stabiilse oskustööjõu pakkumise;</w:t>
            </w:r>
          </w:p>
        </w:tc>
        <w:tc>
          <w:tcPr>
            <w:tcW w:w="4876" w:type="dxa"/>
            <w:tcBorders>
              <w:top w:val="nil"/>
              <w:left w:val="nil"/>
              <w:bottom w:val="nil"/>
              <w:right w:val="nil"/>
            </w:tcBorders>
          </w:tcPr>
          <w:p>
            <w:pPr>
              <w:pStyle w:val="Normal6a"/>
            </w:pPr>
            <w:r>
              <w:t>5.</w:t>
            </w:r>
            <w:r>
              <w:tab/>
            </w:r>
            <w:r>
              <w:t>rõhutab, et oskustööliste nappust saab sisuliselt vähendada üksnes koolitusvõimaluste kättesaadavuse ja juurdepääsetavusega tegelemisega; rõhutab, et täienduskoolituses osaleda soovivate töötajate jaoks on peamised takistused koolitusajad, perekondlikud kohustused ja kulud</w:t>
            </w:r>
            <w:r>
              <w:rPr>
                <w:vertAlign w:val="superscript"/>
              </w:rPr>
              <w:t>7</w:t>
            </w:r>
            <w:r>
              <w:t>; on kindlalt veendunud, et töötajate individuaalne õigus koolitusele tööajal võib aidata töötajatel nendest takistustest üle saada ning tagada tööandjatele prognoositava ja stabiilse oskustööjõu pakkumise;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(tööhõive ja sotsiaalareng Euroopas 2024), Euroopa Komisjon, lk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(tööhõive ja sotsiaalareng Euroopas 2024), Euroopa Komisjon, lk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rõhutab, et oskustööliste nappust saab sisuliselt vähendada </w:t>
            </w:r>
            <w:r>
              <w:rPr>
                <w:b/>
                <w:i/>
              </w:rPr>
              <w:t>üksnes</w:t>
            </w:r>
            <w:r>
              <w:t xml:space="preserve"> koolitusvõimaluste kättesaadavuse ja juurdepääsetavusega tegelemisega; rõhutab, et täienduskoolituses osaleda soovivate töötajate jaoks on peamised takistused koolitusajad, perekondlikud kohustused ja kulud</w:t>
            </w:r>
            <w:r>
              <w:rPr>
                <w:b/>
                <w:i/>
                <w:vertAlign w:val="superscript"/>
              </w:rPr>
              <w:t>7</w:t>
            </w:r>
            <w:r>
              <w:t xml:space="preserve">; on kindlalt veendunud, et töötajate individuaalne õigus tasuta koolitusele tööajal võib aidata töötajatel nendest takistustest üle saada ning tagada tööandjatele </w:t>
            </w:r>
            <w:r>
              <w:rPr>
                <w:b/>
                <w:i/>
              </w:rPr>
              <w:t>prognoositava ja stabiilse</w:t>
            </w:r>
            <w:r>
              <w:t xml:space="preserve"> oskustööjõu </w:t>
            </w:r>
            <w:r>
              <w:rPr>
                <w:b/>
                <w:i/>
              </w:rPr>
              <w:t>pakkumise</w:t>
            </w:r>
            <w:r>
              <w:t>;</w:t>
            </w:r>
          </w:p>
        </w:tc>
        <w:tc>
          <w:tcPr>
            <w:tcW w:w="4876" w:type="dxa"/>
            <w:tcBorders>
              <w:top w:val="nil"/>
              <w:left w:val="nil"/>
              <w:bottom w:val="nil"/>
              <w:right w:val="nil"/>
            </w:tcBorders>
          </w:tcPr>
          <w:p>
            <w:pPr>
              <w:pStyle w:val="Normal6a"/>
            </w:pPr>
            <w:r>
              <w:t>5.</w:t>
            </w:r>
            <w:r>
              <w:tab/>
            </w:r>
            <w:r>
              <w:t xml:space="preserve">rõhutab, et oskustööliste nappust saab sisuliselt vähendada </w:t>
            </w:r>
            <w:r>
              <w:rPr>
                <w:b/>
                <w:i/>
              </w:rPr>
              <w:t>hariduse, (ümber)kvalifitseerumise ja</w:t>
            </w:r>
            <w:r>
              <w:t xml:space="preserve"> koolitusvõimaluste kättesaadavuse ja juurdepääsetavusega tegelemisega; rõhutab, et täienduskoolituses osaleda soovivate töötajate jaoks on peamised takistused koolitusajad, perekondlikud kohustused ja kulud</w:t>
            </w:r>
            <w:r>
              <w:rPr>
                <w:b/>
                <w:i/>
              </w:rPr>
              <w:t>[1];</w:t>
            </w:r>
            <w:r>
              <w:t xml:space="preserve"> </w:t>
            </w:r>
            <w:r>
              <w:rPr>
                <w:b/>
                <w:i/>
              </w:rPr>
              <w:t>tuletab meelde, et Euroopa Parlamendi ja nõukogu 20. juuni 2019. aasta direktiivis (EL) 2019/1152 läbipaistvate ja prognoositavate töötingimuste kohta Euroopa Liidus</w:t>
            </w:r>
            <w:r>
              <w:rPr>
                <w:b/>
                <w:i/>
                <w:vertAlign w:val="superscript"/>
              </w:rPr>
              <w:t>1a</w:t>
            </w:r>
            <w:r>
              <w:t xml:space="preserve"> </w:t>
            </w:r>
            <w:r>
              <w:rPr>
                <w:b/>
                <w:i/>
              </w:rPr>
              <w:t>on juba sätestatud, et kohustuslikku koolitust tuleb pakkuda tasuta, seda tuleb arvestada tööajana ja see peab toimuma tööajal;</w:t>
            </w:r>
            <w:r>
              <w:t xml:space="preserve"> </w:t>
            </w:r>
            <w:r>
              <w:rPr>
                <w:b/>
                <w:i/>
              </w:rPr>
              <w:t>rõhutab siiski, et nende sätete ülevõtmine ja jõustamine on liikmesriikides endiselt puudulik ja ebaühtlane, mis toob seega esile tungiva vajaduse sihtotstarbelise ja siduva liidu raamistiku järele</w:t>
            </w:r>
            <w:r>
              <w:t>; on kindlalt veendunud, et</w:t>
            </w:r>
            <w:r>
              <w:rPr>
                <w:b/>
                <w:i/>
              </w:rPr>
              <w:t> kõigi</w:t>
            </w:r>
            <w:r>
              <w:t xml:space="preserve"> töötajate individuaalne õigus tasuta koolitusele </w:t>
            </w:r>
            <w:r>
              <w:rPr>
                <w:b/>
                <w:i/>
              </w:rPr>
              <w:t>ja elukestvale õppele</w:t>
            </w:r>
            <w:r>
              <w:t xml:space="preserve"> tööajal võib aidata töötajatel nendest takistustest üle saada ning tagada </w:t>
            </w:r>
            <w:r>
              <w:rPr>
                <w:b/>
                <w:i/>
              </w:rPr>
              <w:t>kvaliteetse täiendus- või ümberõppe, töötajate koolituse ja karjääri arendamise toetuse, et tagada</w:t>
            </w:r>
            <w:r>
              <w:t xml:space="preserve"> tööandjatele </w:t>
            </w:r>
            <w:r>
              <w:rPr>
                <w:b/>
                <w:i/>
              </w:rPr>
              <w:t>prognoositav ja stabiilne</w:t>
            </w:r>
            <w:r>
              <w:t xml:space="preserve"> oskustööjõu </w:t>
            </w:r>
            <w:r>
              <w:rPr>
                <w:b/>
                <w:i/>
              </w:rPr>
              <w:t>pakkumine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ELT L 186, 11.7.2019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(tööhõive ja sotsiaalareng Euroopas 2024), Euroopa Komisjon, lk 20</w:t>
            </w:r>
            <w:r>
              <w: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rõhutab, et oskustööliste nappust saab sisuliselt vähendada </w:t>
            </w:r>
            <w:r>
              <w:rPr>
                <w:b/>
                <w:i/>
              </w:rPr>
              <w:t>üksnes</w:t>
            </w:r>
            <w:r>
              <w:t xml:space="preserve"> koolitusvõimaluste kättesaadavuse ja juurdepääsetavusega tegelemisega; rõhutab, et täienduskoolituses osaleda soovivate töötajate jaoks on peamised takistused koolitusajad, perekondlikud kohustused ja kulud</w:t>
            </w:r>
            <w:r>
              <w:rPr>
                <w:vertAlign w:val="superscript"/>
              </w:rPr>
              <w:t>7</w:t>
            </w:r>
            <w:r>
              <w:t>; on kindlalt veendunud, et töötajate individuaalne õigus tasuta koolitusele tööajal võib aidata töötajatel nendest takistustest üle saada ning tagada tööandjatele prognoositava ja stabiilse oskustööjõu pakkumise;</w:t>
            </w:r>
          </w:p>
        </w:tc>
        <w:tc>
          <w:tcPr>
            <w:tcW w:w="4876" w:type="dxa"/>
            <w:tcBorders>
              <w:top w:val="nil"/>
              <w:left w:val="nil"/>
              <w:bottom w:val="nil"/>
              <w:right w:val="nil"/>
            </w:tcBorders>
          </w:tcPr>
          <w:p>
            <w:pPr>
              <w:pStyle w:val="Normal6a"/>
            </w:pPr>
            <w:r>
              <w:t>5.</w:t>
            </w:r>
            <w:r>
              <w:tab/>
            </w:r>
            <w:r>
              <w:t>rõhutab, et oskustööliste nappust saab sisuliselt vähendada koolitusvõimaluste kättesaadavuse ja juurdepääsetavusega tegelemisega</w:t>
            </w:r>
            <w:r>
              <w:rPr>
                <w:b/>
                <w:i/>
              </w:rPr>
              <w:t>, töötingimuste parandamisega ja inimväärset elu võimaldava piisava palga pakkumisega</w:t>
            </w:r>
            <w:r>
              <w:t>; rõhutab, et täienduskoolituses osaleda soovivate töötajate jaoks on peamised takistused koolitusajad, perekondlikud kohustused ja kulud</w:t>
            </w:r>
            <w:r>
              <w:rPr>
                <w:vertAlign w:val="superscript"/>
              </w:rPr>
              <w:t>7</w:t>
            </w:r>
            <w:r>
              <w:t xml:space="preserve">; on kindlalt veendunud, et töötajate </w:t>
            </w:r>
            <w:r>
              <w:rPr>
                <w:b/>
                <w:i/>
              </w:rPr>
              <w:t>tagatud</w:t>
            </w:r>
            <w:r>
              <w:t xml:space="preserve"> individuaalne õigus tasuta koolitusele tööajal võib aidata töötajatel nendest takistustest üle saada ning tagada tööandjatele prognoositava ja stabiilse oskustööjõu pakkumise; </w:t>
            </w:r>
            <w:r>
              <w:rPr>
                <w:b/>
                <w:i/>
              </w:rPr>
              <w:t>rõhutab, et õiglast üleminekut tuleks süvalaiendada intersektsionaalse lähenemisviisiga liidu ja liikmesriikide õigusaktides ja poliitikas, pöörates erilist tähelepanu noorte, eakate, madala kvalifikatsiooniga ja naistöötajate ning puuetega töötajate kaasamisele haridus- ja koolitusprogrammidesse;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(tööhõive ja sotsiaalareng Euroopas 2024), Euroopa Komisjon, lk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(tööhõive ja sotsiaalareng Euroopas 2024), Euroopa Komisjon, lk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rõhutab vajadust kaasata noored sisuliselt ausa ja õiglase üleminekuga seotud poliitika kavandamisse, rakendamisse ja järelevalvesse;</w:t>
            </w:r>
            <w:r>
              <w:t xml:space="preserve"> </w:t>
            </w:r>
            <w:r>
              <w:rPr>
                <w:b/>
                <w:i/>
              </w:rPr>
              <w:t>nõuab suuremaid pingutusi noortegarantii rakendamiseks, tagades, et liikmesriigid eraldaksid sihtotstarbeliselt rohkem vahendeid, st vähemalt 15 % oma ESF+ vahenditest sihtotstarbelistele meetmetele ja struktuurireformidele, millega toetatakse kvaliteetset noorte tööhõivet ning kutseharidust ja -koolitust, eelkõige tasustatud ja kvaliteetset praktikat ja õpipoisiõpet, ning lihtsustatakse koolist tööle siirdumist, haridusse või koolitusse naasmist ja teise võimaluse haridust;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rõhutab, kui oluline on toetada töötajaid, et parandada nende ümberkujundavaid oskusi (nt kriitiline mõtlemine, prognoosimine, loovus ja poliitiline võimekus), s.o neid, mis seavad kahtluse alla olemasolevad tavad ning loovad rohe- ja digipöördeks vajalikke täiesti uusi lahendusi ja väärtust;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rõhutab, et kaksikülemineku ajal võivad töökohtade ümberkujundamine ja restruktureerimine põhjustada psühhosotsiaalseid riske, nagu stress, ebakindlus ja töökoha kaotamise oht;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peab hädavajalikuks edendada Euroopa tööstusettevõtete majanduslikku elujõulisust ning vältida halvimal juhul sulgemist ja sunniviisilist koondamist;</w:t>
            </w:r>
            <w:r>
              <w:t xml:space="preserve"> </w:t>
            </w:r>
            <w:r>
              <w:rPr>
                <w:b/>
                <w:i/>
              </w:rPr>
              <w:t>rõhutab, kui oluline on toetada ettevõtjaid, eelkõige VKEsid, et vältida sunniviisilisi koondamisi, näiteks ajutiste toetusprogrammidega töötajate kaitsmiseks üleminekute ajal, vältides strateegilise tööstussuutlikkuse ja kvalifitseeritud tööjõu kadumist;</w:t>
            </w:r>
            <w:r>
              <w:t xml:space="preserve"> </w:t>
            </w:r>
            <w:r>
              <w:rPr>
                <w:b/>
                <w:i/>
              </w:rPr>
              <w:t>märgib, et kui ühelt töökohalt teisele liikumine on vajalik, on oluline hoida töötajaid samas sektoris ja piirkonnas, andes neile samal ajal piisavalt aega ümberkorraldusteks ilma isikliku rahalise kahjuta;</w:t>
            </w:r>
            <w:r>
              <w:t xml:space="preserve"> </w:t>
            </w:r>
            <w:r>
              <w:rPr>
                <w:b/>
                <w:i/>
              </w:rPr>
              <w:t>nõuab tugevamat kaitset ebaõiglase koondamise eest ning seda, et restruktureerimisest mõjutatud töötajatele tagataks piisav hüvitis, ümberõppevõimalused ja toetus uue töökoha tagamiseks;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nõuab, et ettevõtete üleminekukavadesse lisataks vaimse tervise toetusprogrammid, mis hõlmavad nõustamist, stressi juhtimist ning töö- ja eraelu tasakaalustamise kavasid;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rõhutab, et liikmesriigid peavad toetama ettevõtjaid ja töötajaid, kehtestades riiklikul tasandil üldised õiglase ülemineku strateegiad ja poliitika; rõhutab, et sellistes riiklikes strateegiates tuleks kindlaks teha ülemineku mõju üksikutele sektoritele ja tööjõule ning neis tuleks sätestada terviklikud ja valdkonnaülesed meetmed mõju leevendamiseks;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piirkondliku atraktiivsuse parandamisse taristu, avalike teenuste ja kommunaalteenuste ajakohastamise kaudu;</w:t>
            </w:r>
          </w:p>
        </w:tc>
        <w:tc>
          <w:tcPr>
            <w:tcW w:w="4876" w:type="dxa"/>
            <w:tcBorders>
              <w:top w:val="nil"/>
              <w:left w:val="nil"/>
              <w:bottom w:val="nil"/>
              <w:right w:val="nil"/>
            </w:tcBorders>
          </w:tcPr>
          <w:p>
            <w:pPr>
              <w:pStyle w:val="Normal6a"/>
            </w:pPr>
            <w:r>
              <w:t>6.</w:t>
            </w:r>
            <w:r>
              <w:tab/>
            </w:r>
            <w:r>
              <w:rPr>
                <w:b/>
                <w:i/>
              </w:rPr>
              <w:t>kutsub liikmesriike üles seadma prioriteediks selliste eluruumide renoveerimise, kus elavad energiaostuvõimetuse ohus olevad leibkonnad, tagades nii kliimakasu kui ka kulude kokkuhoiu vähekaitstud peredele, luues samal ajal kohalikke töökohti;</w:t>
            </w:r>
            <w:r>
              <w:t xml:space="preserve"> rõhutab, et liikmesriigid peavad toetama ettevõtjaid ja töötajaid, kehtestades riiklikul tasandil üldised õiglase ülemineku strateegiad ja poliitika; rõhutab, et sellistes riiklikes strateegiates tuleks kindlaks teha ülemineku mõju üksikutele sektoritele ja tööjõule ning neis tuleks sätestada terviklikud ja valdkonnaülesed meetmed mõju leevendamiseks;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piirkondliku atraktiivsuse parandamisse taristu, avalike teenuste ja kommunaalteenuste ajakohastamise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rõhutab, et liikmesriigid peavad toetama ettevõtjaid ja töötajaid, kehtestades riiklikul tasandil üldised õiglase ülemineku strateegiad ja poliitika</w:t>
            </w:r>
            <w:r>
              <w:t xml:space="preserve">; rõhutab, et sellistes </w:t>
            </w:r>
            <w:r>
              <w:rPr>
                <w:b/>
                <w:i/>
              </w:rPr>
              <w:t>riiklikes</w:t>
            </w:r>
            <w:r>
              <w:t xml:space="preserve"> strateegiates tuleks kindlaks teha ülemineku mõju üksikutele sektoritele ja tööjõule ning neis tuleks sätestada terviklikud ja valdkonnaülesed meetmed mõju leevendamiseks;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piirkondliku atraktiivsuse parandamisse taristu, avalike teenuste ja kommunaalteenuste ajakohastamise kaudu;</w:t>
            </w:r>
          </w:p>
        </w:tc>
        <w:tc>
          <w:tcPr>
            <w:tcW w:w="4876" w:type="dxa"/>
            <w:tcBorders>
              <w:top w:val="nil"/>
              <w:left w:val="nil"/>
              <w:bottom w:val="nil"/>
              <w:right w:val="nil"/>
            </w:tcBorders>
          </w:tcPr>
          <w:p>
            <w:pPr>
              <w:pStyle w:val="Normal6a"/>
            </w:pPr>
            <w:r>
              <w:t>6.</w:t>
            </w:r>
            <w:r>
              <w:tab/>
            </w:r>
            <w:r>
              <w:rPr>
                <w:b/>
                <w:i/>
              </w:rPr>
              <w:t>toonitab liikmesriikide ja piirkondade esmast rolli ettevõtjate ja töötajate toetamisel, töötades välja nende kohalikele tingimustele kohandatud üleminekustrateegiad</w:t>
            </w:r>
            <w:r>
              <w:t>; rõhutab, et sellistes strateegiates tuleks kindlaks teha ülemineku mõju üksikutele sektoritele ja tööjõule ning neis tuleks sätestada terviklikud ja valdkonnaülesed meetmed mõju leevendamiseks;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piirkondliku atraktiivsuse parandamisse taristu, avalike teenuste ja kommunaalteenuste ajakohastamise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rõhutab, et liikmesriigid </w:t>
            </w:r>
            <w:r>
              <w:rPr>
                <w:b/>
                <w:i/>
              </w:rPr>
              <w:t>peavad</w:t>
            </w:r>
            <w:r>
              <w:t xml:space="preserve"> toetama ettevõtjaid ja töötajaid, kehtestades riiklikul tasandil üldised õiglase ülemineku strateegiad ja poliitika; rõhutab, et sellistes riiklikes strateegiates tuleks kindlaks teha ülemineku mõju üksikutele sektoritele ja tööjõule ning neis tuleks sätestada terviklikud ja valdkonnaülesed meetmed mõju leevendamiseks; rõhutab, kui oluline on töötada välja kohaliku majanduse ülemineku pikaajaline visioon ja strateegia, kaasates avaliku ja erasektori osalejad </w:t>
            </w:r>
            <w:r>
              <w:rPr>
                <w:b/>
                <w:i/>
              </w:rPr>
              <w:t>ning</w:t>
            </w:r>
            <w:r>
              <w:t xml:space="preserve"> kodanikuühiskonna; rõhutab, et töötajate hoidmiseks ja kvaliteetsete töökohtade loomiseks on vaja otseinvesteeringuid innovatsiooni ja piirkondliku atraktiivsuse parandamisse taristu, avalike teenuste ja kommunaalteenuste ajakohastamise kaudu;</w:t>
            </w:r>
          </w:p>
        </w:tc>
        <w:tc>
          <w:tcPr>
            <w:tcW w:w="4876" w:type="dxa"/>
            <w:tcBorders>
              <w:top w:val="nil"/>
              <w:left w:val="nil"/>
              <w:bottom w:val="nil"/>
              <w:right w:val="nil"/>
            </w:tcBorders>
          </w:tcPr>
          <w:p>
            <w:pPr>
              <w:pStyle w:val="Normal6a"/>
            </w:pPr>
            <w:r>
              <w:t>6.</w:t>
            </w:r>
            <w:r>
              <w:tab/>
            </w:r>
            <w:r>
              <w:t xml:space="preserve">rõhutab, et liikmesriigid </w:t>
            </w:r>
            <w:r>
              <w:rPr>
                <w:b/>
                <w:i/>
              </w:rPr>
              <w:t>on kohustatud</w:t>
            </w:r>
            <w:r>
              <w:t xml:space="preserve"> toetama ettevõtjaid ja töötajaid, kehtestades riiklikul </w:t>
            </w:r>
            <w:r>
              <w:rPr>
                <w:b/>
                <w:i/>
              </w:rPr>
              <w:t>ja piirkondlikul</w:t>
            </w:r>
            <w:r>
              <w:t xml:space="preserve"> tasandil üldised õiglase ülemineku strateegiad ja poliitika; rõhutab, et sellistes riiklikes strateegiates tuleks kindlaks teha ülemineku mõju üksikutele sektoritele</w:t>
            </w:r>
            <w:r>
              <w:rPr>
                <w:b/>
                <w:i/>
              </w:rPr>
              <w:t>, piirkondadele</w:t>
            </w:r>
            <w:r>
              <w:t xml:space="preserve"> ja tööjõule ning neis tuleks sätestada terviklikud ja valdkonnaülesed meetmed mõju leevendamiseks; rõhutab, kui oluline on töötada välja kohaliku majanduse ülemineku pikaajaline visioon ja strateegia, kaasates avaliku ja erasektori osalejad</w:t>
            </w:r>
            <w:r>
              <w:rPr>
                <w:b/>
                <w:i/>
              </w:rPr>
              <w:t>,</w:t>
            </w:r>
            <w:r>
              <w:t xml:space="preserve"> kodanikuühiskonna </w:t>
            </w:r>
            <w:r>
              <w:rPr>
                <w:b/>
                <w:i/>
              </w:rPr>
              <w:t>ja sotsiaalmajanduses osalejad</w:t>
            </w:r>
            <w:r>
              <w:t xml:space="preserve">; rõhutab, et töötajate hoidmiseks ja kvaliteetsete töökohtade loomiseks on vaja otseinvesteeringuid innovatsiooni ja piirkondliku atraktiivsuse parandamisse </w:t>
            </w:r>
            <w:r>
              <w:rPr>
                <w:b/>
                <w:i/>
              </w:rPr>
              <w:t>kvaliteetse, taskukohase ja ligipääsetava</w:t>
            </w:r>
            <w:r>
              <w:t xml:space="preserve"> taristu, avalike teenuste ja kommunaalteenuste ajakohastamise </w:t>
            </w:r>
            <w:r>
              <w:rPr>
                <w:b/>
                <w:i/>
              </w:rPr>
              <w:t>ja tagamise</w:t>
            </w:r>
            <w:r>
              <w:t xml:space="preserv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rõhutab, et liikmesriigid peavad toetama ettevõtjaid ja töötajaid, kehtestades riiklikul tasandil üldised õiglase ülemineku strateegiad ja poliitika; rõhutab, et sellistes riiklikes strateegiates tuleks kindlaks teha ülemineku mõju üksikutele sektoritele ja tööjõule </w:t>
            </w:r>
            <w:r>
              <w:rPr>
                <w:b/>
                <w:i/>
              </w:rPr>
              <w:t>ning neis tuleks sätestada terviklikud ja valdkonnaülesed meetmed mõju leevendamiseks</w:t>
            </w:r>
            <w:r>
              <w:t>;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piirkondliku atraktiivsuse parandamisse taristu, avalike teenuste ja kommunaalteenuste ajakohastamise kaudu;</w:t>
            </w:r>
          </w:p>
        </w:tc>
        <w:tc>
          <w:tcPr>
            <w:tcW w:w="4876" w:type="dxa"/>
            <w:tcBorders>
              <w:top w:val="nil"/>
              <w:left w:val="nil"/>
              <w:bottom w:val="nil"/>
              <w:right w:val="nil"/>
            </w:tcBorders>
          </w:tcPr>
          <w:p>
            <w:pPr>
              <w:pStyle w:val="Normal6a"/>
            </w:pPr>
            <w:r>
              <w:t>6.</w:t>
            </w:r>
            <w:r>
              <w:tab/>
            </w:r>
            <w:r>
              <w:t>rõhutab, et liikmesriigid peavad toetama ettevõtjaid ja töötajaid, kehtestades riiklikul tasandil üldised õiglase ülemineku strateegiad ja poliitika; rõhutab, et sellistes riiklikes strateegiates tuleks kindlaks teha ülemineku mõju üksikutele sektoritele ja tööjõule;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piirkondliku atraktiivsuse parandamisse taristu, avalike teenuste ja kommunaalteenuste ajakohastamise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rõhutab, et liikmesriigid peavad toetama ettevõtjaid ja töötajaid, kehtestades riiklikul tasandil üldised õiglase ülemineku strateegiad ja poliitika; rõhutab, et sellistes riiklikes strateegiates tuleks kindlaks teha ülemineku mõju </w:t>
            </w:r>
            <w:r>
              <w:rPr>
                <w:b/>
                <w:i/>
              </w:rPr>
              <w:t>üksikutele</w:t>
            </w:r>
            <w:r>
              <w:t xml:space="preserve"> sektoritele </w:t>
            </w:r>
            <w:r>
              <w:rPr>
                <w:b/>
                <w:i/>
              </w:rPr>
              <w:t>ja</w:t>
            </w:r>
            <w:r>
              <w:t xml:space="preserve"> tööjõule ning neis tuleks sätestada terviklikud ja valdkonnaülesed meetmed mõju leevendamiseks;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piirkondliku atraktiivsuse parandamisse taristu, avalike teenuste ja kommunaalteenuste ajakohastamise kaudu;</w:t>
            </w:r>
          </w:p>
        </w:tc>
        <w:tc>
          <w:tcPr>
            <w:tcW w:w="4876" w:type="dxa"/>
            <w:tcBorders>
              <w:top w:val="nil"/>
              <w:left w:val="nil"/>
              <w:bottom w:val="nil"/>
              <w:right w:val="nil"/>
            </w:tcBorders>
          </w:tcPr>
          <w:p>
            <w:pPr>
              <w:pStyle w:val="Normal6a"/>
            </w:pPr>
            <w:r>
              <w:t>6.</w:t>
            </w:r>
            <w:r>
              <w:tab/>
            </w:r>
            <w:r>
              <w:t xml:space="preserve">rõhutab, et liikmesriigid peavad toetama ettevõtjaid ja töötajaid, kehtestades riiklikul tasandil üldised õiglase ülemineku strateegiad ja poliitika; rõhutab, et sellistes riiklikes strateegiates tuleks kindlaks teha ülemineku mõju </w:t>
            </w:r>
            <w:r>
              <w:rPr>
                <w:b/>
                <w:i/>
              </w:rPr>
              <w:t>spetsiifilistele</w:t>
            </w:r>
            <w:r>
              <w:t xml:space="preserve"> sektoritele</w:t>
            </w:r>
            <w:r>
              <w:rPr>
                <w:b/>
                <w:i/>
              </w:rPr>
              <w:t>,</w:t>
            </w:r>
            <w:r>
              <w:t xml:space="preserve"> tööjõule </w:t>
            </w:r>
            <w:r>
              <w:rPr>
                <w:b/>
                <w:i/>
              </w:rPr>
              <w:t>ja üksiktöötajatele</w:t>
            </w:r>
            <w:r>
              <w:t xml:space="preserve"> ning neis tuleks sätestada terviklikud ja valdkonnaülesed meetmed mõju leevendamiseks; rõhutab, kui oluline on töötada välja kohaliku </w:t>
            </w:r>
            <w:r>
              <w:rPr>
                <w:b/>
                <w:i/>
              </w:rPr>
              <w:t>ja piirkondliku</w:t>
            </w:r>
            <w:r>
              <w:t xml:space="preserve"> majanduse ülemineku pikaajaline visioon ja strateegia, kaasates avaliku ja erasektori osalejad ning kodanikuühiskonna; rõhutab, et töötajate hoidmiseks ja kvaliteetsete töökohtade loomiseks on vaja otseinvesteeringuid innovatsiooni ja piirkondliku atraktiivsuse parandamisse taristu, avalike teenuste ja kommunaalteenuste ajakohastamise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rõhutab, et liikmesriigid peavad toetama ettevõtjaid ja töötajaid, kehtestades riiklikul tasandil üldised õiglase ülemineku strateegiad ja poliitika; rõhutab, et sellistes riiklikes strateegiates tuleks kindlaks teha ülemineku mõju üksikutele sektoritele ja tööjõule ning neis tuleks sätestada terviklikud ja valdkonnaülesed meetmed mõju leevendamiseks;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piirkondliku atraktiivsuse parandamisse taristu, avalike teenuste ja kommunaalteenuste ajakohastamise kaudu;</w:t>
            </w:r>
          </w:p>
        </w:tc>
        <w:tc>
          <w:tcPr>
            <w:tcW w:w="4876" w:type="dxa"/>
            <w:tcBorders>
              <w:top w:val="nil"/>
              <w:left w:val="nil"/>
              <w:bottom w:val="nil"/>
              <w:right w:val="nil"/>
            </w:tcBorders>
          </w:tcPr>
          <w:p>
            <w:pPr>
              <w:pStyle w:val="Normal6a"/>
            </w:pPr>
            <w:r>
              <w:t>6.</w:t>
            </w:r>
            <w:r>
              <w:tab/>
            </w:r>
            <w:r>
              <w:t>rõhutab, et liikmesriigid peavad toetama ettevõtjaid ja töötajaid, kehtestades riiklikul tasandil üldised õiglase ülemineku strateegiad ja poliitika; rõhutab, et sellistes riiklikes strateegiates tuleks kindlaks teha ülemineku mõju üksikutele sektoritele ja tööjõule ning neis tuleks sätestada terviklikud ja valdkonnaülesed meetmed mõju leevendamiseks</w:t>
            </w:r>
            <w:r>
              <w:rPr>
                <w:b/>
                <w:i/>
              </w:rPr>
              <w:t>, ja mitte ainult üksikutele ettevõtjatele, vaid ka laiemalt</w:t>
            </w:r>
            <w:r>
              <w:t>;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piirkondliku atraktiivsuse parandamisse taristu, avalike teenuste ja kommunaalteenuste ajakohastamise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rõhutab, et liikmesriigid peavad toetama ettevõtjaid ja töötajaid, kehtestades riiklikul tasandil üldised õiglase ülemineku strateegiad ja poliitika; rõhutab, et sellistes riiklikes strateegiates tuleks kindlaks teha ülemineku mõju üksikutele sektoritele ja tööjõule ning neis tuleks sätestada terviklikud ja valdkonnaülesed meetmed mõju leevendamiseks;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piirkondliku atraktiivsuse parandamisse taristu, avalike teenuste ja kommunaalteenuste ajakohastamise kaudu;</w:t>
            </w:r>
          </w:p>
        </w:tc>
        <w:tc>
          <w:tcPr>
            <w:tcW w:w="4876" w:type="dxa"/>
            <w:tcBorders>
              <w:top w:val="nil"/>
              <w:left w:val="nil"/>
              <w:bottom w:val="nil"/>
              <w:right w:val="nil"/>
            </w:tcBorders>
          </w:tcPr>
          <w:p>
            <w:pPr>
              <w:pStyle w:val="Normal6a"/>
            </w:pPr>
            <w:r>
              <w:t>6.</w:t>
            </w:r>
            <w:r>
              <w:tab/>
            </w:r>
            <w:r>
              <w:t>rõhutab, et liikmesriigid peavad toetama ettevõtjaid ja töötajaid, kehtestades riiklikul tasandil üldised õiglase ülemineku strateegiad ja poliitika; rõhutab, et sellistes riiklikes strateegiates tuleks kindlaks teha ülemineku mõju üksikutele sektoritele ja tööjõule ning neis tuleks sätestada terviklikud ja valdkonnaülesed meetmed mõju leevendamiseks;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piirkondliku atraktiivsuse parandamisse taristu, avalike teenuste ja kommunaalteenuste ajakohastamise kaudu</w:t>
            </w:r>
            <w:r>
              <w:rPr>
                <w:b/>
                <w:i/>
              </w:rPr>
              <w:t>, nähes sõnaselgelt ette tervishoiu-, haridus-, transpordi- ja sotsiaaleluruumide taristu kui kohaliku arengu peamise liikumapaneva jõu piisava riikliku rahastamise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rõhutab, et liikmesriigid peavad toetama</w:t>
            </w:r>
            <w:r>
              <w:t xml:space="preserve"> ettevõtjaid ja töötajaid</w:t>
            </w:r>
            <w:r>
              <w:rPr>
                <w:b/>
                <w:i/>
              </w:rPr>
              <w:t>, kehtestades</w:t>
            </w:r>
            <w:r>
              <w:t xml:space="preserve"> riiklikul tasandil üldised </w:t>
            </w:r>
            <w:r>
              <w:rPr>
                <w:b/>
                <w:i/>
              </w:rPr>
              <w:t>õiglase ülemineku strateegiad ja</w:t>
            </w:r>
            <w:r>
              <w:t xml:space="preserve"> poliitika</w:t>
            </w:r>
            <w:r>
              <w:rPr>
                <w:b/>
                <w:i/>
              </w:rPr>
              <w:t>;</w:t>
            </w:r>
            <w:r>
              <w:t xml:space="preserve"> </w:t>
            </w:r>
            <w:r>
              <w:rPr>
                <w:b/>
                <w:i/>
              </w:rPr>
              <w:t>rõhutab, et sellistes riiklikes strateegiates tuleks kindlaks teha ülemineku mõju üksikutele sektoritele ja tööjõule ning neis tuleks sätestada terviklikud ja valdkonnaülesed meetmed mõju leevendamiseks</w:t>
            </w:r>
            <w:r>
              <w:t xml:space="preserve">;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w:t>
            </w:r>
            <w:r>
              <w:rPr>
                <w:b/>
                <w:i/>
              </w:rPr>
              <w:t>piirkondliku</w:t>
            </w:r>
            <w:r>
              <w:t xml:space="preserve"> atraktiivsuse parandamisse taristu, avalike teenuste ja kommunaalteenuste ajakohastamise kaudu;</w:t>
            </w:r>
          </w:p>
        </w:tc>
        <w:tc>
          <w:tcPr>
            <w:tcW w:w="4876" w:type="dxa"/>
            <w:tcBorders>
              <w:top w:val="nil"/>
              <w:left w:val="nil"/>
              <w:bottom w:val="nil"/>
              <w:right w:val="nil"/>
            </w:tcBorders>
          </w:tcPr>
          <w:p>
            <w:pPr>
              <w:pStyle w:val="Normal6a"/>
            </w:pPr>
            <w:r>
              <w:t>6.</w:t>
            </w:r>
            <w:r>
              <w:tab/>
            </w:r>
            <w:r>
              <w:rPr>
                <w:b/>
                <w:i/>
              </w:rPr>
              <w:t>soovitab liikmesriikidel toetada</w:t>
            </w:r>
            <w:r>
              <w:t xml:space="preserve"> ettevõtjaid ja töötajaid </w:t>
            </w:r>
            <w:r>
              <w:rPr>
                <w:b/>
                <w:i/>
              </w:rPr>
              <w:t>sellega, et</w:t>
            </w:r>
            <w:r>
              <w:t xml:space="preserve"> riiklikul tasandil </w:t>
            </w:r>
            <w:r>
              <w:rPr>
                <w:b/>
                <w:i/>
              </w:rPr>
              <w:t>kehtestatakse</w:t>
            </w:r>
            <w:r>
              <w:t xml:space="preserve"> üldised </w:t>
            </w:r>
            <w:r>
              <w:rPr>
                <w:b/>
                <w:i/>
              </w:rPr>
              <w:t>üleminekustrateegiad ja -</w:t>
            </w:r>
            <w:r>
              <w:t>poliitika; rõhutab, kui oluline on töötada välja kohaliku majanduse ülemineku pikaajaline visioon ja strateegia, kaasates avaliku ja erasektori osalejad ning kodanikuühiskonna; rõhutab, et töötajate hoidmiseks ja kvaliteetsete töökohtade loomiseks on vaja otseinvesteeringuid innovatsiooni ja atraktiivsuse parandamisse taristu, avalike teenuste ja kommunaalteenuste ajakohastamise kaudu;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rõhutab, et tööjõu liikuvus ja piirkondlik majanduslik ümberkujundamine on tihedalt seotud taskukohase ja kvaliteetse eluasemega;</w:t>
            </w:r>
            <w:r>
              <w:t xml:space="preserve"> </w:t>
            </w:r>
            <w:r>
              <w:rPr>
                <w:b/>
                <w:i/>
              </w:rPr>
              <w:t>nõuab sihipärast sotsiaaleluruumide ja kogukonnateenuste arendamist rahvastikukao ja tööstusliku ülemineku piirkondades;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rõhutab, et noored ja esmakordsed tööotsijad on üleminekute ajal vähekaitstud;</w:t>
            </w:r>
            <w:r>
              <w:t xml:space="preserve"> </w:t>
            </w:r>
            <w:r>
              <w:rPr>
                <w:b/>
                <w:i/>
              </w:rPr>
              <w:t>nõuab kutseõppe, õpipoisiõppe ja ettevõtluse toetamist riiklike õiglase ülemineku strateegiate raames;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nõuab spetsiifilisi maaelu arengu meetmeid, tagamaks et äärepoolsed ja rahvastikukaoga piirkonnad saavad õiglase ülemineku fondidest ja töökohtade loomisest samavõrd kasu;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6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rõhutab, et riiklikud õiglase ülemineku strateegiad peavad sisaldama meetmeid ajude äravoolu vältimiseks piirkondades, kus tööstus väheneb, luues oskustöölistele stiimulid sinna jäämiseks ja noortele sinna tagasipöördumiseks;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tuletab meelde, et VKEd on peamised püsiva kohaliku tööhõive loojad; rõhutab </w:t>
            </w:r>
            <w:r>
              <w:rPr>
                <w:b/>
                <w:i/>
              </w:rPr>
              <w:t>vajadust lihtsustada</w:t>
            </w:r>
            <w:r>
              <w:t xml:space="preserve"> VKEde juurdepääsu </w:t>
            </w:r>
            <w:r>
              <w:rPr>
                <w:b/>
                <w:i/>
              </w:rPr>
              <w:t>ülemineku rahastamisele</w:t>
            </w:r>
            <w:r>
              <w:t xml:space="preserve">, sealhulgas võimaldades </w:t>
            </w:r>
            <w:r>
              <w:rPr>
                <w:b/>
                <w:i/>
              </w:rPr>
              <w:t>klastrite loomist juurdepääsuks</w:t>
            </w:r>
            <w:r>
              <w:t xml:space="preserve"> rahalistele vahenditele </w:t>
            </w:r>
            <w:r>
              <w:rPr>
                <w:b/>
                <w:i/>
              </w:rPr>
              <w:t>ja tehnilisele abile, et suunata projektide kavandamist ja nõuetele vastavust</w:t>
            </w:r>
            <w:r>
              <w:t xml:space="preserve">; </w:t>
            </w:r>
            <w:r>
              <w:rPr>
                <w:b/>
                <w:i/>
              </w:rPr>
              <w:t>nõuab tungivalt, et liikmesriigid ja piirkondlikud ametiasutused looksid ja tugevdaksid mõjutatud piirkondades ettevõtluse toetamise programme, et aidata idufirmadel ja VKEdel kasvada ja edu saavutada;</w:t>
            </w:r>
            <w:r>
              <w:t xml:space="preserve"> </w:t>
            </w:r>
            <w:r>
              <w:rPr>
                <w:b/>
                <w:i/>
              </w:rPr>
              <w:t>rõhutab, et investeerimisstiimulid võivad aidata kaasata ettevõtteid haavatavatesse piirkondadesse;</w:t>
            </w:r>
          </w:p>
        </w:tc>
        <w:tc>
          <w:tcPr>
            <w:tcW w:w="4876" w:type="dxa"/>
            <w:tcBorders>
              <w:top w:val="nil"/>
              <w:left w:val="nil"/>
              <w:bottom w:val="nil"/>
              <w:right w:val="nil"/>
            </w:tcBorders>
          </w:tcPr>
          <w:p>
            <w:pPr>
              <w:pStyle w:val="Normal6a"/>
            </w:pPr>
            <w:r>
              <w:t>7.</w:t>
            </w:r>
            <w:r>
              <w:tab/>
            </w:r>
            <w:r>
              <w:t>tuletab meelde, et VKEd on peamised püsiva kohaliku tööhõive loojad; rõhutab</w:t>
            </w:r>
            <w:r>
              <w:rPr>
                <w:b/>
                <w:i/>
              </w:rPr>
              <w:t>, et tuleb hõlbustada</w:t>
            </w:r>
            <w:r>
              <w:t xml:space="preserve"> VKEde juurdepääsu </w:t>
            </w:r>
            <w:r>
              <w:rPr>
                <w:b/>
                <w:i/>
              </w:rPr>
              <w:t>olemasolevatele rahastamisvõimalustele</w:t>
            </w:r>
            <w:r>
              <w:t xml:space="preserve">, sealhulgas võimaldades rahalistele vahenditele </w:t>
            </w:r>
            <w:r>
              <w:rPr>
                <w:b/>
                <w:i/>
              </w:rPr>
              <w:t>juurdepääsuks klastrite loomist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tuletab meelde, et VKEd on peamised püsiva kohaliku tööhõive loojad; rõhutab vajadust lihtsustada VKEde juurdepääsu ülemineku rahastamisele, sealhulgas võimaldades klastrite loomist juurdepääsuks rahalistele vahenditele ja tehnilisele abile, et suunata projektide kavandamist ja nõuetele vastavust; nõuab tungivalt, et liikmesriigid ja piirkondlikud ametiasutused looksid ja tugevdaksid mõjutatud piirkondades ettevõtluse toetamise programme, et aidata idufirmadel ja VKEdel kasvada ja edu saavutada; </w:t>
            </w:r>
            <w:r>
              <w:rPr>
                <w:b/>
                <w:i/>
              </w:rPr>
              <w:t>rõhutab, et investeerimisstiimulid võivad aidata kaasata ettevõtteid haavatavatesse piirkondadesse;</w:t>
            </w:r>
          </w:p>
        </w:tc>
        <w:tc>
          <w:tcPr>
            <w:tcW w:w="4876" w:type="dxa"/>
            <w:tcBorders>
              <w:top w:val="nil"/>
              <w:left w:val="nil"/>
              <w:bottom w:val="nil"/>
              <w:right w:val="nil"/>
            </w:tcBorders>
          </w:tcPr>
          <w:p>
            <w:pPr>
              <w:pStyle w:val="Normal6a"/>
            </w:pPr>
            <w:r>
              <w:t>7.</w:t>
            </w:r>
            <w:r>
              <w:tab/>
            </w:r>
            <w:r>
              <w:t xml:space="preserve">tuletab meelde, et VKEd </w:t>
            </w:r>
            <w:r>
              <w:rPr>
                <w:b/>
                <w:i/>
              </w:rPr>
              <w:t>ja ühistud</w:t>
            </w:r>
            <w:r>
              <w:t xml:space="preserve"> on peamised püsiva kohaliku tööhõive loojad; rõhutab vajadust lihtsustada VKEde juurdepääsu ülemineku rahastamisele, sealhulgas võimaldades klastrite loomist juurdepääsuks rahalistele vahenditele ja tehnilisele abile, et suunata projektide kavandamist ja nõuetele vastavust; nõuab tungivalt, et liikmesriigid ja piirkondlikud ametiasutused looksid ja tugevdaksid mõjutatud piirkondades </w:t>
            </w:r>
            <w:r>
              <w:rPr>
                <w:b/>
                <w:i/>
              </w:rPr>
              <w:t>rangete tingimustega seotud</w:t>
            </w:r>
            <w:r>
              <w:t xml:space="preserve"> ettevõtluse toetamise programme, et aidata idufirmadel ja VKEdel kasvada ja edu saavutada;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tuletab meelde, et VKEd on peamised püsiva kohaliku tööhõive loojad; rõhutab vajadust lihtsustada VKEde juurdepääsu ülemineku rahastamisele, sealhulgas võimaldades klastrite loomist juurdepääsuks rahalistele vahenditele ja tehnilisele abile, et suunata projektide kavandamist ja nõuetele vastavust; nõuab tungivalt, et liikmesriigid ja piirkondlikud ametiasutused looksid ja tugevdaksid mõjutatud piirkondades ettevõtluse toetamise programme, et aidata idufirmadel ja VKEdel kasvada ja edu saavutada; rõhutab, et investeerimisstiimulid võivad aidata kaasata ettevõtteid haavatavatesse piirkondadesse;</w:t>
            </w:r>
          </w:p>
        </w:tc>
        <w:tc>
          <w:tcPr>
            <w:tcW w:w="4876" w:type="dxa"/>
            <w:tcBorders>
              <w:top w:val="nil"/>
              <w:left w:val="nil"/>
              <w:bottom w:val="nil"/>
              <w:right w:val="nil"/>
            </w:tcBorders>
          </w:tcPr>
          <w:p>
            <w:pPr>
              <w:pStyle w:val="Normal6a"/>
            </w:pPr>
            <w:r>
              <w:t>7.</w:t>
            </w:r>
            <w:r>
              <w:tab/>
            </w:r>
            <w:r>
              <w:t xml:space="preserve">tuletab meelde, et VKEd on peamised püsiva kohaliku tööhõive loojad; rõhutab vajadust lihtsustada VKEde juurdepääsu ülemineku rahastamisele, sealhulgas võimaldades klastrite loomist juurdepääsuks rahalistele vahenditele ja tehnilisele abile, et suunata projektide kavandamist ja nõuetele vastavust; nõuab tungivalt, et liikmesriigid ja piirkondlikud ametiasutused looksid ja tugevdaksid mõjutatud piirkondades ettevõtluse toetamise programme, et aidata idufirmadel ja VKEdel kasvada ja edu saavutada; rõhutab, et investeerimisstiimulid võivad aidata kaasata ettevõtteid haavatavatesse piirkondadesse; </w:t>
            </w:r>
            <w:r>
              <w:rPr>
                <w:b/>
                <w:i/>
              </w:rPr>
              <w:t>kogu toetuse suhtes tuleks kohaldada selgeid rahastamiskõlblikkuse ja terviklikkuse kaitsemeetmeid, millega tagatakse, et tegevused aitavad tõendatult kaasa kliimaneutraalsuse ja õiglase ülemineku eesmärkide saavutamisele ja on kooskõlas ELi taksonoomia ja olulise kahju ärahoidmise põhimõttega ning heakskiidetud õiglase ülemineku territoriaalsete kavadega;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tuletab meelde, et VKEd on peamised püsiva kohaliku tööhõive loojad; rõhutab vajadust lihtsustada VKEde juurdepääsu ülemineku rahastamisele, sealhulgas võimaldades klastrite loomist juurdepääsuks rahalistele vahenditele ja tehnilisele abile, et suunata projektide kavandamist ja nõuetele vastavust; nõuab tungivalt, et liikmesriigid ja piirkondlikud ametiasutused looksid ja tugevdaksid mõjutatud piirkondades ettevõtluse toetamise programme, et aidata idufirmadel ja VKEdel kasvada ja edu saavutada; rõhutab, et investeerimisstiimulid võivad aidata kaasata ettevõtteid haavatavatesse piirkondadesse;</w:t>
            </w:r>
          </w:p>
        </w:tc>
        <w:tc>
          <w:tcPr>
            <w:tcW w:w="4876" w:type="dxa"/>
            <w:tcBorders>
              <w:top w:val="nil"/>
              <w:left w:val="nil"/>
              <w:bottom w:val="nil"/>
              <w:right w:val="nil"/>
            </w:tcBorders>
          </w:tcPr>
          <w:p>
            <w:pPr>
              <w:pStyle w:val="Normal6a"/>
            </w:pPr>
            <w:r>
              <w:t>7.</w:t>
            </w:r>
            <w:r>
              <w:tab/>
            </w:r>
            <w:r>
              <w:t>tuletab meelde, et VKEd on peamised püsiva kohaliku tööhõive loojad</w:t>
            </w:r>
            <w:r>
              <w:rPr>
                <w:b/>
                <w:i/>
              </w:rPr>
              <w:t>;</w:t>
            </w:r>
            <w:r>
              <w:t xml:space="preserve"> </w:t>
            </w:r>
            <w:r>
              <w:rPr>
                <w:b/>
                <w:i/>
              </w:rPr>
              <w:t>nõuab, et liikmesriigid seaksid prioriteediks kohalike VKEde ja käsitööliste kaasamise renoveerimisprogrammidesse, tagades toetuse piirkondlikule majandusele ja pikaajalistele töökohtadele</w:t>
            </w:r>
            <w:r>
              <w:t>; rõhutab vajadust lihtsustada VKEde juurdepääsu ülemineku rahastamisele, sealhulgas võimaldades klastrite loomist juurdepääsuks rahalistele vahenditele ja tehnilisele abile, et suunata projektide kavandamist ja nõuetele vastavust; nõuab tungivalt, et liikmesriigid ja piirkondlikud ametiasutused looksid ja tugevdaksid mõjutatud piirkondades ettevõtluse toetamise programme, et aidata idufirmadel ja VKEdel kasvada ja edu saavutada; rõhutab, et investeerimisstiimulid võivad aidata kaasata ettevõtteid haavatavatesse piirkondadesse;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tuletab meelde, et VKEd on peamised püsiva kohaliku tööhõive loojad; rõhutab vajadust lihtsustada VKEde juurdepääsu ülemineku rahastamisele, sealhulgas võimaldades klastrite loomist juurdepääsuks rahalistele vahenditele ja tehnilisele abile, et suunata projektide kavandamist ja nõuetele vastavust; nõuab tungivalt, et liikmesriigid ja piirkondlikud ametiasutused looksid ja tugevdaksid mõjutatud piirkondades ettevõtluse toetamise programme, et aidata idufirmadel ja VKEdel kasvada ja edu saavutada; rõhutab, et investeerimisstiimulid võivad aidata kaasata ettevõtteid haavatavatesse piirkondadesse;</w:t>
            </w:r>
          </w:p>
        </w:tc>
        <w:tc>
          <w:tcPr>
            <w:tcW w:w="4876" w:type="dxa"/>
            <w:tcBorders>
              <w:top w:val="nil"/>
              <w:left w:val="nil"/>
              <w:bottom w:val="nil"/>
              <w:right w:val="nil"/>
            </w:tcBorders>
          </w:tcPr>
          <w:p>
            <w:pPr>
              <w:pStyle w:val="Normal6a"/>
            </w:pPr>
            <w:r>
              <w:t>7.</w:t>
            </w:r>
            <w:r>
              <w:tab/>
            </w:r>
            <w:r>
              <w:t>tuletab meelde, et VKEd on peamised püsiva kohaliku tööhõive loojad; rõhutab vajadust lihtsustada VKEde juurdepääsu ülemineku rahastamisele, sealhulgas võimaldades klastrite loomist juurdepääsuks rahalistele vahenditele ja tehnilisele abile, et suunata projektide kavandamist ja nõuetele vastavust</w:t>
            </w:r>
            <w:r>
              <w:rPr>
                <w:b/>
                <w:i/>
              </w:rPr>
              <w:t> ning teha erandeid keerukatest või kulukatest aruandluskohustustest, kasutades selleks lihtsustatud aruandlusvorme (VKEde klastri ühine aruandlus)</w:t>
            </w:r>
            <w:r>
              <w:t>; nõuab tungivalt, et liikmesriigid ja piirkondlikud ametiasutused looksid ja tugevdaksid mõjutatud piirkondades ettevõtluse toetamise programme, et aidata idufirmadel ja VKEdel kasvada ja edu saavutada; rõhutab, et investeerimisstiimulid võivad aidata kaasata ettevõtteid haavatavatesse piirkondadesse;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kutsub Euroopa Komisjoni üles võtma meetmeid, millel on väga väike finantsmõju, et VKEdel oleksid paremad ja asjakohased vahendid liidusisestel ja rahvusvahelistel turgudel ning suurendada nende konkurentsivõimet, näiteks lihtsustatud tolliprotseduurid ja impordi lihtsustamise meetmed, mis on kohandatud väikeste ja keskmise suurusega ettevõtjate vajadustele, ning erandid kaubanduse kaitsemeetmetest väikesemahulise impordi puhul;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rõhutab, et sotsiaalmajandusel, eelkõige töölelõimimisega tegelevatel sotsiaalsetel ettevõtetel, on oluline roll kaasava ja õiglase ülemineku tagamisel;</w:t>
            </w:r>
            <w:r>
              <w:t xml:space="preserve"> </w:t>
            </w:r>
            <w:r>
              <w:rPr>
                <w:b/>
                <w:i/>
              </w:rPr>
              <w:t>rõhutab vajadust toetada juurdepääsu rahastamisele, suutlikkuse suurendamist ja tehnilist abi;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rõhutab vajadust aidata ettevõtjatel, eelkõige VKEdel, tegeleda oskuste nappuse probleemiga liidus ning edendada ümber- ja täiendõpet, aidates inimestel omandada kvaliteetsete töökohtade jaoks vajalikke oskusi;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on veendunud, et investeeringud hooldusmajandusse (eakate hooldus, lapsehoid, kodune hooldus) võivad pakkuda kestlikku kohalikku tööhõivet;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kutsub komisjoni ja liikmesriike üles kehtestama eraettevõtjatele avaliku sektori vahendite andmisel koos sotsiaalpartneritega välja töötatud keskkonna- ja sotsiaalsed tingimused, sealhulgas õiguslikult siduvate tagatiste kaudu töökohtade säilitamiseks Euroopas, tagades, et avaliku sektori investeeringutega luuakse jagatud ja kestlikku tulu ning et toetust saavad ettevõtjad osalevad sotsiaaldialoogis, pakuvad kvaliteetset õpipoisiõpet ja praktikat ning töötajatele koolitust ja loovad kvaliteetseid töökohti;</w:t>
            </w:r>
            <w:r>
              <w:t xml:space="preserve"> </w:t>
            </w:r>
            <w:r>
              <w:rPr>
                <w:b/>
                <w:i/>
              </w:rPr>
              <w:t>nõuab lisaks, et ettevõtjad, kes selliseid tingimusi ei täida või kes otsustavad paigutada oma tegevuse väljapoole Euroopat, peavad tagasi maksma kõik avaliku sektori vahendid, mis neile on antud;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kutsub Euroopa Komisjoni üles tagama, et tulevase õiglase ülemineku rahastamise raames eraldatakse VKEdele eraldi sihtotstarbeline eelarve;</w:t>
            </w:r>
            <w:r>
              <w:t xml:space="preserve"> </w:t>
            </w:r>
            <w:r>
              <w:rPr>
                <w:b/>
                <w:i/>
              </w:rPr>
              <w:t>kutsub lisaks Euroopa Komisjoni üles jälgima VKEde osalemist õiglase ülemineku programmides;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rõhutab, et hooldusega seotud tööd, mida sageli teevad naised, tuleb tunnustada kvaliteetse tööna, millega kaasneb inimväärne palk, sotsiaalkaitse ja karjäärivõimalused;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rõhutab, kui oluline on tagada, et Euroopa ja liikmesriikide rahalisi vahendeid kasutatakse kliimaneutraalsele majandusele ülemineku hõlbustamiseks, sealhulgas edendades sotsiaaldialoogi ja kollektiivläbirääkimisi;</w:t>
            </w:r>
            <w:r>
              <w:t xml:space="preserve"> </w:t>
            </w:r>
            <w:r>
              <w:rPr>
                <w:b/>
                <w:i/>
              </w:rPr>
              <w:t>on ühtlasi seisukohal, et ELi rahalist toetust ei tohiks anda ettevõtjatele, kes ei täida kohaldatavaid töö- ja tööhõivetingimusi ja/või tööandja kohustusi, mis tulenevad liidu või riigisisesest tööõigusest või asjakohastest kollektiivlepingutest;</w:t>
            </w:r>
            <w:r>
              <w:t xml:space="preserve"> </w:t>
            </w:r>
            <w:r>
              <w:rPr>
                <w:b/>
                <w:i/>
              </w:rPr>
              <w:t>nõuab, et ELi rahastamine ja liikmesriikide antav riigiabi viidaks kooskõlla Euroopa tööstuspoliitikaga, et pakkuda kvaliteetseid töökohti, edendada kollektiivläbirääkimisi, järgida ELi töötajate õigusi ja tööstandardeid, parandada Euroopa ettevõtjate konkurentsivõimet ja tagada paremad töötingimused;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tuletab meelde, et hoolimata oma ümberkujundamise ambitsioonist on õiglase ülemineku fondi eesmärkide saavutamisel olnud märkimisväärseid probleeme, eelkõige seoses võrdsete tulemuste tagamisega ning väikestele ja keskmise suurusega ettevõtjatele fondile juurdepääsu võimaldamisega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„Just Transition in the World of Work“ (Õiglane üleminek töömaailmas), EPRS, september 2025 https://www.europarl.europa.eu/RegData/etudes/BRIE/2025/774668/EPRS_BRI(2025)774668_EN.pdf.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nõuab, et VKEdel oleks juurdepääs õiglase ülemineku fondile lihtsam, pakkudes neile tehnilist abi ja vähendades halduskoormust;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märgib, et puuduvad täpsed andmed kaksikülemineku tõttu kaotatud, loodud või sellest mõjutatud töökohtade arvu kohta;</w:t>
            </w:r>
            <w:r>
              <w:t xml:space="preserve"> </w:t>
            </w:r>
            <w:r>
              <w:rPr>
                <w:b/>
                <w:i/>
              </w:rPr>
              <w:t>rõhutab, kui oluline on prognoosida muutusi tööturul ja oskuste vajaduse suundumusi, et võtta tõhusaid poliitikameetmeid;</w:t>
            </w:r>
            <w:r>
              <w:t xml:space="preserve"> </w:t>
            </w:r>
            <w:r>
              <w:rPr>
                <w:b/>
                <w:i/>
              </w:rPr>
              <w:t>nõuab täieõigusliku ELi õiglase ülemineku vaatluskeskuse loomist, et koguda asjakohaseid andmeid ja analüüsida üleminekupoliitika mõju;</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märgib, et puuduvad täpsed andmed kaksikülemineku tõttu kaotatud, loodud või sellest mõjutatud töökohtade arvu kohta; rõhutab, kui oluline on prognoosida muutusi tööturul ja oskuste vajaduse suundumusi, et võtta tõhusaid poliitikameetmeid; </w:t>
            </w:r>
            <w:r>
              <w:rPr>
                <w:b/>
                <w:i/>
              </w:rPr>
              <w:t>nõuab täieõigusliku ELi õiglase ülemineku vaatluskeskuse loomist, et koguda asjakohaseid andmeid ja analüüsida üleminekupoliitika mõju;</w:t>
            </w:r>
          </w:p>
        </w:tc>
        <w:tc>
          <w:tcPr>
            <w:tcW w:w="4876" w:type="dxa"/>
            <w:tcBorders>
              <w:top w:val="nil"/>
              <w:left w:val="nil"/>
              <w:bottom w:val="nil"/>
              <w:right w:val="nil"/>
            </w:tcBorders>
          </w:tcPr>
          <w:p>
            <w:pPr>
              <w:pStyle w:val="Normal6a"/>
            </w:pPr>
            <w:r>
              <w:t>8.</w:t>
            </w:r>
            <w:r>
              <w:tab/>
            </w:r>
            <w:r>
              <w:t>märgib, et puuduvad täpsed andmed kaksikülemineku tõttu kaotatud, loodud või sellest mõjutatud töökohtade arvu kohta; rõhutab, kui oluline on prognoosida muutusi tööturul ja oskuste vajaduse suundumusi, et võtta tõhusaid poliitikameetmeid;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märgib, et puuduvad täpsed andmed kaksikülemineku tõttu kaotatud, loodud või sellest mõjutatud töökohtade arvu kohta; rõhutab, kui oluline on prognoosida muutusi tööturul ja oskuste vajaduse suundumusi, et võtta tõhusaid poliitikameetmeid; nõuab </w:t>
            </w:r>
            <w:r>
              <w:rPr>
                <w:b/>
                <w:i/>
              </w:rPr>
              <w:t>täieõigusliku ELi õiglase ülemineku vaatluskeskuse loomist, et koguda asjakohaseid andmeid ja analüüsida üleminekupoliitika mõju</w:t>
            </w:r>
            <w:r>
              <w:t>;</w:t>
            </w:r>
          </w:p>
        </w:tc>
        <w:tc>
          <w:tcPr>
            <w:tcW w:w="4876" w:type="dxa"/>
            <w:tcBorders>
              <w:top w:val="nil"/>
              <w:left w:val="nil"/>
              <w:bottom w:val="nil"/>
              <w:right w:val="nil"/>
            </w:tcBorders>
          </w:tcPr>
          <w:p>
            <w:pPr>
              <w:pStyle w:val="Normal6a"/>
            </w:pPr>
            <w:r>
              <w:t>8.</w:t>
            </w:r>
            <w:r>
              <w:tab/>
            </w:r>
            <w:r>
              <w:t>märgib, et puuduvad täpsed andmed kaksikülemineku tõttu kaotatud, loodud või sellest mõjutatud töökohtade arvu kohta; rõhutab, kui oluline on prognoosida muutusi tööturul ja oskuste vajaduse suundumusi, et võtta tõhusaid poliitikameetmeid; nõuab</w:t>
            </w:r>
            <w:r>
              <w:rPr>
                <w:b/>
                <w:i/>
              </w:rPr>
              <w:t>, et need strateegilised andmed esitaks juba olemasolev ELi institutsioon või organ praeguse rahastamistaseme juures, ilma et sellega seotud kulusid või eelarvet suurendataks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märgib, et puuduvad täpsed andmed kaksikülemineku tõttu kaotatud, loodud või sellest mõjutatud töökohtade arvu kohta; rõhutab, kui oluline on prognoosida muutusi tööturul ja oskuste vajaduse suundumusi, et võtta tõhusaid poliitikameetmeid; nõuab </w:t>
            </w:r>
            <w:r>
              <w:rPr>
                <w:b/>
                <w:i/>
              </w:rPr>
              <w:t>täieõigusliku ELi õiglase ülemineku vaatluskeskuse loomist, et koguda</w:t>
            </w:r>
            <w:r>
              <w:t xml:space="preserve"> asjakohaseid andmeid ja </w:t>
            </w:r>
            <w:r>
              <w:rPr>
                <w:b/>
                <w:i/>
              </w:rPr>
              <w:t>analüüsida</w:t>
            </w:r>
            <w:r>
              <w:t xml:space="preserve"> üleminekupoliitika mõju;</w:t>
            </w:r>
          </w:p>
        </w:tc>
        <w:tc>
          <w:tcPr>
            <w:tcW w:w="4876" w:type="dxa"/>
            <w:tcBorders>
              <w:top w:val="nil"/>
              <w:left w:val="nil"/>
              <w:bottom w:val="nil"/>
              <w:right w:val="nil"/>
            </w:tcBorders>
          </w:tcPr>
          <w:p>
            <w:pPr>
              <w:pStyle w:val="Normal6a"/>
            </w:pPr>
            <w:r>
              <w:t>8.</w:t>
            </w:r>
            <w:r>
              <w:tab/>
            </w:r>
            <w:r>
              <w:t>märgib, et puuduvad täpsed andmed kaksikülemineku tõttu kaotatud, loodud või sellest mõjutatud töökohtade arvu kohta; rõhutab, kui oluline on prognoosida muutusi tööturul ja oskuste vajaduse suundumusi, et võtta tõhusaid poliitikameetmeid; nõuab</w:t>
            </w:r>
            <w:r>
              <w:rPr>
                <w:b/>
                <w:i/>
              </w:rPr>
              <w:t>, et juba loodud ametid ja organid koguksid</w:t>
            </w:r>
            <w:r>
              <w:t xml:space="preserve"> asjakohaseid andmeid ja </w:t>
            </w:r>
            <w:r>
              <w:rPr>
                <w:b/>
                <w:i/>
              </w:rPr>
              <w:t>analüüsiksid</w:t>
            </w:r>
            <w:r>
              <w:t xml:space="preserve"> üleminekupoliitika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märgib, et puuduvad täpsed andmed kaksikülemineku tõttu kaotatud, loodud või sellest mõjutatud töökohtade arvu kohta; rõhutab, kui oluline on prognoosida muutusi tööturul ja oskuste vajaduse suundumusi, et võtta tõhusaid poliitikameetmeid; nõuab </w:t>
            </w:r>
            <w:r>
              <w:rPr>
                <w:b/>
                <w:i/>
              </w:rPr>
              <w:t>täieõigusliku</w:t>
            </w:r>
            <w:r>
              <w:t xml:space="preserve"> ELi õiglase ülemineku </w:t>
            </w:r>
            <w:r>
              <w:rPr>
                <w:b/>
                <w:i/>
              </w:rPr>
              <w:t>vaatluskeskuse loomist</w:t>
            </w:r>
            <w:r>
              <w:t xml:space="preserve">, et koguda asjakohaseid andmeid </w:t>
            </w:r>
            <w:r>
              <w:rPr>
                <w:b/>
                <w:i/>
              </w:rPr>
              <w:t>ja</w:t>
            </w:r>
            <w:r>
              <w:t xml:space="preserve"> analüüsida üleminekupoliitika mõju;</w:t>
            </w:r>
          </w:p>
        </w:tc>
        <w:tc>
          <w:tcPr>
            <w:tcW w:w="4876" w:type="dxa"/>
            <w:tcBorders>
              <w:top w:val="nil"/>
              <w:left w:val="nil"/>
              <w:bottom w:val="nil"/>
              <w:right w:val="nil"/>
            </w:tcBorders>
          </w:tcPr>
          <w:p>
            <w:pPr>
              <w:pStyle w:val="Normal6a"/>
            </w:pPr>
            <w:r>
              <w:t>8.</w:t>
            </w:r>
            <w:r>
              <w:tab/>
            </w:r>
            <w:r>
              <w:t>märgib, et puuduvad täpsed andmed kaksikülemineku tõttu kaotatud, loodud või sellest mõjutatud töökohtade arvu kohta; rõhutab, kui oluline on prognoosida muutusi tööturul ja oskuste vajaduse suundumusi, et võtta tõhusaid poliitikameetmeid; nõuab</w:t>
            </w:r>
            <w:r>
              <w:rPr>
                <w:b/>
                <w:i/>
              </w:rPr>
              <w:t>, et loodaks täieõiguslik</w:t>
            </w:r>
            <w:r>
              <w:t xml:space="preserve"> ELi õiglase ülemineku </w:t>
            </w:r>
            <w:r>
              <w:rPr>
                <w:b/>
                <w:i/>
              </w:rPr>
              <w:t>vaatluskeskus, mis põhineks läbipaistval ja kaasaval valitsemisel, milles osaleks Euroopa sotsiaalpartnerite, kodanikuühiskonna ja keskkonnavaldkonna sidusrühmade esindajad</w:t>
            </w:r>
            <w:r>
              <w:t xml:space="preserve">, et koguda asjakohaseid </w:t>
            </w:r>
            <w:r>
              <w:rPr>
                <w:b/>
                <w:i/>
              </w:rPr>
              <w:t>disagregeeritud</w:t>
            </w:r>
            <w:r>
              <w:t xml:space="preserve"> andmeid</w:t>
            </w:r>
            <w:r>
              <w:rPr>
                <w:b/>
                <w:i/>
              </w:rPr>
              <w:t>,</w:t>
            </w:r>
            <w:r>
              <w:t xml:space="preserve"> analüüsida üleminekupoliitika mõju </w:t>
            </w:r>
            <w:r>
              <w:rPr>
                <w:b/>
                <w:i/>
              </w:rPr>
              <w:t>ning esitada üksikasjalikku ja korrapärast aruandlust</w:t>
            </w:r>
            <w:r>
              <w:t xml:space="preserve">; </w:t>
            </w:r>
            <w:r>
              <w:rPr>
                <w:b/>
                <w:i/>
              </w:rPr>
              <w:t>rõhutab vajadust teha kindlaks parimad tavad, neid vahetada ja edendada;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märgib, et puuduvad täpsed andmed kaksikülemineku tõttu kaotatud, loodud või sellest mõjutatud töökohtade arvu kohta; rõhutab, kui oluline on prognoosida muutusi tööturul ja oskuste vajaduse suundumusi, et võtta tõhusaid poliitikameetmeid; nõuab täieõigusliku ELi õiglase ülemineku vaatluskeskuse loomist, et koguda asjakohaseid andmeid ja analüüsida üleminekupoliitika mõju;</w:t>
            </w:r>
          </w:p>
        </w:tc>
        <w:tc>
          <w:tcPr>
            <w:tcW w:w="4876" w:type="dxa"/>
            <w:tcBorders>
              <w:top w:val="nil"/>
              <w:left w:val="nil"/>
              <w:bottom w:val="nil"/>
              <w:right w:val="nil"/>
            </w:tcBorders>
          </w:tcPr>
          <w:p>
            <w:pPr>
              <w:pStyle w:val="Normal6a"/>
            </w:pPr>
            <w:r>
              <w:t>8.</w:t>
            </w:r>
            <w:r>
              <w:tab/>
            </w:r>
            <w:r>
              <w:t xml:space="preserve">märgib, et puuduvad täpsed andmed kaksikülemineku tõttu kaotatud, loodud või sellest mõjutatud töökohtade arvu kohta; rõhutab, kui oluline on prognoosida muutusi tööturul ja oskuste vajaduse suundumusi, et võtta tõhusaid poliitikameetmeid; nõuab täieõigusliku ELi õiglase ülemineku vaatluskeskuse loomist, et koguda asjakohaseid andmeid ja analüüsida üleminekupoliitika mõju; </w:t>
            </w:r>
            <w:r>
              <w:rPr>
                <w:b/>
                <w:i/>
              </w:rPr>
              <w:t>kutsub komisjoni ja liikmesriike üles kaardistama põhjalikult ja süstemaatiliselt praegust oskuste nappuse olukorda piirkondlikul tasandil ning prognoosima tulevast nõudlust oskuste järele;</w:t>
            </w:r>
            <w:r>
              <w:t xml:space="preserve"> </w:t>
            </w:r>
            <w:r>
              <w:rPr>
                <w:b/>
                <w:i/>
              </w:rPr>
              <w:t>rõhutab, et selline kaardistamine peaks hõlmama mõjuhinnangut ning selle põhjal tuleks võtta valdkondlikke ja territoriaalseid meetmeid, et kasutada ära rohepöörde potentsiaali kõigis piirkondades;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märgib, et puuduvad täpsed andmed kaksikülemineku tõttu kaotatud, loodud või sellest mõjutatud töökohtade arvu kohta; rõhutab, kui oluline on prognoosida muutusi tööturul ja oskuste vajaduse suundumusi, et võtta tõhusaid poliitikameetmeid; nõuab täieõigusliku ELi õiglase ülemineku vaatluskeskuse loomist, et koguda asjakohaseid andmeid ja analüüsida üleminekupoliitika mõju;</w:t>
            </w:r>
          </w:p>
        </w:tc>
        <w:tc>
          <w:tcPr>
            <w:tcW w:w="4876" w:type="dxa"/>
            <w:tcBorders>
              <w:top w:val="nil"/>
              <w:left w:val="nil"/>
              <w:bottom w:val="nil"/>
              <w:right w:val="nil"/>
            </w:tcBorders>
          </w:tcPr>
          <w:p>
            <w:pPr>
              <w:pStyle w:val="Normal6a"/>
            </w:pPr>
            <w:r>
              <w:t>8.</w:t>
            </w:r>
            <w:r>
              <w:tab/>
            </w:r>
            <w:r>
              <w:rPr>
                <w:b/>
                <w:i/>
              </w:rPr>
              <w:t>rõhutab, et energiaostuvõimetuse näitajad tuleks süstemaatiliselt integreerida õiglase ülemineku järelevalvesüsteemidesse, tagamaks et rahastamise ja töökohtade loomise meetmetega käsitletaks kõigepealt vähekaitstud leibkondi;</w:t>
            </w:r>
            <w:r>
              <w:t xml:space="preserve"> märgib, et puuduvad täpsed andmed kaksikülemineku tõttu kaotatud, loodud või sellest mõjutatud töökohtade arvu kohta; rõhutab, kui oluline on prognoosida muutusi tööturul ja oskuste vajaduse suundumusi, et võtta tõhusaid poliitikameetmeid; nõuab täieõigusliku ELi õiglase ülemineku vaatluskeskuse loomist, et koguda asjakohaseid andmeid ja analüüsida üleminekupoliitika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märgib, et puuduvad täpsed andmed kaksikülemineku tõttu kaotatud, loodud või sellest mõjutatud töökohtade arvu kohta; rõhutab, kui oluline on prognoosida muutusi tööturul ja oskuste vajaduse suundumusi, et võtta tõhusaid poliitikameetmeid; nõuab täieõigusliku ELi õiglase ülemineku vaatluskeskuse loomist, et koguda asjakohaseid andmeid ja analüüsida üleminekupoliitika mõju;</w:t>
            </w:r>
          </w:p>
        </w:tc>
        <w:tc>
          <w:tcPr>
            <w:tcW w:w="4876" w:type="dxa"/>
            <w:tcBorders>
              <w:top w:val="nil"/>
              <w:left w:val="nil"/>
              <w:bottom w:val="nil"/>
              <w:right w:val="nil"/>
            </w:tcBorders>
          </w:tcPr>
          <w:p>
            <w:pPr>
              <w:pStyle w:val="Normal6a"/>
            </w:pPr>
            <w:r>
              <w:t>8.</w:t>
            </w:r>
            <w:r>
              <w:tab/>
            </w:r>
            <w:r>
              <w:t xml:space="preserve">märgib, et puuduvad täpsed andmed kaksikülemineku tõttu kaotatud, loodud või sellest mõjutatud töökohtade arvu kohta; rõhutab, kui oluline on prognoosida muutusi tööturul ja oskuste vajaduse suundumusi, et võtta tõhusaid poliitikameetmeid; nõuab täieõigusliku ELi õiglase ülemineku vaatluskeskuse loomist, et koguda asjakohaseid andmeid ja analüüsida üleminekupoliitika mõju; </w:t>
            </w:r>
            <w:r>
              <w:rPr>
                <w:b/>
                <w:i/>
              </w:rPr>
              <w:t>nõuab, et ELi õiglase ülemineku vaatluskeskus jälgiks lisaks tööturu arengule ka eluasemete, vaimse tervise ja sotsiaalse heaolu valdkondi;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märgib, et puuduvad täpsed andmed kaksikülemineku tõttu kaotatud, loodud või sellest mõjutatud töökohtade arvu kohta; rõhutab, kui oluline on prognoosida muutusi tööturul ja oskuste vajaduse suundumusi, et võtta tõhusaid poliitikameetmeid; nõuab täieõigusliku ELi õiglase ülemineku vaatluskeskuse loomist, et koguda asjakohaseid andmeid ja analüüsida üleminekupoliitika mõju;</w:t>
            </w:r>
          </w:p>
        </w:tc>
        <w:tc>
          <w:tcPr>
            <w:tcW w:w="4876" w:type="dxa"/>
            <w:tcBorders>
              <w:top w:val="nil"/>
              <w:left w:val="nil"/>
              <w:bottom w:val="nil"/>
              <w:right w:val="nil"/>
            </w:tcBorders>
          </w:tcPr>
          <w:p>
            <w:pPr>
              <w:pStyle w:val="Normal6a"/>
            </w:pPr>
            <w:r>
              <w:t>8.</w:t>
            </w:r>
            <w:r>
              <w:tab/>
            </w:r>
            <w:r>
              <w:t xml:space="preserve">märgib, et puuduvad täpsed andmed kaksikülemineku tõttu kaotatud, loodud või sellest mõjutatud töökohtade arvu kohta; rõhutab, kui oluline on prognoosida muutusi tööturul ja oskuste vajaduse suundumusi, et võtta </w:t>
            </w:r>
            <w:r>
              <w:rPr>
                <w:b/>
                <w:i/>
              </w:rPr>
              <w:t>aegsasti</w:t>
            </w:r>
            <w:r>
              <w:t xml:space="preserve"> tõhusaid poliitikameetmeid; nõuab täieõigusliku ELi õiglase ülemineku vaatluskeskuse loomist, et koguda asjakohaseid andmeid ja analüüsida üleminekupoliitika mõju; </w:t>
            </w:r>
            <w:r>
              <w:rPr>
                <w:b/>
                <w:i/>
              </w:rPr>
              <w:t>kutsub komisjoni üles selgitama, milline ELi amet jälgib digiüleminekuga seotud spetsiifilisi andmeid;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tuletab meelde sotsiaalmajanduse, ühistute, vastastikuse abi ühingute, ühenduste, avaliku sektori ja/või segaosalusega ettevõtjate erilist potentsiaali kestlike töökohtade loomisel õiglases ja kaasavas töökeskkonnas, järgides samal ajal ökoloogilise tootmise ja kestliku kohaliku/piirkondliku arengu põhimõtteid;</w:t>
            </w:r>
            <w:r>
              <w:t xml:space="preserve"> </w:t>
            </w:r>
            <w:r>
              <w:rPr>
                <w:b/>
                <w:i/>
              </w:rPr>
              <w:t>rõhutab majandusliku sotsiaalse innovatsiooni potentsiaali kohaliku ja piirkondliku majanduse edasiarendamisel, mis pakub leevendusvõimalusi sotsiaalselt õiglaseks ja keskkonnaalaselt tulemuslikuks üleminekuks;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toetab kogukonna tasandi renoveerimiskavasid, mis hõlmavad linnaosasid või külasid, vähendades kulusid, tugevdades ühtekuuluvust ja kiirendades üleminekut;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nõuab, et koos kavandatava direktiiviga uuendataks õiglase ülemineku fondi 2027. aasta järgseks programmitöö perioodiks, millega tagatakse, et see toimib jagatud eelarve täitmise ja partnerluse põhimõtete kohaselt ja suurema eelarvega;</w:t>
            </w:r>
            <w:r>
              <w:t xml:space="preserve"> </w:t>
            </w:r>
            <w:r>
              <w:rPr>
                <w:b/>
                <w:i/>
              </w:rPr>
              <w:t>rõhutab, et uus fond peaks toetama tööandjaid, et tagada töötajate õigus saada koolitust, ning üleminekukavade rakendamist ettevõtte tasandil;</w:t>
            </w:r>
            <w:r>
              <w:t xml:space="preserve"> </w:t>
            </w:r>
            <w:r>
              <w:rPr>
                <w:b/>
                <w:i/>
              </w:rPr>
              <w:t>nõuab tungivalt, et ülemineku rahastamine hõlmaks sotsiaalseid tingimusi kaasamise toetamiseks;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nõuab, et koos kavandatava direktiiviga uuendataks õiglase ülemineku fondi 2027. aasta järgseks programmitöö perioodiks, millega tagatakse, et see toimib jagatud eelarve täitmise ja partnerluse põhimõtete kohaselt ja suurema eelarvega;</w:t>
            </w:r>
            <w:r>
              <w:t xml:space="preserve"> </w:t>
            </w:r>
            <w:r>
              <w:rPr>
                <w:b/>
                <w:i/>
              </w:rPr>
              <w:t>rõhutab, et uus fond peaks toetama tööandjaid, et tagada töötajate õigus saada koolitust, ning üleminekukavade rakendamist ettevõtte tasandil;</w:t>
            </w:r>
            <w:r>
              <w:t xml:space="preserve"> </w:t>
            </w:r>
            <w:r>
              <w:rPr>
                <w:b/>
                <w:i/>
              </w:rPr>
              <w:t>nõuab tungivalt, et ülemineku rahastamine hõlmaks sotsiaalseid tingimusi kaasamise toetamiseks;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nõuab, et koos kavandatava direktiiviga uuendataks õiglase ülemineku fondi 2027. aasta järgseks programmitöö perioodiks, millega tagatakse, et see toimib jagatud eelarve täitmise ja partnerluse põhimõtete kohaselt ja suurema eelarvega;</w:t>
            </w:r>
            <w:r>
              <w:t xml:space="preserve"> </w:t>
            </w:r>
            <w:r>
              <w:rPr>
                <w:b/>
                <w:i/>
              </w:rPr>
              <w:t>rõhutab, et uus fond peaks toetama tööandjaid, et tagada töötajate õigus saada koolitust, ning üleminekukavade rakendamist ettevõtte tasandil;</w:t>
            </w:r>
            <w:r>
              <w:t xml:space="preserve"> </w:t>
            </w:r>
            <w:r>
              <w:rPr>
                <w:b/>
                <w:i/>
              </w:rPr>
              <w:t>nõuab tungivalt, et ülemineku rahastamine hõlmaks sotsiaalseid tingimusi kaasamise toetamiseks;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nõuab</w:t>
            </w:r>
            <w:r>
              <w:rPr>
                <w:b/>
                <w:i/>
              </w:rPr>
              <w:t>, et koos kavandatava direktiiviga uuendataks õiglase ülemineku fondi</w:t>
            </w:r>
            <w:r>
              <w:t xml:space="preserve"> 2027. aasta järgseks programmitöö perioodiks, millega tagatakse, et </w:t>
            </w:r>
            <w:r>
              <w:rPr>
                <w:b/>
                <w:i/>
              </w:rPr>
              <w:t>see toimib jagatud eelarve täitmise ja partnerluse põhimõtete kohaselt ja suurema eelarvega</w:t>
            </w:r>
            <w:r>
              <w:t xml:space="preserve">; rõhutab, et uus fond peaks toetama tööandjaid, et tagada töötajate õigus saada koolitust, ning üleminekukavade rakendamist ettevõtte tasandil; </w:t>
            </w:r>
            <w:r>
              <w:rPr>
                <w:b/>
                <w:i/>
              </w:rPr>
              <w:t>nõuab tungivalt, et ülemineku rahastamine hõlmaks sotsiaalseid tingimusi kaasamise toetamiseks;</w:t>
            </w:r>
          </w:p>
        </w:tc>
        <w:tc>
          <w:tcPr>
            <w:tcW w:w="4876" w:type="dxa"/>
            <w:tcBorders>
              <w:top w:val="nil"/>
              <w:left w:val="nil"/>
              <w:bottom w:val="nil"/>
              <w:right w:val="nil"/>
            </w:tcBorders>
          </w:tcPr>
          <w:p>
            <w:pPr>
              <w:pStyle w:val="Normal6a"/>
            </w:pPr>
            <w:r>
              <w:t>9.</w:t>
            </w:r>
            <w:r>
              <w:tab/>
            </w:r>
            <w:r>
              <w:t xml:space="preserve">nõuab 2027. aasta järgseks programmitöö perioodiks </w:t>
            </w:r>
            <w:r>
              <w:rPr>
                <w:b/>
                <w:i/>
              </w:rPr>
              <w:t>uuendatud õiglase ülemineku fondi</w:t>
            </w:r>
            <w:r>
              <w:t xml:space="preserve">, millega tagatakse, et </w:t>
            </w:r>
            <w:r>
              <w:rPr>
                <w:b/>
                <w:i/>
              </w:rPr>
              <w:t>rahalisi vahendeid kasutatakse tõhusalt ja need suunatakse projektidele, millel on selge majanduslik kasu</w:t>
            </w:r>
            <w:r>
              <w:t>; rõhutab, et uus fond peaks toetama tööandjaid, et tagada töötajate õigus saada koolitust, ning üleminekukavade rakendamist ettevõtte tasandil;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nõuab, et koos kavandatava direktiiviga uuendataks õiglase ülemineku fondi 2027. aasta järgseks programmitöö perioodiks, millega tagatakse, et see toimib </w:t>
            </w:r>
            <w:r>
              <w:rPr>
                <w:b/>
                <w:i/>
              </w:rPr>
              <w:t>jagatud</w:t>
            </w:r>
            <w:r>
              <w:t xml:space="preserve"> eelarve täitmise ja partnerluse põhimõtete kohaselt </w:t>
            </w:r>
            <w:r>
              <w:rPr>
                <w:b/>
                <w:i/>
              </w:rPr>
              <w:t>ja suurema eelarvega</w:t>
            </w:r>
            <w:r>
              <w:t>; rõhutab, et uus fond peaks toetama tööandjaid, et tagada töötajate õigus saada koolitust, ning üleminekukavade rakendamist ettevõtte tasandil; nõuab tungivalt, et ülemineku rahastamine hõlmaks sotsiaalseid tingimusi kaasamise toetamiseks;</w:t>
            </w:r>
          </w:p>
        </w:tc>
        <w:tc>
          <w:tcPr>
            <w:tcW w:w="4876" w:type="dxa"/>
            <w:tcBorders>
              <w:top w:val="nil"/>
              <w:left w:val="nil"/>
              <w:bottom w:val="nil"/>
              <w:right w:val="nil"/>
            </w:tcBorders>
          </w:tcPr>
          <w:p>
            <w:pPr>
              <w:pStyle w:val="Normal6a"/>
            </w:pPr>
            <w:r>
              <w:t>9.</w:t>
            </w:r>
            <w:r>
              <w:tab/>
            </w:r>
            <w:r>
              <w:t>nõuab, et koos kavandatava direktiiviga uuendataks õiglase ülemineku fondi 2027. aasta järgseks programmitöö perioodiks, millega tagatakse, et see toimib eelarve</w:t>
            </w:r>
            <w:r>
              <w:rPr>
                <w:b/>
                <w:i/>
              </w:rPr>
              <w:t> jagatud</w:t>
            </w:r>
            <w:r>
              <w:t> täitmise ja partnerluse põhimõtete kohaselt; rõhutab, et uus fond peaks toetama tööandjaid, et tagada töötajate õigus saada koolitust, ning üleminekukavade rakendamist ettevõtte tasandil; nõuab tungivalt, et ülemineku rahastamine hõlmaks sotsiaalseid tingimusi kaasamise toetamiseks;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nõuab, et koos kavandatava direktiiviga </w:t>
            </w:r>
            <w:r>
              <w:rPr>
                <w:b/>
                <w:i/>
              </w:rPr>
              <w:t>uuendataks</w:t>
            </w:r>
            <w:r>
              <w:t xml:space="preserve"> õiglase ülemineku fondi 2027. aasta järgseks programmitöö perioodiks, millega tagatakse, et see toimib </w:t>
            </w:r>
            <w:r>
              <w:rPr>
                <w:b/>
                <w:i/>
              </w:rPr>
              <w:t>jagatud</w:t>
            </w:r>
            <w:r>
              <w:t xml:space="preserve"> eelarve täitmise ja partnerluse põhimõtete kohaselt ja suurema eelarvega; rõhutab, et uus fond peaks toetama tööandjaid, et tagada töötajate õigus saada koolitust, ning üleminekukavade rakendamist ettevõtte tasandil; nõuab tungivalt, et ülemineku rahastamine hõlmaks sotsiaalseid tingimusi kaasamise toetamiseks;</w:t>
            </w:r>
          </w:p>
        </w:tc>
        <w:tc>
          <w:tcPr>
            <w:tcW w:w="4876" w:type="dxa"/>
            <w:tcBorders>
              <w:top w:val="nil"/>
              <w:left w:val="nil"/>
              <w:bottom w:val="nil"/>
              <w:right w:val="nil"/>
            </w:tcBorders>
          </w:tcPr>
          <w:p>
            <w:pPr>
              <w:pStyle w:val="Normal6a"/>
            </w:pPr>
            <w:r>
              <w:t>9.</w:t>
            </w:r>
            <w:r>
              <w:tab/>
            </w:r>
            <w:r>
              <w:rPr>
                <w:b/>
                <w:i/>
              </w:rPr>
              <w:t>on mures asjaolu pärast, et komisjon ei ole oma hiljutistes ettepanekutes tulevase mitmeaastase finantsraamistiku kohta teinud ettepanekut eraldiseisva õiglase ülemineku fondi loomiseks;</w:t>
            </w:r>
            <w:r>
              <w:t xml:space="preserve"> nõuab </w:t>
            </w:r>
            <w:r>
              <w:rPr>
                <w:b/>
                <w:i/>
              </w:rPr>
              <w:t>seetõttu</w:t>
            </w:r>
            <w:r>
              <w:t xml:space="preserve">, et koos kavandatava direktiiviga </w:t>
            </w:r>
            <w:r>
              <w:rPr>
                <w:b/>
                <w:i/>
              </w:rPr>
              <w:t>laiendataks ja suurendataks</w:t>
            </w:r>
            <w:r>
              <w:t xml:space="preserve"> õiglase ülemineku fondi 2027. aasta järgseks programmitöö perioodiks, millega tagatakse, et see toimib eelarve</w:t>
            </w:r>
            <w:r>
              <w:rPr>
                <w:b/>
                <w:i/>
              </w:rPr>
              <w:t> jagatud</w:t>
            </w:r>
            <w:r>
              <w:t xml:space="preserve"> täitmise ja partnerluse põhimõtete kohaselt</w:t>
            </w:r>
            <w:r>
              <w:rPr>
                <w:b/>
                <w:i/>
              </w:rPr>
              <w:t>, ühtekuuluvuspoliitika raames</w:t>
            </w:r>
            <w:r>
              <w:t xml:space="preserve"> ja suurema eelarvega; rõhutab, et </w:t>
            </w:r>
            <w:r>
              <w:rPr>
                <w:b/>
                <w:i/>
              </w:rPr>
              <w:t>see</w:t>
            </w:r>
            <w:r>
              <w:t xml:space="preserve"> uus fond peaks </w:t>
            </w:r>
            <w:r>
              <w:rPr>
                <w:b/>
                <w:i/>
              </w:rPr>
              <w:t>toetama kogukondi üleminekul ja võimaldama sekkumissuutlikkust, mis vastab ELi 2030. aasta energiaeesmärkidele ülemineku sotsiaal-majandusliku, tööhõivealase, demograafilise ja keskkonnamõju ulatusele, samuti peaks see</w:t>
            </w:r>
            <w:r>
              <w:t xml:space="preserve"> toetama tööandjaid, et tagada töötajate õigus saada koolitust, ning üleminekukavade rakendamist ettevõtte tasandil; nõuab tungivalt, et ülemineku rahastamine hõlmaks sotsiaalseid tingimusi kaasamise toetamiseks; </w:t>
            </w:r>
            <w:r>
              <w:rPr>
                <w:b/>
                <w:i/>
              </w:rPr>
              <w:t>rõhutab, et sellel fondil peaks olema oma prognoositav eelarveeraldis, mis tagab selle sõltumatuse erakorralistest kriisidele reageerimise vahenditest, näiteks taasterahastust „NextGenerationEU“;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nõuab, et koos kavandatava direktiiviga uuendataks õiglase ülemineku fondi 2027. aasta järgseks programmitöö perioodiks, millega tagatakse, et see toimib </w:t>
            </w:r>
            <w:r>
              <w:rPr>
                <w:b/>
                <w:i/>
              </w:rPr>
              <w:t>jagatud</w:t>
            </w:r>
            <w:r>
              <w:t xml:space="preserve"> eelarve täitmise ja partnerluse põhimõtete kohaselt ja suurema eelarvega; rõhutab, et uus fond peaks toetama tööandjaid, et tagada töötajate õigus saada koolitust, ning üleminekukavade rakendamist ettevõtte tasandil; nõuab tungivalt, et ülemineku rahastamine hõlmaks sotsiaalseid tingimusi kaasamise toetamiseks;</w:t>
            </w:r>
          </w:p>
        </w:tc>
        <w:tc>
          <w:tcPr>
            <w:tcW w:w="4876" w:type="dxa"/>
            <w:tcBorders>
              <w:top w:val="nil"/>
              <w:left w:val="nil"/>
              <w:bottom w:val="nil"/>
              <w:right w:val="nil"/>
            </w:tcBorders>
          </w:tcPr>
          <w:p>
            <w:pPr>
              <w:pStyle w:val="Normal6a"/>
            </w:pPr>
            <w:r>
              <w:t>9.</w:t>
            </w:r>
            <w:r>
              <w:tab/>
            </w:r>
            <w:r>
              <w:rPr>
                <w:b/>
                <w:i/>
              </w:rPr>
              <w:t>peab kahetsusväärseks, et mitmeaastase finantsraamistiku 2028–2034 ettepanek ei sisalda eraldi vahendit õiglase ülemineku käsitlemiseks;</w:t>
            </w:r>
            <w:r>
              <w:t xml:space="preserve"> </w:t>
            </w:r>
            <w:r>
              <w:rPr>
                <w:b/>
                <w:i/>
              </w:rPr>
              <w:t>rõhutab, et jätkuvalt on vaja sihtotstarbelist rahastamist, et toetada mõjutatud piirkondi rohepöördest tulenevate probleemidega tegelemisel;</w:t>
            </w:r>
            <w:r>
              <w:t xml:space="preserve"> nõuab </w:t>
            </w:r>
            <w:r>
              <w:rPr>
                <w:b/>
                <w:i/>
              </w:rPr>
              <w:t>sellega seoses</w:t>
            </w:r>
            <w:r>
              <w:t>, et koos kavandatava direktiiviga uuendataks õiglase ülemineku fondi 2027. aasta järgseks programmitöö perioodiks, millega tagatakse, et see toimib eelarve</w:t>
            </w:r>
            <w:r>
              <w:rPr>
                <w:b/>
                <w:i/>
              </w:rPr>
              <w:t> jagatud</w:t>
            </w:r>
            <w:r>
              <w:t> täitmise ja partnerluse põhimõtete kohaselt ja suurema eelarvega; rõhutab, et uus fond peaks toetama tööandjaid, et tagada töötajate õigus saada koolitust, ning üleminekukavade rakendamist ettevõtte tasandil; nõuab tungivalt, et ülemineku rahastamine hõlmaks sotsiaalseid tingimusi kaasamise toetamiseks;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nõuab, et koos kavandatava direktiiviga uuendataks õiglase ülemineku fondi 2027. aasta järgseks programmitöö perioodiks, millega tagatakse, et see toimib </w:t>
            </w:r>
            <w:r>
              <w:rPr>
                <w:b/>
                <w:i/>
              </w:rPr>
              <w:t>jagatud</w:t>
            </w:r>
            <w:r>
              <w:t xml:space="preserve"> eelarve täitmise ja partnerluse põhimõtete kohaselt ja suurema eelarvega; rõhutab, et uus fond peaks toetama tööandjaid, et tagada töötajate õigus saada koolitust, ning üleminekukavade rakendamist ettevõtte tasandil; nõuab tungivalt, et ülemineku rahastamine hõlmaks sotsiaalseid tingimusi kaasamise toetamiseks;</w:t>
            </w:r>
          </w:p>
        </w:tc>
        <w:tc>
          <w:tcPr>
            <w:tcW w:w="4876" w:type="dxa"/>
            <w:tcBorders>
              <w:top w:val="nil"/>
              <w:left w:val="nil"/>
              <w:bottom w:val="nil"/>
              <w:right w:val="nil"/>
            </w:tcBorders>
          </w:tcPr>
          <w:p>
            <w:pPr>
              <w:pStyle w:val="Normal6a"/>
            </w:pPr>
            <w:r>
              <w:t>9.</w:t>
            </w:r>
            <w:r>
              <w:tab/>
            </w:r>
            <w:r>
              <w:t>nõuab, et koos kavandatava direktiiviga uuendataks õiglase ülemineku fondi 2027. aasta järgseks programmitöö perioodiks, millega tagatakse, et see toimib eelarve</w:t>
            </w:r>
            <w:r>
              <w:rPr>
                <w:b/>
                <w:i/>
              </w:rPr>
              <w:t> jagatud</w:t>
            </w:r>
            <w:r>
              <w:t xml:space="preserve"> täitmise ja partnerluse põhimõtete kohaselt ja suurema eelarvega; rõhutab, et uus fond peaks toetama tööandjaid, et tagada töötajate õigus saada koolitust, ning üleminekukavade rakendamist ettevõtte tasandil; nõuab tungivalt, et ülemineku rahastamine hõlmaks sotsiaalseid tingimusi kaasamise toetamiseks; </w:t>
            </w:r>
            <w:r>
              <w:rPr>
                <w:b/>
                <w:i/>
              </w:rPr>
              <w:t>rõhutab, et koolitus peaks olema kvaliteetne, kooskõlas tööturu vajadustega ning selle tulemuseks peaks olema kvalifikatsioon, mis on valideeritud läbipaistvate ja selgete sertifitseerimissüsteemide abil, mis võimaldavad liikmesriikidevahelist vastastikust tunnustamist;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nõuab, et koos kavandatava direktiiviga uuendataks õiglase ülemineku fondi 2027. aasta järgseks programmitöö perioodiks, millega tagatakse, et see toimib </w:t>
            </w:r>
            <w:r>
              <w:rPr>
                <w:b/>
                <w:i/>
              </w:rPr>
              <w:t>jagatud</w:t>
            </w:r>
            <w:r>
              <w:t xml:space="preserve"> eelarve täitmise ja partnerluse põhimõtete kohaselt ja suurema eelarvega; rõhutab, et uus fond peaks toetama tööandjaid, et tagada töötajate õigus saada koolitust, ning üleminekukavade rakendamist ettevõtte tasandil; nõuab tungivalt, et ülemineku rahastamine hõlmaks sotsiaalseid tingimusi kaasamise toetamiseks;</w:t>
            </w:r>
          </w:p>
        </w:tc>
        <w:tc>
          <w:tcPr>
            <w:tcW w:w="4876" w:type="dxa"/>
            <w:tcBorders>
              <w:top w:val="nil"/>
              <w:left w:val="nil"/>
              <w:bottom w:val="nil"/>
              <w:right w:val="nil"/>
            </w:tcBorders>
          </w:tcPr>
          <w:p>
            <w:pPr>
              <w:pStyle w:val="Normal6a"/>
            </w:pPr>
            <w:r>
              <w:t>9.</w:t>
            </w:r>
            <w:r>
              <w:tab/>
            </w:r>
            <w:r>
              <w:rPr>
                <w:b/>
                <w:i/>
              </w:rPr>
              <w:t>peab kahetsusväärseks, et komisjon ei ole oma hiljutises ettepanekus mitmeaastase finantsraamistiku 2028–2034 kohta teinud ettepanekut eraldi õiglase ülemineku fondi kohta;</w:t>
            </w:r>
            <w:r>
              <w:t xml:space="preserve"> nõuab, et koos kavandatava direktiiviga uuendataks õiglase ülemineku fondi 2027. aasta järgseks programmitöö perioodiks, millega tagatakse, et see toimib eelarve</w:t>
            </w:r>
            <w:r>
              <w:rPr>
                <w:b/>
                <w:i/>
              </w:rPr>
              <w:t> jagatud</w:t>
            </w:r>
            <w:r>
              <w:t> täitmise ja partnerluse põhimõtete kohaselt ja suurema eelarvega; rõhutab, et uus fond peaks toetama tööandjaid, et tagada töötajate õigus saada koolitust, ning üleminekukavade rakendamist ettevõtte tasandil; nõuab tungivalt, et ülemineku rahastamine hõlmaks sotsiaalseid tingimusi kaasamise toetamiseks;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nõuab, et koos kavandatava direktiiviga uuendataks õiglase ülemineku fondi 2027. aasta järgseks programmitöö perioodiks, millega tagatakse, et see toimib jagatud eelarve täitmise ja partnerluse põhimõtete kohaselt ja suurema eelarvega; rõhutab, et uus fond peaks toetama tööandjaid, et tagada töötajate õigus saada koolitust, ning üleminekukavade rakendamist ettevõtte tasandil; nõuab tungivalt, et ülemineku rahastamine hõlmaks sotsiaalseid tingimusi kaasamise toetamiseks;</w:t>
            </w:r>
          </w:p>
        </w:tc>
        <w:tc>
          <w:tcPr>
            <w:tcW w:w="4876" w:type="dxa"/>
            <w:tcBorders>
              <w:top w:val="nil"/>
              <w:left w:val="nil"/>
              <w:bottom w:val="nil"/>
              <w:right w:val="nil"/>
            </w:tcBorders>
          </w:tcPr>
          <w:p>
            <w:pPr>
              <w:pStyle w:val="Normal6a"/>
            </w:pPr>
            <w:r>
              <w:t>9.</w:t>
            </w:r>
            <w:r>
              <w:tab/>
            </w:r>
            <w:r>
              <w:t xml:space="preserve">nõuab, et koos kavandatava direktiiviga uuendataks õiglase ülemineku fondi 2027. aasta järgseks programmitöö perioodiks, millega tagatakse, et see toimib jagatud eelarve täitmise ja partnerluse põhimõtete kohaselt ja suurema eelarvega; rõhutab, et uus fond peaks toetama tööandjaid, et tagada töötajate õigus saada koolitust, ning üleminekukavade rakendamist ettevõtte tasandil; nõuab tungivalt, et ülemineku rahastamine hõlmaks sotsiaalseid tingimusi kaasamise toetamiseks </w:t>
            </w:r>
            <w:r>
              <w:rPr>
                <w:b/>
                <w:i/>
              </w:rPr>
              <w:t>ning et sellega seoses järgitaks kollektiivlepinguid, austataks töötajate õigusi, soolist palgavõrdsust ja mittediskrimineerimist</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peab kahetsusväärseks, et komisjon ei ole oma hiljutistes ettepanekutes tulevase mitmeaastase finantsraamistiku kohta teinud ettepanekut eraldiseisva õiglase ülemineku fondi loomiseks;</w:t>
            </w:r>
            <w:r>
              <w:t xml:space="preserve"> </w:t>
            </w:r>
            <w:r>
              <w:rPr>
                <w:b/>
                <w:i/>
              </w:rPr>
              <w:t>nõuab seega, et komisjon jätkaks õiglase ülemineku fondiga ja looks 2027. aasta järgseks programmitöö perioodiks õiglase ülemineku fondi II, et anda kodumajapidamistele ja kogukondadele üleminekuks otsest toetust ning võimaldada sekkumissuutlikkust, mis vastab ELi 2030. aasta energiaeesmärkidele ülemineku sotsiaal-majanduse, tööhõive, demograafilise ja keskkonnamõju ulatusele;</w:t>
            </w:r>
            <w:r>
              <w:t xml:space="preserve"> </w:t>
            </w:r>
            <w:r>
              <w:rPr>
                <w:b/>
                <w:i/>
              </w:rPr>
              <w:t>rõhutab, et see fond peaks toimima ühtekuuluvuspoliitika raames eelarve jagatud täitmise ja partnerluse põhimõtete alusel, ning rõhutab, et fondil peaks olema oma prognoositav eelarveeraldis, mis tagab selle sõltumatuse erakorralistest kriisidele reageerimise vahenditest, nagu taasterahastu „NextGenerationEU“;</w:t>
            </w:r>
            <w:r>
              <w:t xml:space="preserve"> </w:t>
            </w:r>
            <w:r>
              <w:rPr>
                <w:b/>
                <w:i/>
              </w:rPr>
              <w:t>fond tegutseb eelarve jagatud täitmise ja partnerluse põhimõtete kohaselt ning suurema eelarvega;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peab kiiduväärseks Cedefopi poliitikaülevaadet Euroopa kvalifikatsioonikaardi koostamise kohta</w:t>
            </w:r>
            <w:r>
              <w:rPr>
                <w:b/>
                <w:i/>
                <w:vertAlign w:val="superscript"/>
              </w:rPr>
              <w:t>1a</w:t>
            </w:r>
            <w:r>
              <w:rPr>
                <w:b/>
                <w:i/>
              </w:rPr>
              <w:t>, mis suurendab kvalifikatsioonide läbipaistvust, võrreldavust ja ülekantavust kogu Euroopas;</w:t>
            </w:r>
            <w:r>
              <w:t xml:space="preserve"> </w:t>
            </w:r>
            <w:r>
              <w:rPr>
                <w:b/>
                <w:i/>
              </w:rPr>
              <w:t>rõhutab, et selline kaart peab hõlmama enamat kui akadeemiline tegevus ja olema konkurentsivõime, tööturu asjakohasuse ja liikuvuse praktiline töövahend;</w:t>
            </w:r>
            <w:r>
              <w:t xml:space="preserve"> </w:t>
            </w:r>
            <w:r>
              <w:rPr>
                <w:b/>
                <w:i/>
              </w:rPr>
              <w:t>kutsub komisjoni ja liikmesriike üles tagama, et Euroopa kvalifikatsiooniraamistik oleks tihedalt seotud majandusvajaduste, tööstuspoliitika ja oskustesse investeerimisega, et toetada ettevõtjaid, VKEsid ja ettevõtteid juurdepääsul nii tehniliste kui ka valdkonnaüleste pädevustega tööjõule;</w:t>
            </w:r>
            <w:r>
              <w:t xml:space="preserve"> </w:t>
            </w:r>
            <w:r>
              <w:rPr>
                <w:b/>
                <w:i/>
              </w:rPr>
              <w:t>rõhutab, et see lähenemisviis on hädavajalik, et viia oskuste pakkumine nõudlusega vastavusse ja edendada sellega majanduskasvu ja innovatsiooni;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https://www.cedefop.europa.eu/files/9191_en.pdf.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rõhutab, et avaliku ja erasektori otseinvesteeringud keskkonnahoidlikku taristusse, taastuvenergia projektidesse ja ringmajandusse on vajalikud, et elavdada kohalikku majandust ja aidata kaasa töökohtade loomisele;</w:t>
            </w:r>
            <w:r>
              <w:t xml:space="preserve"> </w:t>
            </w:r>
            <w:r>
              <w:rPr>
                <w:b/>
                <w:i/>
              </w:rPr>
              <w:t>rõhutab vajadust võimendada piirkondlikke varasid, investeerides sektoritesse, mis on piirkondades hästi arenenud või millel on seal suhtelised eelised;</w:t>
            </w:r>
            <w:r>
              <w:t xml:space="preserve"> </w:t>
            </w:r>
            <w:r>
              <w:rPr>
                <w:b/>
                <w:i/>
              </w:rPr>
              <w:t>usub, et piirkondlik spetsialiseerumine võib olla keskkonnahoidlike tööstusklastrite alus;</w:t>
            </w:r>
            <w:r>
              <w:t xml:space="preserve"> </w:t>
            </w:r>
            <w:r>
              <w:rPr>
                <w:b/>
                <w:i/>
              </w:rPr>
              <w:t>rõhutab, et teadusuuringute ja innovatsiooni toetamine ning ülikoolide ja ettevõtjate vahelise koostöö soodustamine võib edendada uusi kestlikke ärimudeleid;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nõuab 2027. aasta järgse programmitöö perioodi jaoks teostatavusuuringut, et hinnata, kas ja mil määral toimivad praegused rahalised vahendid rännet, energiapoliitikat, teadusuuringuid ja Euroopa innovatsiooni käsitlevate terviklike lähenemisviiside alusel, ning toetada riiklike õiglase ülemineku strateegiate väljatöötamist, keskendudes eelkõige pikaajalise visiooni ja reaalsete väljavaadete väljatöötamisele kohalikule majandusele ja tööjõule kõigis mõjutatud piirkondades;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Andrzej Buła, Gheorghe Falcă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rõhutab, kui oluline on digioskuste arendamine nii alg- kui ka kõrgema taseme töötajate jaoks;</w:t>
            </w:r>
            <w:r>
              <w:t xml:space="preserve"> </w:t>
            </w:r>
            <w:r>
              <w:rPr>
                <w:b/>
                <w:i/>
              </w:rPr>
              <w:t>rõhutab vajadust õpetada kodanikele põhilist digikirjaoskust, andmeteadlikkust ja veebipõhiste vahendite ohutut kasutamist, et jääda töö- ja kohanemisvõimeliseks, edendades samal ajal kõrgema taseme oskusi;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rõhutab, et koolitus on tulemuslik siis, kui on piisavalt selliseid õpetajaid ja koolitajaid, kellel on ajakohased teadmised kestliku ja keskkonnahoidliku majanduse, energiatõhususe ning keskkonnahoidliku ja digitehnoloogia kohta;</w:t>
            </w:r>
            <w:r>
              <w:t xml:space="preserve"> </w:t>
            </w:r>
            <w:r>
              <w:rPr>
                <w:b/>
                <w:i/>
              </w:rPr>
              <w:t>rõhutab nende hädavajalikkust õigete oskuste ja võimete edendamisel nii noorema kui ka vanema põlvkonna töötajate jaoks ning rohepöördest mõjutatud inimeste asjakohase ümber- ja täiendõppe edendamisel;</w:t>
            </w:r>
            <w:r>
              <w:t xml:space="preserve"> </w:t>
            </w:r>
            <w:r>
              <w:rPr>
                <w:b/>
                <w:i/>
              </w:rPr>
              <w:t>rõhutab, et selliste õpetajate ja koolitajate haridus ja koolitus peaks seetõttu olema Euroopa, riiklikul, piirkondlikul ja kohalikul tasandil igas vajalike oskuste strateegias peamine prioriteet;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kutsub liikmesriike üles tagama õiglase ülemineku meetmete kestliku rahastamise riiklike õiglase ülemineku fondide kaudu, mis põhinevad avaliku sektori vahenditel, tööandjate sissemaksetel ja ELi fondidel.</w:t>
            </w:r>
            <w:r>
              <w:t xml:space="preserve"> </w:t>
            </w:r>
            <w:r>
              <w:rPr>
                <w:b/>
                <w:i/>
              </w:rPr>
              <w:t>Tööandjad peavad eraldama õiglase osa kuludest koolitusele ja ümberpaigutamisele;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rõhutab, et õiglase ülemineku eesmärkide saavutamiseks on vaja sidusat ja integreeritud poliitikameetmete kombinatsiooni;</w:t>
            </w:r>
            <w:r>
              <w:t xml:space="preserve"> </w:t>
            </w:r>
            <w:r>
              <w:rPr>
                <w:b/>
                <w:i/>
              </w:rPr>
              <w:t>nõuab kaasamise, sotsiaalkaitse ja oskustega seotud eesmärkide integreerimist kõigisse ELi kliima- ja tööstusmeetmetesse;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rõhutab, et haridus- ja koolitusasutused peavad suurendama oma koolituse asjakohasust kooskõlas konkurentsivõimelise tööturu vajadustega ning valmistama õppurid, koolitajad ja õpetajad ette asjakohaste teadmiste ja oskustega, et olla aktiivsed muutuste elluviijad õiglasel üleminekul rohelisele majandusele ja ühiskonnale kõigi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rõhutab, kui olulised on põhi- ja kognitiivsed oskused ning vajalike vahendite ettevalmistamine, et julgustada kodanikke võtma nende oskuste arendamisel arvesse ka isiklikku arengut ja enesetäiendamist, nagu loov mõtlemine, vastupanuvõime, paindlikkus ja reageerimisvõime, motivatsioon ja eneseteadlikkus, uudishimu ja elukestev õpe, tunnistades, kui oluline on töötajate võime kohaneda muutuvate töökohtadega, eneseusk ja meeskonnatöö;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9e.</w:t>
            </w:r>
            <w:r>
              <w:tab/>
            </w:r>
            <w:r>
              <w:rPr>
                <w:b/>
                <w:i/>
              </w:rPr>
              <w:t>rõhutab, et ELi vahendite tulemuslikuks kasutamiseks on oluline luua riiklikul, piirkondlikul ja kohalikul tasandil tugev haldus- ja tehniline suutlikkus;</w:t>
            </w:r>
            <w:r>
              <w:t xml:space="preserve"> </w:t>
            </w:r>
            <w:r>
              <w:rPr>
                <w:b/>
                <w:i/>
              </w:rPr>
              <w:t>nõuab suuremaid investeeringuid haldus- ja tehnilise suutlikkuse suurendamisse kohalikul tasandil;</w:t>
            </w:r>
            <w:r>
              <w:t xml:space="preserve"> </w:t>
            </w:r>
            <w:r>
              <w:rPr>
                <w:b/>
                <w:i/>
              </w:rPr>
              <w:t>rõhutab vajadust piisava personali, oskuste ja süsteemide järele korraldusasutustes, et tagada projektide asjakohane ettevalmistamine, nõuetele vastavus, järelevalve ja hindamine;</w:t>
            </w:r>
            <w:r>
              <w:t xml:space="preserve"> </w:t>
            </w:r>
            <w:r>
              <w:rPr>
                <w:b/>
                <w:i/>
              </w:rPr>
              <w:t>rõhutab, et suurem haldussuutlikkus on möödapääsmatu tingimus investeeringute kaasamiseks ja keerukuse vähendamiseks ning selleks, et viia kliimameetmed majanduskasvuga vastavusse;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9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9f.</w:t>
            </w:r>
            <w:r>
              <w:tab/>
            </w:r>
            <w:r>
              <w:rPr>
                <w:b/>
                <w:i/>
              </w:rPr>
              <w:t>kutsub komisjoni ja liikmesriike üles hõlbustama nii suuremahulisi kui ka väikesemahulisi investeeringuid, vähendades halduskoormust, lihtsustades menetlusi ja tagades ELi vahendite tõhusa kasutamise;</w:t>
            </w:r>
            <w:r>
              <w:t xml:space="preserve"> </w:t>
            </w:r>
            <w:r>
              <w:rPr>
                <w:b/>
                <w:i/>
              </w:rPr>
              <w:t>rõhutab, et nii ettevõtjatele, VKEdele kui ka suurematele ettevõtjatele tuleb luua soodsad investeerimise, laienemise ja innovatsiooni tingimused, eelkõige maa- ja vähem arenenud piirkondades;</w:t>
            </w:r>
            <w:r>
              <w:t xml:space="preserve"> </w:t>
            </w:r>
            <w:r>
              <w:rPr>
                <w:b/>
                <w:i/>
              </w:rPr>
              <w:t>rõhutab, et sellised investeeringud on tähtsad, et tugevdada Euroopa tööstuslikku ja tehnoloogilist baasi, luua kvaliteetseid töökohti ja tagada kvalifitseeritud tööjõud, kes on võimeline kohanema kohalike olude, ressursside ja konkreetsete vajadustega, et täielikult ära kasutada piirkondlikku potentsiaali ning edendada konkurentsivõimet, kestlikku majanduskasvu ja pikaajalist väärtuste loomist;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kutsub liikmesriike üles tagama kvaliteetsete oskuste ja kutseõppe programmide piisav rahastamine, mis on pikaajaline investeering töötajate ja ettevõtete tootlikkusesse, majanduskasvu ja konkurentsivõimesse;</w:t>
            </w:r>
            <w:r>
              <w:t xml:space="preserve"> </w:t>
            </w:r>
            <w:r>
              <w:rPr>
                <w:b/>
                <w:i/>
              </w:rPr>
              <w:t>kutsub liikmesriike üles kasutama oskuste liidu rakendamiseks komisjoni toetusel strateegiliselt olemasolevaid liidu vahendeid, eelkõige oskuste garantiid;</w:t>
            </w:r>
            <w:r>
              <w:t xml:space="preserve"> </w:t>
            </w:r>
            <w:r>
              <w:rPr>
                <w:b/>
                <w:i/>
              </w:rPr>
              <w:t>kutsub liikmesriike üles suurendama heitkogustega kauplemise süsteemist saadavate riigi tulude kasutamist töötajate koolitamiseks ja tööjõu ümberjaotamiseks;</w:t>
            </w:r>
            <w:r>
              <w:t xml:space="preserve"> </w:t>
            </w:r>
            <w:r>
              <w:rPr>
                <w:b/>
                <w:i/>
              </w:rPr>
              <w:t>kutsub komisjoni üles uurima ja esitama suuniseid selle kohta, kuidas liikmesriikide ja ettevõtete vaheliste avaliku ja erasektori partnerlustega saaks rahastada töötajate koolitust, ümber- ja täiendusõpet, eelkõige töötajate õigust koolitusele;</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kutsub liikmesriike üles tagama kvaliteetsete oskuste ja kutseõppe programmide piisav rahastamine, mis on pikaajaline investeering töötajate ja ettevõtete tootlikkusesse, majanduskasvu ja konkurentsivõimesse; kutsub liikmesriike üles kasutama oskuste liidu rakendamiseks komisjoni toetusel strateegiliselt olemasolevaid liidu vahendeid, eelkõige oskuste garantiid; kutsub </w:t>
            </w:r>
            <w:r>
              <w:rPr>
                <w:b/>
                <w:i/>
              </w:rPr>
              <w:t>liikmesriike üles suurendama heitkogustega kauplemise süsteemist saadavate riigi tulude kasutamist töötajate koolitamiseks ja tööjõu ümberjaotamiseks;</w:t>
            </w:r>
            <w:r>
              <w:t xml:space="preserve"> </w:t>
            </w:r>
            <w:r>
              <w:rPr>
                <w:b/>
                <w:i/>
              </w:rPr>
              <w:t>kutsub</w:t>
            </w:r>
            <w:r>
              <w:t xml:space="preserve"> komisjoni üles uurima ja esitama suuniseid selle kohta, kuidas liikmesriikide ja ettevõtete vaheliste avaliku ja erasektori partnerlustega saaks rahastada töötajate koolitust, ümber- ja täiendusõpet</w:t>
            </w:r>
            <w:r>
              <w:rPr>
                <w:b/>
                <w:i/>
              </w:rPr>
              <w:t>, eelkõige töötajate õigust koolitusele</w:t>
            </w:r>
            <w:r>
              <w:t>;</w:t>
            </w:r>
          </w:p>
        </w:tc>
        <w:tc>
          <w:tcPr>
            <w:tcW w:w="4876" w:type="dxa"/>
            <w:tcBorders>
              <w:top w:val="nil"/>
              <w:left w:val="nil"/>
              <w:bottom w:val="nil"/>
              <w:right w:val="nil"/>
            </w:tcBorders>
          </w:tcPr>
          <w:p>
            <w:pPr>
              <w:pStyle w:val="Normal6a"/>
            </w:pPr>
            <w:r>
              <w:t>10.</w:t>
            </w:r>
            <w:r>
              <w:tab/>
            </w:r>
            <w:r>
              <w:t>kutsub liikmesriike üles tagama kvaliteetsete oskuste ja kutseõppe programmide piisav rahastamine, mis on pikaajaline investeering töötajate ja ettevõtete tootlikkusesse, majanduskasvu ja konkurentsivõimesse; kutsub liikmesriike üles kasutama oskuste liidu rakendamiseks komisjoni toetusel strateegiliselt olemasolevaid liidu vahendeid, eelkõige oskuste garantiid; kutsub komisjoni üles uurima ja esitama suuniseid selle kohta, kuidas liikmesriikide ja ettevõtete vaheliste avaliku ja erasektori partnerlustega saaks rahastada töötajate koolitust, ümber- ja täiendusõpet;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kutsub</w:t>
            </w:r>
            <w:r>
              <w:t xml:space="preserve"> liikmesriike </w:t>
            </w:r>
            <w:r>
              <w:rPr>
                <w:b/>
                <w:i/>
              </w:rPr>
              <w:t>üles tagama</w:t>
            </w:r>
            <w:r>
              <w:t xml:space="preserve"> kvaliteetsete oskuste ja kutseõppe </w:t>
            </w:r>
            <w:r>
              <w:rPr>
                <w:b/>
                <w:i/>
              </w:rPr>
              <w:t>programmide piisav rahastamine</w:t>
            </w:r>
            <w:r>
              <w:t>, mis on pikaajaline investeering töötajate ja ettevõtete tootlikkusesse, majanduskasvu ja konkurentsivõimesse; kutsub liikmesriike üles kasutama oskuste liidu rakendamiseks komisjoni toetusel strateegiliselt olemasolevaid liidu vahendeid, eelkõige oskuste garantiid; kutsub liikmesriike üles suurendama heitkogustega kauplemise süsteemist saadavate riigi tulude kasutamist töötajate koolitamiseks ja tööjõu ümberjaotamiseks; kutsub komisjoni üles uurima ja esitama suuniseid selle kohta, kuidas liikmesriikide ja ettevõtete vaheliste avaliku ja erasektori partnerlustega saaks rahastada töötajate koolitust, ümber- ja täiendusõpet, eelkõige töötajate õigust koolitusele;</w:t>
            </w:r>
          </w:p>
        </w:tc>
        <w:tc>
          <w:tcPr>
            <w:tcW w:w="4876" w:type="dxa"/>
            <w:tcBorders>
              <w:top w:val="nil"/>
              <w:left w:val="nil"/>
              <w:bottom w:val="nil"/>
              <w:right w:val="nil"/>
            </w:tcBorders>
          </w:tcPr>
          <w:p>
            <w:pPr>
              <w:pStyle w:val="Normal6a"/>
            </w:pPr>
            <w:r>
              <w:t>10.</w:t>
            </w:r>
            <w:r>
              <w:tab/>
            </w:r>
            <w:r>
              <w:rPr>
                <w:b/>
                <w:i/>
              </w:rPr>
              <w:t>julgustab</w:t>
            </w:r>
            <w:r>
              <w:t xml:space="preserve"> liikmesriike </w:t>
            </w:r>
            <w:r>
              <w:rPr>
                <w:b/>
                <w:i/>
              </w:rPr>
              <w:t>pakkuma</w:t>
            </w:r>
            <w:r>
              <w:t xml:space="preserve"> kvaliteetsete oskuste ja kutseõppe </w:t>
            </w:r>
            <w:r>
              <w:rPr>
                <w:b/>
                <w:i/>
              </w:rPr>
              <w:t>programme</w:t>
            </w:r>
            <w:r>
              <w:t>, mis on pikaajaline investeering töötajate ja ettevõtete tootlikkusesse, majanduskasvu ja konkurentsivõimesse; kutsub liikmesriike üles kasutama oskuste liidu rakendamiseks komisjoni toetusel strateegiliselt olemasolevaid liidu vahendeid, eelkõige oskuste garantiid; kutsub liikmesriike üles suurendama heitkogustega kauplemise süsteemist saadavate riigi tulude kasutamist töötajate koolitamiseks ja tööjõu ümberjaotamiseks; kutsub komisjoni üles uurima ja esitama suuniseid selle kohta, kuidas liikmesriikide ja ettevõtete vaheliste avaliku ja erasektori partnerlustega saaks rahastada töötajate koolitust, ümber- ja täiendusõpet, eelkõige töötajate õigust koolitusele;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kutsub liikmesriike üles tagama kvaliteetsete oskuste ja kutseõppe programmide </w:t>
            </w:r>
            <w:r>
              <w:rPr>
                <w:b/>
                <w:i/>
              </w:rPr>
              <w:t>piisav rahastamine, mis on pikaajaline investeering töötajate ja ettevõtete tootlikkusesse, majanduskasvu ja konkurentsivõimesse</w:t>
            </w:r>
            <w:r>
              <w:t xml:space="preserve">; kutsub liikmesriike üles kasutama oskuste liidu rakendamiseks komisjoni toetusel strateegiliselt olemasolevaid liidu vahendeid, eelkõige oskuste garantiid; kutsub liikmesriike üles suurendama heitkogustega kauplemise süsteemist saadavate riigi tulude kasutamist töötajate koolitamiseks ja tööjõu ümberjaotamiseks; kutsub komisjoni üles uurima ja esitama suuniseid selle kohta, kuidas liikmesriikide ja ettevõtete vaheliste avaliku ja erasektori partnerlustega saaks rahastada töötajate koolitust, ümber- ja </w:t>
            </w:r>
            <w:r>
              <w:rPr>
                <w:b/>
                <w:i/>
              </w:rPr>
              <w:t>täiendusõpet</w:t>
            </w:r>
            <w:r>
              <w:t>, eelkõige töötajate õigust koolitusele;</w:t>
            </w:r>
          </w:p>
        </w:tc>
        <w:tc>
          <w:tcPr>
            <w:tcW w:w="4876" w:type="dxa"/>
            <w:tcBorders>
              <w:top w:val="nil"/>
              <w:left w:val="nil"/>
              <w:bottom w:val="nil"/>
              <w:right w:val="nil"/>
            </w:tcBorders>
          </w:tcPr>
          <w:p>
            <w:pPr>
              <w:pStyle w:val="Normal6a"/>
            </w:pPr>
            <w:r>
              <w:t>10.</w:t>
            </w:r>
            <w:r>
              <w:tab/>
            </w:r>
            <w:r>
              <w:t xml:space="preserve">kutsub liikmesriike üles tagama kvaliteetsete oskuste ja kutseõppe programmide </w:t>
            </w:r>
            <w:r>
              <w:rPr>
                <w:b/>
                <w:i/>
              </w:rPr>
              <w:t>piisava rahastamise pikaajalise investeeringuna</w:t>
            </w:r>
            <w:r>
              <w:t xml:space="preserve">; kutsub liikmesriike üles kasutama oskuste liidu rakendamiseks komisjoni toetusel strateegiliselt olemasolevaid liidu vahendeid, eelkõige oskuste garantiid; kutsub liikmesriike üles suurendama heitkogustega kauplemise süsteemist saadavate riigi tulude kasutamist töötajate koolitamiseks ja tööjõu ümberjaotamiseks; kutsub komisjoni üles uurima ja esitama suuniseid selle kohta, kuidas liikmesriikide ja ettevõtete vaheliste avaliku ja erasektori partnerlustega saaks rahastada töötajate koolitust, ümber- ja </w:t>
            </w:r>
            <w:r>
              <w:rPr>
                <w:b/>
                <w:i/>
              </w:rPr>
              <w:t>täiendõpet</w:t>
            </w:r>
            <w:r>
              <w:t xml:space="preserve">, eelkõige töötajate õigust koolitusele; </w:t>
            </w:r>
            <w:r>
              <w:rPr>
                <w:b/>
                <w:i/>
              </w:rPr>
              <w:t>kutsub liikmesriike üles eraldama komisjoni toetusel sihtotstarbelisi rahalisi vahendeid avaliku sektori asutuste ja sotsiaalpartnerite institutsioonilise suutlikkuse suurendamiseks, et rakendada töötajate ja nende esindajate (samuti muude asjaomaste sihtrühmade, näiteks noorteorganisatsioonide ja kohalike kogukondade) kaasamist, osaleda struktureeritud sotsiaaldialoogis ja kollektiivläbirääkimistes ning ühiselt kavandada, rakendada ja jälgida kvaliteetseid õiglase ülemineku territoriaalseid kavasid;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kutsub liikmesriike üles tagama kvaliteetsete oskuste ja kutseõppe programmide piisav rahastamine, mis on pikaajaline investeering töötajate ja ettevõtete tootlikkusesse, majanduskasvu ja konkurentsivõimesse; kutsub liikmesriike üles kasutama oskuste liidu rakendamiseks komisjoni toetusel strateegiliselt olemasolevaid liidu vahendeid, eelkõige oskuste garantiid; kutsub liikmesriike üles suurendama heitkogustega kauplemise süsteemist saadavate riigi tulude kasutamist töötajate koolitamiseks ja tööjõu ümberjaotamiseks; kutsub komisjoni üles uurima ja esitama suuniseid selle kohta, kuidas liikmesriikide ja ettevõtete vaheliste avaliku ja erasektori partnerlustega saaks rahastada töötajate koolitust, ümber- ja täiendusõpet, eelkõige töötajate õigust koolitusele;</w:t>
            </w:r>
          </w:p>
        </w:tc>
        <w:tc>
          <w:tcPr>
            <w:tcW w:w="4876" w:type="dxa"/>
            <w:tcBorders>
              <w:top w:val="nil"/>
              <w:left w:val="nil"/>
              <w:bottom w:val="nil"/>
              <w:right w:val="nil"/>
            </w:tcBorders>
          </w:tcPr>
          <w:p>
            <w:pPr>
              <w:pStyle w:val="Normal6a"/>
            </w:pPr>
            <w:r>
              <w:t>10.</w:t>
            </w:r>
            <w:r>
              <w:tab/>
            </w:r>
            <w:r>
              <w:t xml:space="preserve">kutsub liikmesriike üles tagama kvaliteetsete oskuste ja kutseõppe programmide piisav rahastamine, mis on pikaajaline investeering töötajate ja ettevõtete tootlikkusesse, majanduskasvu ja konkurentsivõimesse; kutsub liikmesriike üles kasutama oskuste liidu rakendamiseks komisjoni toetusel strateegiliselt olemasolevaid liidu vahendeid, eelkõige oskuste garantiid; kutsub liikmesriike üles suurendama heitkogustega kauplemise süsteemist saadavate riigi tulude kasutamist töötajate koolitamiseks ja tööjõu ümberjaotamiseks; kutsub komisjoni üles uurima ja esitama suuniseid selle kohta, kuidas liikmesriikide ja ettevõtete vaheliste avaliku ja erasektori partnerlustega saaks rahastada töötajate koolitust, ümber- ja täiendusõpet, eelkõige töötajate õigust koolitusele; </w:t>
            </w:r>
            <w:r>
              <w:rPr>
                <w:b/>
                <w:i/>
              </w:rPr>
              <w:t>kutsub komisjoni üles määrama koos sotsiaalpartneritega kindlaks ühtlustatud minimaalsed sotsiaalsed tingimused kõigis liikmesriikides, et tuua ettevõtetele ja tööstusele avaliku sektori vahendite eraldamisel töötajatele tõelist kasu, sealhulgas selleks, et tagada kollektiivläbirääkimiste sätted, piisav palk, inimväärsed töötingimused ning tervishoiu- ja ohutussätted, samuti uurida tööaja lühendamist ja tootlikkuse muutusi, et vähendada töömaailmas ebavõrdsust.</w:t>
            </w:r>
            <w:r>
              <w:t xml:space="preserve"> </w:t>
            </w:r>
            <w:r>
              <w:rPr>
                <w:b/>
                <w:i/>
              </w:rPr>
              <w:t>See võiks hõlmata ka töökohtade tagatiste loomist, kvaliteetsete töökohtade loomist, investeeringuid oskustesse, tegevuse ümberpaigutamist madalamate standarditega kolmandatesse riikidesse ja selle tagamist, et avaliku sektori raha kasutatakse investeeringuteks kodumaistesse töökohtadesse;</w:t>
            </w:r>
            <w:r>
              <w:t xml:space="preserve"> </w:t>
            </w:r>
            <w:r>
              <w:rPr>
                <w:b/>
                <w:i/>
              </w:rPr>
              <w:t>kutsub üles liikmesriike, kelle kollektiivläbirääkimiste katvus on alla 80 %, koostama riiklikud kavad, mis sisaldavad selgeid tähtaegu ja erimeetmeid katvuse suurendamiseks;</w:t>
            </w:r>
            <w:r>
              <w:t xml:space="preserve"> </w:t>
            </w:r>
            <w:r>
              <w:rPr>
                <w:b/>
                <w:i/>
              </w:rPr>
              <w:t>kutsub komisjoni üles andma liikmesriikidele suuniseid ja tuge läbirääkimissüsteemide tugevdamiseks, eelkõige valdkondlikul tasandil, sealhulgas sotsiaalpartnerite täieliku kaasamise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kutsub liikmesriike üles tagama kvaliteetsete oskuste ja kutseõppe programmide piisav rahastamine, mis on pikaajaline investeering töötajate ja ettevõtete tootlikkusesse, majanduskasvu ja konkurentsivõimesse; kutsub liikmesriike üles kasutama oskuste liidu rakendamiseks komisjoni toetusel strateegiliselt olemasolevaid liidu vahendeid, eelkõige oskuste garantiid; kutsub liikmesriike üles suurendama heitkogustega kauplemise süsteemist saadavate riigi tulude kasutamist töötajate koolitamiseks ja tööjõu ümberjaotamiseks; kutsub komisjoni üles uurima ja esitama suuniseid selle kohta, kuidas liikmesriikide ja ettevõtete vaheliste avaliku ja erasektori partnerlustega saaks rahastada töötajate koolitust, ümber- ja täiendusõpet, eelkõige töötajate õigust koolitusele;</w:t>
            </w:r>
          </w:p>
        </w:tc>
        <w:tc>
          <w:tcPr>
            <w:tcW w:w="4876" w:type="dxa"/>
            <w:tcBorders>
              <w:top w:val="nil"/>
              <w:left w:val="nil"/>
              <w:bottom w:val="nil"/>
              <w:right w:val="nil"/>
            </w:tcBorders>
          </w:tcPr>
          <w:p>
            <w:pPr>
              <w:pStyle w:val="Normal6a"/>
            </w:pPr>
            <w:r>
              <w:t>10.</w:t>
            </w:r>
            <w:r>
              <w:tab/>
            </w:r>
            <w:r>
              <w:t xml:space="preserve">kutsub liikmesriike üles tagama kvaliteetsete oskuste ja kutseõppe programmide piisav rahastamine, mis on pikaajaline investeering töötajate ja ettevõtete tootlikkusesse, majanduskasvu ja konkurentsivõimesse; kutsub liikmesriike üles kasutama oskuste liidu rakendamiseks komisjoni toetusel strateegiliselt olemasolevaid liidu vahendeid, eelkõige oskuste garantiid; kutsub liikmesriike üles suurendama heitkogustega kauplemise süsteemist saadavate riigi tulude kasutamist töötajate koolitamiseks ja tööjõu ümberjaotamiseks </w:t>
            </w:r>
            <w:r>
              <w:rPr>
                <w:b/>
                <w:i/>
              </w:rPr>
              <w:t>ning hoidma ära võimalikke koondamisi</w:t>
            </w:r>
            <w:r>
              <w:t>; kutsub komisjoni üles uurima ja esitama suuniseid selle kohta, kuidas liikmesriikide ja ettevõtete vaheliste avaliku ja erasektori partnerlustega saaks rahastada töötajate koolitust, ümber- ja täiendusõpet, eelkõige töötajate õigust koolitusele;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tuletab meelde Globaliseerumisega Kohanemise Euroopa Fondi (EGF) rolli rohe- ja digipöördest mõjutatud töötajate toetamisel ülejäänud programmitöö perioodil;</w:t>
            </w:r>
            <w:r>
              <w:t xml:space="preserve"> </w:t>
            </w:r>
            <w:r>
              <w:rPr>
                <w:b/>
                <w:i/>
              </w:rPr>
              <w:t>väljendab heameelt praeguse EGFi kavandatud läbivaatamise eesmärgi üle kiirendada taotluste heakskiitmise menetlust ning toetada rohkem ja ennetavalt töötajaid, keda mõjutab peatne koondamine;</w:t>
            </w:r>
            <w:r>
              <w:t xml:space="preserve"> </w:t>
            </w:r>
            <w:r>
              <w:rPr>
                <w:b/>
                <w:i/>
              </w:rPr>
              <w:t>rõhutab siiski, kui tähtis on tagada, et ümberstruktureerimisel olevad ettevõtted, kes soovivad fondist toetust taotleda, teeksid seda täielikus koostöös töötajate ja nende esindajatega, sealhulgas individuaalsete meetmete paketi kavandamisel;</w:t>
            </w:r>
            <w:r>
              <w:t xml:space="preserve"> </w:t>
            </w:r>
            <w:r>
              <w:rPr>
                <w:b/>
                <w:i/>
              </w:rPr>
              <w:t>peab kahetsusväärseks fondi tegevuse lõpetamist mitmeaastase finantsraamistiku 2028–2034 ettepanekus;</w:t>
            </w:r>
            <w:r>
              <w:t xml:space="preserve"> </w:t>
            </w:r>
            <w:r>
              <w:rPr>
                <w:b/>
                <w:i/>
              </w:rPr>
              <w:t>rõhutab aktiivsete tööturumeetmete tähtsust koondatud töötajate tööturule naasmisel pärast suuri ümberkorraldusi;</w:t>
            </w:r>
            <w:r>
              <w:t xml:space="preserve"> </w:t>
            </w:r>
            <w:r>
              <w:rPr>
                <w:b/>
                <w:i/>
              </w:rPr>
              <w:t>kutsub komisjoni üles tagama järgmises mitmeaastases finantsraamistikus jätkuva sihtotstarbelise toetuse töötajatele, keda ohustavad suured ümberkorraldused või koondamine;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rõhutab vajadust suurendada piirkondlike omavalitsuste suutlikkust teha edukalt koostööd sihtrühmadega (nt töötajad, noorteorganisatsioonid, eakad, keskkonna vastu huvi tundvad kodanikud, põllumajandustootjate ühendused ja põlisrahvad), et töötada välja ja hallata sotsiaaltoetuskavasid</w:t>
            </w:r>
            <w:r>
              <w:t xml:space="preserve"> </w:t>
            </w:r>
            <w:r>
              <w:rPr>
                <w:b/>
                <w:i/>
              </w:rPr>
              <w:t>ning mõõta poliitika jaotuslikku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kutsub liikmesriike üles eraldama osa heitkogustega kauplemise süsteemi tuludest CO</w:t>
            </w:r>
            <w:r>
              <w:rPr>
                <w:b/>
                <w:i/>
                <w:vertAlign w:val="subscript"/>
              </w:rPr>
              <w:t>2</w:t>
            </w:r>
            <w:r>
              <w:rPr>
                <w:b/>
                <w:i/>
              </w:rPr>
              <w:t>-mahukate piirkondade töötajate ümberõppeks ja üleminekuetapis olevate VKEde toetamiseks;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10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tuletab meelde, kui oluline on tagada töötajate kõrgetasemeline töötervishoid ja tööohutus;</w:t>
            </w:r>
            <w:r>
              <w:t xml:space="preserve"> </w:t>
            </w:r>
            <w:r>
              <w:rPr>
                <w:b/>
                <w:i/>
              </w:rPr>
              <w:t>rõhutab, kui oluline on rohe- ja digipöörde kontekstis tegeleda ennetavalt tööülesannete, töökorralduse ja töökohtadega seotud muutuvate tööohutuse ja töötervishoiu riskidega, eelkõige keskkonna- ja psühhosotsiaalsete riskidega;</w:t>
            </w:r>
            <w:r>
              <w:t xml:space="preserve"> </w:t>
            </w:r>
            <w:r>
              <w:rPr>
                <w:b/>
                <w:i/>
              </w:rPr>
              <w:t>kutsub komisjoni üles vaatama põhjalikult läbi praeguse töötervishoiu ja tööohutuse strateegilise raamistiku ning kehtiva töötervishoiu ja tööohutuse õigusraamistiku, et teha kindlaks allesjäänud lüngad ja esitada uusi või ajakohastatud ettepanekuid, et tagada ELi õigustiku jätkuv eesmärgipärasus ja aidata kaasa 2027. aasta järgse strateegilise raamistiku väljatöötamisele;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rõhutab, et tugevad sotsiaalsed turvavõrgud ja sotsiaalkaitsesüsteemid on </w:t>
            </w:r>
            <w:r>
              <w:rPr>
                <w:b/>
                <w:i/>
              </w:rPr>
              <w:t>olulised töötajate toetamiseks üleminekuperioodidel;</w:t>
            </w:r>
            <w:r>
              <w:t xml:space="preserve"> </w:t>
            </w:r>
            <w:r>
              <w:rPr>
                <w:b/>
                <w:i/>
              </w:rPr>
              <w:t>kutsub liikmesriike üles ajakohastama ja tugevdama</w:t>
            </w:r>
            <w:r>
              <w:t xml:space="preserve"> oma sotsiaalkaitsesüsteeme ja -teenuseid, et tagada vastupanuvõime tööturgu </w:t>
            </w:r>
            <w:r>
              <w:rPr>
                <w:b/>
                <w:i/>
              </w:rPr>
              <w:t>mõjutavast kaksiküleminekust</w:t>
            </w:r>
            <w:r>
              <w:t xml:space="preserve"> tulenevate šokkide suhtes;</w:t>
            </w:r>
          </w:p>
        </w:tc>
        <w:tc>
          <w:tcPr>
            <w:tcW w:w="4876" w:type="dxa"/>
            <w:tcBorders>
              <w:top w:val="nil"/>
              <w:left w:val="nil"/>
              <w:bottom w:val="nil"/>
              <w:right w:val="nil"/>
            </w:tcBorders>
          </w:tcPr>
          <w:p>
            <w:pPr>
              <w:pStyle w:val="Normal6a"/>
            </w:pPr>
            <w:r>
              <w:t>11.</w:t>
            </w:r>
            <w:r>
              <w:tab/>
            </w:r>
            <w:r>
              <w:t xml:space="preserve">rõhutab, et tugevad sotsiaalsed turvavõrgud ja sotsiaalkaitsesüsteemid on </w:t>
            </w:r>
            <w:r>
              <w:rPr>
                <w:b/>
                <w:i/>
              </w:rPr>
              <w:t>hädavajalikud, et toetada töötajaid, kes kaotavad töö üleminekupoliitika tõttu;</w:t>
            </w:r>
            <w:r>
              <w:t xml:space="preserve"> </w:t>
            </w:r>
            <w:r>
              <w:rPr>
                <w:b/>
                <w:i/>
              </w:rPr>
              <w:t>soovitab liikmesriikidel ajakohastada ja tugevdada</w:t>
            </w:r>
            <w:r>
              <w:t xml:space="preserve"> oma sotsiaalkaitsesüsteeme ja -teenuseid, et tagada vastupanuvõime tööturgu </w:t>
            </w:r>
            <w:r>
              <w:rPr>
                <w:b/>
                <w:i/>
              </w:rPr>
              <w:t>mõjutavatest ELi õigusaktidest</w:t>
            </w:r>
            <w:r>
              <w:t xml:space="preserve"> tulenevate šokkide suhtes;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rõhutab, et tugevad sotsiaalsed turvavõrgud ja sotsiaalkaitsesüsteemid on olulised töötajate toetamiseks üleminekuperioodidel; kutsub liikmesriike üles ajakohastama ja tugevdama oma sotsiaalkaitsesüsteeme ja -teenuseid, et tagada vastupanuvõime tööturgu mõjutavast kaksiküleminekust tulenevate šokkide suhtes;</w:t>
            </w:r>
          </w:p>
        </w:tc>
        <w:tc>
          <w:tcPr>
            <w:tcW w:w="4876" w:type="dxa"/>
            <w:tcBorders>
              <w:top w:val="nil"/>
              <w:left w:val="nil"/>
              <w:bottom w:val="nil"/>
              <w:right w:val="nil"/>
            </w:tcBorders>
          </w:tcPr>
          <w:p>
            <w:pPr>
              <w:pStyle w:val="Normal6a"/>
            </w:pPr>
            <w:r>
              <w:t>11.</w:t>
            </w:r>
            <w:r>
              <w:tab/>
            </w:r>
            <w:r>
              <w:t xml:space="preserve">rõhutab, et tugevad sotsiaalsed turvavõrgud ja sotsiaalkaitsesüsteemid on olulised töötajate toetamiseks üleminekuperioodidel; kutsub liikmesriike üles ajakohastama ja tugevdama oma sotsiaalkaitsesüsteeme ja -teenuseid, et tagada vastupanuvõime tööturgu mõjutavast kaksiküleminekust tulenevate šokkide suhtes; </w:t>
            </w:r>
            <w:r>
              <w:rPr>
                <w:b/>
                <w:i/>
              </w:rPr>
              <w:t>nõuab tungivalt, et liikmesriigid rakendaksid täielikult nõukogu soovitust töötajate ja füüsilisest isikust ettevõtjate sotsiaalkaitse kohta;</w:t>
            </w:r>
            <w:r>
              <w:t xml:space="preserve"> </w:t>
            </w:r>
            <w:r>
              <w:rPr>
                <w:b/>
                <w:i/>
              </w:rPr>
              <w:t>kutsub komisjoni üles jälgima selliste meetmete võtmisel riske ja edusamme sotsiaalvaldkonna tulemustabeli ja sotsiaalse lähenemise raamistiku kaudu;</w:t>
            </w:r>
            <w:r>
              <w:t xml:space="preserve"> </w:t>
            </w:r>
            <w:r>
              <w:rPr>
                <w:b/>
                <w:i/>
              </w:rPr>
              <w:t>rõhutab, kui oluline on tagada, et avalikud tööturuasutused oleksid tööturu muutuva arengu jaoks asjakohased, et tagada toetus ja hõlbustada üleminekute tõttu töökohtade vahetamist;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rõhutab, et tugevad sotsiaalsed turvavõrgud ja sotsiaalkaitsesüsteemid on olulised töötajate toetamiseks üleminekuperioodidel; kutsub liikmesriike üles </w:t>
            </w:r>
            <w:r>
              <w:rPr>
                <w:b/>
                <w:i/>
              </w:rPr>
              <w:t>ajakohastama ja</w:t>
            </w:r>
            <w:r>
              <w:t xml:space="preserve"> tugevdama oma sotsiaalkaitsesüsteeme ja -teenuseid, et tagada vastupanuvõime tööturgu mõjutavast kaksiküleminekust tulenevate šokkide suhtes;</w:t>
            </w:r>
          </w:p>
        </w:tc>
        <w:tc>
          <w:tcPr>
            <w:tcW w:w="4876" w:type="dxa"/>
            <w:tcBorders>
              <w:top w:val="nil"/>
              <w:left w:val="nil"/>
              <w:bottom w:val="nil"/>
              <w:right w:val="nil"/>
            </w:tcBorders>
          </w:tcPr>
          <w:p>
            <w:pPr>
              <w:pStyle w:val="Normal6a"/>
            </w:pPr>
            <w:r>
              <w:t>11.</w:t>
            </w:r>
            <w:r>
              <w:tab/>
            </w:r>
            <w:r>
              <w:t xml:space="preserve">rõhutab, et tugevad sotsiaalsed turvavõrgud ja sotsiaalkaitsesüsteemid on olulised töötajate toetamiseks </w:t>
            </w:r>
            <w:r>
              <w:rPr>
                <w:b/>
                <w:i/>
              </w:rPr>
              <w:t>ja sotsiaalse ühtekuuluvuse tugevdamiseks</w:t>
            </w:r>
            <w:r>
              <w:t xml:space="preserve"> üleminekuperioodidel; kutsub liikmesriike üles tugevdama </w:t>
            </w:r>
            <w:r>
              <w:rPr>
                <w:b/>
                <w:i/>
              </w:rPr>
              <w:t>sotsiaalpartnerite ja kodanikuühiskonna organisatsioonidega konsulteerides</w:t>
            </w:r>
            <w:r>
              <w:t xml:space="preserve"> oma sotsiaalkaitsesüsteeme ja -teenuseid </w:t>
            </w:r>
            <w:r>
              <w:rPr>
                <w:b/>
                <w:i/>
              </w:rPr>
              <w:t>ning toetama mittetulunduslikke sotsiaalteenuste osutajaid, pöörates erilist tähelepanu õiglasele ja progressiivsele maksustamisele, sotsiaalse kaasamise poliitikale, sissetulekutoetusele ning juurdepääsule taskukohastele esmatähtsatele teenustele ja eluasemele</w:t>
            </w:r>
            <w:r>
              <w:t xml:space="preserve">, et tagada vastupanuvõime tööturgu mõjutavast kaksiküleminekust tulenevate šokkide suhtes </w:t>
            </w:r>
            <w:r>
              <w:rPr>
                <w:b/>
                <w:i/>
              </w:rPr>
              <w:t>ning tagada, et töökoha kaotusest mõjutatud töötajad saaksid säilitada oma elatustaseme nii palju kui võimalik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rõhutab, et tugevad sotsiaalsed turvavõrgud ja sotsiaalkaitsesüsteemid on olulised töötajate toetamiseks üleminekuperioodidel; kutsub liikmesriike üles ajakohastama ja tugevdama oma sotsiaalkaitsesüsteeme ja -teenuseid, et tagada vastupanuvõime tööturgu mõjutavast kaksiküleminekust tulenevate šokkide suhtes;</w:t>
            </w:r>
          </w:p>
        </w:tc>
        <w:tc>
          <w:tcPr>
            <w:tcW w:w="4876" w:type="dxa"/>
            <w:tcBorders>
              <w:top w:val="nil"/>
              <w:left w:val="nil"/>
              <w:bottom w:val="nil"/>
              <w:right w:val="nil"/>
            </w:tcBorders>
          </w:tcPr>
          <w:p>
            <w:pPr>
              <w:pStyle w:val="Normal6a"/>
            </w:pPr>
            <w:r>
              <w:t>11.</w:t>
            </w:r>
            <w:r>
              <w:tab/>
            </w:r>
            <w:r>
              <w:t>rõhutab, et tugevad sotsiaalsed turvavõrgud ja sotsiaalkaitsesüsteemid on olulised töötajate toetamiseks üleminekuperioodidel</w:t>
            </w:r>
            <w:r>
              <w:rPr>
                <w:b/>
                <w:i/>
              </w:rPr>
              <w:t>;</w:t>
            </w:r>
            <w:r>
              <w:t xml:space="preserve"> </w:t>
            </w:r>
            <w:r>
              <w:rPr>
                <w:b/>
                <w:i/>
              </w:rPr>
              <w:t>rõhutab, et nähtavad hüved leibkondadele, nagu väiksemad kommunaalarved ja paremad elamistingimused, on üldsuse heakskiidu tagamisel keskse tähtsusega,</w:t>
            </w:r>
            <w:r>
              <w:t xml:space="preserve"> </w:t>
            </w:r>
            <w:r>
              <w:rPr>
                <w:b/>
                <w:i/>
              </w:rPr>
              <w:t>ning et direktiiviga tuleks siduda renoveerimismeetmed ja tagada, et neist eelisteks antakse läbipaistvalt teada</w:t>
            </w:r>
            <w:r>
              <w:t>; kutsub liikmesriike üles ajakohastama ja tugevdama oma sotsiaalkaitsesüsteeme ja -teenuseid, et tagada vastupanuvõime tööturgu mõjutavast kaksiküleminekust tulenevate šokkide suhtes;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rõhutab, et tugevad sotsiaalsed turvavõrgud ja sotsiaalkaitsesüsteemid on olulised töötajate toetamiseks üleminekuperioodidel; kutsub liikmesriike üles ajakohastama ja tugevdama oma sotsiaalkaitsesüsteeme ja -teenuseid, et tagada vastupanuvõime tööturgu mõjutavast kaksiküleminekust tulenevate šokkide suhtes;</w:t>
            </w:r>
          </w:p>
        </w:tc>
        <w:tc>
          <w:tcPr>
            <w:tcW w:w="4876" w:type="dxa"/>
            <w:tcBorders>
              <w:top w:val="nil"/>
              <w:left w:val="nil"/>
              <w:bottom w:val="nil"/>
              <w:right w:val="nil"/>
            </w:tcBorders>
          </w:tcPr>
          <w:p>
            <w:pPr>
              <w:pStyle w:val="Normal6a"/>
            </w:pPr>
            <w:r>
              <w:t>11.</w:t>
            </w:r>
            <w:r>
              <w:tab/>
            </w:r>
            <w:r>
              <w:t xml:space="preserve">rõhutab, et tugevad sotsiaalsed turvavõrgud ja sotsiaalkaitsesüsteemid on olulised töötajate toetamiseks üleminekuperioodidel; kutsub liikmesriike üles ajakohastama ja tugevdama oma sotsiaalkaitsesüsteeme ja -teenuseid, et tagada vastupanuvõime tööturgu mõjutavast kaksiküleminekust tulenevate šokkide suhtes; </w:t>
            </w:r>
            <w:r>
              <w:rPr>
                <w:b/>
                <w:i/>
              </w:rPr>
              <w:t>rõhutab, et õiglase ja võrdse ülemineku tagamiseks peaksid sotsiaalkaitsesüsteemid ja turvavõrgud tagama inimestele kvaliteetsed töökohad, sissetuleku ja stabiilsuse;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rõhutab, et tugevad sotsiaalsed turvavõrgud ja sotsiaalkaitsesüsteemid on olulised töötajate toetamiseks üleminekuperioodidel; kutsub liikmesriike üles ajakohastama ja tugevdama oma sotsiaalkaitsesüsteeme ja -teenuseid, et tagada vastupanuvõime tööturgu mõjutavast kaksiküleminekust tulenevate šokkide suhtes;</w:t>
            </w:r>
          </w:p>
        </w:tc>
        <w:tc>
          <w:tcPr>
            <w:tcW w:w="4876" w:type="dxa"/>
            <w:tcBorders>
              <w:top w:val="nil"/>
              <w:left w:val="nil"/>
              <w:bottom w:val="nil"/>
              <w:right w:val="nil"/>
            </w:tcBorders>
          </w:tcPr>
          <w:p>
            <w:pPr>
              <w:pStyle w:val="Normal6a"/>
            </w:pPr>
            <w:r>
              <w:t>11.</w:t>
            </w:r>
            <w:r>
              <w:tab/>
            </w:r>
            <w:r>
              <w:t xml:space="preserve">rõhutab, et tugevad sotsiaalsed turvavõrgud ja sotsiaalkaitsesüsteemid on olulised töötajate toetamiseks üleminekuperioodidel; kutsub liikmesriike üles ajakohastama ja tugevdama oma sotsiaalkaitsesüsteeme ja -teenuseid, et tagada vastupanuvõime tööturgu mõjutavast kaksiküleminekust tulenevate šokkide suhtes; </w:t>
            </w:r>
            <w:r>
              <w:rPr>
                <w:b/>
                <w:i/>
              </w:rPr>
              <w:t>nõuab, et tagataks üldine juurdepääs töötushüvitistele ja avalikele teenustele, et hoida ülemineku ajal ära vaesust ja sotsiaalset tõrjutust;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rõhutab, et tugevad sotsiaalsed turvavõrgud ja sotsiaalkaitsesüsteemid on olulised töötajate toetamiseks üleminekuperioodidel; kutsub liikmesriike üles ajakohastama ja tugevdama oma sotsiaalkaitsesüsteeme ja -teenuseid, et tagada vastupanuvõime tööturgu mõjutavast kaksiküleminekust tulenevate šokkide suhtes;</w:t>
            </w:r>
          </w:p>
        </w:tc>
        <w:tc>
          <w:tcPr>
            <w:tcW w:w="4876" w:type="dxa"/>
            <w:tcBorders>
              <w:top w:val="nil"/>
              <w:left w:val="nil"/>
              <w:bottom w:val="nil"/>
              <w:right w:val="nil"/>
            </w:tcBorders>
          </w:tcPr>
          <w:p>
            <w:pPr>
              <w:pStyle w:val="Normal6a"/>
            </w:pPr>
            <w:r>
              <w:t>11.</w:t>
            </w:r>
            <w:r>
              <w:tab/>
            </w:r>
            <w:r>
              <w:t xml:space="preserve">rõhutab, et tugevad sotsiaalsed turvavõrgud ja sotsiaalkaitsesüsteemid on olulised töötajate toetamiseks üleminekuperioodidel; kutsub liikmesriike üles ajakohastama ja tugevdama oma sotsiaalkaitsesüsteeme ja -teenuseid, </w:t>
            </w:r>
            <w:r>
              <w:rPr>
                <w:b/>
                <w:i/>
              </w:rPr>
              <w:t>tagades nende pikaajalise kestlikkuse, et,</w:t>
            </w:r>
            <w:r>
              <w:t xml:space="preserve"> et tagada vastupanuvõime tööturgu mõjutavast kaksiküleminekust tulenevate šokkide suhtes;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rõhutab, kui oluline on sihipärane poliitika, et toetada rohe- ja digipöördest enim mõjutatud inimesi, eelkõige haavatavas olukorras olevaid inimesi;</w:t>
            </w:r>
            <w:r>
              <w:t xml:space="preserve"> </w:t>
            </w:r>
            <w:r>
              <w:rPr>
                <w:b/>
                <w:i/>
              </w:rPr>
              <w:t>rõhutab, et vaja on aktiivset toetust ja varajast sekkumist, hoidmaks ära seda, et haavatavas olukorras olevad inimesed jäävad pikaajaliselt töötuks või kaotavad lootuse;</w:t>
            </w:r>
            <w:r>
              <w:t xml:space="preserve"> </w:t>
            </w:r>
            <w:r>
              <w:rPr>
                <w:b/>
                <w:i/>
              </w:rPr>
              <w:t>kutsub liikmesriike üles märkimisväärselt suurendama aktiivset toetust kvaliteetsete töökohtade loomisele, eelkõige toetades kvaliteetsete töökohtade säilitamist, edendades ettevõtlust ja soodustades kvaliteetsete töökohtade loomist;</w:t>
            </w:r>
            <w:r>
              <w:t xml:space="preserve"> </w:t>
            </w:r>
            <w:r>
              <w:rPr>
                <w:b/>
                <w:i/>
              </w:rPr>
              <w:t>rõhutab palgatoetuste, sihtotstarbeliste hangete ja kohalike riiklike ehitustööde rolli üleminekutöökohtade loomisel;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nõuab, et käesoleva direktiivi kohaselt vastu võetud riigisiseste õigusnormide rikkumise korral tagavad liikmesriigid, et õiglase ülemineku fondi kohast tööandjatele rakendatavat maksu kahekordistatakse kuue kuu jooksul;</w:t>
            </w:r>
            <w:r>
              <w:t xml:space="preserve"> </w:t>
            </w:r>
            <w:r>
              <w:rPr>
                <w:b/>
                <w:i/>
              </w:rPr>
              <w:t>kui äriühing ei maksa rahatrahvi ära ettenähtud tähtaja jooksul, teevad liikmesriigid avaliku avalduse, milles on märgitud rikkumise eest vastutava äriühingu nimi ja rikkumise laad;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tuletab meelde koondatud töötajate toetuseks loodud Globaliseerumisega Kohanemise Euroopa Fondi tähtsust nende töötajate toetamisel, keda mõjutab vahetu koondamine restruktureeritavates ettevõtetes, ning julgustab liikmesriike komisjoni toetusel fondi täiel määral ära kasutama;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rõhutab, et üleminekuperioodidel tuleb tagada juurdepääs põhilistele sotsiaalteenustele, nagu tervishoid, transport, energia ja haridus;</w:t>
            </w:r>
            <w:r>
              <w:t xml:space="preserve"> </w:t>
            </w:r>
            <w:r>
              <w:rPr>
                <w:b/>
                <w:i/>
              </w:rPr>
              <w:t>nõuab sotsiaalse mõju hindamist kõigi suurte piirkondlike üleminekuinvesteeringute puhul;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kutsub liikmesriike üles nõudma, et äriühingud kehtestaksid õiglase, avalikult kättesaadava, juurdepääsetava, prognoositava ja läbipaistva menetluse, et võimaldada käesoleva direktiivi kohaldamisalasse kuuluvatel töötajatel, nende esindajatel ja muudel asjaomastel sidusrühmadel esitada neile kaebusi õiglast üleminekut käsitlevate õiguste ja töötajate seonduvate õiguste kohaldamise kohta;</w:t>
            </w:r>
            <w:r>
              <w:t xml:space="preserve"> </w:t>
            </w:r>
            <w:r>
              <w:rPr>
                <w:b/>
                <w:i/>
              </w:rPr>
              <w:t>selle menetluse võib kohaldataval juhul integreerida direktiivi (EL) 2024/1760 artiklis 14 sätestatud menetlusse;</w:t>
            </w:r>
            <w:r>
              <w:t xml:space="preserve"> </w:t>
            </w:r>
            <w:r>
              <w:rPr>
                <w:b/>
                <w:i/>
              </w:rPr>
              <w:t>äriühingud võtavad meetmeid, et hoida ära mis tahes survestamist, tagades kaebuse esitanud isiku või organisatsiooni identiteedi konfidentsiaalsuse kooskõlas direktiiviga (EL) 2019/1937 ja asjaomase riigisisese õigusega;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rõhutab vajadust toetada lühendatud tööaja kavasid ja üleminekutest mõjutatud töötajate sihipärase toetamise tähtsust, tuginedes TERAga seotud positiivsetele kogemustele;</w:t>
            </w:r>
            <w:r>
              <w:t xml:space="preserve"> </w:t>
            </w:r>
            <w:r>
              <w:rPr>
                <w:b/>
                <w:i/>
              </w:rPr>
              <w:t>nõuab TERA mehhanismi tugevdamist, kuna selliste tööhõivekaitsemeetmete toetamine kriisi ajal võib stabiliseerida tööhõivepoliitikale ja õiglase ülemineku meetmetele suunatud avaliku sektori kulutusi, et leevendada ELi majanduse vajaliku ümberkujundamise vahetut mõju töökohtadele;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rõhutab, et mõju tööhõivele on piirkonniti ja elanikkonna lõikes erinev;</w:t>
            </w:r>
            <w:r>
              <w:t xml:space="preserve"> </w:t>
            </w:r>
            <w:r>
              <w:rPr>
                <w:b/>
                <w:i/>
              </w:rPr>
              <w:t>rõhutab sellega seoses vajadust kaasata kohalikke kodanikke ja sidusrühmi ning suurendada nende mõjuvõimu, et nad oleksid üleminekus aktiivsed osalejad;</w:t>
            </w:r>
            <w:r>
              <w:t xml:space="preserve"> </w:t>
            </w:r>
            <w:r>
              <w:rPr>
                <w:b/>
                <w:i/>
              </w:rPr>
              <w:t>rõhutab, et avaliku sektori asutused peavad ülemineku juhtimisel osalema strateegilises konsultatsioonis ja koostöös sotsiaalpartneritega;</w:t>
            </w:r>
            <w:r>
              <w:t xml:space="preserve"> </w:t>
            </w:r>
            <w:r>
              <w:rPr>
                <w:b/>
                <w:i/>
              </w:rPr>
              <w:t>rõhutab, et sisuka osalemise saab tagada konsultatsioonidega varajases etapis ning sotsiaalpartnerite, VKEde, kodanikuühiskonna ja noorte selgete volituste ja hääleõigusega piirkondlikes koordineerimisorganites;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rõhutab, et mõju tööhõivele on piirkonniti ja elanikkonna lõikes erinev; rõhutab sellega seoses </w:t>
            </w:r>
            <w:r>
              <w:rPr>
                <w:b/>
                <w:i/>
              </w:rPr>
              <w:t>vajadust</w:t>
            </w:r>
            <w:r>
              <w:t xml:space="preserve"> kaasata kohalikke kodanikke ja sidusrühmi ning suurendada nende mõjuvõimu, et nad oleksid üleminekus aktiivsed osalejad; rõhutab, et avaliku sektori asutused peavad ülemineku juhtimisel osalema strateegilises </w:t>
            </w:r>
            <w:r>
              <w:rPr>
                <w:b/>
                <w:i/>
              </w:rPr>
              <w:t>konsultatsioonis ja koostöös</w:t>
            </w:r>
            <w:r>
              <w:t xml:space="preserve"> sotsiaalpartneritega; rõhutab, et sisuka osalemise saab tagada </w:t>
            </w:r>
            <w:r>
              <w:rPr>
                <w:b/>
                <w:i/>
              </w:rPr>
              <w:t>konsultatsioonidega varajases etapis ning</w:t>
            </w:r>
            <w:r>
              <w:t xml:space="preserve"> sotsiaalpartnerite, VKEde, kodanikuühiskonna ja noorte </w:t>
            </w:r>
            <w:r>
              <w:rPr>
                <w:b/>
                <w:i/>
              </w:rPr>
              <w:t>selgete volituste ja hääleõigusega piirkondlikes koordineerimisorganites</w:t>
            </w:r>
            <w:r>
              <w:t>;</w:t>
            </w:r>
          </w:p>
        </w:tc>
        <w:tc>
          <w:tcPr>
            <w:tcW w:w="4876" w:type="dxa"/>
            <w:tcBorders>
              <w:top w:val="nil"/>
              <w:left w:val="nil"/>
              <w:bottom w:val="nil"/>
              <w:right w:val="nil"/>
            </w:tcBorders>
          </w:tcPr>
          <w:p>
            <w:pPr>
              <w:pStyle w:val="Normal6a"/>
            </w:pPr>
            <w:r>
              <w:t>12.</w:t>
            </w:r>
            <w:r>
              <w:tab/>
            </w:r>
            <w:r>
              <w:t xml:space="preserve">rõhutab, et mõju tööhõivele on piirkonniti ja elanikkonna lõikes erinev; rõhutab sellega seoses </w:t>
            </w:r>
            <w:r>
              <w:rPr>
                <w:b/>
                <w:i/>
              </w:rPr>
              <w:t>nõuet</w:t>
            </w:r>
            <w:r>
              <w:t xml:space="preserve"> kaasata kohalikke kodanikke ja sidusrühmi ning suurendada nende mõjuvõimu, et nad oleksid üleminekus aktiivsed osalejad; rõhutab, et avaliku sektori asutused peavad ülemineku juhtimisel osalema strateegilises </w:t>
            </w:r>
            <w:r>
              <w:rPr>
                <w:b/>
                <w:i/>
              </w:rPr>
              <w:t>ühises kavandamises</w:t>
            </w:r>
            <w:r>
              <w:t xml:space="preserve"> sotsiaalpartneritega; rõhutab, et sisuka osalemise saab tagada sotsiaalpartnerite, VKEde, kodanikuühiskonna ja noorte </w:t>
            </w:r>
            <w:r>
              <w:rPr>
                <w:b/>
                <w:i/>
              </w:rPr>
              <w:t>kaasamisega piirkondlikesse koordineerimisasutustesse ning kättesaadavate osalemismeetodite ja -meetmete pakkumisega, sealhulgas eri keelte olemasolu, kulutatud aja eest tasustamine, lapsehoid, reisitoetus ning mõjusad kaebuste esitamise ja edasikaebamise mehhanismid, et mõjutatud kogukonnad saaksid kahju vaidlustada ja heastada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rõhutab, et mõju tööhõivele on piirkonniti ja elanikkonna lõikes erinev; rõhutab sellega seoses vajadust kaasata kohalikke kodanikke ja sidusrühmi ning suurendada nende mõjuvõimu, et nad oleksid üleminekus aktiivsed osalejad; rõhutab, et avaliku sektori asutused peavad ülemineku juhtimisel osalema strateegilises konsultatsioonis ja koostöös sotsiaalpartneritega; </w:t>
            </w:r>
            <w:r>
              <w:rPr>
                <w:b/>
                <w:i/>
              </w:rPr>
              <w:t>rõhutab, et sisuka osalemise saab tagada konsultatsioonidega varajases etapis ning sotsiaalpartnerite, VKEde, kodanikuühiskonna ja noorte selgete volituste ja hääleõigusega piirkondlikes koordineerimisorganites;</w:t>
            </w:r>
          </w:p>
        </w:tc>
        <w:tc>
          <w:tcPr>
            <w:tcW w:w="4876" w:type="dxa"/>
            <w:tcBorders>
              <w:top w:val="nil"/>
              <w:left w:val="nil"/>
              <w:bottom w:val="nil"/>
              <w:right w:val="nil"/>
            </w:tcBorders>
          </w:tcPr>
          <w:p>
            <w:pPr>
              <w:pStyle w:val="Normal6a"/>
            </w:pPr>
            <w:r>
              <w:t>12.</w:t>
            </w:r>
            <w:r>
              <w:tab/>
            </w:r>
            <w:r>
              <w:t>rõhutab, et mõju tööhõivele on piirkonniti ja elanikkonna lõikes erinev; rõhutab sellega seoses vajadust kaasata kohalikke kodanikke ja sidusrühmi ning suurendada nende mõjuvõimu, et nad oleksid üleminekus aktiivsed osalejad; rõhutab, et avaliku sektori asutused peavad ülemineku juhtimisel osalema strateegilises konsultatsioonis ja koostöös sotsiaalpartneritega;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rõhutab, et mõju tööhõivele on piirkonniti ja elanikkonna lõikes erinev; rõhutab sellega seoses vajadust kaasata kohalikke kodanikke ja sidusrühmi ning suurendada nende mõjuvõimu, et nad oleksid üleminekus aktiivsed osalejad; rõhutab, et avaliku sektori asutused peavad ülemineku juhtimisel osalema strateegilises konsultatsioonis ja koostöös sotsiaalpartneritega; rõhutab, et sisuka osalemise saab tagada konsultatsioonidega varajases etapis ning sotsiaalpartnerite, VKEde, kodanikuühiskonna ja noorte selgete volituste ja hääleõigusega piirkondlikes koordineerimisorganites;</w:t>
            </w:r>
          </w:p>
        </w:tc>
        <w:tc>
          <w:tcPr>
            <w:tcW w:w="4876" w:type="dxa"/>
            <w:tcBorders>
              <w:top w:val="nil"/>
              <w:left w:val="nil"/>
              <w:bottom w:val="nil"/>
              <w:right w:val="nil"/>
            </w:tcBorders>
          </w:tcPr>
          <w:p>
            <w:pPr>
              <w:pStyle w:val="Normal6a"/>
            </w:pPr>
            <w:r>
              <w:t>12.</w:t>
            </w:r>
            <w:r>
              <w:tab/>
            </w:r>
            <w:r>
              <w:t xml:space="preserve">rõhutab, et mõju tööhõivele on piirkonniti ja elanikkonna lõikes erinev; rõhutab sellega seoses vajadust kaasata kohalikke kodanikke ja sidusrühmi ning suurendada nende mõjuvõimu, et nad oleksid üleminekus aktiivsed osalejad; rõhutab, et avaliku sektori asutused peavad ülemineku juhtimisel osalema strateegilises konsultatsioonis ja koostöös sotsiaalpartneritega; rõhutab, et sisuka osalemise saab tagada konsultatsioonidega varajases etapis ning sotsiaalpartnerite, VKEde, </w:t>
            </w:r>
            <w:r>
              <w:rPr>
                <w:b/>
                <w:i/>
              </w:rPr>
              <w:t>sealhulgas sotsiaalsed ettevõtted,</w:t>
            </w:r>
            <w:r>
              <w:t xml:space="preserve"> kodanikuühiskonna ja noorte selgete volituste ja hääleõigusega piirkondlikes koordineerimisorganites;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rõhutab, et mõju tööhõivele on piirkonniti ja elanikkonna lõikes erinev; rõhutab sellega seoses vajadust kaasata kohalikke kodanikke ja sidusrühmi ning suurendada nende mõjuvõimu, et nad oleksid üleminekus aktiivsed osalejad; rõhutab, et avaliku sektori asutused peavad ülemineku juhtimisel osalema strateegilises konsultatsioonis ja koostöös sotsiaalpartneritega; rõhutab, et sisuka osalemise saab tagada konsultatsioonidega varajases etapis ning sotsiaalpartnerite, VKEde, kodanikuühiskonna </w:t>
            </w:r>
            <w:r>
              <w:rPr>
                <w:b/>
                <w:i/>
              </w:rPr>
              <w:t>ja</w:t>
            </w:r>
            <w:r>
              <w:t xml:space="preserve"> noorte selgete volituste ja hääleõigusega piirkondlikes koordineerimisorganites;</w:t>
            </w:r>
          </w:p>
        </w:tc>
        <w:tc>
          <w:tcPr>
            <w:tcW w:w="4876" w:type="dxa"/>
            <w:tcBorders>
              <w:top w:val="nil"/>
              <w:left w:val="nil"/>
              <w:bottom w:val="nil"/>
              <w:right w:val="nil"/>
            </w:tcBorders>
          </w:tcPr>
          <w:p>
            <w:pPr>
              <w:pStyle w:val="Normal6a"/>
            </w:pPr>
            <w:r>
              <w:t>12.</w:t>
            </w:r>
            <w:r>
              <w:tab/>
            </w:r>
            <w:r>
              <w:t>rõhutab, et mõju tööhõivele on piirkonniti ja elanikkonna lõikes erinev; rõhutab sellega seoses vajadust kaasata kohalikke kodanikke ja sidusrühmi ning suurendada nende mõjuvõimu, et nad oleksid üleminekus aktiivsed osalejad; rõhutab, et avaliku sektori asutused peavad ülemineku juhtimisel osalema strateegilises konsultatsioonis ja koostöös sotsiaalpartneritega; rõhutab, et sisuka osalemise saab tagada konsultatsioonidega varajases etapis ning sotsiaalpartnerite, VKEde, kodanikuühiskonna</w:t>
            </w:r>
            <w:r>
              <w:rPr>
                <w:b/>
                <w:i/>
              </w:rPr>
              <w:t>,</w:t>
            </w:r>
            <w:r>
              <w:t xml:space="preserve"> noorte</w:t>
            </w:r>
            <w:r>
              <w:rPr>
                <w:b/>
                <w:i/>
              </w:rPr>
              <w:t>, ametiühingute, naisorganisatsioonide ja kohalike sotsiaalsete liikumiste</w:t>
            </w:r>
            <w:r>
              <w:t xml:space="preserve"> selgete volituste ja hääleõigusega piirkondlikes koordineerimisorganites;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rõhutab, et mõju tööhõivele on piirkonniti ja elanikkonna lõikes erinev; rõhutab sellega seoses vajadust kaasata kohalikke kodanikke ja sidusrühmi ning suurendada nende mõjuvõimu, et nad oleksid üleminekus aktiivsed osalejad; rõhutab, et avaliku sektori asutused peavad ülemineku juhtimisel osalema strateegilises konsultatsioonis </w:t>
            </w:r>
            <w:r>
              <w:rPr>
                <w:b/>
                <w:i/>
              </w:rPr>
              <w:t>ja</w:t>
            </w:r>
            <w:r>
              <w:t xml:space="preserve"> koostöös </w:t>
            </w:r>
            <w:r>
              <w:rPr>
                <w:b/>
                <w:i/>
              </w:rPr>
              <w:t>sotsiaalpartneritega</w:t>
            </w:r>
            <w:r>
              <w:t>; rõhutab, et sisuka osalemise saab tagada konsultatsioonidega varajases etapis ning sotsiaalpartnerite, VKEde, kodanikuühiskonna ja noorte selgete volituste ja hääleõigusega piirkondlikes koordineerimisorganites;</w:t>
            </w:r>
          </w:p>
        </w:tc>
        <w:tc>
          <w:tcPr>
            <w:tcW w:w="4876" w:type="dxa"/>
            <w:tcBorders>
              <w:top w:val="nil"/>
              <w:left w:val="nil"/>
              <w:bottom w:val="nil"/>
              <w:right w:val="nil"/>
            </w:tcBorders>
          </w:tcPr>
          <w:p>
            <w:pPr>
              <w:pStyle w:val="Normal6a"/>
            </w:pPr>
            <w:r>
              <w:t>12.</w:t>
            </w:r>
            <w:r>
              <w:tab/>
            </w:r>
            <w:r>
              <w:t>rõhutab, et mõju tööhõivele on piirkonniti ja elanikkonna lõikes erinev; rõhutab sellega seoses vajadust kaasata kohalikke kodanikke ja sidusrühmi</w:t>
            </w:r>
            <w:r>
              <w:rPr>
                <w:b/>
                <w:i/>
              </w:rPr>
              <w:t>, muu hulgas kodanikuühiskonna organisatsioone,</w:t>
            </w:r>
            <w:r>
              <w:t xml:space="preserve"> ning suurendada nende mõjuvõimu, et nad oleksid üleminekus aktiivsed osalejad</w:t>
            </w:r>
            <w:r>
              <w:rPr>
                <w:b/>
                <w:i/>
              </w:rPr>
              <w:t>;</w:t>
            </w:r>
            <w:r>
              <w:t xml:space="preserve"> </w:t>
            </w:r>
            <w:r>
              <w:rPr>
                <w:b/>
                <w:i/>
              </w:rPr>
              <w:t>rõhutab, kui oluline on edendada töötajate juhitavaid algatusi, sealhulgas töötajate kooperatiive, töötajatepoolset väljaostmist ning muud liiki kollektiivset ja kogukonnapõhist omandit</w:t>
            </w:r>
            <w:r>
              <w:t xml:space="preserve">; rõhutab, et avaliku sektori asutused peavad ülemineku juhtimisel osalema strateegilises konsultatsioonis </w:t>
            </w:r>
            <w:r>
              <w:rPr>
                <w:b/>
                <w:i/>
              </w:rPr>
              <w:t>ning</w:t>
            </w:r>
            <w:r>
              <w:t xml:space="preserve"> koostöös </w:t>
            </w:r>
            <w:r>
              <w:rPr>
                <w:b/>
                <w:i/>
              </w:rPr>
              <w:t>sotsiaalpartnerite ja kodanikuühiskonnaga</w:t>
            </w:r>
            <w:r>
              <w:t>; rõhutab, et sisuka osalemise saab tagada konsultatsioonidega varajases etapis ning sotsiaalpartnerite, VKEde, kodanikuühiskonna</w:t>
            </w:r>
            <w:r>
              <w:rPr>
                <w:b/>
                <w:i/>
              </w:rPr>
              <w:t>, sotsiaalmajanduse esindajate</w:t>
            </w:r>
            <w:r>
              <w:t xml:space="preserve"> ja noorte selgete volituste ja hääleõigusega piirkondlikes koordineerimisorganites;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rõhutab, et mõju tööhõivele on piirkonniti ja elanikkonna lõikes erinev; rõhutab sellega seoses vajadust kaasata kohalikke kodanikke ja sidusrühmi ning suurendada nende mõjuvõimu, et nad oleksid üleminekus aktiivsed osalejad; rõhutab, et avaliku sektori asutused peavad ülemineku juhtimisel osalema strateegilises konsultatsioonis ja koostöös sotsiaalpartneritega; rõhutab, et sisuka osalemise saab tagada konsultatsioonidega varajases etapis ning sotsiaalpartnerite, VKEde, kodanikuühiskonna ja noorte selgete volituste ja hääleõigusega piirkondlikes koordineerimisorganites;</w:t>
            </w:r>
          </w:p>
        </w:tc>
        <w:tc>
          <w:tcPr>
            <w:tcW w:w="4876" w:type="dxa"/>
            <w:tcBorders>
              <w:top w:val="nil"/>
              <w:left w:val="nil"/>
              <w:bottom w:val="nil"/>
              <w:right w:val="nil"/>
            </w:tcBorders>
          </w:tcPr>
          <w:p>
            <w:pPr>
              <w:pStyle w:val="Normal6a"/>
            </w:pPr>
            <w:r>
              <w:t>12.</w:t>
            </w:r>
            <w:r>
              <w:tab/>
            </w:r>
            <w:r>
              <w:t>rõhutab, et mõju tööhõivele on piirkonniti ja elanikkonna lõikes erinev; rõhutab sellega seoses vajadust kaasata kohalikke kodanikke ja sidusrühmi</w:t>
            </w:r>
            <w:r>
              <w:rPr>
                <w:b/>
                <w:i/>
              </w:rPr>
              <w:t>, sealhulgas kodanikuühiskonna organisatsioone, kellel on kohalike kogukondade probleemidest ja vajadustest hea arusaam,</w:t>
            </w:r>
            <w:r>
              <w:t xml:space="preserve"> ning suurendada nende mõjuvõimu, et nad oleksid üleminekus aktiivsed osalejad; rõhutab, et avaliku sektori asutused peavad ülemineku juhtimisel osalema strateegilises konsultatsioonis ja koostöös sotsiaalpartneritega; rõhutab, et sisuka osalemise saab tagada konsultatsioonidega varajases etapis ning sotsiaalpartnerite, VKEde, kodanikuühiskonna ja noorte selgete volituste ja hääleõigusega piirkondlikes koordineerimisorganites;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rõhutab, et mõju tööhõivele on piirkonniti ja elanikkonna lõikes erinev; rõhutab sellega seoses vajadust kaasata kohalikke kodanikke ja sidusrühmi ning suurendada nende mõjuvõimu</w:t>
            </w:r>
            <w:r>
              <w:rPr>
                <w:b/>
                <w:i/>
              </w:rPr>
              <w:t>, et nad oleksid üleminekus aktiivsed osalejad</w:t>
            </w:r>
            <w:r>
              <w:t>; rõhutab, et avaliku sektori asutused peavad ülemineku juhtimisel osalema strateegilises konsultatsioonis ja koostöös sotsiaalpartneritega; rõhutab, et sisuka osalemise saab tagada konsultatsioonidega varajases etapis ning sotsiaalpartnerite, VKEde, kodanikuühiskonna ja noorte selgete volituste ja hääleõigusega piirkondlikes koordineerimisorganites;</w:t>
            </w:r>
          </w:p>
        </w:tc>
        <w:tc>
          <w:tcPr>
            <w:tcW w:w="4876" w:type="dxa"/>
            <w:tcBorders>
              <w:top w:val="nil"/>
              <w:left w:val="nil"/>
              <w:bottom w:val="nil"/>
              <w:right w:val="nil"/>
            </w:tcBorders>
          </w:tcPr>
          <w:p>
            <w:pPr>
              <w:pStyle w:val="Normal6a"/>
            </w:pPr>
            <w:r>
              <w:t>12.</w:t>
            </w:r>
            <w:r>
              <w:tab/>
            </w:r>
            <w:r>
              <w:t xml:space="preserve">rõhutab, et mõju tööhõivele on piirkonniti ja elanikkonna lõikes erinev; rõhutab sellega seoses vajadust kaasata kohalikke kodanikke ja sidusrühmi ning suurendada nende mõjuvõimu </w:t>
            </w:r>
            <w:r>
              <w:rPr>
                <w:b/>
                <w:i/>
              </w:rPr>
              <w:t>selle üle otsustamisel, kas üleminekut on vaja</w:t>
            </w:r>
            <w:r>
              <w:t>; rõhutab, et avaliku sektori asutused peavad ülemineku juhtimisel osalema strateegilises konsultatsioonis ja koostöös sotsiaalpartneritega; rõhutab, et sisuka osalemise saab tagada konsultatsioonidega varajases etapis ning sotsiaalpartnerite, VKEde, kodanikuühiskonna ja noorte selgete volituste ja hääleõigusega piirkondlikes koordineerimisorganites;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rõhutab, et see direktiiv ei tohi olla mõjuv põhjus töötajatele liikmesriikides juba pakutava üldise kaitse vähendamiseks, eelkõige seoses õigusega koolitusele, töökohavahetusele, töökohakindlusele ja töötajate kaasamisele;</w:t>
            </w:r>
            <w:r>
              <w:t xml:space="preserve"> </w:t>
            </w:r>
            <w:r>
              <w:rPr>
                <w:b/>
                <w:i/>
              </w:rPr>
              <w:t>rõhutab, et selle direktiiviga ei tohi piirata liikmesriikide õigust kohaldada või kehtestada õigus- või haldusnorme, mis on töötajate jaoks soodsamad, või soodustada või lubada töötajate jaoks soodsamate kollektiivlepingute kohaldamist;</w:t>
            </w:r>
            <w:r>
              <w:t xml:space="preserve"> </w:t>
            </w:r>
            <w:r>
              <w:rPr>
                <w:b/>
                <w:i/>
              </w:rPr>
              <w:t>rõhutab, et ühtegi käesoleva direktiivi sätet ei tohi tõlgendada ega kohaldada viisil, mis piirab, rikub või kahjustab liikmesriikides tunnustatud põhiõigusi, sealhulgas kollektiivläbirääkimiste õigust, streigiõigust või kollektiivse tegutsemise õigust;</w:t>
            </w:r>
            <w:r>
              <w:t xml:space="preserve"> </w:t>
            </w:r>
            <w:r>
              <w:rPr>
                <w:b/>
                <w:i/>
              </w:rPr>
              <w:t>nõuab, et direktiivis austataks sotsiaalpartnerite autonoomiat ega mõjutataks nende võimet pidada kollektiivlepingute üle läbirääkimisi, neid sõlmida või tagada nende täitmist või osaleda muus tegevuses, mis on kooskõlas riiklike töösuhete süsteemidega;</w:t>
            </w:r>
            <w:r>
              <w:t xml:space="preserve"> </w:t>
            </w:r>
            <w:r>
              <w:rPr>
                <w:b/>
                <w:i/>
              </w:rPr>
              <w:t>rõhutab lisaks, et direktiiviga luuakse üleminekuolukordades teavitamise, konsulteerimise ja kollektiivläbirääkimistega seotud lisaõigused ning see ei tohi piirata muude töötajate kaasamist käsitlevate liidu õigusaktide kohaldamist;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kutsub komisjoni ja liikmesriike üles töötama välja poliitikameetmeid, mille abil luuakse erasektorile, eelkõige VKEdele, majanduslikke võimalusi, vähendades halduskoormust ja kaasrahastamise nõudeid ning lihtsustades juurdepääsu rahastamisele;</w:t>
            </w:r>
            <w:r>
              <w:t xml:space="preserve"> </w:t>
            </w:r>
            <w:r>
              <w:rPr>
                <w:b/>
                <w:i/>
              </w:rPr>
              <w:t>rõhutab, et ettevõtjad ja väikeettevõtjad on investeerimisel, innovatsioonil ja töökohtade loomisel kesksel kohal ning et rahastamisvahendid ja tehniline abi peavad olema nende vajadustele kohandatud, et kasutada nende potentsiaali rohe- ja digimajanduses täielikult ära;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rõhutab, et valitsused peaksid toetama sotsiaalpartnerite suutlikkuse suurendamist, eelkõige piirkondlikul tasandil (ja osana nõukogu soovitusest õiglase kliimaneutraalsusele ülemineku tagamise kohta);</w:t>
            </w:r>
            <w:r>
              <w:t xml:space="preserve"> </w:t>
            </w:r>
            <w:r>
              <w:rPr>
                <w:b/>
                <w:i/>
              </w:rPr>
              <w:t>rõhutab, et arutlev demokraatia võimaldab kodanikel ühiselt kavandada kohalikku ja piirkondlikku poliitikat, mis vastab piirkonna vajadustele ja iseärasustele, suurendades kaasatust ja poliitika järgimist;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kutsub komisjoni üles lisama direktiivi puuetega inimesi arvestavad standardid, sealhulgas töökoha juurdepääsetavus, paindlik korraldus ja mõistlikud abinõud koolituse pakkumiseks;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rõhutab sihipäraste strateegiate tähtsust maa- ja äärepoolsetes piirkondades, kus alarahastamine, väljaränne ja tööjõupuudus ohustavad pikaajalist arengut;</w:t>
            </w:r>
            <w:r>
              <w:t xml:space="preserve"> </w:t>
            </w:r>
            <w:r>
              <w:rPr>
                <w:b/>
                <w:i/>
              </w:rPr>
              <w:t>kutsub komisjoni ja liikmesriike üles toetama kohapõhist poliitikat, mille kaudu tekitatakse majanduslikke võimalusi nii maapiirkondade inimestele kui ka ettevõtjatele, meelitatakse ligi erainvesteeringuid ja luuakse kohalikke töökohti;</w:t>
            </w:r>
            <w:r>
              <w:t xml:space="preserve"> </w:t>
            </w:r>
            <w:r>
              <w:rPr>
                <w:b/>
                <w:i/>
              </w:rPr>
              <w:t>rõhutab, et sellised strateegiad on vajalikud tagamaks, et kodanikud saavad oma kogukonnas oma tulevikku kujundada;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kutsub komisjoni üles tunnustama töötajate ja kogukondade individuaalset ja kollektiivset õigus õiglasele üleminekule nii Euroopas kui ka väljaspool ELi.</w:t>
            </w:r>
            <w:r>
              <w:t xml:space="preserve"> </w:t>
            </w:r>
            <w:r>
              <w:rPr>
                <w:b/>
                <w:i/>
              </w:rPr>
              <w:t>Üksikisiku tasandil hõlmab õigus õiglasele üleminekule õigust säilitada tööhõive või saada tööle õiglastel ja inimväärsetel tingimustel.</w:t>
            </w:r>
            <w:r>
              <w:t xml:space="preserve"> </w:t>
            </w:r>
            <w:r>
              <w:rPr>
                <w:b/>
                <w:i/>
              </w:rPr>
              <w:t>Kollektiivsel tasandil tähendab õigus õiglasele üleminekule seda, et mitte kedagi, ei rühmi ega territooriume, ei jäeta kõrvale;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rõhutab, kui oluline on pöörata erilist tähelepanu hooldussektorile ning üleminekust enim mõjutatud tööstusharude töötajatele ja piirkondadele;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rõhutab, et Eurostati piirkondlikud prognoosid näitavad, et 2020. ja 2030. aastatel väheneb tööealise elanikkonna arv paljudel aladel jätkuvalt, eelkõige piirkondades, mida juba praegu mõjutab vananemine ja väljaränne;</w:t>
            </w:r>
            <w:r>
              <w:t xml:space="preserve"> </w:t>
            </w:r>
            <w:r>
              <w:rPr>
                <w:b/>
                <w:i/>
              </w:rPr>
              <w:t>märgib, et demograafiline tasakaalustamatus suurendab maapiirkondadesse alainvesteerimise sotsiaalseid ja eelarvekulusid, sealhulgas väiksemat maksubaasi ja suuremaid teenusekulusid inimese kohta;</w:t>
            </w:r>
            <w:r>
              <w:t xml:space="preserve"> </w:t>
            </w:r>
            <w:r>
              <w:rPr>
                <w:b/>
                <w:i/>
              </w:rPr>
              <w:t>rõhutab, et sellised suundumused võivad nõrgestada tööjõupakkumist hetkel, mil kvalifitseeritud töötajad on rohe- ja digipöörde jaoks hädavajalikud;</w:t>
            </w:r>
            <w:r>
              <w:t xml:space="preserve"> </w:t>
            </w:r>
            <w:r>
              <w:rPr>
                <w:b/>
                <w:i/>
              </w:rPr>
              <w:t>kutsub seetõttu komisjoni ja liikmesriike üles seadma prioriteediks sihipärased investeeringud ja poliitikameetmed, mille abil tugevdatakse majanduslikke võimalusi maapiirkondades, toetatakse töökohtade loomist ja tagatakse kvalifitseeritud tööjõu pikaajaline olemasolu;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12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kutsub komisjoni üles tunnustama ka õigust jääda, st olla sunniviisilise liikuvuse vastu.</w:t>
            </w:r>
            <w:r>
              <w:t xml:space="preserve"> </w:t>
            </w:r>
            <w:r>
              <w:rPr>
                <w:b/>
                <w:i/>
              </w:rPr>
              <w:t>Õiglase ülemineku meetmetega tuleb tagada, et töötajatel ja kogukondadel on võimalik jääda oma praeguse töökoha ja/või elukoha geograafilisse piirkonda. See tähendabki õigust jääda, ilma milleta võib tekkida oht, et õiglase ülemineku meetmetega sunnitakse töötajad suunduma sinna, kuhu nad minna ei taha;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palub komisjonil esitada 31. jaanuariks 2027 ELi toimimise lepingu artikli 153 lõike 2 punkti b alusel koostoimes artikli 153 lõike 1 punktidega a, b, e ja h ettepaneku võtta vastu direktiiv õiglase ülemineku kohta töömaailmas, järgides lisas toodud soovitusi;</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palub komisjonil esitada 31. jaanuariks 2027 ELi toimimise lepingu artikli 153 lõike 2 punkti b alusel koostoimes artikli 153 lõike 1 punktidega a, b, e ja h ettepaneku võtta vastu direktiiv õiglase ülemineku kohta töömaailmas, järgides lisas toodud soovitusi;</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palub komisjonil esitada 31. jaanuariks 2027 ELi toimimise lepingu artikli 153 lõike 2 punkti b alusel koostoimes artikli 153 lõike 1 punktidega a, b, e ja h ettepaneku võtta vastu direktiiv õiglase ülemineku kohta töömaailmas, järgides lisas toodud soovitusi;</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palub komisjonil esitada </w:t>
            </w:r>
            <w:r>
              <w:rPr>
                <w:b/>
                <w:i/>
              </w:rPr>
              <w:t>31. jaanuariks 2027 ELi toimimise lepingu artikli 153 lõike 2 punkti b alusel koostoimes artikli 153 lõike 1 punktidega a, b, e ja h</w:t>
            </w:r>
            <w:r>
              <w:t xml:space="preserve"> ettepaneku </w:t>
            </w:r>
            <w:r>
              <w:rPr>
                <w:b/>
                <w:i/>
              </w:rPr>
              <w:t>võtta vastu direktiiv</w:t>
            </w:r>
            <w:r>
              <w:t xml:space="preserve"> õiglase ülemineku kohta töömaailmas</w:t>
            </w:r>
            <w:r>
              <w:rPr>
                <w:b/>
                <w:i/>
              </w:rPr>
              <w:t>, järgides lisas toodud soovitusi</w:t>
            </w:r>
            <w:r>
              <w:t>;</w:t>
            </w:r>
          </w:p>
        </w:tc>
        <w:tc>
          <w:tcPr>
            <w:tcW w:w="4876" w:type="dxa"/>
            <w:tcBorders>
              <w:top w:val="nil"/>
              <w:left w:val="nil"/>
              <w:bottom w:val="nil"/>
              <w:right w:val="nil"/>
            </w:tcBorders>
          </w:tcPr>
          <w:p>
            <w:pPr>
              <w:pStyle w:val="Normal6a"/>
            </w:pPr>
            <w:r>
              <w:t>13.</w:t>
            </w:r>
            <w:r>
              <w:tab/>
            </w:r>
            <w:r>
              <w:t xml:space="preserve">palub komisjonil esitada </w:t>
            </w:r>
            <w:r>
              <w:rPr>
                <w:b/>
                <w:i/>
              </w:rPr>
              <w:t>pärast Euroopa sotsiaalpartneritega konsulteerimist</w:t>
            </w:r>
            <w:r>
              <w:t xml:space="preserve"> ettepaneku </w:t>
            </w:r>
            <w:r>
              <w:rPr>
                <w:b/>
                <w:i/>
              </w:rPr>
              <w:t>koostada mitteseadusandlike meetmete raamistiku</w:t>
            </w:r>
            <w:r>
              <w:t xml:space="preserve"> õiglase ülemineku kohta töömaailmas;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palub komisjonil esitada 31. jaanuariks 2027 ELi toimimise lepingu artikli 153 lõike 2 punkti b alusel koostoimes artikli 153 lõike 1 punktidega a, b, e ja h ettepaneku võtta vastu direktiiv õiglase ülemineku kohta töömaailmas, järgides lisas toodud soovitusi;</w:t>
            </w:r>
          </w:p>
        </w:tc>
        <w:tc>
          <w:tcPr>
            <w:tcW w:w="4876" w:type="dxa"/>
            <w:tcBorders>
              <w:top w:val="nil"/>
              <w:left w:val="nil"/>
              <w:bottom w:val="nil"/>
              <w:right w:val="nil"/>
            </w:tcBorders>
          </w:tcPr>
          <w:p>
            <w:pPr>
              <w:pStyle w:val="Normal6a"/>
            </w:pPr>
            <w:r>
              <w:t>13.</w:t>
            </w:r>
            <w:r>
              <w:tab/>
            </w:r>
            <w:r>
              <w:t xml:space="preserve">palub komisjonil esitada 31. jaanuariks 2027 ELi toimimise lepingu artikli 153 lõike 2 punkti b </w:t>
            </w:r>
            <w:r>
              <w:rPr>
                <w:b/>
                <w:i/>
              </w:rPr>
              <w:t>ja c</w:t>
            </w:r>
            <w:r>
              <w:t xml:space="preserve"> alusel koostoimes artikli 153 lõike 1 punktidega a, b, e ja h ettepaneku võtta vastu direktiiv õiglase ülemineku kohta töömaailmas, järgides lisas toodud soovitusi;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on seisukohal, et </w:t>
            </w:r>
            <w:r>
              <w:rPr>
                <w:b/>
                <w:i/>
              </w:rPr>
              <w:t>taotletavate ettepanekute</w:t>
            </w:r>
            <w:r>
              <w:t xml:space="preserve"> finantsmõju tuleks katta olemasolevatest eelarveassigneeringutest;</w:t>
            </w:r>
          </w:p>
        </w:tc>
        <w:tc>
          <w:tcPr>
            <w:tcW w:w="4876" w:type="dxa"/>
            <w:tcBorders>
              <w:top w:val="nil"/>
              <w:left w:val="nil"/>
              <w:bottom w:val="nil"/>
              <w:right w:val="nil"/>
            </w:tcBorders>
          </w:tcPr>
          <w:p>
            <w:pPr>
              <w:pStyle w:val="Normal6a"/>
            </w:pPr>
            <w:r>
              <w:t>14.</w:t>
            </w:r>
            <w:r>
              <w:tab/>
            </w:r>
            <w:r>
              <w:t xml:space="preserve">on seisukohal, et </w:t>
            </w:r>
            <w:r>
              <w:rPr>
                <w:b/>
                <w:i/>
              </w:rPr>
              <w:t>käesoleva resolutsiooni</w:t>
            </w:r>
            <w:r>
              <w:t xml:space="preserve"> finantsmõju tuleks katta olemasolevatest eelarveassigneeringutest;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on seisukohal, et taotletavate ettepanekute</w:t>
            </w:r>
            <w:r>
              <w:t xml:space="preserve"> finantsmõju tuleks katta olemasolevatest eelarveassigneeringutest;</w:t>
            </w:r>
          </w:p>
        </w:tc>
        <w:tc>
          <w:tcPr>
            <w:tcW w:w="4876" w:type="dxa"/>
            <w:tcBorders>
              <w:top w:val="nil"/>
              <w:left w:val="nil"/>
              <w:bottom w:val="nil"/>
              <w:right w:val="nil"/>
            </w:tcBorders>
          </w:tcPr>
          <w:p>
            <w:pPr>
              <w:pStyle w:val="Normal6a"/>
            </w:pPr>
            <w:r>
              <w:t>14.</w:t>
            </w:r>
            <w:r>
              <w:tab/>
            </w:r>
            <w:r>
              <w:rPr>
                <w:b/>
                <w:i/>
              </w:rPr>
              <w:t>rõhutab tungivalt, et taotletud ettepaneku</w:t>
            </w:r>
            <w:r>
              <w:t xml:space="preserve"> finantsmõju tuleks katta olemasolevatest eelarveassigneeringutest</w:t>
            </w:r>
            <w:r>
              <w:rPr>
                <w:b/>
                <w:i/>
              </w:rPr>
              <w:t>, suurendamata liidu kulutusi või tekitamata maksumaksjatele lisakoormust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on seisukohal, et taotletavate ettepanekute finantsmõju tuleks katta olemasolevatest eelarveassigneeringutest;</w:t>
            </w:r>
          </w:p>
        </w:tc>
        <w:tc>
          <w:tcPr>
            <w:tcW w:w="4876" w:type="dxa"/>
            <w:tcBorders>
              <w:top w:val="nil"/>
              <w:left w:val="nil"/>
              <w:bottom w:val="nil"/>
              <w:right w:val="nil"/>
            </w:tcBorders>
          </w:tcPr>
          <w:p>
            <w:pPr>
              <w:pStyle w:val="Normal6a"/>
            </w:pPr>
            <w:r>
              <w:t>14.</w:t>
            </w:r>
            <w:r>
              <w:tab/>
            </w:r>
            <w:r>
              <w:t xml:space="preserve">on seisukohal, et taotletavate ettepanekute finantsmõju tuleks </w:t>
            </w:r>
            <w:r>
              <w:rPr>
                <w:b/>
                <w:i/>
              </w:rPr>
              <w:t>eelkõige</w:t>
            </w:r>
            <w:r>
              <w:t xml:space="preserve"> katta olemasolevatest eelarveassigneeringutest; </w:t>
            </w:r>
            <w:r>
              <w:rPr>
                <w:b/>
                <w:i/>
              </w:rPr>
              <w:t>rõhutab vajadust hinnata riiklikul ja liidu tasandil vahendite taset, mida on vaja kavandatava direktiivi eesmärkide saavutamiseks;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rõhutab, et direktiiv peab sisaldama mõjusaid, proportsionaalseid ja hoiatavaid karistusi, mida kohaldatakse direktiivis sätestatud õiguste ja kohustuste rikkumise korral;</w:t>
            </w:r>
            <w:r>
              <w:t xml:space="preserve"> </w:t>
            </w:r>
            <w:r>
              <w:rPr>
                <w:b/>
                <w:i/>
              </w:rPr>
              <w:t>rõhutab, et direktiiv peab sisaldama ka kaitse taseme säilitamist ja soodsamaid sätteid, et tagada selle õiglane ja järjepidev kohaldamine kogu liidus ning tagada ettevõtjatele võrdsed tingimused, vältida ebaausat konkurentsi ning tagada kindlus nii tööandjatele kui ka töötajatele;</w:t>
            </w:r>
            <w:r>
              <w:t xml:space="preserve"> </w:t>
            </w:r>
            <w:r>
              <w:rPr>
                <w:b/>
                <w:i/>
              </w:rPr>
              <w:t>rõhutab lisaks, et direktiiviga tuleb kaitsta olemasolevaid õigusi ja austada sotsiaalpartnerite autonoomiat;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teeb presidendile ülesandeks edastada käesolev resolutsioon </w:t>
            </w:r>
            <w:r>
              <w:rPr>
                <w:b/>
                <w:i/>
              </w:rPr>
              <w:t>ja lisas toodud soovitused</w:t>
            </w:r>
            <w:r>
              <w:t xml:space="preserve"> komisjonile ja nõukogule.</w:t>
            </w:r>
          </w:p>
        </w:tc>
        <w:tc>
          <w:tcPr>
            <w:tcW w:w="4876" w:type="dxa"/>
            <w:tcBorders>
              <w:top w:val="nil"/>
              <w:left w:val="nil"/>
              <w:bottom w:val="nil"/>
              <w:right w:val="nil"/>
            </w:tcBorders>
          </w:tcPr>
          <w:p>
            <w:pPr>
              <w:pStyle w:val="Normal6a"/>
            </w:pPr>
            <w:r>
              <w:t>15.</w:t>
            </w:r>
            <w:r>
              <w:tab/>
            </w:r>
            <w:r>
              <w:t>teeb presidendile ülesandeks edastada käesolev resolutsioon komisjonile ja nõukogule.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SOOVITUSED TAOTLETAVA ETTEPANEKU SISU KOHTA</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Euroopa direktiiv õiglase ülemineku kohta töömaailmas:</w:t>
            </w:r>
            <w:r>
              <w:rPr>
                <w:b/>
                <w:i/>
              </w:rPr>
              <w:t xml:space="preserve"> </w:t>
            </w:r>
            <w:r>
              <w:rPr>
                <w:b/>
                <w:i/>
              </w:rPr>
              <w:t>töökohtade loomise tagamine ja kohaliku majanduse elavdamine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Euroopa Parlament on seisukohal, et tulevane seadusandlik ettepanek võtta vastu direktiiv õiglase ülemineku kohta töömaailmas:</w:t>
            </w:r>
            <w:r>
              <w:rPr>
                <w:b/>
                <w:i/>
              </w:rPr>
              <w:t xml:space="preserve"> </w:t>
            </w:r>
            <w:r>
              <w:rPr>
                <w:b/>
                <w:i/>
              </w:rPr>
              <w:t>töökohtade loomise tagamine ja kohaliku majanduse elavdamine peaks järgima järgmiseid põhimõtteid ja eesmärke.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Ettepaneku üldeesmärk on luua liidu poliitikameetmete raamistik, mida saab rakendada rohe- ja digipöördest mõjutatud piirkondades, et tagada sotsiaalselt õiglane ja kaasav üleminek ning kvaliteetsete töökohtade loomine.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Ettepaneku üldeesmärk on luua liidu poliitikameetmete raamistik, mida saab rakendada rohe- ja digipöördest mõjutatud piirkondades, et tagada sotsiaalselt õiglane ja kaasav üleminek ning kvaliteetsete töökohtade loomine.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Soovitus 2:</w:t>
            </w:r>
            <w:r>
              <w:rPr>
                <w:b/>
                <w:i/>
              </w:rPr>
              <w:t xml:space="preserve"> </w:t>
            </w:r>
            <w:r>
              <w:rPr>
                <w:b/>
                <w:i/>
              </w:rPr>
              <w:t>ettepaneku kohaldamisala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Ettepanek tuleks vormistada direktiivina.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Kuna selle eesmärgi saavutamiseks on vaja terviklikku meetmepaketti, peaks ettepanek sisaldama elemente järgmistes valdkondades: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töötingimused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tööturult väljatõrjutud isikute lõimimine;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töötajate teavitamine ja ärakuulamine;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töökeskkonna parandamine, et kaitsta töötajate tervist ja ohutust.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Soovitus nr 3:</w:t>
            </w:r>
            <w:r>
              <w:rPr>
                <w:b/>
                <w:i/>
              </w:rPr>
              <w:t xml:space="preserve"> </w:t>
            </w:r>
            <w:r>
              <w:rPr>
                <w:b/>
                <w:i/>
              </w:rPr>
              <w:t>kavandatav reguleerimisese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Ettepanekus tuleks keskenduda järgmistele poliitikameetmetele: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luua spetsiaalne raamistik, et ennetada ja juhtida muutusi üleminekuga silmitsi seisvates piirkondades ja sektorites, tuginedes teavitamise ja konsulteerimise, sotsiaaldialoogi ja kollektiivläbirääkimiste põhimõtetele;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tagada õigusraamistiku läbivaatamisega, et töötajate ja nende esindajate õigust teavitamisele ja konsulteerimisele kohaldatakse ülemineku kontekstis tulemuslikult;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kehtestada töötajate individuaalne õigus tasuta koolitusele tööajal;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töötada välja riiklikud õiglase ülemineku strateegiad, pöörates erilist tähelepanu pikaajalise visiooni väljatöötamisele kohaliku majanduse ja tööjõu jaoks kõigis mõjutatud piirkondades;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töötada välja toetusprogrammid ettevõtetele, eelkõige VKEdele ja kohalikele osalejatele, et soodustada töökohtade loomist kohalikul tasandil;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tagada tööjõu ja oskuste pakkumise ja nõudluse ühitamine tööturuteabe kombineeritud kasutamisega, kohalike osalejate tõhustatud koostööga koolituspakkujatega ning ettevõtte tasandi üleminekukavade edendamisega;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töötada välja järelevalvestruktuur, et koostada tulevikusuundade strateegiline analüüs ülemineku mõju ja tööturu arengute kohta.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SOOVITUSED TAOTLETAVA ETTEPANEKU SISU KOHTA</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Euroopa direktiiv õiglase ülemineku kohta töömaailmas:</w:t>
            </w:r>
            <w:r>
              <w:rPr>
                <w:b/>
                <w:i/>
              </w:rPr>
              <w:t xml:space="preserve"> </w:t>
            </w:r>
            <w:r>
              <w:rPr>
                <w:b/>
                <w:i/>
              </w:rPr>
              <w:t>töökohtade loomise tagamine ja kohaliku majanduse elavdamine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Euroopa Parlament on seisukohal, et tulevane seadusandlik ettepanek võtta vastu direktiiv õiglase ülemineku kohta töömaailmas:</w:t>
            </w:r>
            <w:r>
              <w:rPr>
                <w:b/>
                <w:i/>
              </w:rPr>
              <w:t xml:space="preserve"> </w:t>
            </w:r>
            <w:r>
              <w:rPr>
                <w:b/>
                <w:i/>
              </w:rPr>
              <w:t>töökohtade loomise tagamine ja kohaliku majanduse elavdamine peaks järgima järgmiseid põhimõtteid ja eesmärke.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Ettepaneku üldeesmärk on luua liidu poliitikameetmete raamistik, mida saab rakendada rohe- ja digipöördest mõjutatud piirkondades, et tagada sotsiaalselt õiglane ja kaasav üleminek ning kvaliteetsete töökohtade loomine.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Ettepaneku üldeesmärk on luua liidu poliitikameetmete raamistik, mida saab rakendada rohe- ja digipöördest mõjutatud piirkondades, et tagada sotsiaalselt õiglane ja kaasav üleminek ning kvaliteetsete töökohtade loomine.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Soovitus 2:</w:t>
            </w:r>
            <w:r>
              <w:rPr>
                <w:b/>
                <w:i/>
              </w:rPr>
              <w:t xml:space="preserve"> </w:t>
            </w:r>
            <w:r>
              <w:rPr>
                <w:b/>
                <w:i/>
              </w:rPr>
              <w:t>ettepaneku kohaldamisala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Ettepanek tuleks vormistada direktiivina.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Kuna selle eesmärgi saavutamiseks on vaja terviklikku meetmepaketti, peaks ettepanek sisaldama elemente järgmistes valdkondades: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töötingimused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tööturult väljatõrjutud isikute lõimimine;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töötajate teavitamine ja ärakuulamine;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töökeskkonna parandamine, et kaitsta töötajate tervist ja ohutust.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Soovitus nr 3:</w:t>
            </w:r>
            <w:r>
              <w:rPr>
                <w:b/>
                <w:i/>
              </w:rPr>
              <w:t xml:space="preserve"> </w:t>
            </w:r>
            <w:r>
              <w:rPr>
                <w:b/>
                <w:i/>
              </w:rPr>
              <w:t>kavandatav reguleerimisese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Ettepanekus tuleks keskenduda järgmistele poliitikameetmetele: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luua spetsiaalne raamistik, et ennetada ja juhtida muutusi üleminekuga silmitsi seisvates piirkondades ja sektorites, tuginedes teavitamise ja konsulteerimise, sotsiaaldialoogi ja kollektiivläbirääkimiste põhimõtetele;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tagada õigusraamistiku läbivaatamisega, et töötajate ja nende esindajate õigust teavitamisele ja konsulteerimisele kohaldatakse ülemineku kontekstis tulemuslikult;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kehtestada töötajate individuaalne õigus tasuta koolitusele tööajal;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töötada välja riiklikud õiglase ülemineku strateegiad, pöörates erilist tähelepanu pikaajalise visiooni väljatöötamisele kohaliku majanduse ja tööjõu jaoks kõigis mõjutatud piirkondades;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töötada välja toetusprogrammid ettevõtetele, eelkõige VKEdele ja kohalikele osalejatele, et soodustada töökohtade loomist kohalikul tasandil;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tagada tööjõu ja oskuste pakkumise ja nõudluse ühitamine tööturuteabe kombineeritud kasutamisega, kohalike osalejate tõhustatud koostööga koolituspakkujatega ning ettevõtte tasandi üleminekukavade edendamisega;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töötada välja järelevalvestruktuur, et koostada tulevikusuundade strateegiline analüüs ülemineku mõju ja tööturu arengute kohta.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1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Ettepaneku üldeesmärk on </w:t>
            </w:r>
            <w:r>
              <w:rPr>
                <w:b/>
                <w:i/>
              </w:rPr>
              <w:t>luua liidu</w:t>
            </w:r>
            <w:r>
              <w:t xml:space="preserve"> poliitikameetmete </w:t>
            </w:r>
            <w:r>
              <w:rPr>
                <w:b/>
                <w:i/>
              </w:rPr>
              <w:t>raamistik</w:t>
            </w:r>
            <w:r>
              <w:t xml:space="preserve">, mida saab rakendada rohe- ja digipöördest mõjutatud piirkondades, et tagada </w:t>
            </w:r>
            <w:r>
              <w:rPr>
                <w:b/>
                <w:i/>
              </w:rPr>
              <w:t>sotsiaalselt õiglane ja kaasav üleminek ning kvaliteetsete töökohtade loomine</w:t>
            </w:r>
            <w:r>
              <w:t>.</w:t>
            </w:r>
          </w:p>
        </w:tc>
        <w:tc>
          <w:tcPr>
            <w:tcW w:w="4876" w:type="dxa"/>
            <w:tcBorders>
              <w:top w:val="nil"/>
              <w:left w:val="nil"/>
              <w:bottom w:val="nil"/>
              <w:right w:val="nil"/>
            </w:tcBorders>
          </w:tcPr>
          <w:p>
            <w:pPr>
              <w:pStyle w:val="Normal6a"/>
            </w:pPr>
            <w:r>
              <w:t xml:space="preserve">ettepaneku üldeesmärk on </w:t>
            </w:r>
            <w:r>
              <w:rPr>
                <w:b/>
                <w:i/>
              </w:rPr>
              <w:t>edendada liikmesriikides selliste</w:t>
            </w:r>
            <w:r>
              <w:t xml:space="preserve"> poliitikameetmete </w:t>
            </w:r>
            <w:r>
              <w:rPr>
                <w:b/>
                <w:i/>
              </w:rPr>
              <w:t>väljatöötamist</w:t>
            </w:r>
            <w:r>
              <w:t xml:space="preserve">, mida saab rakendada rohe- ja digipöördest mõjutatud piirkondades, et tagada </w:t>
            </w:r>
            <w:r>
              <w:rPr>
                <w:b/>
                <w:i/>
              </w:rPr>
              <w:t>kvaliteetsed töökohad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1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Ettepaneku üldeesmärk on luua liidu poliitikameetmete raamistik, mida saab rakendada rohe- ja digipöördest mõjutatud piirkondades, et tagada sotsiaalselt õiglane ja kaasav üleminek ning kvaliteetsete töökohtade loomine.</w:t>
            </w:r>
          </w:p>
        </w:tc>
        <w:tc>
          <w:tcPr>
            <w:tcW w:w="4876" w:type="dxa"/>
            <w:tcBorders>
              <w:top w:val="nil"/>
              <w:left w:val="nil"/>
              <w:bottom w:val="nil"/>
              <w:right w:val="nil"/>
            </w:tcBorders>
          </w:tcPr>
          <w:p>
            <w:pPr>
              <w:pStyle w:val="Normal6a"/>
            </w:pPr>
            <w:r>
              <w:t>Ettepaneku üldeesmärk on luua liidu poliitikameetmete raamistik, mida saab rakendada rohe- ja digipöördest mõjutatud piirkondades, et tagada sotsiaalselt õiglane ja kaasav üleminek ning kvaliteetsete töökohtade loomine</w:t>
            </w:r>
            <w:r>
              <w:rPr>
                <w:b/>
                <w:i/>
              </w:rPr>
              <w:t>, keskendudes stabiilsetele täistööajaga töökohtadele, õiglasele töötasule, kollektiivlepingutele, soolisele võrdõiguslikkusele ning ebakindluse ja deklareerimata töö vähendamisele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1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Ettepaneku üldeesmärk on luua liidu poliitikameetmete raamistik, mida saab rakendada rohe- ja digipöördest mõjutatud piirkondades, et tagada sotsiaalselt õiglane ja kaasav üleminek ning kvaliteetsete töökohtade loomine.</w:t>
            </w:r>
          </w:p>
        </w:tc>
        <w:tc>
          <w:tcPr>
            <w:tcW w:w="4876" w:type="dxa"/>
            <w:tcBorders>
              <w:top w:val="nil"/>
              <w:left w:val="nil"/>
              <w:bottom w:val="nil"/>
              <w:right w:val="nil"/>
            </w:tcBorders>
          </w:tcPr>
          <w:p>
            <w:pPr>
              <w:pStyle w:val="Normal6a"/>
            </w:pPr>
            <w:r>
              <w:t xml:space="preserve">Ettepaneku üldeesmärk on luua liidu poliitikameetmete raamistik, mida saab rakendada rohe- ja digipöördest mõjutatud piirkondades, et tagada sotsiaalselt õiglane ja kaasav üleminek ning kvaliteetsete töökohtade loomine </w:t>
            </w:r>
            <w:r>
              <w:rPr>
                <w:b/>
                <w:i/>
              </w:rPr>
              <w:t>ja kaitsmine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1 – alalõik 1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märgib, et ettepaneku üldeesmärk peaks puudutama ka oskusteta ebaseaduslike rändajate sissevoolu vähendamist ning taskukohase ja odava energia tagamist VKEdele;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2 – lõik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Ettepanek tuleks vormistada direktiivina.</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2 – lõik 2 – 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siduvate miinimumstandardite kehtestamine, et tagada tugev sotsiaalkaitse, kaitse koondamiste eest ülemineku ajal ja töötajate osalemisõiguste seaduslik tunnustamine.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2 – lõik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märgib, et sellise direktiiviga tuleb võimaldada liikmesriikidel anda tööturu osalistele asjakohasel tasandil ja liikmesriikide kehtestatud tingimustel võimalus säilitada või sõlmida kollektiivlepinguid, milles kohandatakse või millega täiendatakse direktiivis sisalduvaid norme ja/või mis on neist erinevad, tingimusel et riigisisene süsteemiga tagatakse õiglane tulemus ega rikuta põhiõigusi.</w:t>
            </w:r>
            <w:r>
              <w:t xml:space="preserve"> </w:t>
            </w:r>
            <w:r>
              <w:rPr>
                <w:b/>
                <w:i/>
              </w:rPr>
              <w:t>Direktiiv ei tohi mingil viisil mõjutada liikmesriikides ja liidu tasandil tunnustatud põhiõiguste, sealhulgas streigiõiguse või -vabaduse kasutamist või õigust või vabadust võtta muid liikmesriikide töösuhete erisüsteemidega hõlmatud meetmeid kooskõlas riigi õiguse ja/või tavadega.</w:t>
            </w:r>
            <w:r>
              <w:t xml:space="preserve"> </w:t>
            </w:r>
            <w:r>
              <w:rPr>
                <w:b/>
                <w:i/>
              </w:rPr>
              <w:t>Samuti ei tohi see mõjutada õigust pidada kooskõlas riigi õiguse ja/või tavaga läbirääkimisi kollektiivlepingute üle, neid sõlmida ja nende täitmist tagada või esitada kollektiivhagi;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fraktsiooni PfE nimel</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Ettepanekus tuleks keskenduda järgmistele poliitikameetmetele:</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Ettepanekus tuleks keskenduda järgmistele poliitikameetmetele: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luua spetsiaalne raamistik, et ennetada ja juhtida muutusi üleminekuga silmitsi seisvates piirkondades ja sektorites, tuginedes teavitamise ja konsulteerimise, sotsiaaldialoogi ja kollektiivläbirääkimiste põhimõtetele;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tagada õigusraamistiku läbivaatamisega, et töötajate ja nende esindajate õigust teavitamisele ja konsulteerimisele kohaldatakse ülemineku kontekstis tulemuslikult;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kehtestada töötajate individuaalne õigus tasuta koolitusele tööajal;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töötada välja riiklikud õiglase ülemineku strateegiad, pöörates erilist tähelepanu pikaajalise visiooni väljatöötamisele kohaliku majanduse ja tööjõu jaoks kõigis mõjutatud piirkondades;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töötada välja toetusprogrammid ettevõtetele, eelkõige VKEdele ja kohalikele osalejatele, et soodustada töökohtade loomist kohalikul tasandil;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tagada tööjõu ja oskuste pakkumise ja nõudluse ühitamine tööturuteabe kombineeritud kasutamisega, kohalike osalejate tõhustatud koostööga koolituspakkujatega ning ettevõtte tasandi üleminekukavade edendamisega;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töötada välja järelevalvestruktuur, et koostada tulevikusuundade strateegiline analüüs ülemineku mõju ja tööturu arengute kohta.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luua spetsiaalne raamistik, et ennetada ja juhtida muutusi </w:t>
            </w:r>
            <w:r>
              <w:rPr>
                <w:b/>
                <w:i/>
              </w:rPr>
              <w:t>üleminekuga</w:t>
            </w:r>
            <w:r>
              <w:t xml:space="preserve"> silmitsi seisvates piirkondades </w:t>
            </w:r>
            <w:r>
              <w:rPr>
                <w:b/>
                <w:i/>
              </w:rPr>
              <w:t>ja</w:t>
            </w:r>
            <w:r>
              <w:t xml:space="preserve"> sektorites</w:t>
            </w:r>
            <w:r>
              <w:rPr>
                <w:b/>
                <w:i/>
              </w:rPr>
              <w:t>, tuginedes teavitamise ja konsulteerimise</w:t>
            </w:r>
            <w:r>
              <w:t xml:space="preserve">, sotsiaaldialoogi ja kollektiivläbirääkimiste </w:t>
            </w:r>
            <w:r>
              <w:rPr>
                <w:b/>
                <w:i/>
              </w:rPr>
              <w:t>põhimõtetele</w:t>
            </w:r>
            <w:r>
              <w:t>;</w:t>
            </w:r>
          </w:p>
        </w:tc>
        <w:tc>
          <w:tcPr>
            <w:tcW w:w="4876" w:type="dxa"/>
            <w:tcBorders>
              <w:top w:val="nil"/>
              <w:left w:val="nil"/>
              <w:bottom w:val="nil"/>
              <w:right w:val="nil"/>
            </w:tcBorders>
          </w:tcPr>
          <w:p>
            <w:pPr>
              <w:pStyle w:val="Normal6a"/>
            </w:pPr>
            <w:r>
              <w:t>a)</w:t>
            </w:r>
            <w:r>
              <w:tab/>
            </w:r>
            <w:r>
              <w:t xml:space="preserve">luua spetsiaalne raamistik, et ennetada ja juhtida muutusi </w:t>
            </w:r>
            <w:r>
              <w:rPr>
                <w:b/>
                <w:i/>
              </w:rPr>
              <w:t>üleminekutega</w:t>
            </w:r>
            <w:r>
              <w:t xml:space="preserve"> silmitsi seisvates piirkondades</w:t>
            </w:r>
            <w:r>
              <w:rPr>
                <w:b/>
                <w:i/>
              </w:rPr>
              <w:t>,</w:t>
            </w:r>
            <w:r>
              <w:t xml:space="preserve"> sektorites </w:t>
            </w:r>
            <w:r>
              <w:rPr>
                <w:b/>
                <w:i/>
              </w:rPr>
              <w:t>ja ettevõtetes</w:t>
            </w:r>
            <w:r>
              <w:t xml:space="preserve">, </w:t>
            </w:r>
            <w:r>
              <w:rPr>
                <w:b/>
                <w:i/>
              </w:rPr>
              <w:t>teavitades õigel ajal ja tõhusalt töötajaid ja nende esindajaid (ning muid asjaomaseid sidusrühmi, sealhulgas kohalikke kogukondi, põlisrahvaid, noorterühmi ja mõjutatud kodanikke) ning konsulteerides nendega</w:t>
            </w:r>
            <w:r>
              <w:t xml:space="preserve"> sotsiaaldialoogi ja kollektiivläbirääkimiste </w:t>
            </w:r>
            <w:r>
              <w:rPr>
                <w:b/>
                <w:i/>
              </w:rPr>
              <w:t>kaudu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luua spetsiaalne raamistik, et ennetada ja juhtida muutusi üleminekuga silmitsi seisvates piirkondades </w:t>
            </w:r>
            <w:r>
              <w:rPr>
                <w:b/>
                <w:i/>
              </w:rPr>
              <w:t>ja</w:t>
            </w:r>
            <w:r>
              <w:t xml:space="preserve"> sektorites</w:t>
            </w:r>
            <w:r>
              <w:rPr>
                <w:b/>
                <w:i/>
              </w:rPr>
              <w:t>, tuginedes</w:t>
            </w:r>
            <w:r>
              <w:t xml:space="preserve"> teavitamise ja konsulteerimise, sotsiaaldialoogi ja kollektiivläbirääkimiste </w:t>
            </w:r>
            <w:r>
              <w:rPr>
                <w:b/>
                <w:i/>
              </w:rPr>
              <w:t>põhimõtetele</w:t>
            </w:r>
            <w:r>
              <w:t>;</w:t>
            </w:r>
          </w:p>
        </w:tc>
        <w:tc>
          <w:tcPr>
            <w:tcW w:w="4876" w:type="dxa"/>
            <w:tcBorders>
              <w:top w:val="nil"/>
              <w:left w:val="nil"/>
              <w:bottom w:val="nil"/>
              <w:right w:val="nil"/>
            </w:tcBorders>
          </w:tcPr>
          <w:p>
            <w:pPr>
              <w:pStyle w:val="Normal6a"/>
            </w:pPr>
            <w:r>
              <w:t>a)</w:t>
            </w:r>
            <w:r>
              <w:tab/>
            </w:r>
            <w:r>
              <w:t>luua spetsiaalne raamistik, et ennetada ja juhtida muutusi üleminekuga silmitsi seisvates piirkondades</w:t>
            </w:r>
            <w:r>
              <w:rPr>
                <w:b/>
                <w:i/>
              </w:rPr>
              <w:t>,</w:t>
            </w:r>
            <w:r>
              <w:t xml:space="preserve"> sektorites </w:t>
            </w:r>
            <w:r>
              <w:rPr>
                <w:b/>
                <w:i/>
              </w:rPr>
              <w:t>ja ettevõtetes ning seda õigeaegse ja tõhusa</w:t>
            </w:r>
            <w:r>
              <w:t xml:space="preserve"> teavitamise ja konsulteerimise, sotsiaaldialoogi ja kollektiivläbirääkimiste </w:t>
            </w:r>
            <w:r>
              <w:rPr>
                <w:b/>
                <w:i/>
              </w:rPr>
              <w:t>kaudu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luua spetsiaalne raamistik, et ennetada ja juhtida muutusi üleminekuga silmitsi seisvates piirkondades </w:t>
            </w:r>
            <w:r>
              <w:rPr>
                <w:b/>
                <w:i/>
              </w:rPr>
              <w:t>ja</w:t>
            </w:r>
            <w:r>
              <w:t xml:space="preserve"> sektorites</w:t>
            </w:r>
            <w:r>
              <w:rPr>
                <w:b/>
                <w:i/>
              </w:rPr>
              <w:t>, tuginedes</w:t>
            </w:r>
            <w:r>
              <w:t xml:space="preserve"> teavitamise ja konsulteerimise, sotsiaaldialoogi ja kollektiivläbirääkimiste </w:t>
            </w:r>
            <w:r>
              <w:rPr>
                <w:b/>
                <w:i/>
              </w:rPr>
              <w:t>põhimõtetele</w:t>
            </w:r>
            <w:r>
              <w:t>;</w:t>
            </w:r>
          </w:p>
        </w:tc>
        <w:tc>
          <w:tcPr>
            <w:tcW w:w="4876" w:type="dxa"/>
            <w:tcBorders>
              <w:top w:val="nil"/>
              <w:left w:val="nil"/>
              <w:bottom w:val="nil"/>
              <w:right w:val="nil"/>
            </w:tcBorders>
          </w:tcPr>
          <w:p>
            <w:pPr>
              <w:pStyle w:val="Normal6a"/>
            </w:pPr>
            <w:r>
              <w:t>a)</w:t>
            </w:r>
            <w:r>
              <w:tab/>
            </w:r>
            <w:r>
              <w:t>luua spetsiaalne raamistik, et ennetada ja juhtida muutusi üleminekuga silmitsi seisvates piirkondades</w:t>
            </w:r>
            <w:r>
              <w:rPr>
                <w:b/>
                <w:i/>
              </w:rPr>
              <w:t>,</w:t>
            </w:r>
            <w:r>
              <w:t xml:space="preserve"> sektorites </w:t>
            </w:r>
            <w:r>
              <w:rPr>
                <w:b/>
                <w:i/>
              </w:rPr>
              <w:t>ja ettevõtetes ning seda õigeaegse ja tõhusa</w:t>
            </w:r>
            <w:r>
              <w:t> teavitamise ja konsulteerimise, sotsiaaldialoogi ja kollektiivläbirääkimiste </w:t>
            </w:r>
            <w:r>
              <w:rPr>
                <w:b/>
                <w:i/>
              </w:rPr>
              <w:t>kaudu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luua spetsiaalne raamistik, et ennetada ja juhtida muutusi üleminekuga silmitsi seisvates piirkondades ja sektorites, tuginedes teavitamise ja konsulteerimise, sotsiaaldialoogi ja kollektiivläbirääkimiste põhimõtetele;</w:t>
            </w:r>
          </w:p>
        </w:tc>
        <w:tc>
          <w:tcPr>
            <w:tcW w:w="4876" w:type="dxa"/>
            <w:tcBorders>
              <w:top w:val="nil"/>
              <w:left w:val="nil"/>
              <w:bottom w:val="nil"/>
              <w:right w:val="nil"/>
            </w:tcBorders>
          </w:tcPr>
          <w:p>
            <w:pPr>
              <w:pStyle w:val="Normal6a"/>
            </w:pPr>
            <w:r>
              <w:t>a)</w:t>
            </w:r>
            <w:r>
              <w:tab/>
            </w:r>
            <w:r>
              <w:t xml:space="preserve">luua spetsiaalne raamistik, et ennetada ja juhtida muutusi üleminekuga silmitsi seisvates piirkondades ja sektorites, tuginedes teavitamise ja konsulteerimise, </w:t>
            </w:r>
            <w:r>
              <w:rPr>
                <w:b/>
                <w:i/>
              </w:rPr>
              <w:t>kohustusliku</w:t>
            </w:r>
            <w:r>
              <w:t xml:space="preserve"> sotsiaaldialoogi ja kollektiivläbirääkimiste põhimõtetele;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kehtestada individuaalsed õiglase ülemineku õigused:</w:t>
            </w:r>
            <w:r>
              <w:t xml:space="preserve"> </w:t>
            </w:r>
            <w:r>
              <w:rPr>
                <w:b/>
                <w:i/>
              </w:rPr>
              <w:t>töötajate õigus õiglastele ja inimväärsetele töötingimustele ning üleminekuteks vajalikele oskustele ja koolitusele;</w:t>
            </w:r>
            <w:r>
              <w:t xml:space="preserve"> </w:t>
            </w:r>
            <w:r>
              <w:rPr>
                <w:b/>
                <w:i/>
              </w:rPr>
              <w:t>kõigi kaksiküleminekust ja sellega seotud ümberkorraldustest mõjutatud isikute õigus saada õiglastel ja inimväärsetel tingimustel tööd oma praeguses geograafilises 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a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kehtestada kollektiivne õiglase ülemineku õigus:</w:t>
            </w:r>
            <w:r>
              <w:t xml:space="preserve"> </w:t>
            </w:r>
            <w:r>
              <w:rPr>
                <w:b/>
                <w:i/>
              </w:rPr>
              <w:t>liikmesriigid tagavad, et ühtki territooriumi ega kogukonda ei jäeta kõrvale;</w:t>
            </w:r>
            <w:r>
              <w:t xml:space="preserve"> </w:t>
            </w:r>
            <w:r>
              <w:rPr>
                <w:b/>
                <w:i/>
              </w:rPr>
              <w:t>see tähendab õigust elada tervislikus keskkonnas, kasutada ära töövõimalusi eri sektorites ja pääseda juurde sotsiaalteenustele;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tagada </w:t>
            </w:r>
            <w:r>
              <w:rPr>
                <w:b/>
                <w:i/>
              </w:rPr>
              <w:t>õigusraamistiku läbivaatamisega, et</w:t>
            </w:r>
            <w:r>
              <w:t xml:space="preserve"> töötajate ja nende esindajate </w:t>
            </w:r>
            <w:r>
              <w:rPr>
                <w:b/>
                <w:i/>
              </w:rPr>
              <w:t>õigust</w:t>
            </w:r>
            <w:r>
              <w:t xml:space="preserve"> teavitamisele ja konsulteerimisele </w:t>
            </w:r>
            <w:r>
              <w:rPr>
                <w:b/>
                <w:i/>
              </w:rPr>
              <w:t>kohaldatakse ülemineku kontekstis tulemuslikult</w:t>
            </w:r>
            <w:r>
              <w:t>;</w:t>
            </w:r>
          </w:p>
        </w:tc>
        <w:tc>
          <w:tcPr>
            <w:tcW w:w="4876" w:type="dxa"/>
            <w:tcBorders>
              <w:top w:val="nil"/>
              <w:left w:val="nil"/>
              <w:bottom w:val="nil"/>
              <w:right w:val="nil"/>
            </w:tcBorders>
          </w:tcPr>
          <w:p>
            <w:pPr>
              <w:pStyle w:val="Normal6a"/>
            </w:pPr>
            <w:r>
              <w:t>b)</w:t>
            </w:r>
            <w:r>
              <w:tab/>
            </w:r>
            <w:r>
              <w:t xml:space="preserve">tagada töötajate ja nende esindajate </w:t>
            </w:r>
            <w:r>
              <w:rPr>
                <w:b/>
                <w:i/>
              </w:rPr>
              <w:t>õigus</w:t>
            </w:r>
            <w:r>
              <w:t xml:space="preserve"> teavitamisele ja konsulteerimisele</w:t>
            </w:r>
            <w:r>
              <w:rPr>
                <w:b/>
                <w:i/>
              </w:rPr>
              <w:t>, nagu on sätestatud teavitamist ja nõustamist käsitlevates liidu ja liikmesriikide sätetes, sealhulgas direktiivis 2002/14/EÜ</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tagada õigusraamistiku läbivaatamisega, et töötajate ja nende esindajate õigust teavitamisele ja konsulteerimisele kohaldatakse </w:t>
            </w:r>
            <w:r>
              <w:rPr>
                <w:b/>
                <w:i/>
              </w:rPr>
              <w:t>ülemineku</w:t>
            </w:r>
            <w:r>
              <w:t xml:space="preserve"> kontekstis tulemuslikult;</w:t>
            </w:r>
          </w:p>
        </w:tc>
        <w:tc>
          <w:tcPr>
            <w:tcW w:w="4876" w:type="dxa"/>
            <w:tcBorders>
              <w:top w:val="nil"/>
              <w:left w:val="nil"/>
              <w:bottom w:val="nil"/>
              <w:right w:val="nil"/>
            </w:tcBorders>
          </w:tcPr>
          <w:p>
            <w:pPr>
              <w:pStyle w:val="Normal6a"/>
            </w:pPr>
            <w:r>
              <w:t>b)</w:t>
            </w:r>
            <w:r>
              <w:tab/>
            </w:r>
            <w:r>
              <w:t xml:space="preserve">tagada õigusraamistiku läbivaatamisega, et töötajate ja nende esindajate õigust teavitamisele ja konsulteerimisele </w:t>
            </w:r>
            <w:r>
              <w:rPr>
                <w:b/>
                <w:i/>
              </w:rPr>
              <w:t>tugevdatakse ja</w:t>
            </w:r>
            <w:r>
              <w:t xml:space="preserve"> kohaldatakse </w:t>
            </w:r>
            <w:r>
              <w:rPr>
                <w:b/>
                <w:i/>
              </w:rPr>
              <w:t>üleminekute</w:t>
            </w:r>
            <w:r>
              <w:t xml:space="preserve"> kontekstis tulemuslikult; </w:t>
            </w:r>
            <w:r>
              <w:rPr>
                <w:b/>
                <w:i/>
              </w:rPr>
              <w:t>märgib, et tugevdada tuleb sidusrühmade, sealhulgas töötajate ja kohalike kogukondade õigusi kavandada õiglase ülemineku meetmeid ühiselt ja võtta vastu otsuseid;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tagada õigusraamistiku läbivaatamisega, et töötajate ja nende esindajate õigust teavitamisele ja konsulteerimisele kohaldatakse </w:t>
            </w:r>
            <w:r>
              <w:rPr>
                <w:b/>
                <w:i/>
              </w:rPr>
              <w:t>ülemineku</w:t>
            </w:r>
            <w:r>
              <w:t xml:space="preserve"> kontekstis tulemuslikult;</w:t>
            </w:r>
          </w:p>
        </w:tc>
        <w:tc>
          <w:tcPr>
            <w:tcW w:w="4876" w:type="dxa"/>
            <w:tcBorders>
              <w:top w:val="nil"/>
              <w:left w:val="nil"/>
              <w:bottom w:val="nil"/>
              <w:right w:val="nil"/>
            </w:tcBorders>
          </w:tcPr>
          <w:p>
            <w:pPr>
              <w:pStyle w:val="Normal6a"/>
            </w:pPr>
            <w:r>
              <w:t>b)</w:t>
            </w:r>
            <w:r>
              <w:tab/>
            </w:r>
            <w:r>
              <w:t xml:space="preserve">tagada õigusraamistiku läbivaatamisega, et töötajate ja nende esindajate õigust teavitamisele ja konsulteerimisele </w:t>
            </w:r>
            <w:r>
              <w:rPr>
                <w:b/>
                <w:i/>
              </w:rPr>
              <w:t>tugevdatakse ja</w:t>
            </w:r>
            <w:r>
              <w:t xml:space="preserve"> kohaldatakse </w:t>
            </w:r>
            <w:r>
              <w:rPr>
                <w:b/>
                <w:i/>
              </w:rPr>
              <w:t>üleminekute</w:t>
            </w:r>
            <w:r>
              <w:t xml:space="preserve"> kontekstis tulemuslikult;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tagada õigusraamistiku läbivaatamisega, et töötajate ja nende esindajate õigust teavitamisele ja konsulteerimisele kohaldatakse </w:t>
            </w:r>
            <w:r>
              <w:rPr>
                <w:b/>
                <w:i/>
              </w:rPr>
              <w:t>ülemineku</w:t>
            </w:r>
            <w:r>
              <w:t xml:space="preserve"> kontekstis tulemuslikult;</w:t>
            </w:r>
          </w:p>
        </w:tc>
        <w:tc>
          <w:tcPr>
            <w:tcW w:w="4876" w:type="dxa"/>
            <w:tcBorders>
              <w:top w:val="nil"/>
              <w:left w:val="nil"/>
              <w:bottom w:val="nil"/>
              <w:right w:val="nil"/>
            </w:tcBorders>
          </w:tcPr>
          <w:p>
            <w:pPr>
              <w:pStyle w:val="Normal6a"/>
            </w:pPr>
            <w:r>
              <w:t>b)</w:t>
            </w:r>
            <w:r>
              <w:tab/>
            </w:r>
            <w:r>
              <w:t xml:space="preserve">tagada õigusraamistiku läbivaatamisega, et töötajate ja nende esindajate õigust teavitamisele ja konsulteerimisele </w:t>
            </w:r>
            <w:r>
              <w:rPr>
                <w:b/>
                <w:i/>
              </w:rPr>
              <w:t>tugevdatakse ja</w:t>
            </w:r>
            <w:r>
              <w:t xml:space="preserve"> kohaldatakse </w:t>
            </w:r>
            <w:r>
              <w:rPr>
                <w:b/>
                <w:i/>
              </w:rPr>
              <w:t>üleminekute</w:t>
            </w:r>
            <w:r>
              <w:t xml:space="preserve"> kontekstis tulemuslikult;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kehtestada töötajate </w:t>
            </w:r>
            <w:r>
              <w:rPr>
                <w:b/>
                <w:i/>
              </w:rPr>
              <w:t>individuaalne</w:t>
            </w:r>
            <w:r>
              <w:t xml:space="preserve"> õigus tasuta koolitusele tööajal;</w:t>
            </w:r>
          </w:p>
        </w:tc>
        <w:tc>
          <w:tcPr>
            <w:tcW w:w="4876" w:type="dxa"/>
            <w:tcBorders>
              <w:top w:val="nil"/>
              <w:left w:val="nil"/>
              <w:bottom w:val="nil"/>
              <w:right w:val="nil"/>
            </w:tcBorders>
          </w:tcPr>
          <w:p>
            <w:pPr>
              <w:pStyle w:val="Normal6a"/>
            </w:pPr>
            <w:r>
              <w:t>c)</w:t>
            </w:r>
            <w:r>
              <w:tab/>
            </w:r>
            <w:r>
              <w:t xml:space="preserve">kehtestada töötajate </w:t>
            </w:r>
            <w:r>
              <w:rPr>
                <w:b/>
                <w:i/>
              </w:rPr>
              <w:t>üldine</w:t>
            </w:r>
            <w:r>
              <w:t xml:space="preserve"> õigus tasuta koolitusele</w:t>
            </w:r>
            <w:r>
              <w:rPr>
                <w:b/>
                <w:i/>
              </w:rPr>
              <w:t>, mida rahastatakse peamiselt riiklikest vahenditest ja mis toimub</w:t>
            </w:r>
            <w:r>
              <w:t xml:space="preserve"> tööajal;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kehtestada </w:t>
            </w:r>
            <w:r>
              <w:rPr>
                <w:b/>
                <w:i/>
              </w:rPr>
              <w:t>töötajate</w:t>
            </w:r>
            <w:r>
              <w:t xml:space="preserve"> individuaalne õigus </w:t>
            </w:r>
            <w:r>
              <w:rPr>
                <w:b/>
                <w:i/>
              </w:rPr>
              <w:t>tasuta</w:t>
            </w:r>
            <w:r>
              <w:t xml:space="preserve"> koolitusele </w:t>
            </w:r>
            <w:r>
              <w:rPr>
                <w:b/>
                <w:i/>
              </w:rPr>
              <w:t>tööajal</w:t>
            </w:r>
            <w:r>
              <w:t>;</w:t>
            </w:r>
          </w:p>
        </w:tc>
        <w:tc>
          <w:tcPr>
            <w:tcW w:w="4876" w:type="dxa"/>
            <w:tcBorders>
              <w:top w:val="nil"/>
              <w:left w:val="nil"/>
              <w:bottom w:val="nil"/>
              <w:right w:val="nil"/>
            </w:tcBorders>
          </w:tcPr>
          <w:p>
            <w:pPr>
              <w:pStyle w:val="Normal6a"/>
            </w:pPr>
            <w:r>
              <w:t>c)</w:t>
            </w:r>
            <w:r>
              <w:tab/>
            </w:r>
            <w:r>
              <w:t>kehtestada individuaalne õigus koolitusele;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kehtestada töötajate individuaalne õigus tasuta koolitusele tööajal;</w:t>
            </w:r>
          </w:p>
        </w:tc>
        <w:tc>
          <w:tcPr>
            <w:tcW w:w="4876" w:type="dxa"/>
            <w:tcBorders>
              <w:top w:val="nil"/>
              <w:left w:val="nil"/>
              <w:bottom w:val="nil"/>
              <w:right w:val="nil"/>
            </w:tcBorders>
          </w:tcPr>
          <w:p>
            <w:pPr>
              <w:pStyle w:val="Normal6a"/>
            </w:pPr>
            <w:r>
              <w:t>c)</w:t>
            </w:r>
            <w:r>
              <w:tab/>
            </w:r>
            <w:r>
              <w:t xml:space="preserve">kehtestada töötajate individuaalne õigus tasuta koolitusele </w:t>
            </w:r>
            <w:r>
              <w:rPr>
                <w:b/>
                <w:i/>
              </w:rPr>
              <w:t>ja elukestvale õppele</w:t>
            </w:r>
            <w:r>
              <w:t xml:space="preserve"> tööajal;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c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tugevdada kollektiivläbirääkimisi, suurendada kollektiivläbirääkimiste katvust, et töötajate üleminekut tulemuslikult toetada;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töötada välja riiklikud õiglase ülemineku strateegiad, pöörates erilist tähelepanu pikaajalise visiooni väljatöötamisele kohaliku majanduse ja tööjõu jaoks kõigis mõjutatud piirkondades;</w:t>
            </w:r>
          </w:p>
        </w:tc>
        <w:tc>
          <w:tcPr>
            <w:tcW w:w="4876" w:type="dxa"/>
            <w:tcBorders>
              <w:top w:val="nil"/>
              <w:left w:val="nil"/>
              <w:bottom w:val="nil"/>
              <w:right w:val="nil"/>
            </w:tcBorders>
          </w:tcPr>
          <w:p>
            <w:pPr>
              <w:pStyle w:val="Normal6a"/>
            </w:pPr>
            <w:r>
              <w:t>d)</w:t>
            </w:r>
            <w:r>
              <w:tab/>
            </w:r>
            <w:r>
              <w:t xml:space="preserve">töötada välja riiklikud õiglase ülemineku strateegiad, </w:t>
            </w:r>
            <w:r>
              <w:rPr>
                <w:b/>
                <w:i/>
              </w:rPr>
              <w:t>pidades sisulist dialoogi ametiühingutega ning</w:t>
            </w:r>
            <w:r>
              <w:t xml:space="preserve"> pöörates erilist tähelepanu pikaajalise visiooni väljatöötamisele kohaliku majanduse ja tööjõu jaoks kõigis mõjutatud piirkondades </w:t>
            </w:r>
            <w:r>
              <w:rPr>
                <w:b/>
                <w:i/>
              </w:rPr>
              <w:t>ja sektorites</w:t>
            </w:r>
            <w:r>
              <w:t xml:space="preserve">; </w:t>
            </w:r>
            <w:r>
              <w:rPr>
                <w:b/>
                <w:i/>
              </w:rPr>
              <w:t>tagada, et valdkondlikud strateegiad ja meetmed, sealhulgas oskuste ja koolituskavad, kavandatakse sotsiaaldialoogi kaudu ühiselt, tagades sotsiaalpartneritele võrdsed otsustusõigused;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töötada välja riiklikud õiglase ülemineku strateegiad, pöörates erilist tähelepanu pikaajalise visiooni väljatöötamisele kohaliku majanduse ja tööjõu jaoks kõigis mõjutatud piirkondades;</w:t>
            </w:r>
          </w:p>
        </w:tc>
        <w:tc>
          <w:tcPr>
            <w:tcW w:w="4876" w:type="dxa"/>
            <w:tcBorders>
              <w:top w:val="nil"/>
              <w:left w:val="nil"/>
              <w:bottom w:val="nil"/>
              <w:right w:val="nil"/>
            </w:tcBorders>
          </w:tcPr>
          <w:p>
            <w:pPr>
              <w:pStyle w:val="Normal6a"/>
            </w:pPr>
            <w:r>
              <w:t>d)</w:t>
            </w:r>
            <w:r>
              <w:tab/>
            </w:r>
            <w:r>
              <w:t xml:space="preserve">töötada välja </w:t>
            </w:r>
            <w:r>
              <w:rPr>
                <w:b/>
                <w:i/>
              </w:rPr>
              <w:t>kohustuslikud</w:t>
            </w:r>
            <w:r>
              <w:t xml:space="preserve"> riiklikud õiglase ülemineku strateegiad, </w:t>
            </w:r>
            <w:r>
              <w:rPr>
                <w:b/>
                <w:i/>
              </w:rPr>
              <w:t>pidades sisulist dialoogi ametiühingutega ning</w:t>
            </w:r>
            <w:r>
              <w:t xml:space="preserve"> pöörates erilist tähelepanu pikaajalise visiooni väljatöötamisele kohaliku majanduse ja tööjõu jaoks kõigis mõjutatud piirkondades </w:t>
            </w:r>
            <w:r>
              <w:rPr>
                <w:b/>
                <w:i/>
              </w:rPr>
              <w:t>ja sektorites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töötada välja riiklikud õiglase ülemineku strateegiad, pöörates erilist tähelepanu pikaajalise visiooni väljatöötamisele kohaliku majanduse ja tööjõu jaoks kõigis mõjutatud piirkondades;</w:t>
            </w:r>
          </w:p>
        </w:tc>
        <w:tc>
          <w:tcPr>
            <w:tcW w:w="4876" w:type="dxa"/>
            <w:tcBorders>
              <w:top w:val="nil"/>
              <w:left w:val="nil"/>
              <w:bottom w:val="nil"/>
              <w:right w:val="nil"/>
            </w:tcBorders>
          </w:tcPr>
          <w:p>
            <w:pPr>
              <w:pStyle w:val="Normal6a"/>
            </w:pPr>
            <w:r>
              <w:t>d)</w:t>
            </w:r>
            <w:r>
              <w:tab/>
            </w:r>
            <w:r>
              <w:t xml:space="preserve">töötada välja riiklikud õiglase ülemineku strateegiad, </w:t>
            </w:r>
            <w:r>
              <w:rPr>
                <w:b/>
                <w:i/>
              </w:rPr>
              <w:t>pidades sisulist dialoogi ametiühingutega ning</w:t>
            </w:r>
            <w:r>
              <w:t xml:space="preserve"> pöörates erilist tähelepanu pikaajalise visiooni väljatöötamisele kohaliku majanduse ja tööjõu jaoks kõigis mõjutatud piirkondades </w:t>
            </w:r>
            <w:r>
              <w:rPr>
                <w:b/>
                <w:i/>
              </w:rPr>
              <w:t>ja sektorites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töötada välja riiklikud õiglase ülemineku strateegiad, pöörates erilist tähelepanu pikaajalise visiooni väljatöötamisele kohaliku majanduse ja tööjõu jaoks kõigis mõjutatud piirkondades;</w:t>
            </w:r>
          </w:p>
        </w:tc>
        <w:tc>
          <w:tcPr>
            <w:tcW w:w="4876" w:type="dxa"/>
            <w:tcBorders>
              <w:top w:val="nil"/>
              <w:left w:val="nil"/>
              <w:bottom w:val="nil"/>
              <w:right w:val="nil"/>
            </w:tcBorders>
          </w:tcPr>
          <w:p>
            <w:pPr>
              <w:pStyle w:val="Normal6a"/>
            </w:pPr>
            <w:r>
              <w:t>d)</w:t>
            </w:r>
            <w:r>
              <w:tab/>
            </w:r>
            <w:r>
              <w:t xml:space="preserve">töötada välja riiklikud õiglase ülemineku strateegiad, pöörates erilist tähelepanu pikaajalise visiooni väljatöötamisele kohaliku majanduse ja tööjõu jaoks kõigis mõjutatud piirkondades </w:t>
            </w:r>
            <w:r>
              <w:rPr>
                <w:b/>
                <w:i/>
              </w:rPr>
              <w:t>ja sektorites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töötada välja riiklikud õiglase ülemineku strateegiad, pöörates erilist tähelepanu pikaajalise visiooni väljatöötamisele kohaliku majanduse ja tööjõu jaoks kõigis mõjutatud piirkondades;</w:t>
            </w:r>
          </w:p>
        </w:tc>
        <w:tc>
          <w:tcPr>
            <w:tcW w:w="4876" w:type="dxa"/>
            <w:tcBorders>
              <w:top w:val="nil"/>
              <w:left w:val="nil"/>
              <w:bottom w:val="nil"/>
              <w:right w:val="nil"/>
            </w:tcBorders>
          </w:tcPr>
          <w:p>
            <w:pPr>
              <w:pStyle w:val="Normal6a"/>
            </w:pPr>
            <w:r>
              <w:t>d)</w:t>
            </w:r>
            <w:r>
              <w:tab/>
            </w:r>
            <w:r>
              <w:t xml:space="preserve">töötada välja riiklikud õiglase ülemineku strateegiad, pöörates erilist tähelepanu pikaajalise visiooni väljatöötamisele kohaliku majanduse ja tööjõu jaoks kõigis mõjutatud </w:t>
            </w:r>
            <w:r>
              <w:rPr>
                <w:b/>
                <w:i/>
              </w:rPr>
              <w:t>sektorites ja</w:t>
            </w:r>
            <w:r>
              <w:t xml:space="preserve"> piirkondades;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tagada avaliku sektori asutuste ja sotsiaalpartnerite suutlikkus teha sidusrühmadega koostööd, et ühiselt kavandada ja jälgida tulemuslikke õiglase ülemineku poliitikameetmeid, milles võetakse arvesse poliitika jaotuslikku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töötada välja toetusprogrammid ettevõtetele, eelkõige VKEdele </w:t>
            </w:r>
            <w:r>
              <w:rPr>
                <w:b/>
                <w:i/>
              </w:rPr>
              <w:t>ja</w:t>
            </w:r>
            <w:r>
              <w:t xml:space="preserve"> kohalikele osalejatele, et soodustada töökohtade loomist kohalikul tasandil;</w:t>
            </w:r>
          </w:p>
        </w:tc>
        <w:tc>
          <w:tcPr>
            <w:tcW w:w="4876" w:type="dxa"/>
            <w:tcBorders>
              <w:top w:val="nil"/>
              <w:left w:val="nil"/>
              <w:bottom w:val="nil"/>
              <w:right w:val="nil"/>
            </w:tcBorders>
          </w:tcPr>
          <w:p>
            <w:pPr>
              <w:pStyle w:val="Normal6a"/>
            </w:pPr>
            <w:r>
              <w:t>e)</w:t>
            </w:r>
            <w:r>
              <w:tab/>
            </w:r>
            <w:r>
              <w:t>töötada välja toetusprogrammid ettevõtetele, eelkõige VKEdele</w:t>
            </w:r>
            <w:r>
              <w:rPr>
                <w:b/>
                <w:i/>
              </w:rPr>
              <w:t>,</w:t>
            </w:r>
            <w:r>
              <w:t xml:space="preserve"> kohalikele osalejatele </w:t>
            </w:r>
            <w:r>
              <w:rPr>
                <w:b/>
                <w:i/>
              </w:rPr>
              <w:t>ja sotsiaalmajanduse üksustele</w:t>
            </w:r>
            <w:r>
              <w:t>, et soodustada töökohtade loomist kohalikul tasandil;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töötada välja toetusprogrammid ettevõtetele, eelkõige VKEdele ja kohalikele osalejatele, et soodustada töökohtade loomist kohalikul tasandil;</w:t>
            </w:r>
          </w:p>
        </w:tc>
        <w:tc>
          <w:tcPr>
            <w:tcW w:w="4876" w:type="dxa"/>
            <w:tcBorders>
              <w:top w:val="nil"/>
              <w:left w:val="nil"/>
              <w:bottom w:val="nil"/>
              <w:right w:val="nil"/>
            </w:tcBorders>
          </w:tcPr>
          <w:p>
            <w:pPr>
              <w:pStyle w:val="Normal6a"/>
            </w:pPr>
            <w:r>
              <w:t>e)</w:t>
            </w:r>
            <w:r>
              <w:tab/>
            </w:r>
            <w:r>
              <w:t xml:space="preserve">töötada </w:t>
            </w:r>
            <w:r>
              <w:rPr>
                <w:b/>
                <w:i/>
              </w:rPr>
              <w:t>sotsiaalsete tingimuste põhjal</w:t>
            </w:r>
            <w:r>
              <w:t xml:space="preserve"> välja toetusprogrammid ettevõtetele, eelkõige VKEdele ja kohalikele osalejatele, et soodustada töökohtade loomist kohalikul tasandil;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töötada välja toetusprogrammid ettevõtetele, eelkõige VKEdele ja kohalikele osalejatele, et soodustada töökohtade loomist kohalikul tasandil;</w:t>
            </w:r>
          </w:p>
        </w:tc>
        <w:tc>
          <w:tcPr>
            <w:tcW w:w="4876" w:type="dxa"/>
            <w:tcBorders>
              <w:top w:val="nil"/>
              <w:left w:val="nil"/>
              <w:bottom w:val="nil"/>
              <w:right w:val="nil"/>
            </w:tcBorders>
          </w:tcPr>
          <w:p>
            <w:pPr>
              <w:pStyle w:val="Normal6a"/>
            </w:pPr>
            <w:r>
              <w:t>e)</w:t>
            </w:r>
            <w:r>
              <w:tab/>
            </w:r>
            <w:r>
              <w:t xml:space="preserve">töötada välja toetusprogrammid ettevõtetele, eelkõige VKEdele ja kohalikele osalejatele, et soodustada </w:t>
            </w:r>
            <w:r>
              <w:rPr>
                <w:b/>
                <w:i/>
              </w:rPr>
              <w:t>kvaliteetsete</w:t>
            </w:r>
            <w:r>
              <w:t xml:space="preserve"> töökohtade loomist kohalikul tasandil;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restruktureerimise ja võimaliku vallandamise korral töötavad liikmesriigid välja toetusprogrammid ja stiimulid töötajate juhitavatele algatustele, sealhulgas töötajate ühistutele, töötajatepoolsetele väljaostudele ja muudele kollektiivse või kogukonnapõhise omandi vormidele, kui nende eesmärk on tagada sotsiaalselt ja keskkonnaalaselt õiglane üleminek;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tagada tööjõu ja oskuste pakkumise ja nõudluse ühitamine tööturuteabe kombineeritud kasutamisega, kohalike osalejate tõhustatud koostööga koolituspakkujatega ning ettevõtte tasandi üleminekukavade edendamisega;</w:t>
            </w:r>
          </w:p>
        </w:tc>
        <w:tc>
          <w:tcPr>
            <w:tcW w:w="4876" w:type="dxa"/>
            <w:tcBorders>
              <w:top w:val="nil"/>
              <w:left w:val="nil"/>
              <w:bottom w:val="nil"/>
              <w:right w:val="nil"/>
            </w:tcBorders>
          </w:tcPr>
          <w:p>
            <w:pPr>
              <w:pStyle w:val="Normal6a"/>
            </w:pPr>
            <w:r>
              <w:t>f)</w:t>
            </w:r>
            <w:r>
              <w:tab/>
            </w:r>
            <w:r>
              <w:t xml:space="preserve">tagada tööjõu ja oskuste pakkumise ja nõudluse ühitamine tööturuteabe kombineeritud kasutamisega, kohalike osalejate </w:t>
            </w:r>
            <w:r>
              <w:rPr>
                <w:b/>
                <w:i/>
              </w:rPr>
              <w:t>ja sotsiaalpartnerite</w:t>
            </w:r>
            <w:r>
              <w:t xml:space="preserve"> tõhustatud koostööga koolituspakkujatega ning ettevõtte tasandi üleminekukavade edendamisega;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tagada tööjõu ja oskuste pakkumise ja nõudluse ühitamine tööturuteabe kombineeritud </w:t>
            </w:r>
            <w:r>
              <w:rPr>
                <w:b/>
                <w:i/>
              </w:rPr>
              <w:t>kasutamisega,</w:t>
            </w:r>
            <w:r>
              <w:t xml:space="preserve"> kohalike osalejate tõhustatud </w:t>
            </w:r>
            <w:r>
              <w:rPr>
                <w:b/>
                <w:i/>
              </w:rPr>
              <w:t>koostööga koolituspakkujatega ning ettevõtte tasandi üleminekukavade edendamisega</w:t>
            </w:r>
            <w:r>
              <w:t>;</w:t>
            </w:r>
          </w:p>
        </w:tc>
        <w:tc>
          <w:tcPr>
            <w:tcW w:w="4876" w:type="dxa"/>
            <w:tcBorders>
              <w:top w:val="nil"/>
              <w:left w:val="nil"/>
              <w:bottom w:val="nil"/>
              <w:right w:val="nil"/>
            </w:tcBorders>
          </w:tcPr>
          <w:p>
            <w:pPr>
              <w:pStyle w:val="Normal6a"/>
            </w:pPr>
            <w:r>
              <w:t>f)</w:t>
            </w:r>
            <w:r>
              <w:tab/>
            </w:r>
            <w:r>
              <w:t xml:space="preserve">tagada tööjõu ja oskuste pakkumise ja nõudluse ühitamine tööturuteabe kombineeritud </w:t>
            </w:r>
            <w:r>
              <w:rPr>
                <w:b/>
                <w:i/>
              </w:rPr>
              <w:t>kasutamise ning sotsiaalpartnerite ja</w:t>
            </w:r>
            <w:r>
              <w:t xml:space="preserve"> kohalike osalejate tõhustatud </w:t>
            </w:r>
            <w:r>
              <w:rPr>
                <w:b/>
                <w:i/>
              </w:rPr>
              <w:t>koostöö kaudu koolituse pakkujatega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tagada tööjõu ja oskuste pakkumise ja nõudluse ühitamine tööturuteabe kombineeritud kasutamisega, kohalike osalejate tõhustatud koostööga koolituspakkujatega ning ettevõtte tasandi üleminekukavade edendamisega;</w:t>
            </w:r>
          </w:p>
        </w:tc>
        <w:tc>
          <w:tcPr>
            <w:tcW w:w="4876" w:type="dxa"/>
            <w:tcBorders>
              <w:top w:val="nil"/>
              <w:left w:val="nil"/>
              <w:bottom w:val="nil"/>
              <w:right w:val="nil"/>
            </w:tcBorders>
          </w:tcPr>
          <w:p>
            <w:pPr>
              <w:pStyle w:val="Normal6a"/>
            </w:pPr>
            <w:r>
              <w:t>f)</w:t>
            </w:r>
            <w:r>
              <w:tab/>
            </w:r>
            <w:r>
              <w:t xml:space="preserve">tagada tööjõu ja oskuste pakkumise ja nõudluse ühitamine tööturuteabe kombineeritud kasutamisega, kohalike osalejate </w:t>
            </w:r>
            <w:r>
              <w:rPr>
                <w:b/>
                <w:i/>
              </w:rPr>
              <w:t>ja sotsiaalpartnerite</w:t>
            </w:r>
            <w:r>
              <w:t xml:space="preserve"> tõhustatud koostööga koolituspakkujatega ning ettevõtte tasandi üleminekukavade edendamisega;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kehtestada ettevõtete jaoks kohustuslikud üleminekukavad, mis on proportsionaalsed nende suuruse ja liigiga;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töötada välja järelevalvestruktuur, et koostada tulevikusuundade strateegiline analüüs ülemineku mõju ja tööturu arengute kohta.</w:t>
            </w:r>
          </w:p>
        </w:tc>
        <w:tc>
          <w:tcPr>
            <w:tcW w:w="4876" w:type="dxa"/>
            <w:tcBorders>
              <w:top w:val="nil"/>
              <w:left w:val="nil"/>
              <w:bottom w:val="nil"/>
              <w:right w:val="nil"/>
            </w:tcBorders>
          </w:tcPr>
          <w:p>
            <w:pPr>
              <w:pStyle w:val="Normal6a"/>
            </w:pPr>
            <w:r>
              <w:t>g)</w:t>
            </w:r>
            <w:r>
              <w:tab/>
            </w:r>
            <w:r>
              <w:t xml:space="preserve">töötada välja järelevalvestruktuur, et koostada tulevikusuundade strateegiline analüüs ülemineku mõju ja tööturu arengute kohta </w:t>
            </w:r>
            <w:r>
              <w:rPr>
                <w:b/>
                <w:i/>
              </w:rPr>
              <w:t>ning kollektiivlepingutel põhinevate miinimumpalga kohustuste täitmise kohta, kaasates sotsiaalpartnereid (ametiühingud ja kohaliku kogukonna organisatsioonid)</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töötada välja järelevalvestruktuur, et koostada tulevikusuundade strateegiline analüüs ülemineku mõju ja tööturu </w:t>
            </w:r>
            <w:r>
              <w:rPr>
                <w:b/>
                <w:i/>
              </w:rPr>
              <w:t>arengute</w:t>
            </w:r>
            <w:r>
              <w:t xml:space="preserve"> kohta</w:t>
            </w:r>
            <w:r>
              <w:rPr>
                <w:b/>
                <w:i/>
              </w:rPr>
              <w:t>.</w:t>
            </w:r>
          </w:p>
        </w:tc>
        <w:tc>
          <w:tcPr>
            <w:tcW w:w="4876" w:type="dxa"/>
            <w:tcBorders>
              <w:top w:val="nil"/>
              <w:left w:val="nil"/>
              <w:bottom w:val="nil"/>
              <w:right w:val="nil"/>
            </w:tcBorders>
          </w:tcPr>
          <w:p>
            <w:pPr>
              <w:pStyle w:val="Normal6a"/>
            </w:pPr>
            <w:r>
              <w:t>g)</w:t>
            </w:r>
            <w:r>
              <w:tab/>
            </w:r>
            <w:r>
              <w:t xml:space="preserve">töötada </w:t>
            </w:r>
            <w:r>
              <w:rPr>
                <w:b/>
                <w:i/>
              </w:rPr>
              <w:t>sotsiaalpartnerite ja teiste asjaomaste sidusrühmade osalusel</w:t>
            </w:r>
            <w:r>
              <w:t xml:space="preserve"> välja järelevalvestruktuur, et koostada tulevikusuundade strateegiline analüüs ülemineku mõju ja tööturu </w:t>
            </w:r>
            <w:r>
              <w:rPr>
                <w:b/>
                <w:i/>
              </w:rPr>
              <w:t>arengu</w:t>
            </w:r>
            <w:r>
              <w:t xml:space="preserve"> kohta </w:t>
            </w:r>
            <w:r>
              <w:rPr>
                <w:b/>
                <w:i/>
              </w:rPr>
              <w:t>ning jälgida üleminekustrateegiate rakendamist ja jaotuslikku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töötada välja järelevalvestruktuur, et koostada tulevikusuundade strateegiline analüüs ülemineku mõju ja tööturu </w:t>
            </w:r>
            <w:r>
              <w:rPr>
                <w:b/>
                <w:i/>
              </w:rPr>
              <w:t>arengute</w:t>
            </w:r>
            <w:r>
              <w:t xml:space="preserve"> kohta</w:t>
            </w:r>
            <w:r>
              <w:rPr>
                <w:b/>
                <w:i/>
              </w:rPr>
              <w:t>.</w:t>
            </w:r>
          </w:p>
        </w:tc>
        <w:tc>
          <w:tcPr>
            <w:tcW w:w="4876" w:type="dxa"/>
            <w:tcBorders>
              <w:top w:val="nil"/>
              <w:left w:val="nil"/>
              <w:bottom w:val="nil"/>
              <w:right w:val="nil"/>
            </w:tcBorders>
          </w:tcPr>
          <w:p>
            <w:pPr>
              <w:pStyle w:val="Normal6a"/>
            </w:pPr>
            <w:r>
              <w:t>g)</w:t>
            </w:r>
            <w:r>
              <w:tab/>
            </w:r>
            <w:r>
              <w:t xml:space="preserve">töötada </w:t>
            </w:r>
            <w:r>
              <w:rPr>
                <w:b/>
                <w:i/>
              </w:rPr>
              <w:t>sotsiaalpartnerite osalusel</w:t>
            </w:r>
            <w:r>
              <w:t xml:space="preserve"> välja järelevalvestruktuur, et koostada tulevikusuundade strateegiline analüüs ülemineku mõju ja tööturu </w:t>
            </w:r>
            <w:r>
              <w:rPr>
                <w:b/>
                <w:i/>
              </w:rPr>
              <w:t>arengu</w:t>
            </w:r>
            <w:r>
              <w:t xml:space="preserve"> kohta </w:t>
            </w:r>
            <w:r>
              <w:rPr>
                <w:b/>
                <w:i/>
              </w:rPr>
              <w:t>ning jälgida üleminekustrateegiate rakendamist;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töötada välja järelevalvestruktuur, et koostada tulevikusuundade strateegiline analüüs ülemineku mõju ja tööturu </w:t>
            </w:r>
            <w:r>
              <w:rPr>
                <w:b/>
                <w:i/>
              </w:rPr>
              <w:t>arengute</w:t>
            </w:r>
            <w:r>
              <w:t xml:space="preserve"> kohta</w:t>
            </w:r>
            <w:r>
              <w:rPr>
                <w:b/>
                <w:i/>
              </w:rPr>
              <w:t>.</w:t>
            </w:r>
          </w:p>
        </w:tc>
        <w:tc>
          <w:tcPr>
            <w:tcW w:w="4876" w:type="dxa"/>
            <w:tcBorders>
              <w:top w:val="nil"/>
              <w:left w:val="nil"/>
              <w:bottom w:val="nil"/>
              <w:right w:val="nil"/>
            </w:tcBorders>
          </w:tcPr>
          <w:p>
            <w:pPr>
              <w:pStyle w:val="Normal6a"/>
            </w:pPr>
            <w:r>
              <w:t>g)</w:t>
            </w:r>
            <w:r>
              <w:tab/>
            </w:r>
            <w:r>
              <w:t xml:space="preserve">töötada </w:t>
            </w:r>
            <w:r>
              <w:rPr>
                <w:b/>
                <w:i/>
              </w:rPr>
              <w:t>sotsiaalpartnerite osalusel</w:t>
            </w:r>
            <w:r>
              <w:t xml:space="preserve"> välja järelevalvestruktuur, et koostada tulevikusuundade strateegiline analüüs ülemineku mõju ja tööturu </w:t>
            </w:r>
            <w:r>
              <w:rPr>
                <w:b/>
                <w:i/>
              </w:rPr>
              <w:t>arengu</w:t>
            </w:r>
            <w:r>
              <w:t xml:space="preserve"> kohta </w:t>
            </w:r>
            <w:r>
              <w:rPr>
                <w:b/>
                <w:i/>
              </w:rPr>
              <w:t>ning jälgida üleminekustrateegiate rakendamist;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tugevdada kollektiivläbirääkimisi ja suurendada kollektiivläbirääkimiste katvust, et töötajate üleminekut uuele töökohale tulemuslikult toetada;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tugevdada kollektiivläbirääkimisi ja suurendada kollektiivläbirääkimiste katvust, et töötajate üleminekut tulemuslikult toetada;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kehtestada mõjusad, proportsionaalsed ja hoiatavad karistused, mida õiguste ja kohustuste rikkumise korral kohaldatakse;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 lõik 1 – punkt g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tagada, et üleminekute ja õiglase ülemineku kavade rakendamise kontekstis kaalutakse individuaalset või kollektiivset koondamist üksnes viimase abinõuna;</w:t>
            </w:r>
            <w:r>
              <w:t xml:space="preserve"> </w:t>
            </w:r>
            <w:r>
              <w:rPr>
                <w:b/>
                <w:i/>
              </w:rPr>
              <w:t>koondamise ohus olevatel töötajatel on õigus tasustatud tööaja vähendamisele, töökoha muutmisele, ennetähtaegselt pensionile jäämise kavadele ning tasustatavale koolitusele ümber- ja täiendõppeks, et vältida töökohtade kaotamist;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I lisa – soovitus 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Soovitus 3a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Täitmise tagamise meetmed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Direktiivi tulemusliku rakendamise ja täitmise tagamiseks peaks ettepanek sisaldama vähemalt järgmisi meetmeid: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tingimuslik juurdepääs avaliku sektori vahenditele:</w:t>
            </w:r>
            <w:r>
              <w:t xml:space="preserve"> </w:t>
            </w:r>
            <w:r>
              <w:rPr>
                <w:b/>
                <w:i/>
              </w:rPr>
              <w:t>liikmesriigid tagavad, et riigihankelepingute täitmisel täidavad ettevõtjad direktiivist tulenevaid kohustusi ning et Euroopa ja riigiabi saajad täidavad käesolevast direktiivist ning liidu ja riigisiseste õigusaktidega kehtestatud sotsiaal- ja tööõigusest ning kollektiivlepingutest tulenevaid kohustusi;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karistused:</w:t>
            </w:r>
            <w:r>
              <w:t xml:space="preserve"> </w:t>
            </w:r>
            <w:r>
              <w:rPr>
                <w:b/>
                <w:i/>
              </w:rPr>
              <w:t>direktiivis tuleks sätestada mõjusate, proportsionaalsete ja hoiatavate karistuste miinimumtase, mille liikmesriigid kehtestavad käesoleva direktiivi reguleerimisalasse kuuluvate õiguste ja kohustuste rikkumise korral;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kaitse taseme säilitamine ja soodsamad sätted:</w:t>
            </w:r>
            <w:r>
              <w:t xml:space="preserve"> </w:t>
            </w:r>
            <w:r>
              <w:rPr>
                <w:b/>
                <w:i/>
              </w:rPr>
              <w:t>käesolev direktiiv ei ole töötajatele liikmesriikides ette nähtud kaitse üldise taseme alandamiseks piisav alus;</w:t>
            </w:r>
            <w:r>
              <w:t xml:space="preserve"> </w:t>
            </w:r>
            <w:r>
              <w:rPr>
                <w:b/>
                <w:i/>
              </w:rPr>
              <w:t>direktiiviga ei piirata liikmesriikide õigust kohaldada või kehtestada õigus- või haldusnorme, mis on töötajate ja/või mõjutatud kogukondade jaoks soodsamad, või soodustada või lubada töötajate jaoks soodsamate kollektiivlepingute kohaldamist;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sotsiaalpartnerite põhiõiguste ja autonoomia tagamine:</w:t>
            </w:r>
            <w:r>
              <w:t xml:space="preserve"> </w:t>
            </w:r>
            <w:r>
              <w:rPr>
                <w:b/>
                <w:i/>
              </w:rPr>
              <w:t>ühtegi käesoleva direktiivi sätet ei tohi tõlgendada ega kohaldada viisil, mis piirab, rikub või kahjustab liikmesriikides tunnustatud põhiõigusi, sealhulgas kollektiivläbirääkimiste õigust, streigiõigust või kollektiivse tegutsemise õigust;</w:t>
            </w:r>
            <w:r>
              <w:t xml:space="preserve"> </w:t>
            </w:r>
            <w:r>
              <w:rPr>
                <w:b/>
                <w:i/>
              </w:rPr>
              <w:t>käesolevas direktiivis austatakse sotsiaalpartnerite autonoomiat ning sellega ei mõjutata nende võimet pidada kollektiivlepingute üle läbirääkimisi, neid sõlmida või tagada nende täitmine või osaleda muus tegevuses, mis on kooskõlas riiklike töösuhete süsteemidega, eesmärgiga käesolevas direktiivis sätestatud kohustusi ja õigusi täiendada ja tugevdada;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778.022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178</w:t>
    </w:r>
    <w:r>
      <w:fldChar w:fldCharType="end"/>
    </w:r>
    <w:r>
      <w:t>/</w:t>
    </w:r>
    <w:r>
      <w:fldChar w:fldCharType="begin"/>
    </w:r>
    <w:r>
      <w:instrText xml:space="preserve"> NUMPAGES </w:instrText>
    </w:r>
    <w:r>
      <w:fldChar w:fldCharType="separate"/>
    </w:r>
    <w:r>
      <w:t>178</w:t>
    </w:r>
    <w:r>
      <w:fldChar w:fldCharType="end"/>
    </w:r>
    <w:r>
      <w:tab/>
    </w:r>
    <w:r>
      <w:rPr>
        <w:rStyle w:val="HideTWBExt"/>
      </w:rPr>
      <w:t>&lt;PathFdR&gt;</w:t>
    </w:r>
    <w:r>
      <w:t>AM\1328386ET.docx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AM\1328386ET.docx</w:t>
    </w:r>
    <w:r>
      <w:rPr>
        <w:rStyle w:val="HideTWBExt"/>
      </w:rPr>
      <w:t>&lt;/PathFdR&gt;</w:t>
    </w:r>
    <w:r>
      <w:tab/>
    </w:r>
    <w:r>
      <w:fldChar w:fldCharType="begin"/>
    </w:r>
    <w:r>
      <w:instrText xml:space="preserve"> PAGE </w:instrText>
    </w:r>
    <w:r>
      <w:fldChar w:fldCharType="separate"/>
    </w:r>
    <w:r>
      <w:t>177</w:t>
    </w:r>
    <w:r>
      <w:fldChar w:fldCharType="end"/>
    </w:r>
    <w:r>
      <w:t>/</w:t>
    </w:r>
    <w:r>
      <w:fldChar w:fldCharType="begin"/>
    </w:r>
    <w:r>
      <w:instrText xml:space="preserve"> NUMPAGES </w:instrText>
    </w:r>
    <w:r>
      <w:fldChar w:fldCharType="separate"/>
    </w:r>
    <w:r>
      <w:t>178</w:t>
    </w:r>
    <w:r>
      <w:fldChar w:fldCharType="end"/>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AM\1328386ET.docx</w:t>
    </w:r>
    <w:r>
      <w:rPr>
        <w:rStyle w:val="HideTWBExt"/>
      </w:rPr>
      <w:t>&lt;/PathFdR&gt;</w:t>
    </w:r>
    <w:r>
      <w:tab/>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178</Pages>
  <Words>32255</Words>
  <Characters>250120</Characters>
  <Application>Microsoft Office Word</Application>
  <DocSecurity>0</DocSecurity>
  <Lines>1</Lines>
  <Paragraphs>2919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261630</vt:lpwstr>
  </property>
  <property fmtid="{D5CDD505-2E9C-101B-9397-08002B2CF9AE}" pid="7" name="dmxml.render.traceId">
    <vt:lpwstr>68ee1460a6f48bb3f7314e763f3f273e</vt:lpwstr>
  </property>
  <property fmtid="{D5CDD505-2E9C-101B-9397-08002B2CF9AE}" pid="8" name="FooterPath">
    <vt:lpwstr>AM\1328386ET.docx</vt:lpwstr>
  </property>
  <property fmtid="{D5CDD505-2E9C-101B-9397-08002B2CF9AE}" pid="9" name="PE Number">
    <vt:lpwstr>778.022</vt:lpwstr>
  </property>
  <property fmtid="{D5CDD505-2E9C-101B-9397-08002B2CF9AE}" pid="10" name="UID">
    <vt:lpwstr>eu.europa.europarl-DIN1-2025-0000177077_02.00-et-03.00_text-xml</vt:lpwstr>
  </property>
</Properties>
</file>