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Comisia pentru ocuparea forței de muncă și afaceri sociale</w:t>
      </w:r>
      <w:r>
        <w:rPr>
          <w:rStyle w:val="HideTWBExt"/>
        </w:rPr>
        <w:t>&lt;/Commission&gt;</w:t>
      </w:r>
    </w:p>
    <w:p>
      <w:pPr>
        <w:pStyle w:val="LineBottom"/>
      </w:pPr>
      <w:r>
        <w:t xml:space="preserve"> </w:t>
      </w:r>
    </w:p>
    <w:p>
      <w:pPr>
        <w:pStyle w:val="CoverReference"/>
      </w:pPr>
      <w:r>
        <w:rPr>
          <w:rStyle w:val="HideTWBExt"/>
        </w:rPr>
        <w:t>&lt;RefProc&gt;</w:t>
      </w:r>
      <w:r>
        <w:t>2025/2131</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{26/09/2025}</w:t>
      </w:r>
      <w:r>
        <w:t>26.9.2025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312</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Jana Toom</w:t>
      </w:r>
      <w:r>
        <w:rPr>
          <w:rStyle w:val="HideTWBExt"/>
        </w:rPr>
        <w:t>&lt;/Rapporteur&gt;</w:t>
      </w:r>
    </w:p>
    <w:p>
      <w:pPr>
        <w:pStyle w:val="CoverNormal24a"/>
      </w:pPr>
      <w:r>
        <w:rPr>
          <w:rStyle w:val="HideTWBExt"/>
        </w:rPr>
        <w:t>&lt;DocRefPE&gt;</w:t>
      </w:r>
      <w:r>
        <w:t>(PE775.632v01-00)</w:t>
      </w:r>
      <w:r>
        <w:rPr>
          <w:rStyle w:val="HideTWBExt"/>
        </w:rPr>
        <w:t>&lt;/DocRefPE&gt;</w:t>
      </w:r>
    </w:p>
    <w:p>
      <w:pPr>
        <w:pStyle w:val="CoverNormal"/>
      </w:pPr>
      <w:r>
        <w:rPr>
          <w:rStyle w:val="HideTWBExt"/>
        </w:rPr>
        <w:t>&lt;Titre&gt;</w:t>
      </w:r>
      <w:r>
        <w:t>Directiva privind tranziția justă în lumea muncii: asigurarea creării de locuri de muncă și revitalizarea economiilor locale</w:t>
      </w:r>
      <w:r>
        <w:rPr>
          <w:rStyle w:val="HideTWBExt"/>
        </w:rPr>
        <w:t>&lt;/Titre&gt;</w:t>
      </w:r>
    </w:p>
    <w:p>
      <w:pPr>
        <w:pStyle w:val="CoverNormal24a"/>
      </w:pPr>
      <w:r>
        <w:rPr>
          <w:rStyle w:val="HideTWBExt"/>
        </w:rPr>
        <w:t>&lt;DocRef&gt;</w:t>
      </w:r>
      <w:r>
        <w:t>(2025/2131(INL))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având în vedere articolul </w:t>
            </w:r>
            <w:r>
              <w:rPr>
                <w:b/>
                <w:i/>
              </w:rPr>
              <w:t>225</w:t>
            </w:r>
            <w:r>
              <w:t xml:space="preserve"> din Tratatul privind funcționarea Uniunii Europene (TFUE),</w:t>
            </w:r>
          </w:p>
        </w:tc>
        <w:tc>
          <w:tcPr>
            <w:tcW w:w="4876" w:type="dxa"/>
            <w:tcBorders>
              <w:top w:val="nil"/>
              <w:left w:val="nil"/>
              <w:bottom w:val="nil"/>
              <w:right w:val="nil"/>
            </w:tcBorders>
          </w:tcPr>
          <w:p>
            <w:pPr>
              <w:pStyle w:val="Normal6a"/>
            </w:pPr>
            <w:r>
              <w:rPr>
                <w:b/>
                <w:i/>
              </w:rPr>
              <w:t>–</w:t>
            </w:r>
            <w:r>
              <w:tab/>
            </w:r>
            <w:r>
              <w:t>având în vedere articolul </w:t>
            </w:r>
            <w:r>
              <w:rPr>
                <w:b/>
                <w:i/>
              </w:rPr>
              <w:t>153</w:t>
            </w:r>
            <w:r>
              <w:t xml:space="preserve"> din Tratatul privind funcționarea Uniunii Europene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comunicarea Comisiei din 11 decembrie 2019 privind Pactul verde european (COM(2019)0640),</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nota de informare privind evaluarea valorii adăugate europene din septembrie 2025, intitulată „Directiva privind tranziția justă în lumea muncii:</w:t>
            </w:r>
            <w:r>
              <w:t xml:space="preserve"> </w:t>
            </w:r>
            <w:r>
              <w:rPr>
                <w:b/>
                <w:i/>
              </w:rPr>
              <w:t>asigurarea creării de locuri de muncă și revitalizarea economiilor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23 noiembrie 2023 referitoare la crearea de locuri de muncă – tranziție justă și investiții cu 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12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Organizației Internaționale a Muncii (OIM) privind o tranziție justă către economii și societăți sustenabile din punctul de vedere al mediului pentru toți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ILC.111/Rezoluția V, 16 iunie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12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lui Enrico Letta din 10 aprilie 2024 intitulat „Much More Than A Market”(Mult mai mult decât o piață)</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https://www.consilium.europa.eu/media/ny3j24sm/much-more-than-a-market-report-by-enrico-letta.pdf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raportul lui Mario Draghi din septembrie 2024 privind viitorul competitivității europene („Raportul Draghi”),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raportul lui Mario Draghi din septembrie 2024 privind viitorul competitivității europene („Raportul Draghi”),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14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10 septembrie 2025 referitoare la rolul politicii de coeziune în sprijinirea tranziției juste,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Recomandarea Consiliului din 2022 privind asigurarea unei tranziții echitabile către neutralitatea climatică,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17 decembrie 2020 referitoare la o Europă socială puternică pentru tranziții juste,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Orientările politice pentru următoarea Comisie Europeană 2024-2029</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https://commission.europa.eu/document/download/e6cd4328-673c-4e7a-8683-f63ffb2cf648_ro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Comunicarea Comisiei din 26 februarie 2025 privind Pactul pentru o industrie curată (COM(2025)0085)</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https://eur-lex.europa.eu/legal-content/RO/TXT/PDF/?uri=CELEX:52025DC0085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23 noiembrie 2023 referitoare la crearea de locuri de muncă – tranziție justă și investiții cu 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Comunicarea Comisiei din iulie 2025 intitulată „Cadrul pentru măsuri de ajutor de stat de sprijinire a Pactului pentru o industrie curată” (C/2025/3602),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Comunicarea Comisiei din 26 februarie 2025 privind Pactul pentru o industrie curată (COM(2025)0085)</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https://eur-lex.europa.eu/legal-content/RO/TXT/PDF/?uri=CELEX:52025DC0085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de la La Hulpe din 16 aprilie 2024 privind viitorul Pilonului european al drepturilor sociale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23 noiembrie 2023 referitoare la crearea de locuri de muncă – tranziție justă și investiții cu 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mesajele-cheie ale EMCO și CPS privind punerea în aplicare a Recomandării Consiliului privind asigurarea unei tranziții echitabile către neutralitatea climatică, din 17 noiembrie 2023</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Avizul privind dimensiunile calității locurilor de muncă al Comitetului pentru ocuparea forței de muncă (EMCO) al Consiliului Uniunii Europene din 6 iunie 2025</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https://data.consilium.europa.eu/doc/document/ST-9417-2025-INIT/ro/pdf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f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9 septembrie 2025 referitoare la achizițiile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g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Comunicarea Comisiei din 25 iunie 2025 privind cadrul pentru măsuri de ajutor de stat de sprijinire a Pactului pentru o industrie curată”</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https://eur-lex.europa.eu/eli/C/2025/3602/oj/eng?eliuri=eli%3AC%3A2025%3A3602%3Aoj&amp;locale=ro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h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mesajele-cheie ale EMCO și CPS privind punerea în aplicare a Recomandării Consiliului privind asigurarea unei tranziții echitabile către neutralitatea climatică, din 17 noiembrie 2023</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i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avizul Comitetului Economic și Social European din 4 decembrie 2024 intitulat „Către o propunere legislativă pentru o tranziție justă și instrumente de politică ale UE care să ducă la un Pact verde european mai social”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https://eur-lex.europa.eu/legal-content/RO/TXT/PDF/?uri=OJ:C_202504203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tranziția verde și cea digitală </w:t>
            </w:r>
            <w:r>
              <w:rPr>
                <w:b/>
                <w:i/>
              </w:rPr>
              <w:t>au un efect transformator</w:t>
            </w:r>
            <w:r>
              <w:t xml:space="preserve"> profund </w:t>
            </w:r>
            <w:r>
              <w:rPr>
                <w:b/>
                <w:i/>
              </w:rPr>
              <w:t>asupra economiilor, regiunilor și locurilor</w:t>
            </w:r>
            <w:r>
              <w:t xml:space="preserve"> de muncă din Europa; întrucât asigurarea unei tranziții efective către o economie </w:t>
            </w:r>
            <w:r>
              <w:rPr>
                <w:b/>
                <w:i/>
              </w:rPr>
              <w:t>neutră din punct de vedere climatic și</w:t>
            </w:r>
            <w:r>
              <w:t xml:space="preserve"> digitalizată și reducerea dependenței de aprovizionarea cu energie sunt elemente </w:t>
            </w:r>
            <w:r>
              <w:rPr>
                <w:b/>
                <w:i/>
              </w:rPr>
              <w:t>esențiale</w:t>
            </w:r>
            <w:r>
              <w:t xml:space="preserve"> pentru sustenabilitatea, creșterea și competitivitatea Europei; </w:t>
            </w:r>
            <w:r>
              <w:rPr>
                <w:b/>
                <w:i/>
              </w:rPr>
              <w:t>întrucât succesul final al dublei tranziții va depinde în mare măsură de faptul dacă tranziția va fi justă și incluzivă pentru lucrători, întreprinderi și regiunile afectate;</w:t>
            </w:r>
          </w:p>
        </w:tc>
        <w:tc>
          <w:tcPr>
            <w:tcW w:w="4876" w:type="dxa"/>
            <w:tcBorders>
              <w:top w:val="nil"/>
              <w:left w:val="nil"/>
              <w:bottom w:val="nil"/>
              <w:right w:val="nil"/>
            </w:tcBorders>
          </w:tcPr>
          <w:p>
            <w:pPr>
              <w:pStyle w:val="Normal6a"/>
            </w:pPr>
            <w:r>
              <w:t>A.</w:t>
            </w:r>
            <w:r>
              <w:tab/>
            </w:r>
            <w:r>
              <w:t xml:space="preserve">întrucât tranziția verde și cea digitală </w:t>
            </w:r>
            <w:r>
              <w:rPr>
                <w:b/>
                <w:i/>
              </w:rPr>
              <w:t>transformă</w:t>
            </w:r>
            <w:r>
              <w:t xml:space="preserve"> profund </w:t>
            </w:r>
            <w:r>
              <w:rPr>
                <w:b/>
                <w:i/>
              </w:rPr>
              <w:t>economiile, regiunile și locurile</w:t>
            </w:r>
            <w:r>
              <w:t xml:space="preserve"> de muncă din Europa </w:t>
            </w:r>
            <w:r>
              <w:rPr>
                <w:b/>
                <w:i/>
              </w:rPr>
              <w:t>și implică un cost major pentru acestea din urmă</w:t>
            </w:r>
            <w:r>
              <w:t xml:space="preserve">; întrucât asigurarea unei tranziții efective către o economie digitalizată și reducerea dependenței de aprovizionarea cu energie sunt elemente </w:t>
            </w:r>
            <w:r>
              <w:rPr>
                <w:b/>
                <w:i/>
              </w:rPr>
              <w:t>necesare</w:t>
            </w:r>
            <w:r>
              <w:t xml:space="preserve"> pentru sustenabilitatea, creșterea și competitivitatea Europei;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tranziția verde și cea digitală au un efect transformator profund asupra economiilor, regiunilor și locurilor de muncă din Europa; întrucât asigurarea unei tranziții efective către o economie neutră din punct de vedere climatic și digitalizată și reducerea dependenței de aprovizionarea cu energie </w:t>
            </w:r>
            <w:r>
              <w:rPr>
                <w:b/>
                <w:i/>
              </w:rPr>
              <w:t>sunt elemente esențiale pentru sustenabilitatea, creșterea și competitivitatea Europei</w:t>
            </w:r>
            <w:r>
              <w:t xml:space="preserve">; întrucât succesul final al dublei tranziții va depinde în mare măsură de </w:t>
            </w:r>
            <w:r>
              <w:rPr>
                <w:b/>
                <w:i/>
              </w:rPr>
              <w:t>faptul dacă tranziția va fi justă și incluzivă pentru lucrători, întreprinderi</w:t>
            </w:r>
            <w:r>
              <w:t xml:space="preserve"> și regiunile afectate;</w:t>
            </w:r>
          </w:p>
        </w:tc>
        <w:tc>
          <w:tcPr>
            <w:tcW w:w="4876" w:type="dxa"/>
            <w:tcBorders>
              <w:top w:val="nil"/>
              <w:left w:val="nil"/>
              <w:bottom w:val="nil"/>
              <w:right w:val="nil"/>
            </w:tcBorders>
          </w:tcPr>
          <w:p>
            <w:pPr>
              <w:pStyle w:val="Normal6a"/>
            </w:pPr>
            <w:r>
              <w:t>A.</w:t>
            </w:r>
            <w:r>
              <w:tab/>
            </w:r>
            <w:r>
              <w:t xml:space="preserve">întrucât tranziția verde și cea digitală au un efect transformator profund </w:t>
            </w:r>
            <w:r>
              <w:rPr>
                <w:b/>
                <w:i/>
              </w:rPr>
              <w:t>negativ</w:t>
            </w:r>
            <w:r>
              <w:t xml:space="preserve"> asupra economiilor, regiunilor și locurilor de muncă din Europa; întrucât asigurarea unei tranziții efective către o economie neutră din punct de vedere climatic și digitalizată și reducerea dependenței de aprovizionarea cu energie </w:t>
            </w:r>
            <w:r>
              <w:rPr>
                <w:b/>
                <w:i/>
              </w:rPr>
              <w:t>reprezintă o fantezie eronată și nedovedită</w:t>
            </w:r>
            <w:r>
              <w:t xml:space="preserve">; întrucât succesul final al dublei tranziții va depinde în mare măsură de </w:t>
            </w:r>
            <w:r>
              <w:rPr>
                <w:b/>
                <w:i/>
              </w:rPr>
              <w:t>asigurarea faptului că lucrătorii, întreprinderile</w:t>
            </w:r>
            <w:r>
              <w:t xml:space="preserve"> și regiunile afectate </w:t>
            </w:r>
            <w:r>
              <w:rPr>
                <w:b/>
                <w:i/>
              </w:rPr>
              <w:t>sunt presate să își accepte pierderile ca fiind normale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tranziția verde și cea digitală au un efect transformator profund asupra economiilor, regiunilor și locurilor de muncă din Europa; întrucât asigurarea unei tranziții efective către o economie neutră din punct de vedere climatic și digitalizată și reducerea dependenței de aprovizionarea cu energie sunt elemente esențiale pentru sustenabilitatea, creșterea și competitivitatea Europei; întrucât succesul final al dublei tranziții va depinde în mare măsură de </w:t>
            </w:r>
            <w:r>
              <w:rPr>
                <w:b/>
                <w:i/>
              </w:rPr>
              <w:t>faptul dacă</w:t>
            </w:r>
            <w:r>
              <w:t xml:space="preserve"> tranziția va fi justă și incluzivă pentru lucrători, întreprinderi și </w:t>
            </w:r>
            <w:r>
              <w:rPr>
                <w:b/>
                <w:i/>
              </w:rPr>
              <w:t>regiunile afectate</w:t>
            </w:r>
            <w:r>
              <w:t>;</w:t>
            </w:r>
          </w:p>
        </w:tc>
        <w:tc>
          <w:tcPr>
            <w:tcW w:w="4876" w:type="dxa"/>
            <w:tcBorders>
              <w:top w:val="nil"/>
              <w:left w:val="nil"/>
              <w:bottom w:val="nil"/>
              <w:right w:val="nil"/>
            </w:tcBorders>
          </w:tcPr>
          <w:p>
            <w:pPr>
              <w:pStyle w:val="Normal6a"/>
            </w:pPr>
            <w:r>
              <w:t>A.</w:t>
            </w:r>
            <w:r>
              <w:tab/>
            </w:r>
            <w:r>
              <w:t>întrucât tranziția verde și cea digitală au un efect transformator profund asupra economiilor, regiunilor și locurilor de muncă din Europa</w:t>
            </w:r>
            <w:r>
              <w:rPr>
                <w:b/>
                <w:i/>
              </w:rPr>
              <w:t>, dar și asupra oamenilor</w:t>
            </w:r>
            <w:r>
              <w:t xml:space="preserve">; întrucât asigurarea unei tranziții efective către o economie neutră din punct de vedere climatic și digitalizată și reducerea dependenței de aprovizionarea cu energie sunt elemente esențiale pentru sustenabilitatea, creșterea și competitivitatea Europei; întrucât succesul final al dublei tranziții va depinde în mare măsură de </w:t>
            </w:r>
            <w:r>
              <w:rPr>
                <w:b/>
                <w:i/>
              </w:rPr>
              <w:t>asigurarea faptului că</w:t>
            </w:r>
            <w:r>
              <w:t xml:space="preserve"> tranziția va fi justă și incluzivă pentru lucrători, întreprinderi și </w:t>
            </w:r>
            <w:r>
              <w:rPr>
                <w:b/>
                <w:i/>
              </w:rPr>
              <w:t>regiuni;</w:t>
            </w:r>
            <w:r>
              <w:t xml:space="preserve"> </w:t>
            </w:r>
            <w:r>
              <w:rPr>
                <w:b/>
                <w:i/>
              </w:rPr>
              <w:t>întrucât numai o tranziție echitabilă ar putea aduce beneficii în valoare de 261 de miliarde de euro pe an, în special prin abordarea inegalităților sociale și a disparităților regionale</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https://www.europarl.europa.eu/RegData/etudes/BRIE/2022/730346/EPRS_BRI(2022)730346_EN.pdf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tranziția verde și cea digitală au un efect transformator profund asupra economiilor, regiunilor și locurilor de muncă din Europa; întrucât asigurarea unei tranziții efective către o economie neutră din punct de vedere climatic și digitalizată și reducerea dependenței de aprovizionarea cu energie sunt elemente esențiale pentru sustenabilitatea, creșterea și competitivitatea Europei; întrucât succesul final al dublei tranziții va depinde în mare măsură de </w:t>
            </w:r>
            <w:r>
              <w:rPr>
                <w:b/>
                <w:i/>
              </w:rPr>
              <w:t>faptul dacă</w:t>
            </w:r>
            <w:r>
              <w:t xml:space="preserve"> tranziția va fi justă și incluzivă pentru lucrători, întreprinderi și regiunile afectate;</w:t>
            </w:r>
          </w:p>
        </w:tc>
        <w:tc>
          <w:tcPr>
            <w:tcW w:w="4876" w:type="dxa"/>
            <w:tcBorders>
              <w:top w:val="nil"/>
              <w:left w:val="nil"/>
              <w:bottom w:val="nil"/>
              <w:right w:val="nil"/>
            </w:tcBorders>
          </w:tcPr>
          <w:p>
            <w:pPr>
              <w:pStyle w:val="Normal6a"/>
            </w:pPr>
            <w:r>
              <w:t>A.</w:t>
            </w:r>
            <w:r>
              <w:tab/>
            </w:r>
            <w:r>
              <w:t xml:space="preserve">întrucât tranziția verde și cea digitală au un efect transformator profund asupra economiilor, regiunilor și locurilor de muncă din Europa; întrucât asigurarea unei tranziții efective către o economie neutră din punct de vedere climatic și digitalizată și reducerea dependenței de aprovizionarea cu energie sunt elemente esențiale pentru sustenabilitatea, creșterea și competitivitatea Europei; întrucât succesul final al dublei tranziții va depinde în mare măsură de </w:t>
            </w:r>
            <w:r>
              <w:rPr>
                <w:b/>
                <w:i/>
              </w:rPr>
              <w:t>asigurarea faptului că</w:t>
            </w:r>
            <w:r>
              <w:t xml:space="preserve"> tranziția va fi justă și incluzivă pentru lucrători, întreprinderi și regiunile afectate</w:t>
            </w:r>
            <w:r>
              <w:rPr>
                <w:b/>
                <w:i/>
              </w:rPr>
              <w:t>, atât în domeniile unde are efect imediat, cât și de-a lungul lanțurilor valorice globale ale fluxurilor de activități ale întreprinderilor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tranziția verde și cea digitală au un efect transformator profund asupra economiilor, regiunilor și locurilor de muncă din Europa; întrucât asigurarea unei tranziții efective către o economie neutră din punct de vedere climatic și digitalizată și reducerea dependenței de aprovizionarea cu energie sunt elemente esențiale pentru sustenabilitatea, creșterea și competitivitatea </w:t>
            </w:r>
            <w:r>
              <w:rPr>
                <w:b/>
                <w:i/>
              </w:rPr>
              <w:t>Europei</w:t>
            </w:r>
            <w:r>
              <w:t xml:space="preserve">; întrucât succesul final al dublei tranziții va depinde în mare măsură de </w:t>
            </w:r>
            <w:r>
              <w:rPr>
                <w:b/>
                <w:i/>
              </w:rPr>
              <w:t>faptul dacă</w:t>
            </w:r>
            <w:r>
              <w:t xml:space="preserve"> tranziția va fi justă și incluzivă pentru lucrători, întreprinderi și regiunile afectate;</w:t>
            </w:r>
          </w:p>
        </w:tc>
        <w:tc>
          <w:tcPr>
            <w:tcW w:w="4876" w:type="dxa"/>
            <w:tcBorders>
              <w:top w:val="nil"/>
              <w:left w:val="nil"/>
              <w:bottom w:val="nil"/>
              <w:right w:val="nil"/>
            </w:tcBorders>
          </w:tcPr>
          <w:p>
            <w:pPr>
              <w:pStyle w:val="Normal6a"/>
            </w:pPr>
            <w:r>
              <w:t>A.</w:t>
            </w:r>
            <w:r>
              <w:tab/>
            </w:r>
            <w:r>
              <w:t xml:space="preserve">întrucât tranziția verde și cea digitală au un efect transformator profund asupra economiilor, </w:t>
            </w:r>
            <w:r>
              <w:rPr>
                <w:b/>
                <w:i/>
              </w:rPr>
              <w:t>societăților,</w:t>
            </w:r>
            <w:r>
              <w:t xml:space="preserve"> regiunilor și locurilor de muncă din Europa</w:t>
            </w:r>
            <w:r>
              <w:rPr>
                <w:b/>
                <w:i/>
              </w:rPr>
              <w:t>, în diferite moduri, necesitând măsuri cuprinzătoare de politică socială și de ocupare a forței de muncă pentru a preveni efectele negative și a promova coeziunea economică, socială și teritorială</w:t>
            </w:r>
            <w:r>
              <w:t xml:space="preserve">; întrucât asigurarea unei tranziții efective către o economie neutră din punct de vedere climatic și digitalizată și reducerea dependenței de aprovizionarea cu energie sunt elemente esențiale pentru </w:t>
            </w:r>
            <w:r>
              <w:rPr>
                <w:b/>
                <w:i/>
              </w:rPr>
              <w:t>prosperitatea, calitatea vieții,</w:t>
            </w:r>
            <w:r>
              <w:t xml:space="preserve"> sustenabilitatea, creșterea și competitivitatea </w:t>
            </w:r>
            <w:r>
              <w:rPr>
                <w:b/>
                <w:i/>
              </w:rPr>
              <w:t>pe termen lung în Europa</w:t>
            </w:r>
            <w:r>
              <w:t xml:space="preserve">; întrucât succesul final al dublei tranziții va depinde în mare măsură de </w:t>
            </w:r>
            <w:r>
              <w:rPr>
                <w:b/>
                <w:i/>
              </w:rPr>
              <w:t>asigurarea faptului că</w:t>
            </w:r>
            <w:r>
              <w:t xml:space="preserve"> tranziția va fi justă și incluzivă pentru lucrători, întreprinderi și regiunile afectate </w:t>
            </w:r>
            <w:r>
              <w:rPr>
                <w:b/>
                <w:i/>
              </w:rPr>
              <w:t>și că ea contribuie la dreptatea socială pentru toți, cu un accent deosebit pe persoanele cele mai vulnerabile, pentru a se asigura că nimeni nu este lăsat în urmă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tranziția verde și cea digitală au un efect transformator profund asupra economiilor, regiunilor și locurilor de muncă din Europa; întrucât asigurarea unei tranziții efective către o economie neutră din punct de vedere climatic și digitalizată și reducerea dependenței de aprovizionarea cu energie sunt elemente esențiale pentru sustenabilitatea, creșterea și competitivitatea Europei; întrucât succesul final al dublei tranziții va depinde în mare măsură de </w:t>
            </w:r>
            <w:r>
              <w:rPr>
                <w:b/>
                <w:i/>
              </w:rPr>
              <w:t>faptul dacă</w:t>
            </w:r>
            <w:r>
              <w:t xml:space="preserve"> tranziția va fi justă și incluzivă pentru lucrători, întreprinderi și regiunile afectate;</w:t>
            </w:r>
          </w:p>
        </w:tc>
        <w:tc>
          <w:tcPr>
            <w:tcW w:w="4876" w:type="dxa"/>
            <w:tcBorders>
              <w:top w:val="nil"/>
              <w:left w:val="nil"/>
              <w:bottom w:val="nil"/>
              <w:right w:val="nil"/>
            </w:tcBorders>
          </w:tcPr>
          <w:p>
            <w:pPr>
              <w:pStyle w:val="Normal6a"/>
            </w:pPr>
            <w:r>
              <w:t>A.</w:t>
            </w:r>
            <w:r>
              <w:tab/>
            </w:r>
            <w:r>
              <w:t xml:space="preserve">întrucât tranziția verde și cea digitală au un efect transformator profund asupra economiilor, regiunilor și locurilor de muncă din Europa; întrucât asigurarea unei tranziții efective către o economie neutră din punct de vedere climatic și digitalizată și reducerea dependenței de aprovizionarea cu energie sunt elemente esențiale pentru sustenabilitatea, creșterea și competitivitatea Europei; întrucât succesul final al dublei tranziții va depinde în mare măsură de </w:t>
            </w:r>
            <w:r>
              <w:rPr>
                <w:b/>
                <w:i/>
              </w:rPr>
              <w:t>asigurarea faptului că</w:t>
            </w:r>
            <w:r>
              <w:t xml:space="preserve"> tranziția va fi justă și incluzivă pentru lucrători, întreprinderi și regiunile afectate </w:t>
            </w:r>
            <w:r>
              <w:rPr>
                <w:b/>
                <w:i/>
              </w:rPr>
              <w:t>și va oferi statelor membre suficientă flexibilitate pentru a urma căile cele mai potrivite realităților lor economice și sociale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o punere în aplicare rezonabilă și fezabilă a unei tranziții verzi și digitale are potențialul de a realiza o transformare profundă și sustenabilă a economiilor, regiunilor și piețelor forței de muncă din Europa;</w:t>
            </w:r>
            <w:r>
              <w:t xml:space="preserve"> </w:t>
            </w:r>
            <w:r>
              <w:rPr>
                <w:b/>
                <w:i/>
              </w:rPr>
              <w:t>întrucât asigurarea unei tranziții eficace și la prețuri accesibile către o economie dezvoltată și digitalizată, alături de reducerea dependenței în privința aprovizionării cu energie față de toate economiile străine majore, este imperativă pentru sustenabilitatea și creșterea economică pe termen lung a Europei;</w:t>
            </w:r>
            <w:r>
              <w:t xml:space="preserve"> </w:t>
            </w:r>
            <w:r>
              <w:rPr>
                <w:b/>
                <w:i/>
              </w:rPr>
              <w:t>întrucât succesul final al tranziției este condiționat de garantarea faptului că o astfel de tranziție se desfășoară într-un mod just și favorabil incluziunii, ținând seama de interesele lucrătorilor, ale întreprinderilor și ale regiunilor afectate, și este sprijinită de tehnologii inovatoare viabile din punct de vedere financiar și, în general, de energie la prețuri accesibile;</w:t>
            </w:r>
            <w:r>
              <w:t xml:space="preserve"> </w:t>
            </w:r>
            <w:r>
              <w:rPr>
                <w:b/>
                <w:i/>
              </w:rPr>
              <w:t>întrucât ar trebui evidențiat, de asemenea, că dificultățile actuale cu care se confruntă piața europeană a forței de muncă pot fi atribuite, în parte, deficitului de forță de muncă calificată și afluxului de migranți în situație neregulamentară necalificați, fapt demonstrat de dezvăluirea de către Comisia Europeană a faptului că în prezent în Uniunea Europeană locuiesc peste 7 milioane de migranți șomeri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În raportul Comisiei Europene din 2025 privind evoluția ocupării forței de muncă și a situației sociale în Europa (ESDE) se afirmă că peste șapte milioane de migranți din afara UE nu sunt încadrați în muncă în UE. https://op.europa.eu/ro/publication-detail/-/publication/17b34170-8138-11ef-a67d-01aa75ed71a1.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efectele dublei tranziții asupra ocupării forței de muncă sunt asimetrice în Uniune;</w:t>
            </w:r>
            <w:r>
              <w:t xml:space="preserve"> </w:t>
            </w:r>
            <w:r>
              <w:rPr>
                <w:b/>
                <w:i/>
              </w:rPr>
              <w:t>întrucât decarbonizarea are un impact socioeconomic negativ mai puternic asupra regiunilor cu o pondere ridicată a ocupării forței de muncă în sectorul minier și în cel extractiv;</w:t>
            </w:r>
            <w:r>
              <w:t xml:space="preserve"> </w:t>
            </w:r>
            <w:r>
              <w:rPr>
                <w:b/>
                <w:i/>
              </w:rPr>
              <w:t>întrucât este mai probabil ca impactul pozitiv asupra ocupării forței de muncă să se răspândească în diferite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tranzițiile ar trebui gestionate într-un mod care să asigure incluziunea socială, să reducă sărăcia și inegalitățile și și să valorifice potențialul de a crea locuri de muncă de calitate, de a promova democrația la locul de muncă, de a asigura locuri de muncă de înaltă calitate și condiții de muncă decente, de a proteja drepturile lucrătorilor și de a ridica standardele de muncă în toate sectoarele;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întrucât piețele muncii din UE sunt în continuare divizate teritorial și întrucât calitatea locurilor de muncă și contractele de muncă indică o creștere a formelor atipice, în special în rândul tinerilor;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întrucât gestionarea tranziției către o economie neutră ca emisii de dioxid de carbon presupune nu numai să se sprijine tranzițiile către noi locuri de muncă în sectoarele emergente, ci și să se păstreze și să se adapteze locurile de muncă și sectoarele existente la industriile și tehnologiile neutre ca impact asupra climei și curate, în folosul oamenilor care trăiesc în zonele afectate;</w:t>
            </w:r>
            <w:r>
              <w:t xml:space="preserve"> </w:t>
            </w:r>
            <w:r>
              <w:rPr>
                <w:b/>
                <w:i/>
              </w:rPr>
              <w:t>întrucât este important ca lucrătorii și persoanele aflate în căutarea unui loc de muncă să se simtă sprijiniți în efortul de a trece cu bine prin tranziție, astfel încât aceștia să poată înțelege și accepta mai bine obiectivele strategiei 2050;</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gestionarea tranziției către o economie neutră ca emisii de dioxid de carbon presupune nu numai să se sprijine tranzițiile către noi locuri de muncă în sectoarele emergente, ci și să se păstreze și să se adapteze locurile de muncă și sectoarele existente la industriile și tehnologiile neutre ca impact asupra climei și curate, în </w:t>
            </w:r>
            <w:r>
              <w:rPr>
                <w:b/>
                <w:i/>
              </w:rPr>
              <w:t>folosul oamenilor</w:t>
            </w:r>
            <w:r>
              <w:t xml:space="preserve"> care trăiesc în zonele afectate; întrucât este important ca lucrătorii și persoanele aflate în căutarea unui loc de muncă să se simtă sprijiniți în efortul de a trece cu bine prin tranziție</w:t>
            </w:r>
            <w:r>
              <w:rPr>
                <w:b/>
                <w:i/>
              </w:rPr>
              <w:t>, astfel încât aceștia să poată înțelege și accepta mai bine</w:t>
            </w:r>
            <w:r>
              <w:t xml:space="preserve"> obiectivele strategiei 2050;</w:t>
            </w:r>
          </w:p>
        </w:tc>
        <w:tc>
          <w:tcPr>
            <w:tcW w:w="4876" w:type="dxa"/>
            <w:tcBorders>
              <w:top w:val="nil"/>
              <w:left w:val="nil"/>
              <w:bottom w:val="nil"/>
              <w:right w:val="nil"/>
            </w:tcBorders>
          </w:tcPr>
          <w:p>
            <w:pPr>
              <w:pStyle w:val="Normal6a"/>
            </w:pPr>
            <w:r>
              <w:t>B.</w:t>
            </w:r>
            <w:r>
              <w:tab/>
            </w:r>
            <w:r>
              <w:t xml:space="preserve">întrucât gestionarea tranziției către o economie neutră ca emisii de dioxid de carbon presupune nu numai să se sprijine tranzițiile către noi locuri de muncă în sectoarele emergente, ci și să se păstreze și să se adapteze locurile de muncă și sectoarele existente la industriile și tehnologiile neutre ca impact asupra climei și curate, în </w:t>
            </w:r>
            <w:r>
              <w:rPr>
                <w:b/>
                <w:i/>
              </w:rPr>
              <w:t>parteneriat cu oamenii</w:t>
            </w:r>
            <w:r>
              <w:t xml:space="preserve"> care trăiesc în zonele afectate; întrucât este important ca lucrătorii și persoanele aflate în căutarea unui loc de muncă să se simtă sprijiniți în efortul de a trece cu bine prin tranziție </w:t>
            </w:r>
            <w:r>
              <w:rPr>
                <w:b/>
                <w:i/>
              </w:rPr>
              <w:t>printr-un dialog social timpuriu și continuu, proiectare în comun și procese decizionale transparente, pentru a promova înțelegerea, încrederea și un mandat democratic durabil pentru</w:t>
            </w:r>
            <w:r>
              <w:t xml:space="preserve"> obiectivele strategiei 2050; </w:t>
            </w:r>
            <w:r>
              <w:rPr>
                <w:b/>
                <w:i/>
              </w:rPr>
              <w:t>întrucât, după cum arată cercetările Eurofound</w:t>
            </w:r>
            <w:r>
              <w:rPr>
                <w:b/>
                <w:i/>
                <w:vertAlign w:val="superscript"/>
              </w:rPr>
              <w:t>1a</w:t>
            </w:r>
            <w:r>
              <w:rPr>
                <w:b/>
                <w:i/>
              </w:rPr>
              <w:t>, implicarea largă a societății civile, a partenerilor sociali și a autorităților publice în procesul de tranziție este esențială pentru a asigura și a distribui echitabil beneficiile activităților economice și ale resurselor, precum și pentru a gestiona conflictele;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(2024), „Creating a new social contract for the just transition:</w:t>
            </w:r>
            <w:r>
              <w:t xml:space="preserve"> </w:t>
            </w:r>
            <w:r>
              <w:rPr>
                <w:b/>
                <w:i/>
              </w:rPr>
              <w:t>Is partnership working?” (Crearea unui nou contract social pentru tranziția justă: funcționează parteneriatul?) https://www.eurofound.europa.eu/ro/publications/all/creating-new-social-contract-just-transition-partnership-working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gestionarea tranziției către o economie </w:t>
            </w:r>
            <w:r>
              <w:rPr>
                <w:b/>
                <w:i/>
              </w:rPr>
              <w:t>neutră ca emisii de dioxid de carbon</w:t>
            </w:r>
            <w:r>
              <w:t xml:space="preserve"> presupune nu numai să se sprijine </w:t>
            </w:r>
            <w:r>
              <w:rPr>
                <w:b/>
                <w:i/>
              </w:rPr>
              <w:t>tranzițiile către</w:t>
            </w:r>
            <w:r>
              <w:t xml:space="preserve"> noi locuri de muncă în </w:t>
            </w:r>
            <w:r>
              <w:rPr>
                <w:b/>
                <w:i/>
              </w:rPr>
              <w:t>sectoarele</w:t>
            </w:r>
            <w:r>
              <w:t xml:space="preserve"> emergente, ci și să se păstreze și să se adapteze locurile de muncă și sectoarele existente la </w:t>
            </w:r>
            <w:r>
              <w:rPr>
                <w:b/>
                <w:i/>
              </w:rPr>
              <w:t>industriile și tehnologiile neutre ca impact asupra climei și</w:t>
            </w:r>
            <w:r>
              <w:t xml:space="preserve"> curate</w:t>
            </w:r>
            <w:r>
              <w:rPr>
                <w:b/>
                <w:i/>
              </w:rPr>
              <w:t>, în folosul oamenilor care trăiesc în zonele afectate</w:t>
            </w:r>
            <w:r>
              <w:t xml:space="preserve">; </w:t>
            </w:r>
            <w:r>
              <w:rPr>
                <w:b/>
                <w:i/>
              </w:rPr>
              <w:t>întrucât este important ca lucrătorii și persoanele aflate în căutarea unui loc de muncă să se simtă sprijiniți în efortul de a trece cu bine prin tranziție, astfel încât aceștia să poată înțelege și accepta mai bine obiectivele strategiei 2050;</w:t>
            </w:r>
          </w:p>
        </w:tc>
        <w:tc>
          <w:tcPr>
            <w:tcW w:w="4876" w:type="dxa"/>
            <w:tcBorders>
              <w:top w:val="nil"/>
              <w:left w:val="nil"/>
              <w:bottom w:val="nil"/>
              <w:right w:val="nil"/>
            </w:tcBorders>
          </w:tcPr>
          <w:p>
            <w:pPr>
              <w:pStyle w:val="Normal6a"/>
            </w:pPr>
            <w:r>
              <w:t>B.</w:t>
            </w:r>
            <w:r>
              <w:tab/>
            </w:r>
            <w:r>
              <w:t xml:space="preserve">întrucât gestionarea tranziției către o economie </w:t>
            </w:r>
            <w:r>
              <w:rPr>
                <w:b/>
                <w:i/>
              </w:rPr>
              <w:t>mai responsabilă de poluarea pe care o produce</w:t>
            </w:r>
            <w:r>
              <w:t xml:space="preserve"> presupune nu numai să se sprijine </w:t>
            </w:r>
            <w:r>
              <w:rPr>
                <w:b/>
                <w:i/>
              </w:rPr>
              <w:t>investițiile în</w:t>
            </w:r>
            <w:r>
              <w:t xml:space="preserve"> noi locuri de muncă în </w:t>
            </w:r>
            <w:r>
              <w:rPr>
                <w:b/>
                <w:i/>
              </w:rPr>
              <w:t>cadrul sectoarelor</w:t>
            </w:r>
            <w:r>
              <w:t xml:space="preserve"> emergente, ci și să se păstreze și să se adapteze locurile de muncă și sectoarele existente la </w:t>
            </w:r>
            <w:r>
              <w:rPr>
                <w:b/>
                <w:i/>
              </w:rPr>
              <w:t>industrii și tehnologii mai</w:t>
            </w:r>
            <w:r>
              <w:t xml:space="preserve"> curate;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gestionarea tranziției către o economie neutră ca emisii de dioxid de carbon presupune nu numai să se sprijine tranzițiile către noi locuri de muncă în sectoarele emergente, ci și să se păstreze și să se adapteze locurile de muncă și sectoarele existente la industriile și tehnologiile </w:t>
            </w:r>
            <w:r>
              <w:rPr>
                <w:b/>
                <w:i/>
              </w:rPr>
              <w:t>neutre ca impact asupra climei</w:t>
            </w:r>
            <w:r>
              <w:t xml:space="preserve"> și curate, în folosul oamenilor care trăiesc în zonele afectate; întrucât este important ca lucrătorii și persoanele aflate în căutarea unui loc de muncă să se simtă sprijiniți în efortul de a trece cu bine prin tranziție, astfel încât aceștia să poată înțelege și accepta mai bine obiectivele strategiei 2050;</w:t>
            </w:r>
          </w:p>
        </w:tc>
        <w:tc>
          <w:tcPr>
            <w:tcW w:w="4876" w:type="dxa"/>
            <w:tcBorders>
              <w:top w:val="nil"/>
              <w:left w:val="nil"/>
              <w:bottom w:val="nil"/>
              <w:right w:val="nil"/>
            </w:tcBorders>
          </w:tcPr>
          <w:p>
            <w:pPr>
              <w:pStyle w:val="Normal6a"/>
            </w:pPr>
            <w:r>
              <w:t>B.</w:t>
            </w:r>
            <w:r>
              <w:tab/>
            </w:r>
            <w:r>
              <w:t xml:space="preserve">întrucât gestionarea tranziției către o economie neutră ca emisii de dioxid de carbon presupune nu numai să se sprijine tranzițiile către noi locuri de muncă în sectoarele emergente, ci și să se păstreze și să se adapteze locurile de muncă și sectoarele existente la industriile și tehnologiile </w:t>
            </w:r>
            <w:r>
              <w:rPr>
                <w:b/>
                <w:i/>
              </w:rPr>
              <w:t>cu emisii reduse de dioxid de carbon</w:t>
            </w:r>
            <w:r>
              <w:t xml:space="preserve"> și curate, în folosul oamenilor care trăiesc în zonele afectate</w:t>
            </w:r>
            <w:r>
              <w:rPr>
                <w:b/>
                <w:i/>
              </w:rPr>
              <w:t>;</w:t>
            </w:r>
            <w:r>
              <w:t xml:space="preserve"> </w:t>
            </w:r>
            <w:r>
              <w:rPr>
                <w:b/>
                <w:i/>
              </w:rPr>
              <w:t>întrucât regiuni și industrii întregi care depind de combustibilii fosili vor trebui să fie regândite până în 2050</w:t>
            </w:r>
            <w:r>
              <w:t>; întrucât este important ca lucrătorii și persoanele aflate în căutarea unui loc de muncă să se simtă sprijiniți în efortul de a trece cu bine prin tranziție, astfel încât aceștia să poată înțelege și accepta mai bine obiectivele strategiei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gestionarea tranziției către o economie neutră ca emisii de dioxid de carbon presupune nu numai să se sprijine tranzițiile către noi locuri de muncă în sectoarele emergente, ci și să se păstreze și să se adapteze locurile de muncă și sectoarele existente la industriile și tehnologiile neutre ca impact asupra climei și curate, în folosul oamenilor care trăiesc în zonele afectate; întrucât este important ca lucrătorii și persoanele aflate în căutarea unui loc de muncă să se simtă sprijiniți în efortul de a trece cu bine prin tranziție, astfel încât </w:t>
            </w:r>
            <w:r>
              <w:rPr>
                <w:b/>
                <w:i/>
              </w:rPr>
              <w:t>aceștia să poată înțelege și accepta mai bine obiectivele</w:t>
            </w:r>
            <w:r>
              <w:t xml:space="preserve"> strategiei 2050;</w:t>
            </w:r>
          </w:p>
        </w:tc>
        <w:tc>
          <w:tcPr>
            <w:tcW w:w="4876" w:type="dxa"/>
            <w:tcBorders>
              <w:top w:val="nil"/>
              <w:left w:val="nil"/>
              <w:bottom w:val="nil"/>
              <w:right w:val="nil"/>
            </w:tcBorders>
          </w:tcPr>
          <w:p>
            <w:pPr>
              <w:pStyle w:val="Normal6a"/>
            </w:pPr>
            <w:r>
              <w:t>B.</w:t>
            </w:r>
            <w:r>
              <w:tab/>
            </w:r>
            <w:r>
              <w:t>întrucât gestionarea tranziției către o economie neutră ca emisii de dioxid de carbon presupune nu numai să se sprijine tranzițiile către noi locuri de muncă în sectoarele emergente, ci și să se păstreze și să se adapteze locurile de muncă și sectoarele existente la industriile și tehnologiile neutre ca impact asupra climei și curate, în folosul oamenilor</w:t>
            </w:r>
            <w:r>
              <w:rPr>
                <w:b/>
                <w:i/>
              </w:rPr>
              <w:t>, mai ales al celor</w:t>
            </w:r>
            <w:r>
              <w:t xml:space="preserve"> care trăiesc în zonele afectate </w:t>
            </w:r>
            <w:r>
              <w:rPr>
                <w:b/>
                <w:i/>
              </w:rPr>
              <w:t>mai puternic</w:t>
            </w:r>
            <w:r>
              <w:t xml:space="preserve">; întrucât este important ca lucrătorii și persoanele aflate în căutarea unui loc de muncă să se simtă sprijiniți în efortul de a trece cu bine prin tranziție, astfel încât </w:t>
            </w:r>
            <w:r>
              <w:rPr>
                <w:b/>
                <w:i/>
              </w:rPr>
              <w:t>să se promoveze înțelegerea, acceptarea și eficacitatea obiectivelor</w:t>
            </w:r>
            <w:r>
              <w:t xml:space="preserve"> strategiei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gestionarea tranziției către o economie neutră ca emisii de dioxid de carbon presupune nu numai să se sprijine tranzițiile către noi locuri de muncă în sectoarele emergente, ci și să se păstreze și să se adapteze locurile de muncă și sectoarele existente la industriile și tehnologiile neutre ca impact asupra climei și curate, în folosul oamenilor care trăiesc în zonele afectate; întrucât este important ca lucrătorii și persoanele aflate în căutarea unui loc de muncă să </w:t>
            </w:r>
            <w:r>
              <w:rPr>
                <w:b/>
                <w:i/>
              </w:rPr>
              <w:t>se simtă</w:t>
            </w:r>
            <w:r>
              <w:t xml:space="preserve"> sprijiniți în efortul de a trece cu bine prin tranziție, astfel încât aceștia să poată înțelege și accepta mai bine obiectivele strategiei 2050;</w:t>
            </w:r>
          </w:p>
        </w:tc>
        <w:tc>
          <w:tcPr>
            <w:tcW w:w="4876" w:type="dxa"/>
            <w:tcBorders>
              <w:top w:val="nil"/>
              <w:left w:val="nil"/>
              <w:bottom w:val="nil"/>
              <w:right w:val="nil"/>
            </w:tcBorders>
          </w:tcPr>
          <w:p>
            <w:pPr>
              <w:pStyle w:val="Normal6a"/>
            </w:pPr>
            <w:r>
              <w:t>B.</w:t>
            </w:r>
            <w:r>
              <w:tab/>
            </w:r>
            <w:r>
              <w:t xml:space="preserve">întrucât gestionarea tranziției către o economie neutră ca emisii de dioxid de carbon presupune nu numai să se sprijine tranzițiile către noi locuri de muncă </w:t>
            </w:r>
            <w:r>
              <w:rPr>
                <w:b/>
                <w:i/>
              </w:rPr>
              <w:t>de calitate</w:t>
            </w:r>
            <w:r>
              <w:t xml:space="preserve"> în sectoarele emergente, ci și să se păstreze și să se adapteze locurile de muncă și sectoarele existente la industriile și tehnologiile neutre ca impact asupra climei și curate, în folosul oamenilor care trăiesc în zonele afectate; întrucât este important ca </w:t>
            </w:r>
            <w:r>
              <w:rPr>
                <w:b/>
                <w:i/>
              </w:rPr>
              <w:t>toată lumea, inclusiv</w:t>
            </w:r>
            <w:r>
              <w:t xml:space="preserve"> lucrătorii și persoanele aflate în căutarea unui loc de muncă să </w:t>
            </w:r>
            <w:r>
              <w:rPr>
                <w:b/>
                <w:i/>
              </w:rPr>
              <w:t>fie</w:t>
            </w:r>
            <w:r>
              <w:t xml:space="preserve"> sprijiniți în efortul de a trece cu bine prin tranziție, astfel încât aceștia să poată înțelege și accepta mai bine obiectivele strategiei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dincolo de nevoia de a asigura faptul că un număr suficient de persoane nou-intrate pe piața muncii dobândesc competențele necesare pentru economia viitorului, o altă provocare constă în perfecționarea și recalificarea lucrătorilor, în special pentru a răspunde nevoilor actuale și în schimbare de pe piața muncii;</w:t>
            </w:r>
            <w:r>
              <w:t xml:space="preserve"> </w:t>
            </w:r>
            <w:r>
              <w:rPr>
                <w:b/>
                <w:i/>
              </w:rPr>
              <w:t>întrucât acest lucru este adesea mai dificil pentru lucrătorii în vârstă și mai ales pentru lucrătorii slab calificați, care se pot confrunta cu obstacole mai mari în ceea ce privește „perfecționarea” și concurența pentru noi locuri de muncă;</w:t>
            </w:r>
            <w:r>
              <w:t xml:space="preserve"> </w:t>
            </w:r>
            <w:r>
              <w:rPr>
                <w:b/>
                <w:i/>
              </w:rPr>
              <w:t>întrucât apare și o dificultate legată de spațiu, deoarece locurile de muncă din economia cu emisii scăzute de dioxid de carbon pot fi create în regiuni foarte diferite de cele care se confruntă cu disponibilizări;</w:t>
            </w:r>
            <w:r>
              <w:t xml:space="preserve"> </w:t>
            </w:r>
            <w:r>
              <w:rPr>
                <w:b/>
                <w:i/>
              </w:rPr>
              <w:t>întrucât eforturile în materie de educație și formare trebuie, prin urmare, să fie strâns legate politicile privind tranziția justă;</w:t>
            </w:r>
            <w:r>
              <w:t xml:space="preserve"> </w:t>
            </w:r>
            <w:r>
              <w:rPr>
                <w:b/>
                <w:i/>
              </w:rPr>
              <w:t>întrucât lucrătorii și comunitățile dezavantajate vor avea nevoie de sprijin personalizat pentru a nu rămâne în urmă;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întrucât tranziția verde necesită investiții considerabile în perfecționare și în recalificare pentru a înzestra lucrătorii atât cu competențele tehnice specifice fiecărei ocupații, cât și cu competențele non-tehnice de bază necesare;</w:t>
            </w:r>
            <w:r>
              <w:t xml:space="preserve"> </w:t>
            </w:r>
            <w:r>
              <w:rPr>
                <w:b/>
                <w:i/>
              </w:rPr>
              <w:t>întrucât deficitul de mână de lucru calificată și deficitul de forță de muncă sunt aproape inevitabile ori de câte ori apare un produs sau un serviciu nou, economia verde și digitală nefăcând excepție;</w:t>
            </w:r>
            <w:r>
              <w:t xml:space="preserve"> </w:t>
            </w:r>
            <w:r>
              <w:rPr>
                <w:b/>
                <w:i/>
              </w:rPr>
              <w:t>întrucât un mix integrat de politici care combină dezvoltarea competențelor, finanțarea și politica industrială este un factor-cheie pentru competitivitate, investiții și crearea de locuri de muncă sustenabile;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întrucât crearea unei hărți europene a competențelor și calificărilor este un instrument important de consolidare a competitivității, de asigurare a relevanței pentru piața muncii și a mobilității și de sprijinire a antreprenorilor și a întreprinderilor în accesarea unei forțe de muncă dotate cu competențe atât tehnice, cât și transversale;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întrucât este probabil ca învățarea sau îmbunătățirea anumitor competențe de bază să aibă o relevanță mai mare pentru capacitatea de inserție profesională a unei persoane decât competențele și aptitudinile care sunt foarte specifice anumitor ocupații sau tehnologii;</w:t>
            </w:r>
            <w:r>
              <w:t xml:space="preserve"> </w:t>
            </w:r>
            <w:r>
              <w:rPr>
                <w:b/>
                <w:i/>
              </w:rPr>
              <w:t>întrucât competențele scris-citit și cele numerice, precum și cele decizionale, de lucru în echipă și de comunicare sunt esențiale prin faptul că afectează capacitatea persoanelor de a funcționa bine în echipe, crescând astfel adaptabilitatea lor și mobilitatea lor profesională;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întrucât pentru transformarea economică a Europei este nevoie să se pună un accent puternic pe competitivitate și creștere;</w:t>
            </w:r>
            <w:r>
              <w:t xml:space="preserve"> </w:t>
            </w:r>
            <w:r>
              <w:rPr>
                <w:b/>
                <w:i/>
              </w:rPr>
              <w:t>întrucât reducerea birocrației și asigurarea utilizării eficiente a fondurilor sunt esențiale pentru a atrage investiții private;</w:t>
            </w:r>
            <w:r>
              <w:t xml:space="preserve"> </w:t>
            </w:r>
            <w:r>
              <w:rPr>
                <w:b/>
                <w:i/>
              </w:rPr>
              <w:t>întrucât antreprenorii și creatorii de locuri de muncă trebuie să beneficieze de condiții adecvate pentru a investi și a se extinde;</w:t>
            </w:r>
            <w:r>
              <w:t xml:space="preserve"> </w:t>
            </w:r>
            <w:r>
              <w:rPr>
                <w:b/>
                <w:i/>
              </w:rPr>
              <w:t>întrucât politicile în materie de competențe ar trebui să fie orientate către cererea de pe piața forței de muncă, combinând recalificarea, perfecționarea, educația și formarea profesională și învățarea pe tot parcursul vieții pentru a construi o forță de muncă care să consolideze autonomia strategică a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întrucât strategiile europene în materie de competențe, competitivitate și investiții ar trebui să creeze oportunități atât pentru întreprinderile mari, cât și pentru IMM-uri, răspunzând, în același timp, nevoilor naționale, regionale și locale;</w:t>
            </w:r>
            <w:r>
              <w:t xml:space="preserve"> </w:t>
            </w:r>
            <w:r>
              <w:rPr>
                <w:b/>
                <w:i/>
              </w:rPr>
              <w:t>întrucât politicile care consolidează capacitatea industrială, încurajează antreprenoriatul și construiesc o forță de muncă cu competențe adaptate la realitățile locale sunt esențiale pentru a garanta că toți europenii pot beneficia de pe urma creșterii și inovării;</w:t>
            </w:r>
            <w:r>
              <w:t xml:space="preserve"> </w:t>
            </w:r>
            <w:r>
              <w:rPr>
                <w:b/>
                <w:i/>
              </w:rPr>
              <w:t>întrucât este important ca cetățenii, atât în zonele urbane, cât și în cele rurale, să fie implicați și să sprijine o tranziție justă care să echilibreze competitivitatea cu solidaritatea și ca aceștia să poată avea încredere că munca, contribuția și modul lor de viață sunt protejate, astfel încât nimeni să nu fie lăsat în urmă;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întrucât, deși o serie de inițiative legislative și nelegislative importante ale Uniunii vizează sau pot contribui la modul în care este tratat impactul dublei tranziții (în special Mecanismul pentru o tranziție justă, FTJ, Uniunea competențelor, Fondul pentru atenuarea impactului social al acțiunilor climatice, FSE+ și MRR), rămân lacune în cadrul legislativ și de politici în ceea ce privește dificultățile la locul de muncă, drepturile lucrătorilor, protecția socială și dialogul social;</w:t>
            </w:r>
            <w:r>
              <w:t xml:space="preserve"> </w:t>
            </w:r>
            <w:r>
              <w:rPr>
                <w:b/>
                <w:i/>
              </w:rPr>
              <w:t>întrucât numai măsuri întreprinse la nivelul Uniunii pot asigura o valoare adăugată reală și o convergență socială ascendentă concomitentă, transformând promisiunea de „a nu lăsa pe nimeni în urmă” în realitate;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întrucât, deși o serie de inițiative legislative și nelegislative importante ale Uniunii vizează sau pot contribui la modul în care este tratat impactul dublei tranziții (în special Mecanismul pentru o tranziție justă, FTJ, Uniunea competențelor, Fondul pentru atenuarea impactului social al acțiunilor climatice, FSE+ și MRR), rămân lacune în cadrul legislativ și de politici în ceea ce privește dificultățile la locul de muncă, drepturile lucrătorilor, protecția socială și dialogul social;</w:t>
            </w:r>
            <w:r>
              <w:t xml:space="preserve"> </w:t>
            </w:r>
            <w:r>
              <w:rPr>
                <w:b/>
                <w:i/>
              </w:rPr>
              <w:t>întrucât numai măsuri întreprinse la nivelul Uniunii pot asigura o valoare adăugată reală și o convergență socială ascendentă concomitentă, transformând promisiunea de „a nu lăsa pe nimeni în urmă” în realitate;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deși o serie de inițiative legislative și nelegislative importante ale Uniunii vizează sau pot contribui la modul în care este tratat impactul dublei tranziții (în special Mecanismul pentru o tranziție justă, FTJ, Uniunea competențelor, Fondul pentru atenuarea impactului social al acțiunilor climatice, FSE+ și MRR), </w:t>
            </w:r>
            <w:r>
              <w:rPr>
                <w:b/>
                <w:i/>
              </w:rPr>
              <w:t>rămân lacune în cadrul legislativ și de politici</w:t>
            </w:r>
            <w:r>
              <w:t xml:space="preserve"> în ceea ce privește dificultățile la locul de muncă, drepturile lucrătorilor, protecția socială și dialogul social; întrucât </w:t>
            </w:r>
            <w:r>
              <w:rPr>
                <w:b/>
                <w:i/>
              </w:rPr>
              <w:t>numai măsuri întreprinse la nivelul Uniunii pot asigura</w:t>
            </w:r>
            <w:r>
              <w:t xml:space="preserve"> o valoare adăugată </w:t>
            </w:r>
            <w:r>
              <w:rPr>
                <w:b/>
                <w:i/>
              </w:rPr>
              <w:t>reală și o convergență socială ascendentă concomitentă, transformând promisiunea de „a nu lăsa pe nimeni în urmă” în realitate</w:t>
            </w:r>
            <w:r>
              <w:t>;</w:t>
            </w:r>
          </w:p>
        </w:tc>
        <w:tc>
          <w:tcPr>
            <w:tcW w:w="4876" w:type="dxa"/>
            <w:tcBorders>
              <w:top w:val="nil"/>
              <w:left w:val="nil"/>
              <w:bottom w:val="nil"/>
              <w:right w:val="nil"/>
            </w:tcBorders>
          </w:tcPr>
          <w:p>
            <w:pPr>
              <w:pStyle w:val="Normal6a"/>
            </w:pPr>
            <w:r>
              <w:t>C.</w:t>
            </w:r>
            <w:r>
              <w:tab/>
            </w:r>
            <w:r>
              <w:t xml:space="preserve">întrucât, deși o serie de inițiative legislative și nelegislative importante ale Uniunii vizează sau pot contribui la modul în care este tratat impactul dublei tranziții (în special Mecanismul pentru o tranziție justă, FTJ, Uniunea competențelor, Fondul pentru atenuarea impactului social al acțiunilor climatice, FSE+ și MRR), </w:t>
            </w:r>
            <w:r>
              <w:rPr>
                <w:b/>
                <w:i/>
              </w:rPr>
              <w:t>ele trebuie revizuite</w:t>
            </w:r>
            <w:r>
              <w:t xml:space="preserve"> în ceea ce privește dificultățile la locul de muncă, drepturile lucrătorilor, protecția socială și dialogul social; întrucât </w:t>
            </w:r>
            <w:r>
              <w:rPr>
                <w:b/>
                <w:i/>
              </w:rPr>
              <w:t>Uniunea ar trebui să se concentreze pe sprijinirea statelor membre în domenii în care cooperarea europeană creează</w:t>
            </w:r>
            <w:r>
              <w:t xml:space="preserve"> o valoare adăugată </w:t>
            </w:r>
            <w:r>
              <w:rPr>
                <w:b/>
                <w:i/>
              </w:rPr>
              <w:t>clară, evitând totodată abordările universale care riscă să submineze modelele și tradițiile naționale ale pieței forței de muncă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deși o serie de inițiative legislative și nelegislative importante ale Uniunii vizează </w:t>
            </w:r>
            <w:r>
              <w:rPr>
                <w:b/>
                <w:i/>
              </w:rPr>
              <w:t>sau pot contribui</w:t>
            </w:r>
            <w:r>
              <w:t xml:space="preserve"> la modul în care este tratat impactul dublei tranziții (în special Mecanismul pentru o tranziție justă, FTJ, Uniunea competențelor, Fondul pentru atenuarea impactului social al acțiunilor climatice, FSE+ și MRR), rămân lacune în cadrul legislativ și de politici în ceea ce privește dificultățile la locul de muncă, drepturile lucrătorilor, protecția socială și dialogul social; întrucât numai măsuri întreprinse la nivelul </w:t>
            </w:r>
            <w:r>
              <w:rPr>
                <w:b/>
                <w:i/>
              </w:rPr>
              <w:t>Uniunii</w:t>
            </w:r>
            <w:r>
              <w:t xml:space="preserve"> pot asigura o valoare adăugată reală </w:t>
            </w:r>
            <w:r>
              <w:rPr>
                <w:b/>
                <w:i/>
              </w:rPr>
              <w:t>și o convergență socială ascendentă concomitentă, transformând promisiunea de „a nu lăsa pe nimeni în urmă” în realitate</w:t>
            </w:r>
            <w:r>
              <w:t>;</w:t>
            </w:r>
          </w:p>
        </w:tc>
        <w:tc>
          <w:tcPr>
            <w:tcW w:w="4876" w:type="dxa"/>
            <w:tcBorders>
              <w:top w:val="nil"/>
              <w:left w:val="nil"/>
              <w:bottom w:val="nil"/>
              <w:right w:val="nil"/>
            </w:tcBorders>
          </w:tcPr>
          <w:p>
            <w:pPr>
              <w:pStyle w:val="Normal6a"/>
            </w:pPr>
            <w:r>
              <w:t>C.</w:t>
            </w:r>
            <w:r>
              <w:tab/>
            </w:r>
            <w:r>
              <w:t xml:space="preserve">întrucât, deși o serie de inițiative legislative și nelegislative importante </w:t>
            </w:r>
            <w:r>
              <w:rPr>
                <w:b/>
                <w:i/>
              </w:rPr>
              <w:t>și subvențiile plătite de contribuabili</w:t>
            </w:r>
            <w:r>
              <w:t xml:space="preserve"> ale Uniunii vizează </w:t>
            </w:r>
            <w:r>
              <w:rPr>
                <w:b/>
                <w:i/>
              </w:rPr>
              <w:t>să contribuie</w:t>
            </w:r>
            <w:r>
              <w:t xml:space="preserve"> la modul în care este tratat impactul dublei tranziții (în special Mecanismul pentru o tranziție justă, FTJ, Uniunea competențelor, Fondul pentru atenuarea impactului social al acțiunilor climatice, FSE+ și MRR), rămân lacune în cadrul legislativ și de politici în ceea ce privește dificultățile la locul de muncă, drepturile lucrătorilor, protecția socială și dialogul social; întrucât numai măsuri întreprinse la nivelul </w:t>
            </w:r>
            <w:r>
              <w:rPr>
                <w:b/>
                <w:i/>
              </w:rPr>
              <w:t>statelor membre</w:t>
            </w:r>
            <w:r>
              <w:t xml:space="preserve"> pot asigura o valoare adăugată reală;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deși o serie de inițiative legislative și nelegislative importante ale Uniunii vizează sau pot contribui la modul în care este tratat impactul dublei tranziții (în special Mecanismul pentru o tranziție justă, FTJ, Uniunea competențelor, Fondul pentru atenuarea impactului social al acțiunilor climatice, FSE+ și MRR), rămân lacune în cadrul legislativ și de politici în ceea ce privește dificultățile la locul de muncă, drepturile lucrătorilor, protecția socială </w:t>
            </w:r>
            <w:r>
              <w:rPr>
                <w:b/>
                <w:i/>
              </w:rPr>
              <w:t>și</w:t>
            </w:r>
            <w:r>
              <w:t xml:space="preserve"> dialogul social; întrucât numai măsuri întreprinse la nivelul Uniunii pot asigura o valoare adăugată reală și o convergență socială ascendentă concomitentă, transformând promisiunea de „a nu lăsa pe nimeni în urmă” în realitate;</w:t>
            </w:r>
          </w:p>
        </w:tc>
        <w:tc>
          <w:tcPr>
            <w:tcW w:w="4876" w:type="dxa"/>
            <w:tcBorders>
              <w:top w:val="nil"/>
              <w:left w:val="nil"/>
              <w:bottom w:val="nil"/>
              <w:right w:val="nil"/>
            </w:tcBorders>
          </w:tcPr>
          <w:p>
            <w:pPr>
              <w:pStyle w:val="Normal6a"/>
            </w:pPr>
            <w:r>
              <w:t>C.</w:t>
            </w:r>
            <w:r>
              <w:tab/>
            </w:r>
            <w:r>
              <w:t>întrucât, deși o serie de inițiative legislative și nelegislative importante ale Uniunii vizează sau pot contribui la modul în care este tratat impactul dublei tranziții (în special Mecanismul pentru o tranziție justă, FTJ</w:t>
            </w:r>
            <w:r>
              <w:rPr>
                <w:b/>
                <w:i/>
              </w:rPr>
              <w:t>, FEG</w:t>
            </w:r>
            <w:r>
              <w:t>, Uniunea competențelor, Fondul pentru atenuarea impactului social al acțiunilor climatice, FSE+ și MRR), rămân lacune în cadrul legislativ și de politici în ceea ce privește dificultățile la locul de muncă, drepturile lucrătorilor, protecția socială</w:t>
            </w:r>
            <w:r>
              <w:rPr>
                <w:b/>
                <w:i/>
              </w:rPr>
              <w:t>,</w:t>
            </w:r>
            <w:r>
              <w:t xml:space="preserve"> dialogul social </w:t>
            </w:r>
            <w:r>
              <w:rPr>
                <w:b/>
                <w:i/>
              </w:rPr>
              <w:t>și posibilitățile de educație și formare</w:t>
            </w:r>
            <w:r>
              <w:t>; întrucât numai măsuri întreprinse la nivelul Uniunii pot asigura o valoare adăugată reală și o convergență socială ascendentă concomitentă, transformând promisiunea de „a nu lăsa pe nimeni în urmă” </w:t>
            </w:r>
            <w:r>
              <w:rPr>
                <w:b/>
                <w:i/>
              </w:rPr>
              <w:t>și principiile pilonului european al drepturilor sociale</w:t>
            </w:r>
            <w:r>
              <w:t xml:space="preserve"> în realitate;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deși o serie de inițiative legislative și nelegislative importante ale Uniunii vizează sau pot contribui la modul în care este tratat impactul dublei tranziții (în special Mecanismul pentru o tranziție justă, FTJ, Uniunea competențelor, Fondul pentru atenuarea impactului social al acțiunilor climatice, FSE+ și MRR), rămân lacune în cadrul legislativ și de politici în ceea ce privește dificultățile la locul de muncă, drepturile lucrătorilor, protecția socială și dialogul social; întrucât numai măsuri întreprinse la nivelul Uniunii pot asigura o valoare adăugată reală și o convergență socială ascendentă concomitentă, transformând promisiunea de „a nu lăsa pe nimeni în urmă” în realitate;</w:t>
            </w:r>
          </w:p>
        </w:tc>
        <w:tc>
          <w:tcPr>
            <w:tcW w:w="4876" w:type="dxa"/>
            <w:tcBorders>
              <w:top w:val="nil"/>
              <w:left w:val="nil"/>
              <w:bottom w:val="nil"/>
              <w:right w:val="nil"/>
            </w:tcBorders>
          </w:tcPr>
          <w:p>
            <w:pPr>
              <w:pStyle w:val="Normal6a"/>
            </w:pPr>
            <w:r>
              <w:t>C.</w:t>
            </w:r>
            <w:r>
              <w:tab/>
            </w:r>
            <w:r>
              <w:t>întrucât, deși o serie de inițiative legislative și nelegislative importante ale Uniunii vizează sau pot contribui la modul în care este tratat impactul dublei tranziții (în special Mecanismul pentru o tranziție justă, FTJ, Uniunea competențelor, Fondul pentru atenuarea impactului social al acțiunilor climatice, FSE+ și MRR)</w:t>
            </w:r>
            <w:r>
              <w:rPr>
                <w:b/>
                <w:i/>
              </w:rPr>
              <w:t> și vizează și pot să crească competitivitatea</w:t>
            </w:r>
            <w:r>
              <w:t>, rămân lacune în cadrul legislativ și de politici în ceea ce privește dificultățile la locul de muncă, drepturile lucrătorilor, protecția socială și dialogul social; întrucât numai măsuri întreprinse la nivelul Uniunii pot asigura o valoare adăugată reală și o convergență socială ascendentă concomitentă, transformând promisiunea de „a nu lăsa pe nimeni în urmă” în realitate;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potrivit cercetărilor Eurofound</w:t>
            </w:r>
            <w:r>
              <w:rPr>
                <w:b/>
                <w:i/>
                <w:vertAlign w:val="superscript"/>
              </w:rPr>
              <w:t>1b</w:t>
            </w:r>
            <w:r>
              <w:rPr>
                <w:b/>
                <w:i/>
              </w:rPr>
              <w:t>, aspectele legate de dubla tranziție aproape că nu apar în contractele colective de muncă, iar reprezentanții lucrătorilor par să fie mai puțin implicați în cazurile de restructurare legate de tranziția verde și digitală decât în alte cazuri de restructurare;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Eurofound (2024), „Creating a new social contract for the just transition:</w:t>
            </w:r>
            <w:r>
              <w:t xml:space="preserve"> </w:t>
            </w:r>
            <w:r>
              <w:rPr>
                <w:b/>
                <w:i/>
              </w:rPr>
              <w:t>Is partnership working?” (Crearea unui nou contract social pentru tranziția justă: funcționează parteneriatul?) https://www.eurofound.europa.eu/ro/publications/all/creating-new-social-contract-just-transition-partnership-working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întrucât, în raportul Draghi, deficitul persistent de competențe este identificat drept unul dintre obstacolele ce se află în calea inovării, a adoptării tehnologiilor și a eforturilor de decarbonizare, ceea ce împiedică, la rândul său, creșterea și competitivitatea;</w:t>
            </w:r>
            <w:r>
              <w:t xml:space="preserve"> </w:t>
            </w:r>
            <w:r>
              <w:rPr>
                <w:b/>
                <w:i/>
              </w:rPr>
              <w:t>întrucât în raportul Draghi se constată că aproape 80 % din întreprinderile mici și mijlocii întâmpină dificultăți atunci când doresc să găsească lucrători cu competențele de care au nevoie;</w:t>
            </w:r>
            <w:r>
              <w:t xml:space="preserve"> </w:t>
            </w:r>
            <w:r>
              <w:rPr>
                <w:b/>
                <w:i/>
              </w:rPr>
              <w:t>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protecția socială, locuințele, transporturile și serviciile de îngrijire a copiilor,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în raportul Draghi, deficitul persistent de competențe este identificat drept unul dintre obstacolele ce se află în calea inovării, a adoptării tehnologiilor și a eforturilor de decarbonizare, ceea ce împiedică, la rândul său, creșterea și competitivitatea; întrucât în raportul Draghi se constată că aproape 80 % din întreprinderile mici și mijlocii întâmpină dificultăți atunci când doresc să găsească lucrători cu competențele de care au nevoie; 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protecția socială, locuințele, transporturile și serviciile de îngrijire a copiilor,</w:t>
            </w:r>
          </w:p>
        </w:tc>
        <w:tc>
          <w:tcPr>
            <w:tcW w:w="4876" w:type="dxa"/>
            <w:tcBorders>
              <w:top w:val="nil"/>
              <w:left w:val="nil"/>
              <w:bottom w:val="nil"/>
              <w:right w:val="nil"/>
            </w:tcBorders>
          </w:tcPr>
          <w:p>
            <w:pPr>
              <w:pStyle w:val="Normal6a"/>
            </w:pPr>
            <w:r>
              <w:t>D.</w:t>
            </w:r>
            <w:r>
              <w:tab/>
            </w:r>
            <w:r>
              <w:rPr>
                <w:b/>
                <w:i/>
              </w:rPr>
              <w:t>întrucât, prin investiții în dezvoltarea de înalte competențe, UE poate promova un cerc virtuos al creșterii productivității, al salariilor mai mari și al unei mai mari egalități economice;</w:t>
            </w:r>
            <w:r>
              <w:t xml:space="preserve"> </w:t>
            </w:r>
            <w:r>
              <w:rPr>
                <w:b/>
                <w:i/>
              </w:rPr>
              <w:t>întrucât aproape 50 % dintre adulți ar putea avea nevoie de perfecționare sau recalificare</w:t>
            </w:r>
            <w:r>
              <w:rPr>
                <w:b/>
                <w:i/>
                <w:vertAlign w:val="superscript"/>
              </w:rPr>
              <w:t>1a</w:t>
            </w:r>
            <w:r>
              <w:rPr>
                <w:b/>
                <w:i/>
              </w:rPr>
              <w:t>;</w:t>
            </w:r>
            <w:r>
              <w:t xml:space="preserve"> </w:t>
            </w:r>
            <w:r>
              <w:rPr>
                <w:b/>
                <w:i/>
              </w:rPr>
              <w:t>întrucât numai sectorul energetic al UE va avea nevoie de cel puțin 145 000 de lucrători calificați până în 2030</w:t>
            </w:r>
            <w:r>
              <w:rPr>
                <w:b/>
                <w:i/>
                <w:vertAlign w:val="superscript"/>
              </w:rPr>
              <w:t>2a</w:t>
            </w:r>
            <w:r>
              <w:rPr>
                <w:b/>
                <w:i/>
              </w:rPr>
              <w:t>;</w:t>
            </w:r>
            <w:r>
              <w:t xml:space="preserve"> </w:t>
            </w:r>
            <w:r>
              <w:rPr>
                <w:b/>
                <w:i/>
              </w:rPr>
              <w:t>întrucât tehnologia curată este unul dintre motoarele prosperității economice în Europa, contribuind la 30 % din creșterea economică a UE și creând milioane de locuri de muncă doar în 2023</w:t>
            </w:r>
            <w:r>
              <w:rPr>
                <w:b/>
                <w:i/>
                <w:vertAlign w:val="superscript"/>
              </w:rPr>
              <w:t>3a</w:t>
            </w:r>
            <w:r>
              <w:rPr>
                <w:b/>
                <w:i/>
              </w:rPr>
              <w:t>;</w:t>
            </w:r>
            <w:r>
              <w:t xml:space="preserve"> întrucât, în raportul Draghi, deficitul persistent de competențe este identificat drept unul dintre obstacolele ce se află în calea inovării, a adoptării tehnologiilor și a eforturilor de decarbonizare, ceea ce împiedică, la rândul său, creșterea și competitivitatea; întrucât în raportul Draghi se constată că aproape 80 % din întreprinderile mici și mijlocii întâmpină dificultăți atunci când doresc să găsească lucrători cu competențele de care au nevoie; 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protecția socială, locuințele, transporturile și serviciile de îngrijire a copiilor</w:t>
            </w:r>
            <w:r>
              <w:rPr>
                <w:b/>
                <w:i/>
              </w:rPr>
              <w:t>;</w:t>
            </w:r>
            <w:r>
              <w:t xml:space="preserve"> </w:t>
            </w:r>
            <w:r>
              <w:rPr>
                <w:b/>
                <w:i/>
              </w:rPr>
              <w:t>întrucât lacunele în materie de competențe riscă să afecteze disproporționat de mult lucrătorii în vârstă</w:t>
            </w:r>
            <w:r>
              <w:t xml:space="preserve">, </w:t>
            </w:r>
            <w:r>
              <w:rPr>
                <w:b/>
                <w:i/>
              </w:rPr>
              <w:t>pe cei slab calificați și lucrătoarele;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https://www.cedefop.europa.eu/ro/publications/4223#group-downloads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https://op.europa.eu/ro/publication-detail/-/publication/4826f429-0545-11f0-b1a3-01aa75ed71a1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https://www.cedefop.europa.eu/ro/news/green-transition-creates-more-jobs-it-destroys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w:t>
            </w:r>
            <w:r>
              <w:rPr>
                <w:b/>
                <w:i/>
              </w:rPr>
              <w:t>, în raportul Draghi, deficitul persistent de competențe este identificat drept unul dintre obstacolele ce se află în calea inovării, a adoptării tehnologiilor și a eforturilor de decarbonizare, ceea ce împiedică, la rândul său, creșterea și competitivitatea;</w:t>
            </w:r>
            <w:r>
              <w:t xml:space="preserve"> </w:t>
            </w:r>
            <w:r>
              <w:rPr>
                <w:b/>
                <w:i/>
              </w:rPr>
              <w:t>întrucât în raportul Draghi se constată că</w:t>
            </w:r>
            <w:r>
              <w:t xml:space="preserve"> aproape 80 % din întreprinderile mici și mijlocii întâmpină dificultăți atunci când doresc să găsească lucrători cu competențele de care au nevoie; </w:t>
            </w:r>
            <w:r>
              <w:rPr>
                <w:b/>
                <w:i/>
              </w:rPr>
              <w:t>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protecția socială, locuințele, transporturile și serviciile de îngrijire a copiilor,</w:t>
            </w:r>
          </w:p>
        </w:tc>
        <w:tc>
          <w:tcPr>
            <w:tcW w:w="4876" w:type="dxa"/>
            <w:tcBorders>
              <w:top w:val="nil"/>
              <w:left w:val="nil"/>
              <w:bottom w:val="nil"/>
              <w:right w:val="nil"/>
            </w:tcBorders>
          </w:tcPr>
          <w:p>
            <w:pPr>
              <w:pStyle w:val="Normal6a"/>
            </w:pPr>
            <w:r>
              <w:t>D.</w:t>
            </w:r>
            <w:r>
              <w:tab/>
            </w:r>
            <w:r>
              <w:t>întrucât aproape 80 % din întreprinderile mici și mijlocii întâmpină dificultăți atunci când doresc să găsească lucrători cu competențele de care au nevoie;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în raportul Draghi, deficitul persistent de competențe este identificat drept unul dintre obstacolele ce se află în calea inovării, a adoptării tehnologiilor și a eforturilor de decarbonizare, ceea ce împiedică, la rândul său, creșterea și competitivitatea; întrucât </w:t>
            </w:r>
            <w:r>
              <w:rPr>
                <w:b/>
                <w:i/>
              </w:rPr>
              <w:t>în raportul Draghi se constată că</w:t>
            </w:r>
            <w:r>
              <w:t xml:space="preserve"> aproape </w:t>
            </w:r>
            <w:r>
              <w:rPr>
                <w:b/>
                <w:i/>
              </w:rPr>
              <w:t>80 % din întreprinderile</w:t>
            </w:r>
            <w:r>
              <w:t xml:space="preserve"> mici și mijlocii întâmpină dificultăți atunci când doresc să găsească lucrători cu competențele de care au nevoie; întrucât </w:t>
            </w:r>
            <w:r>
              <w:rPr>
                <w:b/>
                <w:i/>
              </w:rPr>
              <w:t>în raportul Draghi se subliniază, de asemenea, că trebuie să se asigure o coordonare strânsă între creșterea productivității și incluziunea socială,</w:t>
            </w:r>
            <w:r>
              <w:t xml:space="preserve"> sistemelor de </w:t>
            </w:r>
            <w:r>
              <w:rPr>
                <w:b/>
                <w:i/>
              </w:rPr>
              <w:t>protecție socială ale statelor membre revenindu-le un rol esențial în cadrul tranziției în ceea ce privește asigurarea unor servicii publice eficace, protecția socială, locuințele, transporturile și serviciile de îngrijire a copiilor,</w:t>
            </w:r>
          </w:p>
        </w:tc>
        <w:tc>
          <w:tcPr>
            <w:tcW w:w="4876" w:type="dxa"/>
            <w:tcBorders>
              <w:top w:val="nil"/>
              <w:left w:val="nil"/>
              <w:bottom w:val="nil"/>
              <w:right w:val="nil"/>
            </w:tcBorders>
          </w:tcPr>
          <w:p>
            <w:pPr>
              <w:pStyle w:val="Normal6a"/>
            </w:pPr>
            <w:r>
              <w:t>D.</w:t>
            </w:r>
            <w:r>
              <w:tab/>
            </w:r>
            <w:r>
              <w:t xml:space="preserve">întrucât, în raportul Draghi, deficitul persistent de competențe este identificat drept unul dintre obstacolele ce se află în calea inovării, a adoptării tehnologiilor și a eforturilor de decarbonizare, ceea ce împiedică, la rândul său, creșterea și competitivitatea; întrucât aproape </w:t>
            </w:r>
            <w:r>
              <w:rPr>
                <w:b/>
                <w:i/>
              </w:rPr>
              <w:t>patru din cinci întreprinderi</w:t>
            </w:r>
            <w:r>
              <w:t xml:space="preserve"> mici și mijlocii </w:t>
            </w:r>
            <w:r>
              <w:rPr>
                <w:b/>
                <w:i/>
              </w:rPr>
              <w:t>din UE raportează că</w:t>
            </w:r>
            <w:r>
              <w:t xml:space="preserve"> întâmpină dificultăți atunci când doresc să găsească lucrători cu competențele de care au nevoie; întrucât </w:t>
            </w:r>
            <w:r>
              <w:rPr>
                <w:b/>
                <w:i/>
              </w:rPr>
              <w:t>un declin al</w:t>
            </w:r>
            <w:r>
              <w:t xml:space="preserve"> sistemelor de </w:t>
            </w:r>
            <w:r>
              <w:rPr>
                <w:b/>
                <w:i/>
              </w:rPr>
              <w:t>educație și formare, în special de educație și formare a adulților, face ca forța de muncă să nu fie pregătită pentru dubla tranziție;</w:t>
            </w:r>
            <w:r>
              <w:t xml:space="preserve"> </w:t>
            </w:r>
            <w:r>
              <w:rPr>
                <w:b/>
                <w:i/>
              </w:rPr>
              <w:t>întrucât participarea la activitățile de învățare în rândul adulților este în continuare insuficientă, deoarece, anual, doar 39,5 % dintre adulți participă la cursuri de formare</w:t>
            </w:r>
            <w:r>
              <w:rPr>
                <w:b/>
                <w:i/>
                <w:vertAlign w:val="superscript"/>
              </w:rPr>
              <w:t>1a</w:t>
            </w:r>
            <w:r>
              <w:rPr>
                <w:b/>
                <w:i/>
              </w:rPr>
              <w:t>, cu mult sub obiectivul pentru 2030 de cel puțin 60 %, și aproximativ alți 50 de milioane de lucrători ar trebui să beneficieze de formare pentru a se atinge acest obiectiv</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https://eur-lex.europa.eu/legal-content/RO/TXT/PDF/?uri=CELEX%3A52025DC0090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Raportul Draghi, p.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în raportul Draghi, deficitul persistent de competențe este identificat drept unul dintre obstacolele ce se află în calea inovării, a adoptării tehnologiilor și a eforturilor de decarbonizare, ceea ce împiedică, la rândul său, creșterea și competitivitatea; întrucât în raportul Draghi se constată că aproape 80 % din întreprinderile mici și mijlocii întâmpină dificultăți atunci când doresc să găsească lucrători cu competențele de care au nevoie; 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protecția socială, locuințele, transporturile și serviciile de îngrijire a copiilor,</w:t>
            </w:r>
          </w:p>
        </w:tc>
        <w:tc>
          <w:tcPr>
            <w:tcW w:w="4876" w:type="dxa"/>
            <w:tcBorders>
              <w:top w:val="nil"/>
              <w:left w:val="nil"/>
              <w:bottom w:val="nil"/>
              <w:right w:val="nil"/>
            </w:tcBorders>
          </w:tcPr>
          <w:p>
            <w:pPr>
              <w:pStyle w:val="Normal6a"/>
            </w:pPr>
            <w:r>
              <w:t>D.</w:t>
            </w:r>
            <w:r>
              <w:tab/>
            </w:r>
            <w:r>
              <w:t xml:space="preserve">întrucât, în raportul Draghi, deficitul persistent de competențe este identificat drept unul dintre obstacolele ce se află în calea inovării, a adoptării tehnologiilor și a eforturilor de decarbonizare, ceea ce împiedică, la rândul său, creșterea și competitivitatea; întrucât în raportul Draghi se constată că aproape 80 % din întreprinderile mici și mijlocii întâmpină dificultăți atunci când doresc să găsească lucrători cu competențele de care au nevoie; 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protecția socială, locuințele, transporturile și serviciile de îngrijire a copiilor, </w:t>
            </w:r>
            <w:r>
              <w:rPr>
                <w:b/>
                <w:i/>
              </w:rPr>
              <w:t>întrucât sistemele de asistență și de protecție socială puternice și finanțate corespunzător reprezintă o condiție prealabilă pentru asigurarea unei tranziții echitabile și juste către neutralitatea climatică și transformarea digitală;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în raportul Draghi, deficitul persistent de competențe este identificat drept unul dintre obstacolele ce se află în calea inovării, a adoptării tehnologiilor și a eforturilor de decarbonizare, ceea ce împiedică, la rândul său, creșterea și competitivitatea; întrucât în raportul Draghi se constată că aproape 80 % din întreprinderile mici și mijlocii întâmpină dificultăți atunci când doresc să găsească lucrători cu competențele de care au nevoie; 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protecția socială, locuințele, transporturile și serviciile de îngrijire a copiilor,</w:t>
            </w:r>
          </w:p>
        </w:tc>
        <w:tc>
          <w:tcPr>
            <w:tcW w:w="4876" w:type="dxa"/>
            <w:tcBorders>
              <w:top w:val="nil"/>
              <w:left w:val="nil"/>
              <w:bottom w:val="nil"/>
              <w:right w:val="nil"/>
            </w:tcBorders>
          </w:tcPr>
          <w:p>
            <w:pPr>
              <w:pStyle w:val="Normal6a"/>
            </w:pPr>
            <w:r>
              <w:t>D.</w:t>
            </w:r>
            <w:r>
              <w:tab/>
            </w:r>
            <w:r>
              <w:t>întrucât, în raportul Draghi, deficitul persistent de competențe este identificat drept unul dintre obstacolele ce se află în calea inovării, a adoptării tehnologiilor și a eforturilor de decarbonizare, ceea ce împiedică, la rândul său, creșterea și competitivitatea; întrucât în raportul Draghi se constată că aproape 80 % din întreprinderile mici și mijlocii întâmpină dificultăți atunci când doresc să găsească lucrători cu competențele de care au nevoie; 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protecția socială, locuințele, transporturile și serviciile de îngrijire a copiilor</w:t>
            </w:r>
            <w:r>
              <w:rPr>
                <w:b/>
                <w:i/>
              </w:rPr>
              <w:t>; cu alte cuvinte</w:t>
            </w:r>
            <w:r>
              <w:t xml:space="preserve">, </w:t>
            </w:r>
            <w:r>
              <w:rPr>
                <w:b/>
                <w:i/>
              </w:rPr>
              <w:t>sperăm că avem bani, din ce rămâne din industria noastră, să plătim pentru cei care nu vor sau nu pot să muncească;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în raportul Draghi se recunoaște, de asemenea, importanța modelului social european și se evidențiază că promovarea competitivității nu ar trebui să se bazeze pe reduceri salariale pentru a reduce costurile relative;</w:t>
            </w:r>
            <w:r>
              <w:t xml:space="preserve"> </w:t>
            </w:r>
            <w:r>
              <w:rPr>
                <w:b/>
                <w:i/>
              </w:rPr>
              <w:t>întrucât noile locuri de muncă ecologice create ar trebui să fie toate locuri de muncă de înaltă calitate;</w:t>
            </w:r>
            <w:r>
              <w:t xml:space="preserve"> </w:t>
            </w:r>
            <w:r>
              <w:rPr>
                <w:b/>
                <w:i/>
              </w:rPr>
              <w:t>întrucât un loc de muncă de calitate ar trebui să includă următoarele aspecte: (i) negociere colectivă, (ii) respectarea pe deplin a drepturilor lucrătorilor și ale sindicatelor, (iii) salarii echitabile, (iv) securitatea muncii și protecție socială, (v) formare fără costuri și în timpul programului de lucru, (vi) condiții bune de muncă, (vii) sănătate și siguranță la locul de muncă, (viii) echilibru între viața profesională și cea privată, (ix) egalitate și lipsa discriminării;</w:t>
            </w:r>
            <w:r>
              <w:t xml:space="preserve"> </w:t>
            </w:r>
            <w:r>
              <w:rPr>
                <w:b/>
                <w:i/>
              </w:rPr>
              <w:t>întrucât condițiile bune de muncă, dialogul social și negocierile colective sunt indispensabile pentru sistemele noastre europene de protecție socială, pentru competitivitatea Uniunii și, de asemenea, pentru democrație;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locurile de muncă de calitate, care includ, printre altele, salarii decente, contracte de muncă standard, acces la protecție socială, posibilități de învățare pe tot parcursul vieții, standarde înalte de sănătate și siguranță la locul de muncă, un program de lucru rezonabil cu un bun echilibru între viața profesională și cea privată, reprezentarea lucrătorilor, democrație la locul de muncă și contracte colective de muncă, joacă un rol esențial în atragerea și păstrarea forței de muncă;</w:t>
            </w:r>
            <w:r>
              <w:t xml:space="preserve"> </w:t>
            </w:r>
            <w:r>
              <w:rPr>
                <w:b/>
                <w:i/>
              </w:rPr>
              <w:t>întrucât accesul tuturor la educație, formare și învățare pe tot parcursul vieții incluzive și de calitate este esențial pentru a asigura faptul că forța de muncă deține competențele necesare pentru a realiza obiectivele tranziției digitale și verzi;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trebuie consolidată capacitatea administrativă și tehnică a diferitelor părți interesate;</w:t>
            </w:r>
            <w:r>
              <w:t xml:space="preserve"> </w:t>
            </w:r>
            <w:r>
              <w:rPr>
                <w:b/>
                <w:i/>
              </w:rPr>
              <w:t>întrucât statele membre continuă să se confrunte cu dificultăți semnificative în ceea ce privește gestionarea și executarea cu eficacitate a fondurilor UE la nivel local și evaluarea diferitelor efecte ale politicilor climatice;</w:t>
            </w:r>
            <w:r>
              <w:t xml:space="preserve"> </w:t>
            </w:r>
            <w:r>
              <w:rPr>
                <w:b/>
                <w:i/>
              </w:rPr>
              <w:t>întrucât este esențial să se elaboreze politici care să promoveze oportunitățile economice, în special în zonele rurale, pentru a atrage investiții, a sprijini întreprinderile, a crea locuri de muncă la nivel local și a le permite oamenilor să rămână în comunitățile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IMM-urile sunt coloana vertebrală a economiei europene și creează o mare parte din locurile de muncă permanente la nivel local;</w:t>
            </w:r>
            <w:r>
              <w:t xml:space="preserve"> </w:t>
            </w:r>
            <w:r>
              <w:rPr>
                <w:b/>
                <w:i/>
              </w:rPr>
              <w:t>întrucât, pentru ca o tranziție justă în domeniul muncii să fie posibilă, trebuie introdus un pachet echitabil de simplificare pentru IMM-uri, cu dispoziții specifice, cum ar fi perioade extinse de tranziție și cerințe simplificate pentru IMM-uri;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atitudinea alarmistă pe subiecte legate de climă, inclusiv discursurile false privind pericolele schimbărilor climatice naturale, biodiversitatea și penuria de combustibil, creează panică artificială pentru a justifica introducerea unei legislații antiindustriale, care va duce la transferul activităților economice din Uniune către țări terțe, în special China și India;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în raportul Draghi se subliniază, de asemenea, că trebuie să se asigure o coordonare strânsă între creșterea productivității și incluziunea socială, sistemelor de protecție socială ale statelor membre revenindu-le un rol esențial în cadrul tranziției în ceea ce privește asigurarea unor servicii publice eficace, a protecției sociale, a locuințelor, a serviciilor de transport și a serviciilor de îngrijire a copiilor,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succesul tranziției juste necesită investiții publice, redistribuirea resurselor și rețele de protecție socială puternice pentru a garanta că niciun lucrător și nicio comunitate nu sunt lăsate în urmă;</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întrucât raportul Letta consideră că „libertatea de a rămâne” ar trebui considerată ca o față a aceleiași monede, alături de libertatea de circulație;</w:t>
            </w:r>
            <w:r>
              <w:t xml:space="preserve"> </w:t>
            </w:r>
            <w:r>
              <w:rPr>
                <w:b/>
                <w:i/>
              </w:rPr>
              <w:t>întrucât raportul Letta consideră că libertatea de circulație este un drept fundamental și o alegere liberă și nu o necesitate pentru a compensa lipsa unor locuri de muncă atractive și decente în unele regiuni;</w:t>
            </w:r>
            <w:r>
              <w:t xml:space="preserve"> </w:t>
            </w:r>
            <w:r>
              <w:rPr>
                <w:b/>
                <w:i/>
              </w:rPr>
              <w:t>întrucât în raport se accentuează că este nevoie să se ofere oportunități cetățenilor din toate regiunile, în special celor care sunt lăsați în urmă, inclusiv să existe locuri de muncă de calitate și să se combată inegalitățile în interiorul țărilor și între acestea</w:t>
            </w:r>
            <w:r>
              <w:rPr>
                <w:b/>
                <w:i/>
                <w:vertAlign w:val="superscript"/>
              </w:rPr>
              <w:t>2a</w:t>
            </w:r>
            <w:r>
              <w:rPr>
                <w:b/>
                <w:i/>
              </w:rPr>
              <w:t>;</w:t>
            </w:r>
            <w:r>
              <w:t xml:space="preserve"> </w:t>
            </w:r>
            <w:r>
              <w:rPr>
                <w:b/>
                <w:i/>
              </w:rPr>
              <w:t>întrucât, dacă nu este concepută și sprijinită în mod adecvat, tranziția verde ar putea afecta regiunile vulnerabile din estul și sudul Europei disproporționat de mult</w:t>
            </w:r>
            <w:r>
              <w:rPr>
                <w:b/>
                <w:i/>
                <w:vertAlign w:val="superscript"/>
              </w:rPr>
              <w:t>3a</w:t>
            </w:r>
            <w:r>
              <w:t xml:space="preserve"> </w:t>
            </w:r>
            <w:r>
              <w:rPr>
                <w:b/>
                <w:i/>
              </w:rPr>
              <w:t>în ceea ce privește riscurile de șomaj și pierderile de locuri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https://cohesiondata.ec.europa.eu/stories/s/py4s-5ad4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https://op.europa.eu/ro/publication-detail/-/publication/24c7aa49-2451-11ee-94cb-01aa75ed71a1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întrucât, potrivit raportului Comisiei intitulat „Employment and Social Developments in Europe 2024” (Evoluția ocupării forței de muncă și a situației sociale în Europa 2024 - ESDE 2024)</w:t>
            </w:r>
            <w:r>
              <w:rPr>
                <w:b/>
                <w:i/>
                <w:vertAlign w:val="superscript"/>
              </w:rPr>
              <w:t>1a</w:t>
            </w:r>
            <w:r>
              <w:rPr>
                <w:b/>
                <w:i/>
              </w:rPr>
              <w:t>, constrângerile în ceea ce privește participarea la activitățile de educație și formare a adulților sunt atribuite unor obstacole precum percepția că nu este necesară, oferta insuficientă sau dificultățile legate de accesul la o formare de calitate relevantă, nepotrivirea programului, responsabilitățile familiale și constrângerile financiare;</w:t>
            </w:r>
            <w:r>
              <w:t xml:space="preserve"> </w:t>
            </w:r>
            <w:r>
              <w:rPr>
                <w:b/>
                <w:i/>
              </w:rPr>
              <w:t>întrucât în raportul Draghi se solicită UE să asigure faptul că toți lucrătorii au dreptul la educație și reconversie profesională, astfel încât să poată prelua noi roluri pe măsură ce întreprinderile lor adoptă tehnologia sau să poată obține locuri de muncă de calitate în sectoare noi</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https://employment-social-affairs.ec.europa.eu/employment-and-social-developments-europe-2024-upward-social-convergence-eu-and-role-social_en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Raportul Draghi, p.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întrucât geografia muncii este încă definită de un decalaj puternic între nord-vest și sud-est, cu un așa-numit „coridor albastru”, care se întinde din sudul Suediei prin Danemarca, nordul Germaniei, Austria și Țările de Jos, cu rate de ocupare a forței de muncă de 78 % sau mai mult, în timp ce în cea mai mare parte din sudul Spaniei, Grecia, sudul Italiei, estul Croației, Bulgaria și România rata este în continuare de sub 68 %;</w:t>
            </w:r>
            <w:r>
              <w:t xml:space="preserve"> </w:t>
            </w:r>
            <w:r>
              <w:rPr>
                <w:b/>
                <w:i/>
              </w:rPr>
              <w:t>întrucât teritoriile dependente de cărbune adaugă un nivel suplimentar de vulnerabilitate:</w:t>
            </w:r>
            <w:r>
              <w:t xml:space="preserve"> </w:t>
            </w:r>
            <w:r>
              <w:rPr>
                <w:b/>
                <w:i/>
              </w:rPr>
              <w:t>ratele de ocupare a forței de muncă sunt cu 10-15 % sub media UE</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„Just Transition on the World of Work” (O tranziție justă pe piața muncii), Departamentul tematic pentru transporturi, ocuparea forței de muncă și afaceri sociale, Direcția Generală Coeziune, Agricultură și Politici Sociale, Izabela MARCINKOWSKA, Veronika HVOZDIKOVA, septembrie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întrucât se preconizează că foaia de parcurs privind locurile de muncă de calitate va promova măsuri care sprijină statele membre și industriile în asigurarea unor condiții de muncă decente și a accesului la formare, stabilind standarde ridicate în materie de sănătate și siguranță în muncă, asigurând tranziții profesionale echitabile pentru lucrători și persoanele care desfășoară o activitate independentă și pentru negocierea colectivă, cu scopul de a atrage talente și de a contribui la competitivitatea industriilor europene;</w:t>
            </w:r>
            <w:r>
              <w:t xml:space="preserve"> </w:t>
            </w:r>
            <w:r>
              <w:rPr>
                <w:b/>
                <w:i/>
              </w:rPr>
              <w:t>întrucât în acest context, se preconizează că Comisia va discuta cu partenerii sociali un cadru de sprijinire a proceselor de restructurare de la nivelul UE și al statelor membre;</w:t>
            </w:r>
            <w:r>
              <w:t xml:space="preserve"> </w:t>
            </w:r>
            <w:r>
              <w:rPr>
                <w:b/>
                <w:i/>
              </w:rPr>
              <w:t>întrucât acest cadru se va axa pe tranziția justă, pe dreptul la formare, pe anticiparea schimbărilor, pe intervenții timpurii atunci când există un pericol de restructurare și pe informare și consultare îmbunătățite;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întrucât din 2012, Uniunea trece printr-o nouă perioadă de convergență a veniturilor, în care unele zone care au avut industrie a cărbunelui și industrie grea din Polonia, Ungaria și Germania de Est s-au dezvoltat mai rapid decât media UE, în timp ce alte regiuni, cum ar fi sudul Italiei, o mare parte din Grecia și mai multe regiuni din România, s-au apropiat puțin sau deloc în ceea ce privește PIB-ului</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„Just Transition in the World of Work” (O tranziție justă în lumea muncii), studiu pentru Comisia EMPL, septembrie 2025 https://www.europarl.europa.eu/RegData/etudes/STUD/2025/759354/CASP_STU(2025)759354_EN.pdf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întrucât punerea în aplicare a Fondului pentru o tranziție justă este lentă, după cum o arată rata plăților de numai 32,2 % înregistrată până la sfârșitul anului 2024</w:t>
            </w:r>
            <w:r>
              <w:rPr>
                <w:b/>
                <w:i/>
                <w:vertAlign w:val="superscript"/>
              </w:rPr>
              <w:t>1d</w:t>
            </w:r>
            <w:r>
              <w:rPr>
                <w:b/>
                <w:i/>
              </w:rPr>
              <w:t>;</w:t>
            </w:r>
            <w:r>
              <w:t xml:space="preserve"> </w:t>
            </w:r>
            <w:r>
              <w:rPr>
                <w:b/>
                <w:i/>
              </w:rPr>
              <w:t>întrucât numărul de locuri de muncă create de FTJ nu este pe cale să acopere numărul preconizat de locuri de muncă care urmează să fie pierdute pe măsură ce industriile cu emisii mari de dioxid de carbon adoptă tehnologii mai curate;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„Just Transition Mechanism - Performance 2025” (Mecanismul pentru o tranziție justă - performanță 2025), Comisia Europeană, https://commission.europa.eu/strategy-and-policy/eu-budget/performance-and-reporting/programme-performance-statements/just-transition-mechanism-performance_en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întrucât Pactul pentru o industrie curată va accelera decarbonizarea, transformând-o într-un motor de creștere pentru industriile europene, reducând prețurile la energie și creând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întrucât viitoarea revizuire a directivelor privind achizițiile publice vizează alinierea normelor în materie de achiziții publice la obiectivele strategice mai ample ale Uniunii, inclusiv tranziția verde și cea digitală, locurile de muncă echitabile, inovarea, standardele sociale și verzi ridicate și reziliența;</w:t>
            </w:r>
            <w:r>
              <w:t xml:space="preserve"> </w:t>
            </w:r>
            <w:r>
              <w:rPr>
                <w:b/>
                <w:i/>
              </w:rPr>
              <w:t>întrucât această revizuire este o șansă pentru a promova negocierea colectivă și utilizarea clauzei sociale, precum și tratamentul preferențial pentru întreprinderile cu contracte colective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subliniază că tranziția reușită către surse de energie și industrii mai sustenabile va juca un rol major în competitivitatea pe termen lung a întreprinderilor din Uniune pe piața mondială;</w:t>
            </w:r>
            <w:r>
              <w:t xml:space="preserve"> subliniază că trebuie să se asigure faptul că întreprinderile și lucrătorii sunt bine pregătiți pentru a profita de oportunitățile generate de trecerea la soluții noi și inovatoare; </w:t>
            </w:r>
            <w:r>
              <w:rPr>
                <w:b/>
                <w:i/>
              </w:rPr>
              <w:t>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w:t>
            </w:r>
            <w:r>
              <w:t xml:space="preserve"> subliniază că </w:t>
            </w:r>
            <w:r>
              <w:rPr>
                <w:b/>
                <w:i/>
              </w:rPr>
              <w:t>regiunile pot sprijini</w:t>
            </w:r>
            <w:r>
              <w:t xml:space="preserve"> tranziția </w:t>
            </w:r>
            <w:r>
              <w:rPr>
                <w:b/>
                <w:i/>
              </w:rPr>
              <w:t>justă</w:t>
            </w:r>
            <w:r>
              <w:t xml:space="preserve"> combinând protecția socială, diversificarea economică și coordonarea teritorială, ceea ce va reduce efectele negative </w:t>
            </w:r>
            <w:r>
              <w:rPr>
                <w:b/>
                <w:i/>
              </w:rPr>
              <w:t>și va promova o dezvoltare mai incluzivă</w:t>
            </w:r>
            <w:r>
              <w:t>;</w:t>
            </w:r>
          </w:p>
        </w:tc>
        <w:tc>
          <w:tcPr>
            <w:tcW w:w="4876" w:type="dxa"/>
            <w:tcBorders>
              <w:top w:val="nil"/>
              <w:left w:val="nil"/>
              <w:bottom w:val="nil"/>
              <w:right w:val="nil"/>
            </w:tcBorders>
          </w:tcPr>
          <w:p>
            <w:pPr>
              <w:pStyle w:val="Normal6a"/>
            </w:pPr>
            <w:r>
              <w:t>1.</w:t>
            </w:r>
            <w:r>
              <w:tab/>
            </w:r>
            <w:r>
              <w:t xml:space="preserve">subliniază că trebuie să se asigure faptul că întreprinderile și lucrătorii sunt bine pregătiți pentru a profita de oportunitățile generate de trecerea la soluții noi și inovatoare; subliniază că </w:t>
            </w:r>
            <w:r>
              <w:rPr>
                <w:b/>
                <w:i/>
              </w:rPr>
              <w:t>statele membre pot conduce</w:t>
            </w:r>
            <w:r>
              <w:t xml:space="preserve"> tranziția combinând protecția socială, diversificarea economică și coordonarea teritorială, ceea ce va reduce efectele negative;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w:t>
            </w:r>
            <w:r>
              <w:rPr>
                <w:b/>
                <w:i/>
              </w:rPr>
              <w:t>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w:t>
            </w:r>
            <w:r>
              <w:t xml:space="preserve"> </w:t>
            </w:r>
            <w:r>
              <w:rPr>
                <w:b/>
                <w:i/>
              </w:rPr>
              <w:t>subliniază că regiunile pot sprijini tranziția justă combinând protecția socială, diversificarea economică și coordonarea teritorială, ceea ce va reduce efectele negative și va promova o dezvoltare mai incluzivă;</w:t>
            </w:r>
          </w:p>
        </w:tc>
        <w:tc>
          <w:tcPr>
            <w:tcW w:w="4876" w:type="dxa"/>
            <w:tcBorders>
              <w:top w:val="nil"/>
              <w:left w:val="nil"/>
              <w:bottom w:val="nil"/>
              <w:right w:val="nil"/>
            </w:tcBorders>
          </w:tcPr>
          <w:p>
            <w:pPr>
              <w:pStyle w:val="Normal6a"/>
            </w:pPr>
            <w:r>
              <w:t>1.</w:t>
            </w:r>
            <w:r>
              <w:tab/>
            </w:r>
            <w:r>
              <w:t>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w:t>
            </w:r>
            <w:r>
              <w:rPr>
                <w:b/>
                <w:i/>
              </w:rPr>
              <w:t>;</w:t>
            </w:r>
            <w:r>
              <w:t xml:space="preserve"> </w:t>
            </w:r>
            <w:r>
              <w:rPr>
                <w:b/>
                <w:i/>
              </w:rPr>
              <w:t>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w:t>
            </w:r>
            <w:r>
              <w:t xml:space="preserve"> </w:t>
            </w:r>
            <w:r>
              <w:rPr>
                <w:b/>
                <w:i/>
              </w:rPr>
              <w:t>subliniază că regiunile pot sprijini tranziția justă combinând protecția socială, diversificarea</w:t>
            </w:r>
            <w:r>
              <w:t xml:space="preserve"> economică </w:t>
            </w:r>
            <w:r>
              <w:rPr>
                <w:b/>
                <w:i/>
              </w:rPr>
              <w:t>și coordonarea teritorială, ceea ce va reduce efectele negative și va promova o dezvoltare mai incluzivă</w:t>
            </w:r>
            <w:r>
              <w:t>;</w:t>
            </w:r>
          </w:p>
        </w:tc>
        <w:tc>
          <w:tcPr>
            <w:tcW w:w="4876" w:type="dxa"/>
            <w:tcBorders>
              <w:top w:val="nil"/>
              <w:left w:val="nil"/>
              <w:bottom w:val="nil"/>
              <w:right w:val="nil"/>
            </w:tcBorders>
          </w:tcPr>
          <w:p>
            <w:pPr>
              <w:pStyle w:val="Normal6a"/>
            </w:pPr>
            <w:r>
              <w:t>1.</w:t>
            </w:r>
            <w:r>
              <w:tab/>
            </w:r>
            <w:r>
              <w:t xml:space="preserve">subliniază că tranziția reușită către surse de energie și industrii mai sustenabile va juca un rol </w:t>
            </w:r>
            <w:r>
              <w:rPr>
                <w:b/>
                <w:i/>
              </w:rPr>
              <w:t>negativ</w:t>
            </w:r>
            <w:r>
              <w:t xml:space="preserve">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w:t>
            </w:r>
            <w:r>
              <w:rPr>
                <w:b/>
                <w:i/>
              </w:rPr>
              <w:t>, fără a lăsa deoparte industria tradițională, care a oferit statelor membre baza lor</w:t>
            </w:r>
            <w:r>
              <w:t xml:space="preserve">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w:t>
            </w:r>
            <w:r>
              <w:rPr>
                <w:b/>
                <w:i/>
              </w:rPr>
              <w:t>este indispensabil un</w:t>
            </w:r>
            <w:r>
              <w:t xml:space="preserve"> cadru </w:t>
            </w:r>
            <w:r>
              <w:rPr>
                <w:b/>
                <w:i/>
              </w:rPr>
              <w:t>obligatoriu care să corespundă</w:t>
            </w:r>
            <w:r>
              <w:t xml:space="preserve"> provocărilor și oportunităților unei tranziții juste la locul de muncă</w:t>
            </w:r>
            <w:r>
              <w:rPr>
                <w:b/>
                <w:i/>
              </w:rPr>
              <w:t>,</w:t>
            </w:r>
            <w:r>
              <w:t xml:space="preserve">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 subliniază că regiunile pot sprijini tranziția justă combinând protecția socială, diversificarea economică și coordonarea teritorială, ceea ce va reduce efectele negative și va promova o dezvoltare mai incluzivă;</w:t>
            </w:r>
          </w:p>
        </w:tc>
        <w:tc>
          <w:tcPr>
            <w:tcW w:w="4876" w:type="dxa"/>
            <w:tcBorders>
              <w:top w:val="nil"/>
              <w:left w:val="nil"/>
              <w:bottom w:val="nil"/>
              <w:right w:val="nil"/>
            </w:tcBorders>
          </w:tcPr>
          <w:p>
            <w:pPr>
              <w:pStyle w:val="Normal6a"/>
            </w:pPr>
            <w:r>
              <w:t>1.</w:t>
            </w:r>
            <w:r>
              <w:tab/>
            </w:r>
            <w:r>
              <w:t xml:space="preserve">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w:t>
            </w:r>
            <w:r>
              <w:rPr>
                <w:b/>
                <w:i/>
              </w:rPr>
              <w:t>revizuirea actualului</w:t>
            </w:r>
            <w:r>
              <w:t xml:space="preserve"> cadru </w:t>
            </w:r>
            <w:r>
              <w:rPr>
                <w:b/>
                <w:i/>
              </w:rPr>
              <w:t>juridic pentru a răspunde</w:t>
            </w:r>
            <w:r>
              <w:t xml:space="preserve"> provocărilor și oportunităților unei tranziții juste la locul de muncă </w:t>
            </w:r>
            <w:r>
              <w:rPr>
                <w:b/>
                <w:i/>
              </w:rPr>
              <w:t>este indispensabilă</w:t>
            </w:r>
            <w:r>
              <w:t xml:space="preserve">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 subliniază că regiunile pot sprijini tranziția justă combinând protecția socială, diversificarea economică și coordonarea teritorială, ceea ce va reduce efectele negative și va promova o dezvoltare mai incluzivă;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Gheorghe Falcă, Romana Tomc,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 subliniază că regiunile pot sprijini tranziția justă combinând protecția socială, diversificarea economică și coordonarea teritorială, ceea ce va reduce efectele negative și va promova </w:t>
            </w:r>
            <w:r>
              <w:rPr>
                <w:b/>
                <w:i/>
              </w:rPr>
              <w:t>o dezvoltare mai incluzivă</w:t>
            </w:r>
            <w:r>
              <w:t>;</w:t>
            </w:r>
          </w:p>
        </w:tc>
        <w:tc>
          <w:tcPr>
            <w:tcW w:w="4876" w:type="dxa"/>
            <w:tcBorders>
              <w:top w:val="nil"/>
              <w:left w:val="nil"/>
              <w:bottom w:val="nil"/>
              <w:right w:val="nil"/>
            </w:tcBorders>
          </w:tcPr>
          <w:p>
            <w:pPr>
              <w:pStyle w:val="Normal6a"/>
            </w:pPr>
            <w:r>
              <w:t>1.</w:t>
            </w:r>
            <w:r>
              <w:tab/>
            </w:r>
            <w:r>
              <w:t xml:space="preserve">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 subliniază că regiunile pot sprijini tranziția justă combinând protecția socială, diversificarea economică și coordonarea teritorială, ceea ce va reduce efectele negative și va promova </w:t>
            </w:r>
            <w:r>
              <w:rPr>
                <w:b/>
                <w:i/>
              </w:rPr>
              <w:t>dezvoltarea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tranziția reușită către surse de energie </w:t>
            </w:r>
            <w:r>
              <w:rPr>
                <w:b/>
                <w:i/>
              </w:rPr>
              <w:t>și industrii</w:t>
            </w:r>
            <w:r>
              <w:t xml:space="preserve">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w:t>
            </w:r>
            <w:r>
              <w:rPr>
                <w:b/>
                <w:i/>
              </w:rPr>
              <w:t>care oferă</w:t>
            </w:r>
            <w:r>
              <w:t xml:space="preserve"> claritate și structurare atât pentru lucrători, cât și pentru angajatori în procesul de pregătire pentru schimbări și de gestionare a acestora și, în cele din urmă, pentru a îmbunătăți reziliența, competitivitatea </w:t>
            </w:r>
            <w:r>
              <w:rPr>
                <w:b/>
                <w:i/>
              </w:rPr>
              <w:t>și</w:t>
            </w:r>
            <w:r>
              <w:t xml:space="preserve"> convergența socială ascendentă a Uniunii; subliniază că regiunile pot sprijini tranziția justă combinând protecția socială, diversificarea economică și coordonarea teritorială, ceea ce va reduce efectele negative și va promova o dezvoltare mai incluzivă;</w:t>
            </w:r>
          </w:p>
        </w:tc>
        <w:tc>
          <w:tcPr>
            <w:tcW w:w="4876" w:type="dxa"/>
            <w:tcBorders>
              <w:top w:val="nil"/>
              <w:left w:val="nil"/>
              <w:bottom w:val="nil"/>
              <w:right w:val="nil"/>
            </w:tcBorders>
          </w:tcPr>
          <w:p>
            <w:pPr>
              <w:pStyle w:val="Normal6a"/>
            </w:pPr>
            <w:r>
              <w:t>1.</w:t>
            </w:r>
            <w:r>
              <w:tab/>
            </w:r>
            <w:r>
              <w:t>subliniază că tranziția reușită către surse de energie mai sustenabile</w:t>
            </w:r>
            <w:r>
              <w:rPr>
                <w:b/>
                <w:i/>
              </w:rPr>
              <w:t>, industrii modernizate și o economie mai digitalizată</w:t>
            </w:r>
            <w:r>
              <w:t xml:space="preserv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w:t>
            </w:r>
            <w:r>
              <w:rPr>
                <w:b/>
                <w:i/>
              </w:rPr>
              <w:t>adecvate care să ofere</w:t>
            </w:r>
            <w:r>
              <w:t xml:space="preserve"> claritate și structurare atât pentru lucrători, cât și pentru angajatori în procesul de pregătire pentru schimbări și de gestionare a acestora și, în cele din urmă, pentru a îmbunătăți reziliența, competitivitatea</w:t>
            </w:r>
            <w:r>
              <w:rPr>
                <w:b/>
                <w:i/>
              </w:rPr>
              <w:t>,</w:t>
            </w:r>
            <w:r>
              <w:t xml:space="preserve"> convergența socială ascendentă a Uniunii </w:t>
            </w:r>
            <w:r>
              <w:rPr>
                <w:b/>
                <w:i/>
              </w:rPr>
              <w:t>și dreptatea socială;</w:t>
            </w:r>
            <w:r>
              <w:t xml:space="preserve"> </w:t>
            </w:r>
            <w:r>
              <w:rPr>
                <w:b/>
                <w:i/>
              </w:rPr>
              <w:t>subliniază în special importanța muncii decente și a locurilor de muncă care fac obiectul contractelor colective de muncă, care sunt indispensabile pentru a asigura un progres social mai accentuat, o distribuție echitabilă și acceptarea tranziției;</w:t>
            </w:r>
            <w:r>
              <w:t xml:space="preserve"> </w:t>
            </w:r>
            <w:r>
              <w:rPr>
                <w:b/>
                <w:i/>
              </w:rPr>
              <w:t>subliniază că negocierea colectivă este esențială pentru salarii echitabile, dreptate socială și democrație la locul de muncă, însă acoperirea este în continuare inegală;</w:t>
            </w:r>
            <w:r>
              <w:t xml:space="preserve"> </w:t>
            </w:r>
            <w:r>
              <w:rPr>
                <w:b/>
                <w:i/>
              </w:rPr>
              <w:t>accentuează că UE ar trebui să ofere orientări și sprijin pentru a contribui la consolidarea sistemelor de negociere, în special la nivel sectorial, și pentru a se asigura că partenerii sociali sunt pe deplin implicați;</w:t>
            </w:r>
            <w:r>
              <w:t xml:space="preserve"> </w:t>
            </w:r>
            <w:r>
              <w:rPr>
                <w:b/>
                <w:i/>
              </w:rPr>
              <w:t>evidențiază că este important să se mobilizeze resursele UE pentru a consolida capacitățile acolo unde este necesar</w:t>
            </w:r>
            <w:r>
              <w:t>; subliniază că regiunile pot sprijini tranziția justă combinând protecția socială, diversificarea economică și coordonarea teritorială, ceea ce va reduce efectele negative și va promova o dezvoltare mai incluzivă;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tranziția reușită către surse de energie și industrii </w:t>
            </w:r>
            <w:r>
              <w:rPr>
                <w:b/>
                <w:i/>
              </w:rPr>
              <w:t>mai</w:t>
            </w:r>
            <w:r>
              <w:t xml:space="preserve"> sustenabile va juca un rol major în competitivitatea </w:t>
            </w:r>
            <w:r>
              <w:rPr>
                <w:b/>
                <w:i/>
              </w:rPr>
              <w:t>pe termen lung a</w:t>
            </w:r>
            <w:r>
              <w:t xml:space="preserve">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 subliniază că regiunile pot sprijini tranziția justă combinând protecția socială, diversificarea economică și coordonarea teritorială, ceea ce va reduce efectele negative și va promova o dezvoltare mai incluzivă;</w:t>
            </w:r>
          </w:p>
        </w:tc>
        <w:tc>
          <w:tcPr>
            <w:tcW w:w="4876" w:type="dxa"/>
            <w:tcBorders>
              <w:top w:val="nil"/>
              <w:left w:val="nil"/>
              <w:bottom w:val="nil"/>
              <w:right w:val="nil"/>
            </w:tcBorders>
          </w:tcPr>
          <w:p>
            <w:pPr>
              <w:pStyle w:val="Normal6a"/>
            </w:pPr>
            <w:r>
              <w:t>1.</w:t>
            </w:r>
            <w:r>
              <w:tab/>
            </w:r>
            <w:r>
              <w:t xml:space="preserve">subliniază că tranziția reușită către surse de energie și industrii sustenabile va juca un rol major în competitivitatea întreprinderilor din Uniune pe piața mondială </w:t>
            </w:r>
            <w:r>
              <w:rPr>
                <w:b/>
                <w:i/>
              </w:rPr>
              <w:t>și conduce la crearea unui număr semnificativ de locuri de muncă verzi în Europa</w:t>
            </w:r>
            <w:r>
              <w:t>;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w:t>
            </w:r>
            <w:r>
              <w:rPr>
                <w:b/>
                <w:i/>
              </w:rPr>
              <w:t>, precum și democrația la locul de muncă</w:t>
            </w:r>
            <w:r>
              <w:t>; subliniază că regiunile pot sprijini tranziția justă combinând protecția socială, diversificarea economică și coordonarea teritorială, ceea ce va reduce efectele negative și va promova o dezvoltare mai incluzivă;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 subliniază că regiunile pot sprijini tranziția justă combinând protecția socială, diversificarea economică și coordonarea teritorială, ceea ce va reduce efectele negative și va promova o dezvoltare mai incluzivă;</w:t>
            </w:r>
          </w:p>
        </w:tc>
        <w:tc>
          <w:tcPr>
            <w:tcW w:w="4876" w:type="dxa"/>
            <w:tcBorders>
              <w:top w:val="nil"/>
              <w:left w:val="nil"/>
              <w:bottom w:val="nil"/>
              <w:right w:val="nil"/>
            </w:tcBorders>
          </w:tcPr>
          <w:p>
            <w:pPr>
              <w:pStyle w:val="Normal6a"/>
            </w:pPr>
            <w:r>
              <w:t>1.</w:t>
            </w:r>
            <w:r>
              <w:tab/>
            </w:r>
            <w:r>
              <w:t>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w:t>
            </w:r>
            <w:r>
              <w:rPr>
                <w:b/>
                <w:i/>
              </w:rPr>
              <w:t>, acordând prioritate creării de locuri de muncă stabile și de calitate, cu contracte colective de muncă, consolidării salariului minim și egalității de gen</w:t>
            </w:r>
            <w:r>
              <w:t>; subliniază că regiunile pot sprijini tranziția justă combinând protecția socială, diversificarea economică și coordonarea teritorială, ceea ce va reduce efectele negative și va promova o dezvoltare mai incluzivă;</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 subliniază că regiunile pot sprijini tranziția justă combinând protecția socială, diversificarea economică și coordonarea teritorială, ceea ce va reduce efectele negative și va promova o dezvoltare mai incluzivă;</w:t>
            </w:r>
          </w:p>
        </w:tc>
        <w:tc>
          <w:tcPr>
            <w:tcW w:w="4876" w:type="dxa"/>
            <w:tcBorders>
              <w:top w:val="nil"/>
              <w:left w:val="nil"/>
              <w:bottom w:val="nil"/>
              <w:right w:val="nil"/>
            </w:tcBorders>
          </w:tcPr>
          <w:p>
            <w:pPr>
              <w:pStyle w:val="Normal6a"/>
            </w:pPr>
            <w:r>
              <w:t>1.</w:t>
            </w:r>
            <w:r>
              <w:tab/>
            </w:r>
            <w:r>
              <w:t xml:space="preserve">subliniază că tranziția reușită către surse de energie și industrii mai sustenabile va juca un rol major în competitivitatea pe termen lung a întreprinderilor din Uniune pe piața mondială; subliniază că trebuie să se asigure faptul că întreprinderile și lucrătorii sunt bine pregătiți pentru a profita de oportunitățile generate de trecerea la soluții noi și inovatoare; consideră că este indispensabil un cadru obligatoriu </w:t>
            </w:r>
            <w:r>
              <w:rPr>
                <w:b/>
                <w:i/>
              </w:rPr>
              <w:t>din punct de vedere juridic</w:t>
            </w:r>
            <w:r>
              <w:t xml:space="preserve"> care să corespundă provocărilor și oportunităților unei tranziții juste la locul de muncă, pentru a se asigura standarde comune minime care oferă claritate și structurare atât pentru lucrători, cât și pentru angajatori în procesul de pregătire pentru schimbări și de gestionare a acestora și, în cele din urmă, pentru a îmbunătăți reziliența, competitivitatea și convergența socială ascendentă a Uniunii; subliniază că regiunile pot sprijini tranziția justă combinând protecția socială, diversificarea economică și coordonarea teritorială, ceea ce va reduce efectele negative și va promova o dezvoltare mai incluzivă;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constată cu regret că în ultimele decenii, transformările legate de tranziția ecologică și cea digitală au fost folosite de multe întreprinderi ca pretext pentru a solicita și a primi finanțare publică semnificativă, procedând în același timp la disponibilizări în masă, mai ales în sectorul autovehiculelor și al energiei;</w:t>
            </w:r>
            <w:r>
              <w:t xml:space="preserve"> </w:t>
            </w:r>
            <w:r>
              <w:rPr>
                <w:b/>
                <w:i/>
              </w:rPr>
              <w:t>invită Comisia să creeze un cadru juridic pentru a preveni repetarea acestei situații și să solicite ca, atunci când întreprinderile își dau seama că pot surveni crize, să fie obligate să emită atenționări timpurii și să colaboreze imediat cu sindicatele și cu reprezentanții lucrătorilor și ai comunităților afectate pentru a discuta și a răspunde situației;</w:t>
            </w:r>
            <w:r>
              <w:t xml:space="preserve"> </w:t>
            </w:r>
            <w:r>
              <w:rPr>
                <w:b/>
                <w:i/>
              </w:rPr>
              <w:t>consideră că concedierile ar trebui să fie soluția de ultimă instanță numai atunci când o întreprindere poate dovedi că a încercat cu bună credință să anticipeze și să gestioneze schimbările;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consideră că o dezvoltare reușită bazată pe surse de energie și industrii mai sustenabile și independente va juca un rol semnificativ în competitivitatea pe termen lung a întreprinderilor din UE pe o piață mondială bazată pe energie mult mai accesibilă ca preț, în special pentru serviciile bazate pe IA, aflate în plină dezvoltare și evoluție, care funcționează cu ajutorul fermelor de servere mari consumatoare de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w:t>
            </w:r>
            <w:r>
              <w:rPr>
                <w:b/>
                <w:i/>
              </w:rPr>
              <w:t>redefinirea</w:t>
            </w:r>
            <w:r>
              <w:t xml:space="preserve"> locurilor de muncă și </w:t>
            </w:r>
            <w:r>
              <w:rPr>
                <w:b/>
                <w:i/>
              </w:rPr>
              <w:t>tranziția</w:t>
            </w:r>
            <w:r>
              <w:t xml:space="preserve"> generală a pieței muncii; </w:t>
            </w:r>
            <w:r>
              <w:rPr>
                <w:b/>
                <w:i/>
              </w:rPr>
              <w:t>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w:t>
            </w:r>
            <w:r>
              <w:t xml:space="preserve"> </w:t>
            </w:r>
            <w:r>
              <w:rPr>
                <w:b/>
                <w:i/>
              </w:rPr>
              <w:t>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w:t>
            </w:r>
            <w:r>
              <w:rPr>
                <w:b/>
                <w:i/>
              </w:rPr>
              <w:t>pierderea</w:t>
            </w:r>
            <w:r>
              <w:t xml:space="preserve"> locurilor de muncă și </w:t>
            </w:r>
            <w:r>
              <w:rPr>
                <w:b/>
                <w:i/>
              </w:rPr>
              <w:t>reducerea</w:t>
            </w:r>
            <w:r>
              <w:t xml:space="preserve"> generală a pieței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w:t>
            </w:r>
            <w:r>
              <w:rPr>
                <w:b/>
                <w:i/>
              </w:rPr>
              <w:t>redefinirea</w:t>
            </w:r>
            <w:r>
              <w:t xml:space="preserve"> locurilor de muncă și </w:t>
            </w:r>
            <w:r>
              <w:rPr>
                <w:b/>
                <w:i/>
              </w:rPr>
              <w:t>tranziția generală a</w:t>
            </w:r>
            <w:r>
              <w:t xml:space="preserve"> pieței muncii; subliniază că apropiata actualizare a Planului de acțiune privind Pilonul european al drepturilor sociale și noua foaie de parcurs pentru locuri de muncă de calitate </w:t>
            </w:r>
            <w:r>
              <w:rPr>
                <w:b/>
                <w:i/>
              </w:rPr>
              <w:t>trebuie să includă o serie de măsuri legislative și nelegislative concrete, care să îmbunătățească în mod palpabil condițiile</w:t>
            </w:r>
            <w:r>
              <w:t xml:space="preserve"> de muncă</w:t>
            </w:r>
            <w:r>
              <w:rPr>
                <w:b/>
                <w:i/>
              </w:rPr>
              <w:t>, sănătatea și siguranța, includerea în negocierile colective și formarea și competențele lucrătorilor și ale persoanelor care desfășoară o activitate independentă</w:t>
            </w:r>
            <w:r>
              <w:t>; subliniază</w:t>
            </w:r>
            <w:r>
              <w:rPr>
                <w:b/>
                <w:i/>
              </w:rPr>
              <w:t>, de asemenea,</w:t>
            </w:r>
            <w:r>
              <w:t xml:space="preserve"> că astfel de măsuri reprezintă o oportunitate de a ajuta angajatorii din Uniune, în special IMM-urile, să își mențină și să își îmbunătățească competitivitatea, </w:t>
            </w:r>
            <w:r>
              <w:rPr>
                <w:b/>
                <w:i/>
              </w:rPr>
              <w:t>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r>
              <w:t>;</w:t>
            </w:r>
          </w:p>
        </w:tc>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w:t>
            </w:r>
            <w:r>
              <w:rPr>
                <w:b/>
                <w:i/>
              </w:rPr>
              <w:t>reducerile</w:t>
            </w:r>
            <w:r>
              <w:t xml:space="preserve"> locurilor de muncă și </w:t>
            </w:r>
            <w:r>
              <w:rPr>
                <w:b/>
                <w:i/>
              </w:rPr>
              <w:t>impactul negativ general asupra</w:t>
            </w:r>
            <w:r>
              <w:t xml:space="preserve"> pieței muncii </w:t>
            </w:r>
            <w:r>
              <w:rPr>
                <w:b/>
                <w:i/>
              </w:rPr>
              <w:t>în Europa</w:t>
            </w:r>
            <w:r>
              <w:t xml:space="preserve">; subliniază că apropiata actualizare a Planului de acțiune privind Pilonul european al drepturilor sociale și noua foaie de parcurs pentru locuri de muncă de calitate </w:t>
            </w:r>
            <w:r>
              <w:rPr>
                <w:b/>
                <w:i/>
              </w:rPr>
              <w:t>va reduce constrângerile care afectează ocuparea forței</w:t>
            </w:r>
            <w:r>
              <w:t xml:space="preserve"> de muncă </w:t>
            </w:r>
            <w:r>
              <w:rPr>
                <w:b/>
                <w:i/>
              </w:rPr>
              <w:t>în Uniune</w:t>
            </w:r>
            <w:r>
              <w:t xml:space="preserve">; subliniază că astfel de măsuri reprezintă o oportunitate de a ajuta angajatorii din Uniune, în special IMM-urile, să își mențină și să își îmbunătățească competitivitatea, </w:t>
            </w:r>
            <w:r>
              <w:rPr>
                <w:b/>
                <w:i/>
              </w:rPr>
              <w:t>promovând dereglementarea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w:t>
            </w:r>
            <w:r>
              <w:rPr>
                <w:b/>
                <w:i/>
              </w:rPr>
              <w:t>legislative și nelegislative</w:t>
            </w:r>
            <w:r>
              <w:t xml:space="preser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c>
          <w:tcPr>
            <w:tcW w:w="4876" w:type="dxa"/>
            <w:tcBorders>
              <w:top w:val="nil"/>
              <w:left w:val="nil"/>
              <w:bottom w:val="nil"/>
              <w:right w:val="nil"/>
            </w:tcBorders>
          </w:tcPr>
          <w:p>
            <w:pPr>
              <w:pStyle w:val="Normal6a"/>
            </w:pPr>
            <w:r>
              <w:t>2.</w:t>
            </w:r>
            <w:r>
              <w:tab/>
            </w:r>
            <w:r>
              <w:t>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w:t>
            </w:r>
            <w:r>
              <w:rPr>
                <w:b/>
                <w:i/>
              </w:rPr>
              <w:t>asigurând un cadru clar</w:t>
            </w:r>
            <w:r>
              <w:t xml:space="preserve">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w:t>
            </w:r>
            <w:r>
              <w:rPr>
                <w:b/>
                <w:i/>
              </w:rPr>
              <w:t>oferind orientări practice și instrumente de sprijin</w:t>
            </w:r>
            <w:r>
              <w:t xml:space="preserve">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subliniază</w:t>
            </w:r>
            <w:r>
              <w:t xml:space="preserve">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c>
          <w:tcPr>
            <w:tcW w:w="4876" w:type="dxa"/>
            <w:tcBorders>
              <w:top w:val="nil"/>
              <w:left w:val="nil"/>
              <w:bottom w:val="nil"/>
              <w:right w:val="nil"/>
            </w:tcBorders>
          </w:tcPr>
          <w:p>
            <w:pPr>
              <w:pStyle w:val="Normal6a"/>
            </w:pPr>
            <w:r>
              <w:t>2.</w:t>
            </w:r>
            <w:r>
              <w:tab/>
            </w:r>
            <w:r>
              <w:rPr>
                <w:b/>
                <w:i/>
              </w:rPr>
              <w:t>insistă asupra faptului</w:t>
            </w:r>
            <w:r>
              <w:t xml:space="preserve">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r>
              <w:rPr>
                <w:b/>
                <w:i/>
              </w:rPr>
              <w:t>, dar și perspectivele de viitor ale lucrătorilor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 </w:t>
            </w:r>
            <w:r>
              <w:rPr>
                <w:b/>
                <w:i/>
              </w:rPr>
              <w:t>solicită măsuri care să garanteze aplicarea universală a negocierilor colective, consolidarea sindicatelor și dreptul lucrătorilor de a fi implicați în procesul de elaborare a planurilor de tranziție;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c>
          <w:tcPr>
            <w:tcW w:w="4876" w:type="dxa"/>
            <w:tcBorders>
              <w:top w:val="nil"/>
              <w:left w:val="nil"/>
              <w:bottom w:val="nil"/>
              <w:right w:val="nil"/>
            </w:tcBorders>
          </w:tcPr>
          <w:p>
            <w:pPr>
              <w:pStyle w:val="Normal6a"/>
            </w:pPr>
            <w:r>
              <w:t>2.</w:t>
            </w:r>
            <w:r>
              <w:tab/>
            </w:r>
            <w:r>
              <w:t>subliniază că impactul decarbonizării asupra ocupării forței de muncă depășește reducerile din sectoarele legate de combustibilii fosili și va avea un impact mai general în ceea ce privește redefinirea locurilor de muncă și tranziția generală a pieței muncii</w:t>
            </w:r>
            <w:r>
              <w:rPr>
                <w:b/>
                <w:i/>
              </w:rPr>
              <w:t>;</w:t>
            </w:r>
            <w:r>
              <w:t xml:space="preserve"> </w:t>
            </w:r>
            <w:r>
              <w:rPr>
                <w:b/>
                <w:i/>
              </w:rPr>
              <w:t>evidențiază că este nevoie ca locurile de muncă existente care vor fi afectate de schimbările climatice în viitor sau care sunt deja afectate de acestea să fie adaptate la temperaturile în creștere și la alte fenomene meteorologice extreme</w:t>
            </w:r>
            <w:r>
              <w:t xml:space="preserve">;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w:t>
            </w:r>
            <w:r>
              <w:rPr>
                <w:b/>
                <w:i/>
              </w:rPr>
              <w:t>salariile,</w:t>
            </w:r>
            <w:r>
              <w:t xml:space="preserve"> sănătatea și siguranța</w:t>
            </w:r>
            <w:r>
              <w:rPr>
                <w:b/>
                <w:i/>
              </w:rPr>
              <w:t>, democrația la locul de muncă</w:t>
            </w:r>
            <w:r>
              <w:t>,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c>
          <w:tcPr>
            <w:tcW w:w="4876" w:type="dxa"/>
            <w:tcBorders>
              <w:top w:val="nil"/>
              <w:left w:val="nil"/>
              <w:bottom w:val="nil"/>
              <w:right w:val="nil"/>
            </w:tcBorders>
          </w:tcPr>
          <w:p>
            <w:pPr>
              <w:pStyle w:val="Normal6a"/>
            </w:pPr>
            <w:r>
              <w:t>2.</w:t>
            </w:r>
            <w:r>
              <w:tab/>
            </w:r>
            <w:r>
              <w:t xml:space="preserve">subliniază că impactul decarbonizării asupra ocupării forței de muncă depășește reducerile din sectoarele legate de combustibilii fosili și va avea un impact mai general în ceea ce privește redefinirea locurilor de muncă și tranziția generală a pieței muncii; </w:t>
            </w:r>
            <w:r>
              <w:rPr>
                <w:b/>
                <w:i/>
              </w:rPr>
              <w:t>salută, în acest sens, anunțarea unui act legislativ privind locurile de muncă de calitate, care va urmări să asigure că practicile de ocupare a forței de muncă țin pasul cu evoluțiile din economia modernă;</w:t>
            </w:r>
            <w:r>
              <w:t xml:space="preserve"> subliniază că </w:t>
            </w:r>
            <w:r>
              <w:rPr>
                <w:b/>
                <w:i/>
              </w:rPr>
              <w:t>acest act legislativ, alături de</w:t>
            </w:r>
            <w:r>
              <w:t xml:space="preserve">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subliniază că impactul decarbonizării asupra ocupării forței de muncă depășește reducerile din sectoarele legate de combustibilii fosili și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w:t>
            </w:r>
          </w:p>
        </w:tc>
        <w:tc>
          <w:tcPr>
            <w:tcW w:w="4876" w:type="dxa"/>
            <w:tcBorders>
              <w:top w:val="nil"/>
              <w:left w:val="nil"/>
              <w:bottom w:val="nil"/>
              <w:right w:val="nil"/>
            </w:tcBorders>
          </w:tcPr>
          <w:p>
            <w:pPr>
              <w:pStyle w:val="Normal6a"/>
            </w:pPr>
            <w:r>
              <w:t>2.</w:t>
            </w:r>
            <w:r>
              <w:tab/>
            </w:r>
            <w:r>
              <w:t>subliniază că impactul decarbonizării asupra ocupării forței de muncă depășește reducerile din sectoarele legate de combustibilii fosili și</w:t>
            </w:r>
            <w:r>
              <w:rPr>
                <w:b/>
                <w:i/>
              </w:rPr>
              <w:t>, în următoarele decenii, va afecta toate profesiile și astfel</w:t>
            </w:r>
            <w:r>
              <w:t xml:space="preserve"> va avea un impact mai general în ceea ce privește redefinirea locurilor de muncă și tranziția generală a pieței muncii; subliniază că apropiata actualizare a Planului de acțiune privind Pilonul european al drepturilor sociale și noua foaie de parcurs pentru locuri de muncă de calitate trebuie să includă o serie de măsuri legislative și nelegislative concrete, care să îmbunătățească în mod palpabil condițiile </w:t>
            </w:r>
            <w:r>
              <w:rPr>
                <w:b/>
                <w:i/>
              </w:rPr>
              <w:t>de muncă, salariile, democrația la locul</w:t>
            </w:r>
            <w:r>
              <w:t xml:space="preserve"> de muncă, sănătatea și siguranța, includerea în negocierile colective și formarea și competențele lucrătorilor și ale persoanelor care desfășoară o activitate independentă; subliniază, de asemenea, că astfel de măsuri reprezintă o oportunitate de a ajuta angajatorii din Uniune, în special IMM-urile, să își mențină și să își îmbunătățească competitivitatea, asigurând un cadru clar pentru pregătirea pentru schimbări și gestionarea acestora în parteneriat cu lucrătorii, și să investească în educația și formarea profesională (EFP) și în perfecționarea și recalificarea lucrătorilor, pentru a răspunde deficitului de competențe și de forță de muncă, care împiedică productivitatea și creșterea economică </w:t>
            </w:r>
            <w:r>
              <w:rPr>
                <w:b/>
                <w:i/>
              </w:rPr>
              <w:t>și accentuează sărăcia persoanelor încadrate în muncă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accentuează că digitalizarea trebuie implementată într-un mod centrat pe factorul uman, prevenind supravegherea excesivă a lucrătorilor și asigurând dreptul de a se deconecta, precum și un program de lucru echitabil;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invită Comisia ca, în urma consultării partenerilor sociali, să propună o directivă pentru a asigura o tranziție justă în lumea muncii și pentru a facilita tranziția Uniunii către o economie sustenabilă, neutră din punct de vedere climatic și digitală;</w:t>
            </w:r>
            <w:r>
              <w:t xml:space="preserve"> </w:t>
            </w:r>
            <w:r>
              <w:rPr>
                <w:b/>
                <w:i/>
              </w:rPr>
              <w:t>consideră că această directivă ar trebui să includă măsuri care să asigure, printre altele: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un cadru specific pentru pregătirea de schimbări și gestionarea acestora prin informarea și consultarea în timp util a lucrătorilor și a reprezentanților acestora, prin dialog social și prin negocieri colective;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dreptul individual la formare gratuită pentru lucrători în timpul programului de lucru;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instituirea unor strategii naționale pentru o tranziție justă;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elaborarea de programe de sprijin pentru întreprinderi și promovarea unor planuri de tranziție la nivel de întreprindere;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o structură de monitorizare care să poată genera o analiză prospectivă strategică;</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invită Comisia ca, în urma consultării partenerilor sociali, să propună o directivă pentru a asigura o tranziție justă în lumea muncii și pentru a facilita tranziția Uniunii către o economie sustenabilă, neutră din punct de vedere climatic și digitală;</w:t>
            </w:r>
            <w:r>
              <w:t xml:space="preserve"> </w:t>
            </w:r>
            <w:r>
              <w:rPr>
                <w:b/>
                <w:i/>
              </w:rPr>
              <w:t>consideră că această directivă ar trebui să includă măsuri care să asigure, printre altele: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un cadru specific pentru pregătirea de schimbări și gestionarea acestora prin informarea și consultarea în timp util a lucrătorilor și a reprezentanților acestora, prin dialog social și prin negocieri colective;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dreptul individual la formare gratuită pentru lucrători în timpul programului de lucru;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instituirea unor strategii naționale pentru o tranziție justă;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elaborarea de programe de sprijin pentru întreprinderi și promovarea unor planuri de tranziție la nivel de întreprindere;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o structură de monitorizare care să poată genera o analiză prospectivă strategică;</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invită Comisia ca, în urma consultării partenerilor sociali, să </w:t>
            </w:r>
            <w:r>
              <w:rPr>
                <w:b/>
                <w:i/>
              </w:rPr>
              <w:t>propună o directivă pentru a asigura o tranziție justă</w:t>
            </w:r>
            <w:r>
              <w:t xml:space="preserve"> în lumea muncii </w:t>
            </w:r>
            <w:r>
              <w:rPr>
                <w:b/>
                <w:i/>
              </w:rPr>
              <w:t>și pentru a facilita tranziția Uniunii către o economie sustenabilă, neutră din punct de vedere climatic și digitală</w:t>
            </w:r>
            <w:r>
              <w:t xml:space="preserve">; consideră că </w:t>
            </w:r>
            <w:r>
              <w:rPr>
                <w:b/>
                <w:i/>
              </w:rPr>
              <w:t>această directivă</w:t>
            </w:r>
            <w:r>
              <w:t xml:space="preserve"> ar trebui </w:t>
            </w:r>
            <w:r>
              <w:rPr>
                <w:b/>
                <w:i/>
              </w:rPr>
              <w:t>să includă măsuri care să asigure, printre altele:</w:t>
            </w:r>
          </w:p>
        </w:tc>
        <w:tc>
          <w:tcPr>
            <w:tcW w:w="4876" w:type="dxa"/>
            <w:tcBorders>
              <w:top w:val="nil"/>
              <w:left w:val="nil"/>
              <w:bottom w:val="nil"/>
              <w:right w:val="nil"/>
            </w:tcBorders>
          </w:tcPr>
          <w:p>
            <w:pPr>
              <w:pStyle w:val="Normal6a"/>
            </w:pPr>
            <w:r>
              <w:t>3.</w:t>
            </w:r>
            <w:r>
              <w:tab/>
            </w:r>
            <w:r>
              <w:t xml:space="preserve">invită Comisia ca, în urma consultării partenerilor sociali, să </w:t>
            </w:r>
            <w:r>
              <w:rPr>
                <w:b/>
                <w:i/>
              </w:rPr>
              <w:t>realizeze un studiu de impact complet privind costurile economice și sociale ale oricărei tranziții juste</w:t>
            </w:r>
            <w:r>
              <w:t xml:space="preserve"> în lumea muncii; consideră că </w:t>
            </w:r>
            <w:r>
              <w:rPr>
                <w:b/>
                <w:i/>
              </w:rPr>
              <w:t>nu</w:t>
            </w:r>
            <w:r>
              <w:t xml:space="preserve"> ar trebui </w:t>
            </w:r>
            <w:r>
              <w:rPr>
                <w:b/>
                <w:i/>
              </w:rPr>
              <w:t>impusă birocrație suplimentară industriei și contribuabililor fără a dovedi că decarbonizarea și digitalizarea vor aduce o schimbare pozitivă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invită Comisia ca, în urma consultării partenerilor sociali</w:t>
            </w:r>
            <w:r>
              <w:rPr>
                <w:b/>
                <w:i/>
              </w:rPr>
              <w:t>, să propună o directivă</w:t>
            </w:r>
            <w:r>
              <w:t xml:space="preserve"> pentru a asigura o tranziție justă în lumea muncii și pentru a facilita tranziția Uniunii către o economie sustenabilă, neutră din punct de vedere climatic și digitală; consideră că această directivă ar trebui să includă măsuri care să asigure, printre altele:</w:t>
            </w:r>
          </w:p>
        </w:tc>
        <w:tc>
          <w:tcPr>
            <w:tcW w:w="4876" w:type="dxa"/>
            <w:tcBorders>
              <w:top w:val="nil"/>
              <w:left w:val="nil"/>
              <w:bottom w:val="nil"/>
              <w:right w:val="nil"/>
            </w:tcBorders>
          </w:tcPr>
          <w:p>
            <w:pPr>
              <w:pStyle w:val="Normal6a"/>
            </w:pPr>
            <w:r>
              <w:t>3.</w:t>
            </w:r>
            <w:r>
              <w:tab/>
            </w:r>
            <w:r>
              <w:t xml:space="preserve">invită Comisia ca, în urma </w:t>
            </w:r>
            <w:r>
              <w:rPr>
                <w:b/>
                <w:i/>
              </w:rPr>
              <w:t>unei evaluări atente și a</w:t>
            </w:r>
            <w:r>
              <w:t xml:space="preserve"> consultării partenerilor sociali </w:t>
            </w:r>
            <w:r>
              <w:rPr>
                <w:b/>
                <w:i/>
              </w:rPr>
              <w:t>și a părților interesate, să revizuiască legislația existentă</w:t>
            </w:r>
            <w:r>
              <w:t xml:space="preserve"> pentru a asigura o tranziție justă în lumea muncii și pentru a facilita tranziția Uniunii către o economie sustenabilă, neutră din punct de vedere climatic și digitală; consideră că această directivă ar trebui să includă măsuri care să asigure, printre altele: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invită Comisia ca, în urma consultării partenerilor sociali, să propună </w:t>
            </w:r>
            <w:r>
              <w:rPr>
                <w:b/>
                <w:i/>
              </w:rPr>
              <w:t>o directivă</w:t>
            </w:r>
            <w:r>
              <w:t xml:space="preserve"> pentru a asigura o tranziție justă în lumea muncii și pentru a facilita tranziția Uniunii către o economie sustenabilă, neutră din punct de vedere climatic și digitală; consideră că </w:t>
            </w:r>
            <w:r>
              <w:rPr>
                <w:b/>
                <w:i/>
              </w:rPr>
              <w:t>această directivă</w:t>
            </w:r>
            <w:r>
              <w:t xml:space="preserve"> ar trebui să includă măsuri care să asigure, printre altele:</w:t>
            </w:r>
          </w:p>
        </w:tc>
        <w:tc>
          <w:tcPr>
            <w:tcW w:w="4876" w:type="dxa"/>
            <w:tcBorders>
              <w:top w:val="nil"/>
              <w:left w:val="nil"/>
              <w:bottom w:val="nil"/>
              <w:right w:val="nil"/>
            </w:tcBorders>
          </w:tcPr>
          <w:p>
            <w:pPr>
              <w:pStyle w:val="Normal6a"/>
            </w:pPr>
            <w:r>
              <w:t>3.</w:t>
            </w:r>
            <w:r>
              <w:tab/>
            </w:r>
            <w:r>
              <w:t xml:space="preserve">invită Comisia ca, în urma consultării partenerilor sociali, să propună </w:t>
            </w:r>
            <w:r>
              <w:rPr>
                <w:b/>
                <w:i/>
              </w:rPr>
              <w:t>un cadru de măsuri fără caracter legislativ</w:t>
            </w:r>
            <w:r>
              <w:t xml:space="preserve"> pentru a asigura o tranziție justă în lumea muncii și pentru a facilita tranziția Uniunii către o economie sustenabilă, neutră din punct de vedere climatic și digitală; consideră că </w:t>
            </w:r>
            <w:r>
              <w:rPr>
                <w:b/>
                <w:i/>
              </w:rPr>
              <w:t>acest cadru</w:t>
            </w:r>
            <w:r>
              <w:t xml:space="preserve"> ar trebui să includă măsuri care să asigure, printre altele: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invită Comisia</w:t>
            </w:r>
            <w:r>
              <w:t xml:space="preserve"> ca, în urma consultării partenerilor sociali, să propună o directivă pentru a asigura o tranziție justă în lumea muncii și pentru a facilita tranziția Uniunii către o economie sustenabilă, neutră din punct de vedere climatic și digitală; consideră că această directivă ar trebui să includă măsuri care să asigure, printre altele:</w:t>
            </w:r>
          </w:p>
        </w:tc>
        <w:tc>
          <w:tcPr>
            <w:tcW w:w="4876" w:type="dxa"/>
            <w:tcBorders>
              <w:top w:val="nil"/>
              <w:left w:val="nil"/>
              <w:bottom w:val="nil"/>
              <w:right w:val="nil"/>
            </w:tcBorders>
          </w:tcPr>
          <w:p>
            <w:pPr>
              <w:pStyle w:val="Normal6a"/>
            </w:pPr>
            <w:r>
              <w:t>3.</w:t>
            </w:r>
            <w:r>
              <w:tab/>
            </w:r>
            <w:r>
              <w:rPr>
                <w:b/>
                <w:i/>
              </w:rPr>
              <w:t>își reiterează apelul către Comisie</w:t>
            </w:r>
            <w:r>
              <w:t xml:space="preserve"> ca, în urma consultării partenerilor sociali, </w:t>
            </w:r>
            <w:r>
              <w:rPr>
                <w:b/>
                <w:i/>
              </w:rPr>
              <w:t>aceasta</w:t>
            </w:r>
            <w:r>
              <w:t xml:space="preserve"> să propună</w:t>
            </w:r>
            <w:r>
              <w:rPr>
                <w:b/>
                <w:i/>
              </w:rPr>
              <w:t>, fără întârzieri,</w:t>
            </w:r>
            <w:r>
              <w:t xml:space="preserve"> o directivă pentru a asigura o tranziție justă în lumea muncii și pentru a facilita tranziția Uniunii către o economie sustenabilă, neutră din punct de vedere climatic și digitală; consideră că această directivă ar trebui să includă măsuri care să asigure, printre altele: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invită Comisia ca, în urma consultării partenerilor sociali, să propună o directivă pentru a asigura o tranziție justă în lumea muncii și pentru a facilita tranziția Uniunii către o economie sustenabilă, neutră din punct de vedere climatic și digitală; consideră că această directivă ar trebui să includă măsuri care să asigure, printre altele:</w:t>
            </w:r>
          </w:p>
        </w:tc>
        <w:tc>
          <w:tcPr>
            <w:tcW w:w="4876" w:type="dxa"/>
            <w:tcBorders>
              <w:top w:val="nil"/>
              <w:left w:val="nil"/>
              <w:bottom w:val="nil"/>
              <w:right w:val="nil"/>
            </w:tcBorders>
          </w:tcPr>
          <w:p>
            <w:pPr>
              <w:pStyle w:val="Normal6a"/>
            </w:pPr>
            <w:r>
              <w:t>3.</w:t>
            </w:r>
            <w:r>
              <w:tab/>
            </w:r>
            <w:r>
              <w:t xml:space="preserve">invită Comisia ca, în urma consultării partenerilor sociali, să propună o directivă pentru a asigura o tranziție justă în lumea muncii și pentru a facilita tranziția Uniunii către o economie sustenabilă, neutră din punct de vedere climatic și digitală; </w:t>
            </w:r>
            <w:r>
              <w:rPr>
                <w:b/>
                <w:i/>
              </w:rPr>
              <w:t>subliniază că această directivă trebuie să respecte pe deplin rolurile și autonomia partenerilor sociali naționali;</w:t>
            </w:r>
            <w:r>
              <w:t xml:space="preserve"> consideră că această directivă ar trebui să includă măsuri care să asigure, printre altele: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un cadru specific pentru pregătirea de schimbări și gestionarea acestora prin informarea și consultarea în timp util a lucrătorilor și a reprezentanților acestora, prin dialog social și prin negocieri colective;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un cadru specific pentru pregătirea de schimbări și gestionarea acestora prin informarea și consultarea în timp util a lucrătorilor și a reprezentanților acestora, prin dialog social și prin negocieri colective;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un cadru specific</w:t>
            </w:r>
            <w:r>
              <w:t xml:space="preserve"> pentru pregătirea de schimbări și gestionarea acestora prin informarea și consultarea în timp util a lucrătorilor și a reprezentanților acestora, prin dialog social și prin negocieri colective;</w:t>
            </w:r>
          </w:p>
        </w:tc>
        <w:tc>
          <w:tcPr>
            <w:tcW w:w="4876" w:type="dxa"/>
            <w:tcBorders>
              <w:top w:val="nil"/>
              <w:left w:val="nil"/>
              <w:bottom w:val="nil"/>
              <w:right w:val="nil"/>
            </w:tcBorders>
          </w:tcPr>
          <w:p>
            <w:pPr>
              <w:pStyle w:val="Normal6a"/>
            </w:pPr>
            <w:r>
              <w:t>(a)</w:t>
            </w:r>
            <w:r>
              <w:tab/>
            </w:r>
            <w:r>
              <w:rPr>
                <w:b/>
                <w:i/>
              </w:rPr>
              <w:t>orientări</w:t>
            </w:r>
            <w:r>
              <w:t xml:space="preserve"> pentru pregătirea de schimbări și gestionarea acestora prin informarea și consultarea în timp util a lucrătorilor și a reprezentanților acestora, prin dialog social și prin negocieri colective;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un cadru specific pentru pregătirea de schimbări și gestionarea acestora prin informarea și consultarea în timp util a lucrătorilor </w:t>
            </w:r>
            <w:r>
              <w:rPr>
                <w:b/>
                <w:i/>
              </w:rPr>
              <w:t>și</w:t>
            </w:r>
            <w:r>
              <w:t xml:space="preserve"> a reprezentanților acestora, prin dialog social </w:t>
            </w:r>
            <w:r>
              <w:rPr>
                <w:b/>
                <w:i/>
              </w:rPr>
              <w:t>și</w:t>
            </w:r>
            <w:r>
              <w:t xml:space="preserve"> prin negocieri colective;</w:t>
            </w:r>
          </w:p>
        </w:tc>
        <w:tc>
          <w:tcPr>
            <w:tcW w:w="4876" w:type="dxa"/>
            <w:tcBorders>
              <w:top w:val="nil"/>
              <w:left w:val="nil"/>
              <w:bottom w:val="nil"/>
              <w:right w:val="nil"/>
            </w:tcBorders>
          </w:tcPr>
          <w:p>
            <w:pPr>
              <w:pStyle w:val="Normal6a"/>
            </w:pPr>
            <w:r>
              <w:t>(a)</w:t>
            </w:r>
            <w:r>
              <w:tab/>
            </w:r>
            <w:r>
              <w:t>un cadru specific pentru pregătirea de schimbări și gestionarea acestora prin informarea și consultarea în timp util a lucrătorilor</w:t>
            </w:r>
            <w:r>
              <w:rPr>
                <w:b/>
                <w:i/>
              </w:rPr>
              <w:t>,</w:t>
            </w:r>
            <w:r>
              <w:t xml:space="preserve"> a reprezentanților acestora </w:t>
            </w:r>
            <w:r>
              <w:rPr>
                <w:b/>
                <w:i/>
              </w:rPr>
              <w:t>și a altor părți interesate relevante</w:t>
            </w:r>
            <w:r>
              <w:t>, prin dialog social</w:t>
            </w:r>
            <w:r>
              <w:rPr>
                <w:b/>
                <w:i/>
              </w:rPr>
              <w:t>,</w:t>
            </w:r>
            <w:r>
              <w:t xml:space="preserve"> prin negocieri colective </w:t>
            </w:r>
            <w:r>
              <w:rPr>
                <w:b/>
                <w:i/>
              </w:rPr>
              <w:t>și prin conceperea și guvernanța în comun a măsurilor și mecanismelor privind tranziția justă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un cadru specific pentru pregătirea de schimbări și gestionarea acestora prin informarea și consultarea în timp util a lucrătorilor și a reprezentanților acestora, prin dialog social și prin negocieri colective;</w:t>
            </w:r>
          </w:p>
        </w:tc>
        <w:tc>
          <w:tcPr>
            <w:tcW w:w="4876" w:type="dxa"/>
            <w:tcBorders>
              <w:top w:val="nil"/>
              <w:left w:val="nil"/>
              <w:bottom w:val="nil"/>
              <w:right w:val="nil"/>
            </w:tcBorders>
          </w:tcPr>
          <w:p>
            <w:pPr>
              <w:pStyle w:val="Normal6a"/>
            </w:pPr>
            <w:r>
              <w:t>(a)</w:t>
            </w:r>
            <w:r>
              <w:tab/>
            </w:r>
            <w:r>
              <w:t xml:space="preserve">un cadru specific pentru pregătirea de schimbări și gestionarea acestora prin informarea și consultarea </w:t>
            </w:r>
            <w:r>
              <w:rPr>
                <w:b/>
                <w:i/>
              </w:rPr>
              <w:t>obligatorie și</w:t>
            </w:r>
            <w:r>
              <w:t xml:space="preserve"> în timp util a lucrătorilor și a reprezentanților acestora, prin dialog social și prin negocieri colective </w:t>
            </w:r>
            <w:r>
              <w:rPr>
                <w:b/>
                <w:i/>
              </w:rPr>
              <w:t>la toate nivelurile relevante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dreptul individual la formare gratuită pentru lucrători în timpul programului de lucru;</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dreptul individual la formare gratuită pentru lucrători în timpul programului de lucru;</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dreptul individual la formare </w:t>
            </w:r>
            <w:r>
              <w:rPr>
                <w:b/>
                <w:i/>
              </w:rPr>
              <w:t>gratuită</w:t>
            </w:r>
            <w:r>
              <w:t xml:space="preserve"> pentru lucrători </w:t>
            </w:r>
            <w:r>
              <w:rPr>
                <w:b/>
                <w:i/>
              </w:rPr>
              <w:t>în timpul programului de lucru</w:t>
            </w:r>
            <w:r>
              <w:t>;</w:t>
            </w:r>
          </w:p>
        </w:tc>
        <w:tc>
          <w:tcPr>
            <w:tcW w:w="4876" w:type="dxa"/>
            <w:tcBorders>
              <w:top w:val="nil"/>
              <w:left w:val="nil"/>
              <w:bottom w:val="nil"/>
              <w:right w:val="nil"/>
            </w:tcBorders>
          </w:tcPr>
          <w:p>
            <w:pPr>
              <w:pStyle w:val="Normal6a"/>
            </w:pPr>
            <w:r>
              <w:t>(b)</w:t>
            </w:r>
            <w:r>
              <w:tab/>
            </w:r>
            <w:r>
              <w:t>dreptul individual la formare pentru lucrători;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dreptul individual la formare </w:t>
            </w:r>
            <w:r>
              <w:rPr>
                <w:b/>
                <w:i/>
              </w:rPr>
              <w:t>gratuită</w:t>
            </w:r>
            <w:r>
              <w:t xml:space="preserve"> pentru lucrători în timpul programului de lucru;</w:t>
            </w:r>
          </w:p>
        </w:tc>
        <w:tc>
          <w:tcPr>
            <w:tcW w:w="4876" w:type="dxa"/>
            <w:tcBorders>
              <w:top w:val="nil"/>
              <w:left w:val="nil"/>
              <w:bottom w:val="nil"/>
              <w:right w:val="nil"/>
            </w:tcBorders>
          </w:tcPr>
          <w:p>
            <w:pPr>
              <w:pStyle w:val="Normal6a"/>
            </w:pPr>
            <w:r>
              <w:t>(b)</w:t>
            </w:r>
            <w:r>
              <w:tab/>
            </w:r>
            <w:r>
              <w:t>dreptul individual la formare pentru lucrători în timpul programului de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dreptul </w:t>
            </w:r>
            <w:r>
              <w:rPr>
                <w:b/>
                <w:i/>
              </w:rPr>
              <w:t>individual</w:t>
            </w:r>
            <w:r>
              <w:t xml:space="preserve"> la formare gratuită pentru lucrători în timpul programului de lucru;</w:t>
            </w:r>
          </w:p>
        </w:tc>
        <w:tc>
          <w:tcPr>
            <w:tcW w:w="4876" w:type="dxa"/>
            <w:tcBorders>
              <w:top w:val="nil"/>
              <w:left w:val="nil"/>
              <w:bottom w:val="nil"/>
              <w:right w:val="nil"/>
            </w:tcBorders>
          </w:tcPr>
          <w:p>
            <w:pPr>
              <w:pStyle w:val="Normal6a"/>
            </w:pPr>
            <w:r>
              <w:t>(b)</w:t>
            </w:r>
            <w:r>
              <w:tab/>
            </w:r>
            <w:r>
              <w:t xml:space="preserve">dreptul </w:t>
            </w:r>
            <w:r>
              <w:rPr>
                <w:b/>
                <w:i/>
              </w:rPr>
              <w:t>universal și stabilit juridic</w:t>
            </w:r>
            <w:r>
              <w:t xml:space="preserve"> la formare gratuită </w:t>
            </w:r>
            <w:r>
              <w:rPr>
                <w:b/>
                <w:i/>
              </w:rPr>
              <w:t>și de înaltă calitate</w:t>
            </w:r>
            <w:r>
              <w:t xml:space="preserve"> pentru lucrători în timpul programului de lucru;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dreptul individual la formare gratuită pentru </w:t>
            </w:r>
            <w:r>
              <w:rPr>
                <w:b/>
                <w:i/>
              </w:rPr>
              <w:t>lucrători</w:t>
            </w:r>
            <w:r>
              <w:t xml:space="preserve"> în timpul programului de lucru;</w:t>
            </w:r>
          </w:p>
        </w:tc>
        <w:tc>
          <w:tcPr>
            <w:tcW w:w="4876" w:type="dxa"/>
            <w:tcBorders>
              <w:top w:val="nil"/>
              <w:left w:val="nil"/>
              <w:bottom w:val="nil"/>
              <w:right w:val="nil"/>
            </w:tcBorders>
          </w:tcPr>
          <w:p>
            <w:pPr>
              <w:pStyle w:val="Normal6a"/>
            </w:pPr>
            <w:r>
              <w:t>(b)</w:t>
            </w:r>
            <w:r>
              <w:tab/>
            </w:r>
            <w:r>
              <w:t xml:space="preserve">dreptul individual la formare gratuită </w:t>
            </w:r>
            <w:r>
              <w:rPr>
                <w:b/>
                <w:i/>
              </w:rPr>
              <w:t>și la învățare pe tot parcursul vieții</w:t>
            </w:r>
            <w:r>
              <w:t xml:space="preserve"> pentru </w:t>
            </w:r>
            <w:r>
              <w:rPr>
                <w:b/>
                <w:i/>
              </w:rPr>
              <w:t>toți lucrătorii</w:t>
            </w:r>
            <w:r>
              <w:t xml:space="preserve"> în timpul programului de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dreptul individual la formare gratuită pentru lucrători în timpul programului de lucru;</w:t>
            </w:r>
          </w:p>
        </w:tc>
        <w:tc>
          <w:tcPr>
            <w:tcW w:w="4876" w:type="dxa"/>
            <w:tcBorders>
              <w:top w:val="nil"/>
              <w:left w:val="nil"/>
              <w:bottom w:val="nil"/>
              <w:right w:val="nil"/>
            </w:tcBorders>
          </w:tcPr>
          <w:p>
            <w:pPr>
              <w:pStyle w:val="Normal6a"/>
            </w:pPr>
            <w:r>
              <w:t>(b)</w:t>
            </w:r>
            <w:r>
              <w:tab/>
            </w:r>
            <w:r>
              <w:t>dreptul individual la formare gratuită</w:t>
            </w:r>
            <w:r>
              <w:rPr>
                <w:b/>
                <w:i/>
              </w:rPr>
              <w:t>, de înaltă calitate, autoselectată</w:t>
            </w:r>
            <w:r>
              <w:t xml:space="preserve"> pentru lucrători în timpul programului de lucru </w:t>
            </w:r>
            <w:r>
              <w:rPr>
                <w:b/>
                <w:i/>
              </w:rPr>
              <w:t>și la concediu pentru studii plătit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dreptul individual la formare gratuită pentru lucrători în timpul programului de lucru;</w:t>
            </w:r>
          </w:p>
        </w:tc>
        <w:tc>
          <w:tcPr>
            <w:tcW w:w="4876" w:type="dxa"/>
            <w:tcBorders>
              <w:top w:val="nil"/>
              <w:left w:val="nil"/>
              <w:bottom w:val="nil"/>
              <w:right w:val="nil"/>
            </w:tcBorders>
          </w:tcPr>
          <w:p>
            <w:pPr>
              <w:pStyle w:val="Normal6a"/>
            </w:pPr>
            <w:r>
              <w:t>(b)</w:t>
            </w:r>
            <w:r>
              <w:tab/>
            </w:r>
            <w:r>
              <w:t xml:space="preserve">dreptul individual </w:t>
            </w:r>
            <w:r>
              <w:rPr>
                <w:b/>
                <w:i/>
              </w:rPr>
              <w:t>garantat</w:t>
            </w:r>
            <w:r>
              <w:t xml:space="preserve"> la formare gratuită pentru lucrători în timpul programului de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dreptul individual la o tranziție justă:</w:t>
            </w:r>
            <w:r>
              <w:t xml:space="preserve"> </w:t>
            </w:r>
            <w:r>
              <w:rPr>
                <w:b/>
                <w:i/>
              </w:rPr>
              <w:t>pentru lucrători, dreptul la condiții de muncă echitabile și decente, precum și competențele și formarea necesare pentru tranziții;</w:t>
            </w:r>
            <w:r>
              <w:t xml:space="preserve"> </w:t>
            </w:r>
            <w:r>
              <w:rPr>
                <w:b/>
                <w:i/>
              </w:rPr>
              <w:t>pentru toate persoanele afectate de dubla tranziție și de restructurările conexe, dreptul de acces la locuri de muncă în condiții echitabile și decente și dreptul de a rămâne în locul unde își au rezidența obișnuită;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dreptul individual pentru persoanele aflate în căutarea unui loc de muncă la formare de înaltă calitate, autoselectată;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stabilirea unui drept colectiv la o tranziție justă:</w:t>
            </w:r>
            <w:r>
              <w:t xml:space="preserve"> </w:t>
            </w:r>
            <w:r>
              <w:rPr>
                <w:b/>
                <w:i/>
              </w:rPr>
              <w:t>statele membre se asigură că nu sunt lăsate în urmă niciun teritoriu și nicio comunitate;</w:t>
            </w:r>
            <w:r>
              <w:t xml:space="preserve"> </w:t>
            </w:r>
            <w:r>
              <w:rPr>
                <w:b/>
                <w:i/>
              </w:rPr>
              <w:t>aceasta înseamnă dreptul de a trăi într-un mediu sănătos, de a beneficia de oportunități de angajare în diferite sectoare și de acces la servicii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bb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dreptul individual la o tranziție de la un loc de muncă la altul, care le oferă angajaților dreptul de a-și păstra locul de muncă sau de a beneficia de un transfer intern adecvat al locului de muncă sau de o formare sau perfecționare de înaltă calitate, la alegerea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instituirea unor strategii naționale pentru o tranziție justă;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instituirea unor strategii naționale pentru o tranziție justă;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instituirea unor strategii naționale pentru o tranziție justă;</w:t>
            </w:r>
          </w:p>
        </w:tc>
        <w:tc>
          <w:tcPr>
            <w:tcW w:w="4876" w:type="dxa"/>
            <w:tcBorders>
              <w:top w:val="nil"/>
              <w:left w:val="nil"/>
              <w:bottom w:val="nil"/>
              <w:right w:val="nil"/>
            </w:tcBorders>
          </w:tcPr>
          <w:p>
            <w:pPr>
              <w:pStyle w:val="Normal6a"/>
            </w:pPr>
            <w:r>
              <w:t>(c)</w:t>
            </w:r>
            <w:r>
              <w:tab/>
            </w:r>
            <w:r>
              <w:t xml:space="preserve">instituirea unor strategii naționale pentru o tranziție justă </w:t>
            </w:r>
            <w:r>
              <w:rPr>
                <w:b/>
                <w:i/>
              </w:rPr>
              <w:t>care includ planuri regionale și sectoriale elaborate împreună cu partenerii sociali și cu părțile interesate afectate, cum ar fi comunitățile locale și populațiile indigene</w:t>
            </w:r>
            <w:r>
              <w:t xml:space="preserve">; </w:t>
            </w:r>
            <w:r>
              <w:rPr>
                <w:b/>
                <w:i/>
              </w:rPr>
              <w:t>care cuprind planuri sectoriale și regionale privind competențele, care includ identificarea și anticiparea competențelor;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instituirea unor strategii naționale pentru o tranziție justă;</w:t>
            </w:r>
          </w:p>
        </w:tc>
        <w:tc>
          <w:tcPr>
            <w:tcW w:w="4876" w:type="dxa"/>
            <w:tcBorders>
              <w:top w:val="nil"/>
              <w:left w:val="nil"/>
              <w:bottom w:val="nil"/>
              <w:right w:val="nil"/>
            </w:tcBorders>
          </w:tcPr>
          <w:p>
            <w:pPr>
              <w:pStyle w:val="Normal6a"/>
            </w:pPr>
            <w:r>
              <w:t>(c)</w:t>
            </w:r>
            <w:r>
              <w:tab/>
            </w:r>
            <w:r>
              <w:t xml:space="preserve">instituirea unor strategii naționale </w:t>
            </w:r>
            <w:r>
              <w:rPr>
                <w:b/>
                <w:i/>
              </w:rPr>
              <w:t>și, după caz, regionale obligatorii</w:t>
            </w:r>
            <w:r>
              <w:t xml:space="preserve"> pentru o tranziție justă</w:t>
            </w:r>
            <w:r>
              <w:rPr>
                <w:b/>
                <w:i/>
              </w:rPr>
              <w:t>, elaborate și puse în aplicare cu implicarea partenerilor sociali și a structurilor de negociere colectivă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sisteme de protecție socială adecvate;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elaborarea de programe de sprijin pentru întreprinderi și promovarea unor planuri de tranziție la nivel de întreprindere;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elaborarea de programe de sprijin pentru întreprinderi </w:t>
            </w:r>
            <w:r>
              <w:rPr>
                <w:b/>
                <w:i/>
              </w:rPr>
              <w:t>și promovarea unor planuri de tranziție la nivel de întreprindere</w:t>
            </w:r>
            <w:r>
              <w:t>;</w:t>
            </w:r>
          </w:p>
        </w:tc>
        <w:tc>
          <w:tcPr>
            <w:tcW w:w="4876" w:type="dxa"/>
            <w:tcBorders>
              <w:top w:val="nil"/>
              <w:left w:val="nil"/>
              <w:bottom w:val="nil"/>
              <w:right w:val="nil"/>
            </w:tcBorders>
          </w:tcPr>
          <w:p>
            <w:pPr>
              <w:pStyle w:val="Normal6a"/>
            </w:pPr>
            <w:r>
              <w:t>(d)</w:t>
            </w:r>
            <w:r>
              <w:tab/>
            </w:r>
            <w:r>
              <w:t>elaborarea de programe de sprijin pentru întreprinderi</w:t>
            </w:r>
            <w:r>
              <w:rPr>
                <w:b/>
                <w:i/>
              </w:rPr>
              <w:t>, în special pentru IMM-uri, în legătură cu condiționalități sociale solide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elaborarea și punerea în aplicare a unor planuri de tranziție obligatorii pentru toate întreprinderile – proporționale cu dimensiunea și tipul întreprinderii –, pe baza unui dialog social semnificativ și eficace;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o structură de monitorizare care să poată genera o analiză prospectivă strategică;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o structură de monitorizare care să poată genera o analiză prospectivă strategică;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protecția sănătății mintale și a bunăstării psihosociale a lucrătorilor în timpul tranzițiilor, inclusiv prin evaluări ale riscurilor la locul de muncă și servicii de sprijin;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standarde minime comune în domeniul asigurărilor pentru șomaj;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w:t>
            </w:r>
            <w:r>
              <w:rPr>
                <w:b/>
                <w:i/>
              </w:rPr>
              <w:t>subliniază că planurile trebuie elaborate în cadrul unui dialog social, cu respectarea deplină a dreptului la informare și consultare;</w:t>
            </w:r>
            <w:r>
              <w:t xml:space="preserve"> </w:t>
            </w:r>
            <w:r>
              <w:rPr>
                <w:b/>
                <w:i/>
              </w:rPr>
              <w:t>solicită, în acest sens, o revizuire a cadrului legislativ privind informarea și consultarea, pentru a se asigura că acesta corespunde obiectivelor urmărite în contextul dublei tranziții;</w:t>
            </w:r>
            <w:r>
              <w:t xml:space="preserve"> </w:t>
            </w:r>
            <w:r>
              <w:rPr>
                <w:b/>
                <w:i/>
              </w:rPr>
              <w:t>subliniază că întreprinderile trebuie stimulate să își elaboreze propriile planuri de tranziție;</w:t>
            </w:r>
          </w:p>
        </w:tc>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w:t>
            </w:r>
            <w:r>
              <w:rPr>
                <w:b/>
                <w:i/>
              </w:rPr>
              <w:t>și duce la crearea de locuri de muncă</w:t>
            </w:r>
            <w:r>
              <w:t>, poate înzestra întreprinderile cu o reziliență de durată și poate valorifica în mod optim resursele disponibile;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w:t>
            </w:r>
            <w:r>
              <w:rPr>
                <w:b/>
                <w:i/>
              </w:rPr>
              <w:t>realizarea</w:t>
            </w:r>
            <w:r>
              <w:t xml:space="preserve"> cu succes </w:t>
            </w:r>
            <w:r>
              <w:rPr>
                <w:b/>
                <w:i/>
              </w:rPr>
              <w:t>a tranziției verzi</w:t>
            </w:r>
            <w:r>
              <w:t xml:space="preserve">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w:t>
            </w:r>
            <w:r>
              <w:rPr>
                <w:b/>
                <w:i/>
              </w:rPr>
              <w:t>subliniază că planurile trebuie elaborate în cadrul unui dialog social, cu respectarea deplină a dreptului la informare și consultare;</w:t>
            </w:r>
            <w:r>
              <w:t xml:space="preserve"> </w:t>
            </w:r>
            <w:r>
              <w:rPr>
                <w:b/>
                <w:i/>
              </w:rPr>
              <w:t>solicită, în acest sens, o revizuire a cadrului legislativ privind informarea și consultarea, pentru a se asigura că acesta corespunde obiectivelor urmărite în contextul dublei tranziții;</w:t>
            </w:r>
            <w:r>
              <w:t xml:space="preserve"> </w:t>
            </w:r>
            <w:r>
              <w:rPr>
                <w:b/>
                <w:i/>
              </w:rPr>
              <w:t>subliniază că întreprinderile trebuie stimulate să își elaboreze propriile planuri de tranziție;</w:t>
            </w:r>
          </w:p>
        </w:tc>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w:t>
            </w:r>
            <w:r>
              <w:rPr>
                <w:b/>
                <w:i/>
              </w:rPr>
              <w:t>adaptarea</w:t>
            </w:r>
            <w:r>
              <w:t xml:space="preserve"> cu succes </w:t>
            </w:r>
            <w:r>
              <w:rPr>
                <w:b/>
                <w:i/>
              </w:rPr>
              <w:t>la noile constrângeri</w:t>
            </w:r>
            <w:r>
              <w:t xml:space="preserve"> și înfruntarea cu succes a provocărilor economice generate de evenimente geopolitice nefavorabile</w:t>
            </w:r>
            <w:r>
              <w:rPr>
                <w:b/>
                <w:i/>
              </w:rPr>
              <w:t>;</w:t>
            </w:r>
            <w:r>
              <w:t xml:space="preserve"> </w:t>
            </w:r>
            <w:r>
              <w:rPr>
                <w:b/>
                <w:i/>
              </w:rPr>
              <w:t>această anticipare ține de responsabilitatea directă a întreprinderilor și a statelor, și nu de cea a unei organizații supranaționale</w:t>
            </w:r>
            <w:r>
              <w:t>; subliniază că planificarea tranziției poate preîntâmpina în mod proactiv disponibilizările, poate înzestra întreprinderile cu o reziliență de durată și poate valorifica în mod optim resursele disponibile;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Gheorghe Falcă, Romana Tomc,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 </w:t>
            </w:r>
            <w:r>
              <w:rPr>
                <w:b/>
                <w:i/>
              </w:rPr>
              <w:t>solicită, în acest sens, o revizuire a cadrului legislativ privind informarea și consultarea, pentru a se asigura că acesta corespunde obiectivelor urmărite în contextul dublei tranziții;</w:t>
            </w:r>
            <w:r>
              <w:t xml:space="preserve"> </w:t>
            </w:r>
            <w:r>
              <w:rPr>
                <w:b/>
                <w:i/>
              </w:rPr>
              <w:t>subliniază că întreprinderile trebuie stimulate să își elaboreze propriile planuri de tranziție;</w:t>
            </w:r>
          </w:p>
        </w:tc>
        <w:tc>
          <w:tcPr>
            <w:tcW w:w="4876" w:type="dxa"/>
            <w:tcBorders>
              <w:top w:val="nil"/>
              <w:left w:val="nil"/>
              <w:bottom w:val="nil"/>
              <w:right w:val="nil"/>
            </w:tcBorders>
          </w:tcPr>
          <w:p>
            <w:pPr>
              <w:pStyle w:val="Normal6a"/>
            </w:pPr>
            <w:r>
              <w:t>4.</w:t>
            </w:r>
            <w:r>
              <w:tab/>
            </w:r>
            <w:r>
              <w:t>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 </w:t>
            </w:r>
            <w:r>
              <w:rPr>
                <w:b/>
                <w:i/>
              </w:rPr>
              <w:t>solicită, în acest sens, o revizuire a cadrului legislativ privind informarea și consultarea, pentru a se asigura că acesta corespunde obiectivelor urmărite în contextul dublei tranziții;</w:t>
            </w:r>
            <w:r>
              <w:t xml:space="preserve"> subliniază că întreprinderile trebuie stimulate să își elaboreze propriile planuri de tranziție;</w:t>
            </w:r>
          </w:p>
        </w:tc>
        <w:tc>
          <w:tcPr>
            <w:tcW w:w="4876" w:type="dxa"/>
            <w:tcBorders>
              <w:top w:val="nil"/>
              <w:left w:val="nil"/>
              <w:bottom w:val="nil"/>
              <w:right w:val="nil"/>
            </w:tcBorders>
          </w:tcPr>
          <w:p>
            <w:pPr>
              <w:pStyle w:val="Normal6a"/>
            </w:pPr>
            <w:r>
              <w:t>4.</w:t>
            </w:r>
            <w:r>
              <w:tab/>
            </w:r>
            <w:r>
              <w:t>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 subliniază că întreprinderile trebuie stimulate să își elaboreze propriile planuri de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w:t>
            </w:r>
            <w:r>
              <w:rPr>
                <w:b/>
                <w:i/>
              </w:rPr>
              <w:t>;</w:t>
            </w:r>
            <w:r>
              <w:t xml:space="preserve"> </w:t>
            </w:r>
            <w:r>
              <w:rPr>
                <w:b/>
                <w:i/>
              </w:rPr>
              <w:t>solicită</w:t>
            </w:r>
            <w:r>
              <w:t>, în acest sens, o revizuire a cadrului legislativ privind informarea și consultarea</w:t>
            </w:r>
            <w:r>
              <w:rPr>
                <w:b/>
                <w:i/>
              </w:rPr>
              <w:t>,</w:t>
            </w:r>
            <w:r>
              <w:t xml:space="preserve"> pentru a se asigura că acesta corespunde obiectivelor urmărite în contextul dublei tranziții; subliniază că întreprinderile trebuie stimulate să își elaboreze propriile planuri de tranziție;</w:t>
            </w:r>
          </w:p>
        </w:tc>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w:t>
            </w:r>
            <w:r>
              <w:rPr>
                <w:b/>
                <w:i/>
              </w:rPr>
              <w:t>și transformarea acestora în oportunități</w:t>
            </w:r>
            <w:r>
              <w:t xml:space="preserv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w:t>
            </w:r>
            <w:r>
              <w:rPr>
                <w:b/>
                <w:i/>
              </w:rPr>
              <w:t>și al negocierilor colective</w:t>
            </w:r>
            <w:r>
              <w:t xml:space="preserve">, cu respectarea deplină a dreptului la informare și consultare </w:t>
            </w:r>
            <w:r>
              <w:rPr>
                <w:b/>
                <w:i/>
              </w:rPr>
              <w:t>la nivelul statelor membre și pentru a se asigura că lucrătorii și reprezentanții acestora sunt informați și consultați în timp util și în mod eficace cu privire la procesele de tranziție din întreprinderile lor;</w:t>
            </w:r>
            <w:r>
              <w:t xml:space="preserve"> </w:t>
            </w:r>
            <w:r>
              <w:rPr>
                <w:b/>
                <w:i/>
              </w:rPr>
              <w:t>subliniază că disponibilizările în contextul unei tranziții pot fi o soluție de ultimă instanță numai după epuizarea alternativelor;</w:t>
            </w:r>
            <w:r>
              <w:t xml:space="preserve"> </w:t>
            </w:r>
            <w:r>
              <w:rPr>
                <w:b/>
                <w:i/>
              </w:rPr>
              <w:t>invită</w:t>
            </w:r>
            <w:r>
              <w:t xml:space="preserve">, în acest sens, </w:t>
            </w:r>
            <w:r>
              <w:rPr>
                <w:b/>
                <w:i/>
              </w:rPr>
              <w:t>statele membre să permită dialogul social la nivelurile relevante cu privire la tranzițiile de la un loc de muncă la altul, în special pentru ocupațiile care pot dispărea sau pot fi reduse semnificativ;</w:t>
            </w:r>
            <w:r>
              <w:t xml:space="preserve"> </w:t>
            </w:r>
            <w:r>
              <w:rPr>
                <w:b/>
                <w:i/>
              </w:rPr>
              <w:t>invită Comisia să instituie un nou mecanism SURE 2.0, care ar trebui să servească drept instrument financiar care să stabilizeze cheltuielile publice pentru protecția locurilor de muncă, crearea de locuri de muncă și procesele de tranziție justă;</w:t>
            </w:r>
            <w:r>
              <w:t xml:space="preserve"> </w:t>
            </w:r>
            <w:r>
              <w:rPr>
                <w:b/>
                <w:i/>
              </w:rPr>
              <w:t>solicită</w:t>
            </w:r>
            <w:r>
              <w:t xml:space="preserve"> o revizuire a cadrului legislativ privind informarea și consultarea </w:t>
            </w:r>
            <w:r>
              <w:rPr>
                <w:b/>
                <w:i/>
              </w:rPr>
              <w:t>pentru a-l consolida și pune în aplicare și</w:t>
            </w:r>
            <w:r>
              <w:t xml:space="preserve"> pentru a se asigura că acesta corespunde obiectivelor urmărite în contextul dublei tranziții</w:t>
            </w:r>
            <w:r>
              <w:rPr>
                <w:b/>
                <w:i/>
              </w:rPr>
              <w:t>;</w:t>
            </w:r>
            <w:r>
              <w:t xml:space="preserve"> </w:t>
            </w:r>
            <w:r>
              <w:rPr>
                <w:b/>
                <w:i/>
              </w:rPr>
              <w:t>invită, de asemenea, statele membre să dezvolte sisteme de alertă timpurie accesibile partenerilor sociali pentru a-i pregăti pentru o mai bună detectare și reacție la viitoarele schimbări în operațiunile întreprinderilor și să stabilească dispoziții specifice privind instrumentele de alertă timpurie pentru întreprinderile și grupurile mari, ținând seama de particularitățile acestora</w:t>
            </w:r>
            <w:r>
              <w:t xml:space="preserve">; subliniază că întreprinderile trebuie stimulate să își elaboreze propriile planuri de tranziție </w:t>
            </w:r>
            <w:r>
              <w:rPr>
                <w:b/>
                <w:i/>
              </w:rPr>
              <w:t>prin dialog social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 solicită, în acest sens, o revizuire a cadrului legislativ privind informarea și consultarea</w:t>
            </w:r>
            <w:r>
              <w:rPr>
                <w:b/>
                <w:i/>
              </w:rPr>
              <w:t>,</w:t>
            </w:r>
            <w:r>
              <w:t xml:space="preserve"> pentru a se asigura că acesta corespunde obiectivelor urmărite în contextul dublei tranziții; subliniază </w:t>
            </w:r>
            <w:r>
              <w:rPr>
                <w:b/>
                <w:i/>
              </w:rPr>
              <w:t>că întreprinderile trebuie stimulate</w:t>
            </w:r>
            <w:r>
              <w:t xml:space="preserve"> să își </w:t>
            </w:r>
            <w:r>
              <w:rPr>
                <w:b/>
                <w:i/>
              </w:rPr>
              <w:t>elaboreze</w:t>
            </w:r>
            <w:r>
              <w:t xml:space="preserve"> propriile </w:t>
            </w:r>
            <w:r>
              <w:rPr>
                <w:b/>
                <w:i/>
              </w:rPr>
              <w:t>planuri</w:t>
            </w:r>
            <w:r>
              <w:t xml:space="preserve"> de tranziție;</w:t>
            </w:r>
          </w:p>
        </w:tc>
        <w:tc>
          <w:tcPr>
            <w:tcW w:w="4876" w:type="dxa"/>
            <w:tcBorders>
              <w:top w:val="nil"/>
              <w:left w:val="nil"/>
              <w:bottom w:val="nil"/>
              <w:right w:val="nil"/>
            </w:tcBorders>
          </w:tcPr>
          <w:p>
            <w:pPr>
              <w:pStyle w:val="Normal6a"/>
            </w:pPr>
            <w:r>
              <w:t>4.</w:t>
            </w:r>
            <w:r>
              <w:tab/>
            </w:r>
            <w:r>
              <w:t>subliniază că pregătirea pentru schimbare și gestionarea acesteia sunt esențiale atât pentru angajatori, cât și pentru lucrători</w:t>
            </w:r>
            <w:r>
              <w:rPr>
                <w:b/>
                <w:i/>
              </w:rPr>
              <w:t>, autorități și comunități regionale și locale</w:t>
            </w:r>
            <w:r>
              <w:t xml:space="preserve"> în realizarea cu succes a tranziției verzi </w:t>
            </w:r>
            <w:r>
              <w:rPr>
                <w:b/>
                <w:i/>
              </w:rPr>
              <w:t>și digitale</w:t>
            </w:r>
            <w:r>
              <w:t xml:space="preserve">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w:t>
            </w:r>
            <w:r>
              <w:rPr>
                <w:b/>
                <w:i/>
              </w:rPr>
              <w:t>parteneriat pe scară largă, al unui</w:t>
            </w:r>
            <w:r>
              <w:t xml:space="preserve"> dialog social </w:t>
            </w:r>
            <w:r>
              <w:rPr>
                <w:b/>
                <w:i/>
              </w:rPr>
              <w:t>și al negocierilor colective</w:t>
            </w:r>
            <w:r>
              <w:t xml:space="preserve">, cu respectarea deplină a dreptului la informare și consultare </w:t>
            </w:r>
            <w:r>
              <w:rPr>
                <w:b/>
                <w:i/>
              </w:rPr>
              <w:t>la nivelul statelor membre și pentru a se asigura că lucrătorii și reprezentanții acestora sunt informați și consultați în timp util și în mod eficace cu privire la procesele de tranziție din întreprinderile lor</w:t>
            </w:r>
            <w:r>
              <w:t xml:space="preserve">; solicită, în acest sens, o revizuire a cadrului legislativ privind informarea și consultarea </w:t>
            </w:r>
            <w:r>
              <w:rPr>
                <w:b/>
                <w:i/>
              </w:rPr>
              <w:t>pentru a-l consolida și pune în aplicare și</w:t>
            </w:r>
            <w:r>
              <w:t xml:space="preserve"> pentru a se asigura că acesta corespunde obiectivelor urmărite în contextul dublei tranziții; subliniază</w:t>
            </w:r>
            <w:r>
              <w:rPr>
                <w:b/>
                <w:i/>
              </w:rPr>
              <w:t>, cu toate acestea, că orice directivă a UE privind o tranziție justă ar trebui</w:t>
            </w:r>
            <w:r>
              <w:t xml:space="preserve"> să își </w:t>
            </w:r>
            <w:r>
              <w:rPr>
                <w:b/>
                <w:i/>
              </w:rPr>
              <w:t>stabilească</w:t>
            </w:r>
            <w:r>
              <w:t xml:space="preserve"> propriile </w:t>
            </w:r>
            <w:r>
              <w:rPr>
                <w:b/>
                <w:i/>
              </w:rPr>
              <w:t>dispoziții specifice privind informarea, consultarea și implicarea reprezentanților lucrătorilor în planurile</w:t>
            </w:r>
            <w:r>
              <w:t xml:space="preserve"> de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w:t>
            </w:r>
            <w:r>
              <w:rPr>
                <w:b/>
                <w:i/>
              </w:rPr>
              <w:t>poate preîntâmpina în mod proactiv</w:t>
            </w:r>
            <w:r>
              <w:t xml:space="preserve"> disponibilizările, </w:t>
            </w:r>
            <w:r>
              <w:rPr>
                <w:b/>
                <w:i/>
              </w:rPr>
              <w:t>poate înzestra</w:t>
            </w:r>
            <w:r>
              <w:t xml:space="preserve"> întreprinderile cu o reziliență de durată și </w:t>
            </w:r>
            <w:r>
              <w:rPr>
                <w:b/>
                <w:i/>
              </w:rPr>
              <w:t>poate valorifica</w:t>
            </w:r>
            <w:r>
              <w:t xml:space="preserve"> în mod optim resursele disponibile; subliniază că planurile trebuie elaborate în cadrul unui dialog social, cu respectarea deplină a dreptului la informare și consultare; solicită, în acest sens, o revizuire a cadrului legislativ privind informarea și consultarea, pentru a se asigura că acesta corespunde obiectivelor urmărite în contextul dublei tranziții; subliniază că întreprinderile trebuie stimulate să își elaboreze propriile planuri de tranziție;</w:t>
            </w:r>
          </w:p>
        </w:tc>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w:t>
            </w:r>
            <w:r>
              <w:rPr>
                <w:b/>
                <w:i/>
              </w:rPr>
              <w:t>trebuie să preîntâmpine</w:t>
            </w:r>
            <w:r>
              <w:t xml:space="preserve"> disponibilizările, </w:t>
            </w:r>
            <w:r>
              <w:rPr>
                <w:b/>
                <w:i/>
              </w:rPr>
              <w:t>să înzestreze</w:t>
            </w:r>
            <w:r>
              <w:t xml:space="preserve"> întreprinderile cu o reziliență de durată și </w:t>
            </w:r>
            <w:r>
              <w:rPr>
                <w:b/>
                <w:i/>
              </w:rPr>
              <w:t>să valorifice</w:t>
            </w:r>
            <w:r>
              <w:t xml:space="preserve"> în mod optim resursele disponibile; subliniază că planurile trebuie elaborate în cadrul unui dialog social, cu respectarea deplină a dreptului la informare și consultare; solicită, în acest sens, o revizuire a cadrului legislativ privind informarea și consultarea, pentru a se asigura că acesta corespunde obiectivelor urmărite în contextul dublei tranziții; subliniază că întreprinderile trebuie stimulate să își elaboreze propriile planuri de tranziție;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 solicită, în acest sens, o revizuire a cadrului legislativ privind informarea și consultarea, pentru a se asigura că acesta corespunde obiectivelor urmărite în contextul dublei tranziții; subliniază că întreprinderile trebuie stimulate să își elaboreze propriile planuri de tranziție;</w:t>
            </w:r>
          </w:p>
        </w:tc>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 solicită, în acest sens, o revizuire a cadrului legislativ privind informarea și consultarea, pentru a se asigura că acesta corespunde obiectivelor urmărite în contextul dublei tranziții; subliniază că întreprinderile trebuie stimulate să își elaboreze propriile planuri de tranziție; </w:t>
            </w:r>
            <w:r>
              <w:rPr>
                <w:b/>
                <w:i/>
              </w:rPr>
              <w:t>subliniază că părțile interesate și societatea civilă trebuie să fie implicate încă din primele etape ale planificării tranziției, asigurând o participare semnificativă, mai degrabă decât o consultare târzie;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 solicită, în acest sens, o revizuire a cadrului legislativ privind informarea și consultarea, pentru a se asigura că acesta corespunde obiectivelor urmărite în contextul dublei tranziții; subliniază că întreprinderile trebuie stimulate să își elaboreze propriile planuri de tranziție;</w:t>
            </w:r>
          </w:p>
        </w:tc>
        <w:tc>
          <w:tcPr>
            <w:tcW w:w="4876" w:type="dxa"/>
            <w:tcBorders>
              <w:top w:val="nil"/>
              <w:left w:val="nil"/>
              <w:bottom w:val="nil"/>
              <w:right w:val="nil"/>
            </w:tcBorders>
          </w:tcPr>
          <w:p>
            <w:pPr>
              <w:pStyle w:val="Normal6a"/>
            </w:pPr>
            <w:r>
              <w:t>4.</w:t>
            </w:r>
            <w:r>
              <w:tab/>
            </w:r>
            <w:r>
              <w:t xml:space="preserve">subliniază că pregătirea pentru schimbare și gestionarea acesteia sunt esențiale atât pentru angajatori, cât și pentru lucrători în realizarea cu succes a tranziției verzi și înfruntarea cu succes a provocărilor economice generate de evenimente geopolitice nefavorabile; subliniază că planificarea tranziției poate preîntâmpina în mod proactiv disponibilizările, poate înzestra întreprinderile cu o reziliență de durată și poate valorifica în mod optim resursele disponibile; subliniază că planurile trebuie elaborate în cadrul unui dialog social, cu respectarea deplină a dreptului la informare și consultare; solicită, în acest sens, o revizuire a cadrului legislativ </w:t>
            </w:r>
            <w:r>
              <w:rPr>
                <w:b/>
                <w:i/>
              </w:rPr>
              <w:t>existent</w:t>
            </w:r>
            <w:r>
              <w:t xml:space="preserve"> privind informarea și consultarea</w:t>
            </w:r>
            <w:r>
              <w:rPr>
                <w:b/>
                <w:i/>
              </w:rPr>
              <w:t>, menită să simplifice și să raționalizeze mai degrabă decât să extindă</w:t>
            </w:r>
            <w:r>
              <w:t>, pentru a se asigura că acesta corespunde obiectivelor urmărite în contextul dublei tranziții; subliniază că întreprinderile trebuie stimulate să își elaboreze propriile planuri de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subliniază că planurile trebuie elaborate în cadrul unui dialog social și al negocierilor colective, cu respectarea deplină a dreptului la informare și consultare la nivelul statelor membre și pentru a se asigura că lucrătorii și reprezentanții acestora sunt informați și consultați în timp util și în mod eficace și au competențe decizionale cu privire la procesele de tranziție din întreprinderile lor;</w:t>
            </w:r>
            <w:r>
              <w:t xml:space="preserve"> </w:t>
            </w:r>
            <w:r>
              <w:rPr>
                <w:b/>
                <w:i/>
              </w:rPr>
              <w:t>solicită, în acest sens, o revizuire a cadrului legislativ privind informarea și consultarea pentru a-l consolida și pune în aplicare și pentru a se asigura că acesta corespunde obiectivelor urmărite în contextul dublei tranziții;</w:t>
            </w:r>
            <w:r>
              <w:t xml:space="preserve"> </w:t>
            </w:r>
            <w:r>
              <w:rPr>
                <w:b/>
                <w:i/>
              </w:rPr>
              <w:t>orice directivă a UE privind o tranziție justă ar trebui să își stabilească propriile dispoziții specifice privind informarea, consultarea și implicarea reprezentanților lucrătorilor în planurile de tranziție;</w:t>
            </w:r>
            <w:r>
              <w:t xml:space="preserve"> </w:t>
            </w:r>
            <w:r>
              <w:rPr>
                <w:b/>
                <w:i/>
              </w:rPr>
              <w:t>subliniază că întreprinderile trebuie stimulate să își elaboreze propriile planuri de tranziție prin dialog social;</w:t>
            </w:r>
            <w:r>
              <w:t xml:space="preserve"> </w:t>
            </w:r>
            <w:r>
              <w:rPr>
                <w:b/>
                <w:i/>
              </w:rPr>
              <w:t>subliniază că lucrătorii și organizațiile lor sindicale au dreptul nu numai de a fi informați și consultați, ci și de a participa la elaborarea, punerea în aplicare și monitorizarea planurilor pentru o tranziție justă și că trebuie implicate și comunitățile locale, organizațiile societății civile și reprezentanții grupurilor vulnerabile;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subliniază că inovatorii, cercetătorii, angajatorii și lucrătorii trebuie să fie în măsură să abordeze în mod eficace și să facă față cu succes provocărilor economice generate de evenimentele geopolitice nefavorabile și de penuria de resurse și energie;</w:t>
            </w:r>
            <w:r>
              <w:t xml:space="preserve"> </w:t>
            </w:r>
            <w:r>
              <w:rPr>
                <w:b/>
                <w:i/>
              </w:rPr>
              <w:t>subliniază că o planificare proactivă, bazată pe cercetare, ținând seama de perspectivele economice, poate contribui la prevenirea disponibilizărilor, la consolidarea rezilienței pe termen lung a întreprinderilor și la asigurarea utilizării optime și durabile a resurselor disponibile;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consideră că întreprinderile care planifică restructurări bazate pe mediu trebuie să adopte și să actualizeze periodic planuri pentru o tranziție justă, în consultare cu lucrătorii și cu reprezentanții acestora;</w:t>
            </w:r>
            <w:r>
              <w:t xml:space="preserve"> </w:t>
            </w:r>
            <w:r>
              <w:rPr>
                <w:b/>
                <w:i/>
              </w:rPr>
              <w:t>astfel de planuri anticipează, previn și atenuează efectele negative asupra ocupării forței de muncă, a competențelor, a condițiilor de muncă și a comunităților locale;</w:t>
            </w:r>
            <w:r>
              <w:t xml:space="preserve"> </w:t>
            </w:r>
            <w:r>
              <w:rPr>
                <w:b/>
                <w:i/>
              </w:rPr>
              <w:t>planurile țin seama, de asemenea, de efectele planurilor de restructurare și ale măsurilor de tranziție asupra întregului lanț de activități al întreprinderii și evaluează și pun în aplicare măsuri pentru a asigura o tranziție justă în toate zonele afectate;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subliniază că deficitul de lucrători calificați poate fi redus </w:t>
            </w:r>
            <w:r>
              <w:rPr>
                <w:b/>
                <w:i/>
              </w:rPr>
              <w:t>în mod semnificativ numai</w:t>
            </w:r>
            <w:r>
              <w:t xml:space="preserve"> prin asigurarea disponibilității unor posibilități de formare și a accesibilității acestora</w:t>
            </w:r>
            <w:r>
              <w:rPr>
                <w:b/>
                <w:i/>
              </w:rPr>
              <w:t>;</w:t>
            </w:r>
            <w:r>
              <w:t xml:space="preserve"> </w:t>
            </w:r>
            <w:r>
              <w:rPr>
                <w:b/>
                <w:i/>
              </w:rPr>
              <w:t>subliniază că orarul cursurilor de formare, responsabilitățile familiale și costurile reprezintă principalele obstacole</w:t>
            </w:r>
            <w:r>
              <w:t xml:space="preserve"> pentru </w:t>
            </w:r>
            <w:r>
              <w:rPr>
                <w:b/>
                <w:i/>
              </w:rPr>
              <w:t>lucrătorii care doresc să se formeze</w:t>
            </w:r>
            <w:r>
              <w:rPr>
                <w:b/>
                <w:i/>
                <w:vertAlign w:val="superscript"/>
              </w:rPr>
              <w:t>7</w:t>
            </w:r>
            <w:r>
              <w:rPr>
                <w:b/>
                <w:i/>
              </w:rPr>
              <w:t>;</w:t>
            </w:r>
            <w:r>
              <w:t xml:space="preserve"> </w:t>
            </w:r>
            <w:r>
              <w:rPr>
                <w:b/>
                <w:i/>
              </w:rPr>
              <w:t>este ferm convins că asigurarea dreptului individual al lucrătorilor la formare gratuită în timpul programului de lucru poate ajuta lucrătorii să depășească aceste obstacole și le poate asigura angajatorilor o sursă</w:t>
            </w:r>
            <w:r>
              <w:t xml:space="preserve"> de lucrători calificați </w:t>
            </w:r>
            <w:r>
              <w:rPr>
                <w:b/>
                <w:i/>
              </w:rPr>
              <w:t>previzibilă și stabilă</w:t>
            </w:r>
            <w:r>
              <w:t>;</w:t>
            </w:r>
          </w:p>
        </w:tc>
        <w:tc>
          <w:tcPr>
            <w:tcW w:w="4876" w:type="dxa"/>
            <w:tcBorders>
              <w:top w:val="nil"/>
              <w:left w:val="nil"/>
              <w:bottom w:val="nil"/>
              <w:right w:val="nil"/>
            </w:tcBorders>
          </w:tcPr>
          <w:p>
            <w:pPr>
              <w:pStyle w:val="Normal6a"/>
            </w:pPr>
            <w:r>
              <w:t>5.</w:t>
            </w:r>
            <w:r>
              <w:tab/>
            </w:r>
            <w:r>
              <w:t xml:space="preserve">subliniază că deficitul de lucrători calificați poate fi </w:t>
            </w:r>
            <w:r>
              <w:rPr>
                <w:b/>
                <w:i/>
              </w:rPr>
              <w:t>parțial</w:t>
            </w:r>
            <w:r>
              <w:t xml:space="preserve"> redus prin asigurarea</w:t>
            </w:r>
            <w:r>
              <w:rPr>
                <w:b/>
                <w:i/>
              </w:rPr>
              <w:t>, la nivelul statelor membre, a</w:t>
            </w:r>
            <w:r>
              <w:t xml:space="preserve"> disponibilității unor posibilități de formare și a accesibilității acestora pentru </w:t>
            </w:r>
            <w:r>
              <w:rPr>
                <w:b/>
                <w:i/>
              </w:rPr>
              <w:t>cetățenii UE;</w:t>
            </w:r>
            <w:r>
              <w:t xml:space="preserve"> </w:t>
            </w:r>
            <w:r>
              <w:rPr>
                <w:b/>
                <w:i/>
              </w:rPr>
              <w:t>reamintește că, în orice caz, doar o politică proactivă axată pe natalitatea din Europa va putea, pe termen lung, rezolva problema penuriei</w:t>
            </w:r>
            <w:r>
              <w:t xml:space="preserve"> de lucrători</w:t>
            </w:r>
            <w:r>
              <w:rPr>
                <w:b/>
                <w:i/>
              </w:rPr>
              <w:t>,</w:t>
            </w:r>
            <w:r>
              <w:t xml:space="preserve"> calificați </w:t>
            </w:r>
            <w:r>
              <w:rPr>
                <w:b/>
                <w:i/>
              </w:rPr>
              <w:t>sau nu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(Evoluția ocupării forței de muncă și a situației sociale în Europa), Comisia Europeană, p.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subliniază că deficitul de lucrători calificați poate fi redus în mod semnificativ numai prin asigurarea disponibilității </w:t>
            </w:r>
            <w:r>
              <w:rPr>
                <w:b/>
                <w:i/>
              </w:rPr>
              <w:t>unor posibilități de formare și a</w:t>
            </w:r>
            <w:r>
              <w:t xml:space="preserve"> accesibilității </w:t>
            </w:r>
            <w:r>
              <w:rPr>
                <w:b/>
                <w:i/>
              </w:rPr>
              <w:t>acestora</w:t>
            </w:r>
            <w:r>
              <w:t>; subliniază că orarul cursurilor de formare, responsabilitățile familiale și costurile reprezintă principalele obstacole pentru lucrătorii care doresc să se formeze</w:t>
            </w:r>
            <w:r>
              <w:rPr>
                <w:vertAlign w:val="superscript"/>
              </w:rPr>
              <w:t>7</w:t>
            </w:r>
            <w:r>
              <w:t xml:space="preserve">; </w:t>
            </w:r>
            <w:r>
              <w:rPr>
                <w:b/>
                <w:i/>
              </w:rPr>
              <w:t>este ferm convins că asigurarea dreptului individual al lucrătorilor la formare gratuită în timpul programului de lucru poate ajuta lucrătorii să depășească aceste obstacole și le poate asigura angajatorilor o sursă de lucrători calificați previzibilă și stabilă;</w:t>
            </w:r>
          </w:p>
        </w:tc>
        <w:tc>
          <w:tcPr>
            <w:tcW w:w="4876" w:type="dxa"/>
            <w:tcBorders>
              <w:top w:val="nil"/>
              <w:left w:val="nil"/>
              <w:bottom w:val="nil"/>
              <w:right w:val="nil"/>
            </w:tcBorders>
          </w:tcPr>
          <w:p>
            <w:pPr>
              <w:pStyle w:val="Normal6a"/>
            </w:pPr>
            <w:r>
              <w:t>5.</w:t>
            </w:r>
            <w:r>
              <w:tab/>
            </w:r>
            <w:r>
              <w:t xml:space="preserve">subliniază că deficitul de lucrători calificați poate fi redus în mod semnificativ numai prin asigurarea disponibilității </w:t>
            </w:r>
            <w:r>
              <w:rPr>
                <w:b/>
                <w:i/>
              </w:rPr>
              <w:t>și</w:t>
            </w:r>
            <w:r>
              <w:t xml:space="preserve"> accesibilității </w:t>
            </w:r>
            <w:r>
              <w:rPr>
                <w:b/>
                <w:i/>
              </w:rPr>
              <w:t>resortisanților statelor membre care doresc să muncească și profită de posibilitățile de formare</w:t>
            </w:r>
            <w:r>
              <w:t>; subliniază că orarul cursurilor de formare, responsabilitățile familiale și costurile reprezintă principalele obstacole pentru lucrătorii care doresc să se formeze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(Evoluția ocupării forței de muncă și a situației sociale în Europa), Comisia Europeană, p.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(Evoluția ocupării forței de muncă și a situației sociale în Europa), Comisia Europeană, p.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subliniază că deficitul de lucrători calificați poate fi redus în mod semnificativ numai prin asigurarea disponibilității unor posibilități de formare și a accesibilității acestora; subliniază că orarul cursurilor de formare, responsabilitățile familiale și costurile reprezintă principalele obstacole pentru lucrătorii care doresc să se formeze</w:t>
            </w:r>
            <w:r>
              <w:rPr>
                <w:b/>
                <w:i/>
                <w:vertAlign w:val="superscript"/>
              </w:rPr>
              <w:t>7</w:t>
            </w:r>
            <w:r>
              <w:t xml:space="preserve">; </w:t>
            </w:r>
            <w:r>
              <w:rPr>
                <w:b/>
                <w:i/>
              </w:rPr>
              <w:t>este ferm convins că asigurarea dreptului individual al lucrătorilor la formare gratuită în timpul programului de lucru poate ajuta lucrătorii să depășească aceste obstacole și le poate asigura angajatorilor o sursă de lucrători calificați previzibilă și stabilă;</w:t>
            </w:r>
          </w:p>
        </w:tc>
        <w:tc>
          <w:tcPr>
            <w:tcW w:w="4876" w:type="dxa"/>
            <w:tcBorders>
              <w:top w:val="nil"/>
              <w:left w:val="nil"/>
              <w:bottom w:val="nil"/>
              <w:right w:val="nil"/>
            </w:tcBorders>
          </w:tcPr>
          <w:p>
            <w:pPr>
              <w:pStyle w:val="Normal6a"/>
            </w:pPr>
            <w:r>
              <w:t>5.</w:t>
            </w:r>
            <w:r>
              <w:tab/>
            </w:r>
            <w:r>
              <w:t>subliniază că deficitul de lucrători calificați poate fi redus în mod semnificativ numai prin asigurarea disponibilității unor posibilități de formare și a accesibilității acestora; subliniază că orarul cursurilor de formare, responsabilitățile familiale și costurile reprezintă principalele obstacole pentru lucrătorii care doresc să se formeze;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(Evoluția ocupării forței de muncă și a situației sociale în Europa), Comisia Europeană, p.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subliniază că deficitul de lucrători calificați poate fi redus în mod semnificativ numai prin asigurarea disponibilității unor posibilități de formare și a accesibilității acestora; subliniază că orarul cursurilor de formare, responsabilitățile familiale și costurile reprezintă principalele obstacole pentru lucrătorii care doresc să se formeze</w:t>
            </w:r>
            <w:r>
              <w:rPr>
                <w:vertAlign w:val="superscript"/>
              </w:rPr>
              <w:t>7</w:t>
            </w:r>
            <w:r>
              <w:t xml:space="preserve">; este ferm convins că asigurarea dreptului individual </w:t>
            </w:r>
            <w:r>
              <w:rPr>
                <w:b/>
                <w:i/>
              </w:rPr>
              <w:t>al lucrătorilor</w:t>
            </w:r>
            <w:r>
              <w:t xml:space="preserve"> la formare </w:t>
            </w:r>
            <w:r>
              <w:rPr>
                <w:b/>
                <w:i/>
              </w:rPr>
              <w:t>gratuită în timpul programului de lucru</w:t>
            </w:r>
            <w:r>
              <w:t xml:space="preserve"> poate ajuta lucrătorii să depășească aceste obstacole și le poate asigura angajatorilor o sursă de lucrători calificați previzibilă și stabilă;</w:t>
            </w:r>
          </w:p>
        </w:tc>
        <w:tc>
          <w:tcPr>
            <w:tcW w:w="4876" w:type="dxa"/>
            <w:tcBorders>
              <w:top w:val="nil"/>
              <w:left w:val="nil"/>
              <w:bottom w:val="nil"/>
              <w:right w:val="nil"/>
            </w:tcBorders>
          </w:tcPr>
          <w:p>
            <w:pPr>
              <w:pStyle w:val="Normal6a"/>
            </w:pPr>
            <w:r>
              <w:t>5.</w:t>
            </w:r>
            <w:r>
              <w:tab/>
            </w:r>
            <w:r>
              <w:t>subliniază că deficitul de lucrători calificați poate fi redus în mod semnificativ numai prin asigurarea disponibilității unor posibilități de formare și a accesibilității acestora; subliniază că orarul cursurilor de formare, responsabilitățile familiale și costurile reprezintă principalele obstacole pentru lucrătorii care doresc să se formeze</w:t>
            </w:r>
            <w:r>
              <w:rPr>
                <w:vertAlign w:val="superscript"/>
              </w:rPr>
              <w:t>7</w:t>
            </w:r>
            <w:r>
              <w:t>; este ferm convins că asigurarea dreptului individual la formare poate ajuta lucrătorii să depășească aceste obstacole și le poate asigura angajatorilor o sursă de lucrători calificați previzibilă și stabilă;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(Evoluția ocupării forței de muncă și a situației sociale în Europa), Comisia Europeană, p.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(Evoluția ocupării forței de muncă și a situației sociale în Europa), Comisia Europeană, p.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subliniază că deficitul de lucrători calificați poate fi redus în mod semnificativ numai prin asigurarea disponibilității unor posibilități de formare și a accesibilității acestora; subliniază că orarul cursurilor de formare, responsabilitățile familiale și costurile reprezintă principalele obstacole pentru lucrătorii care doresc să se formeze</w:t>
            </w:r>
            <w:r>
              <w:rPr>
                <w:vertAlign w:val="superscript"/>
              </w:rPr>
              <w:t>7</w:t>
            </w:r>
            <w:r>
              <w:t xml:space="preserve">; este ferm convins că asigurarea dreptului individual al lucrătorilor la formare </w:t>
            </w:r>
            <w:r>
              <w:rPr>
                <w:b/>
                <w:i/>
              </w:rPr>
              <w:t>gratuită</w:t>
            </w:r>
            <w:r>
              <w:t xml:space="preserve"> în timpul programului de lucru poate ajuta lucrătorii să depășească aceste obstacole și le poate asigura angajatorilor o sursă de lucrători calificați previzibilă și stabilă;</w:t>
            </w:r>
          </w:p>
        </w:tc>
        <w:tc>
          <w:tcPr>
            <w:tcW w:w="4876" w:type="dxa"/>
            <w:tcBorders>
              <w:top w:val="nil"/>
              <w:left w:val="nil"/>
              <w:bottom w:val="nil"/>
              <w:right w:val="nil"/>
            </w:tcBorders>
          </w:tcPr>
          <w:p>
            <w:pPr>
              <w:pStyle w:val="Normal6a"/>
            </w:pPr>
            <w:r>
              <w:t>5.</w:t>
            </w:r>
            <w:r>
              <w:tab/>
            </w:r>
            <w:r>
              <w:t>subliniază că deficitul de lucrători calificați poate fi redus în mod semnificativ numai prin asigurarea disponibilității unor posibilități de formare și a accesibilității acestora; subliniază că orarul cursurilor de formare, responsabilitățile familiale și costurile reprezintă principalele obstacole pentru lucrătorii care doresc să se formeze</w:t>
            </w:r>
            <w:r>
              <w:rPr>
                <w:vertAlign w:val="superscript"/>
              </w:rPr>
              <w:t>7</w:t>
            </w:r>
            <w:r>
              <w:t>; este ferm convins că asigurarea dreptului individual al lucrătorilor la formare în timpul programului de lucru poate ajuta lucrătorii să depășească aceste obstacole și le poate asigura angajatorilor o sursă de lucrători calificați previzibilă și stabilă;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(Evoluția ocupării forței de muncă și a situației sociale în Europa), Comisia Europeană, p.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(Evoluția ocupării forței de muncă și a situației sociale în Europa), Comisia Europeană, p.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subliniază că deficitul de lucrători calificați poate fi redus în mod semnificativ </w:t>
            </w:r>
            <w:r>
              <w:rPr>
                <w:b/>
                <w:i/>
              </w:rPr>
              <w:t>numai</w:t>
            </w:r>
            <w:r>
              <w:t xml:space="preserve"> prin asigurarea disponibilității unor posibilități de formare și a accesibilității acestora; subliniază că orarul cursurilor de formare, responsabilitățile familiale și costurile reprezintă principalele obstacole pentru lucrătorii care doresc să se formeze</w:t>
            </w:r>
            <w:r>
              <w:rPr>
                <w:b/>
                <w:i/>
                <w:vertAlign w:val="superscript"/>
              </w:rPr>
              <w:t>7</w:t>
            </w:r>
            <w:r>
              <w:t xml:space="preserve">; este ferm convins că asigurarea dreptului individual </w:t>
            </w:r>
            <w:r>
              <w:rPr>
                <w:b/>
                <w:i/>
              </w:rPr>
              <w:t>al lucrătorilor</w:t>
            </w:r>
            <w:r>
              <w:t xml:space="preserve"> la formare </w:t>
            </w:r>
            <w:r>
              <w:rPr>
                <w:b/>
                <w:i/>
              </w:rPr>
              <w:t>gratuită</w:t>
            </w:r>
            <w:r>
              <w:t xml:space="preserve"> în timpul programului de lucru poate ajuta lucrătorii să depășească aceste obstacole și le poate asigura angajatorilor o sursă de lucrători calificați previzibilă și stabilă;</w:t>
            </w:r>
          </w:p>
        </w:tc>
        <w:tc>
          <w:tcPr>
            <w:tcW w:w="4876" w:type="dxa"/>
            <w:tcBorders>
              <w:top w:val="nil"/>
              <w:left w:val="nil"/>
              <w:bottom w:val="nil"/>
              <w:right w:val="nil"/>
            </w:tcBorders>
          </w:tcPr>
          <w:p>
            <w:pPr>
              <w:pStyle w:val="Normal6a"/>
            </w:pPr>
            <w:r>
              <w:t>5.</w:t>
            </w:r>
            <w:r>
              <w:tab/>
            </w:r>
            <w:r>
              <w:t xml:space="preserve">subliniază că deficitul de lucrători calificați poate fi redus în mod semnificativ prin asigurarea disponibilității unor posibilități de </w:t>
            </w:r>
            <w:r>
              <w:rPr>
                <w:b/>
                <w:i/>
              </w:rPr>
              <w:t>educație, (re)calificare și</w:t>
            </w:r>
            <w:r>
              <w:t xml:space="preserve"> formare și a accesibilității acestora; subliniază că orarul cursurilor de formare, responsabilitățile familiale și costurile reprezintă principalele obstacole pentru lucrătorii care doresc să se formeze</w:t>
            </w:r>
            <w:r>
              <w:rPr>
                <w:b/>
                <w:i/>
              </w:rPr>
              <w:t>[1];</w:t>
            </w:r>
            <w:r>
              <w:t xml:space="preserve"> </w:t>
            </w:r>
            <w:r>
              <w:rPr>
                <w:b/>
                <w:i/>
              </w:rPr>
              <w:t>reamintește că Directiva (UE) 2019/1152 a Parlamentului European și a Consiliului din 20 iunie 2019 privind transparența și previzibilitatea condițiilor de muncă în Uniunea Europeană</w:t>
            </w:r>
            <w:r>
              <w:rPr>
                <w:b/>
                <w:i/>
                <w:vertAlign w:val="superscript"/>
              </w:rPr>
              <w:t>1a</w:t>
            </w:r>
            <w:r>
              <w:rPr>
                <w:b/>
                <w:i/>
              </w:rPr>
              <w:t> stabilește deja că formarea obligatorie trebuie să fie oferită gratuit, să fie considerată timp de lucru și să aibă loc în timpul programului de lucru;</w:t>
            </w:r>
            <w:r>
              <w:t xml:space="preserve"> </w:t>
            </w:r>
            <w:r>
              <w:rPr>
                <w:b/>
                <w:i/>
              </w:rPr>
              <w:t>subliniază, cu toate acestea, că transpunerea și asigurarea respectării acestor dispoziții rămân fragile și inegale în statele membre, subliniind astfel necesitatea urgentă a unui cadru specific și obligatoriu al Uniunii</w:t>
            </w:r>
            <w:r>
              <w:t xml:space="preserve">; este ferm convins că asigurarea dreptului individual la formare </w:t>
            </w:r>
            <w:r>
              <w:rPr>
                <w:b/>
                <w:i/>
              </w:rPr>
              <w:t>și învățare pe tot parcursul vieții gratuit pentru toți lucrătorii și</w:t>
            </w:r>
            <w:r>
              <w:t xml:space="preserve"> în timpul programului de lucru poate ajuta lucrătorii să depășească aceste obstacole</w:t>
            </w:r>
            <w:r>
              <w:rPr>
                <w:b/>
                <w:i/>
              </w:rPr>
              <w:t>, poate asigura perfecționarea sau recalificarea de calitate, formarea angajaților și sprijinul pentru dezvoltarea carierei</w:t>
            </w:r>
            <w:r>
              <w:t xml:space="preserve"> și le poate asigura angajatorilor o sursă de lucrători calificați previzibilă și stabilă;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L 186, 11.7.2019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(Evoluția ocupării forței de muncă și a situației sociale în Europa), Comisia Europeană, p.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subliniază că deficitul de lucrători calificați poate fi redus în mod semnificativ numai prin asigurarea disponibilității unor posibilități de formare și a accesibilității acestora; subliniază că orarul cursurilor de formare, responsabilitățile familiale și costurile reprezintă principalele obstacole pentru lucrătorii care doresc să se formeze</w:t>
            </w:r>
            <w:r>
              <w:rPr>
                <w:vertAlign w:val="superscript"/>
              </w:rPr>
              <w:t>7</w:t>
            </w:r>
            <w:r>
              <w:t xml:space="preserve">; este ferm convins că asigurarea </w:t>
            </w:r>
            <w:r>
              <w:rPr>
                <w:b/>
                <w:i/>
              </w:rPr>
              <w:t>dreptului</w:t>
            </w:r>
            <w:r>
              <w:t xml:space="preserve"> individual al lucrătorilor la formare gratuită în timpul programului de lucru poate ajuta lucrătorii să depășească aceste obstacole și le poate asigura angajatorilor o sursă de lucrători calificați previzibilă și stabilă;</w:t>
            </w:r>
          </w:p>
        </w:tc>
        <w:tc>
          <w:tcPr>
            <w:tcW w:w="4876" w:type="dxa"/>
            <w:tcBorders>
              <w:top w:val="nil"/>
              <w:left w:val="nil"/>
              <w:bottom w:val="nil"/>
              <w:right w:val="nil"/>
            </w:tcBorders>
          </w:tcPr>
          <w:p>
            <w:pPr>
              <w:pStyle w:val="Normal6a"/>
            </w:pPr>
            <w:r>
              <w:t>5.</w:t>
            </w:r>
            <w:r>
              <w:tab/>
            </w:r>
            <w:r>
              <w:t>subliniază că deficitul de lucrători calificați poate fi redus în mod semnificativ numai prin asigurarea disponibilității unor posibilități de formare și a accesibilității acestora</w:t>
            </w:r>
            <w:r>
              <w:rPr>
                <w:b/>
                <w:i/>
              </w:rPr>
              <w:t>, precum și prin îmbunătățirea condițiilor de muncă și prin oferirea de salarii adecvate care să permită un trai decent</w:t>
            </w:r>
            <w:r>
              <w:t>; subliniază că orarul cursurilor de formare, responsabilitățile familiale și costurile reprezintă principalele obstacole pentru lucrătorii care doresc să se formeze</w:t>
            </w:r>
            <w:r>
              <w:rPr>
                <w:vertAlign w:val="superscript"/>
              </w:rPr>
              <w:t>7</w:t>
            </w:r>
            <w:r>
              <w:t xml:space="preserve">; este ferm convins că asigurarea </w:t>
            </w:r>
            <w:r>
              <w:rPr>
                <w:b/>
                <w:i/>
              </w:rPr>
              <w:t>unui drept</w:t>
            </w:r>
            <w:r>
              <w:t xml:space="preserve"> individual </w:t>
            </w:r>
            <w:r>
              <w:rPr>
                <w:b/>
                <w:i/>
              </w:rPr>
              <w:t>garantat</w:t>
            </w:r>
            <w:r>
              <w:t xml:space="preserve"> al lucrătorilor la formare gratuită în timpul programului de lucru poate ajuta lucrătorii să depășească aceste obstacole și le poate asigura angajatorilor o sursă de lucrători calificați previzibilă și stabilă; </w:t>
            </w:r>
            <w:r>
              <w:rPr>
                <w:b/>
                <w:i/>
              </w:rPr>
              <w:t>subliniază că tranziția justă ar trebui integrată printr-o abordare intersecțională în întreaga legislație și politică a Uniunii și a statelor membre, acordând o atenție deosebită includerii lucrătorilor tineri, în vârstă, slab calificați și de sex feminin, precum și a lucrătorilor cu dizabilități în programele de educație și formare;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(Evoluția ocupării forței de muncă și a situației sociale în Europa), Comisia Europeană, p.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(Evoluția ocupării forței de muncă și a situației sociale în Europa), Comisia Europeană, p.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subliniază necesitatea de a implica în mod semnificativ tinerii în elaborarea, punerea în aplicare și monitorizarea politicilor legate de o tranziție echitabilă și justă;</w:t>
            </w:r>
            <w:r>
              <w:t xml:space="preserve"> </w:t>
            </w:r>
            <w:r>
              <w:rPr>
                <w:b/>
                <w:i/>
              </w:rPr>
              <w:t>cere să se depună mai multe eforturi pentru a sprijini implementarea Garanției pentru tineret având grijă ca statele membre să aloce mai multe fonduri și cel puțin 15 % din resursele lor provenind din FSE+ sprijinului pentru acțiuni focalizate și reforme structurale menite să susțină locurile de muncă de calitate în rândul tinerilor, educația și formarea profesională de calitate, mai cu seamă prin stagii și ucenicii remunerate și de calitate, înlesnind tranziția de la școală la muncă, reintegrarea în educație sau formare și educația de tip „a doua șansă”;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subliniază importanța sprijinirii lucrătorilor în consolidarea competențelor lor transformatoare (cum ar fi gândirea critică, previziunea, creativitatea și acțiunea politică), a competențelor care contestă practicile existente și generează soluții și valori complet noi de care are nevoie tranziția verde și digitală;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subliniază că transformările și restructurările la locul de muncă în timpul dublei tranziții pot declanșa riscuri psihosociale, cum ar fi stresul, incertitudinea și amenințarea cu pierderea locului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consideră că este esențial să se promoveze viabilitatea economică a întreprinderilor industriale europene și, în cel mai rău caz, să se prevină închiderile și disponibilizările forțate;</w:t>
            </w:r>
            <w:r>
              <w:t xml:space="preserve"> </w:t>
            </w:r>
            <w:r>
              <w:rPr>
                <w:b/>
                <w:i/>
              </w:rPr>
              <w:t>subliniază importanța sprijinirii întreprinderilor, în special a IMM-urilor, pentru a preveni disponibilizările forțate, de exemplu prin programe temporare de sprijin pentru a proteja locurile de muncă în timpul tranzițiilor, evitând pierderea capacității industriale strategice și a forței de muncă calificate;</w:t>
            </w:r>
            <w:r>
              <w:t xml:space="preserve"> </w:t>
            </w:r>
            <w:r>
              <w:rPr>
                <w:b/>
                <w:i/>
              </w:rPr>
              <w:t>constată că, atunci când este necesară tranziția de la un loc de muncă la altul, este esențial ca lucrătorii să rămână în același sector și în aceeași regiune, beneficiind totodată de suficient timp pentru reconversie fără pierderi financiare personale;</w:t>
            </w:r>
            <w:r>
              <w:t xml:space="preserve"> </w:t>
            </w:r>
            <w:r>
              <w:rPr>
                <w:b/>
                <w:i/>
              </w:rPr>
              <w:t>cere o protecție mai puternică împotriva concedierilor abuzive și solicită ca lucrătorilor afectați de restructurări să li se garanteze compensații adecvate, oportunități de recalificare și sprijin pentru a obține noi locuri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solicită ca programele de sprijin pentru sănătatea mintală, inclusiv consilierea, gestionarea stresului și sistemele de echilibrare a vieții profesionale cu cea privată, să fie integrate în planurile de tranziție la nivel de întreprindere;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subliniază că statele membre trebuie să sprijine întreprinderile și lucrătorii prin strategii și politici generale pentru o tranziție echitabilă la nivel național; subliniază că aceste strategii naționale ar trebui să prevadă impactul tranzițiilor asupra anumitor sectoare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c>
          <w:tcPr>
            <w:tcW w:w="4876" w:type="dxa"/>
            <w:tcBorders>
              <w:top w:val="nil"/>
              <w:left w:val="nil"/>
              <w:bottom w:val="nil"/>
              <w:right w:val="nil"/>
            </w:tcBorders>
          </w:tcPr>
          <w:p>
            <w:pPr>
              <w:pStyle w:val="Normal6a"/>
            </w:pPr>
            <w:r>
              <w:t>6.</w:t>
            </w:r>
            <w:r>
              <w:tab/>
            </w:r>
            <w:r>
              <w:rPr>
                <w:b/>
                <w:i/>
              </w:rPr>
              <w:t>invită statele membre să acorde prioritate renovării locuințelor ocupate de gospodării expuse riscului de sărăcie energetică, oferind atât beneficii climatice, cât și economii de costuri pentru familiile vulnerabile, creând în același timp locuri de muncă la nivel local;</w:t>
            </w:r>
            <w:r>
              <w:t xml:space="preserve"> subliniază că statele membre trebuie să sprijine întreprinderile și lucrătorii prin strategii și politici generale pentru o tranziție echitabilă la nivel național; subliniază că aceste strategii naționale ar trebui să prevadă impactul tranzițiilor asupra anumitor sectoare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subliniază </w:t>
            </w:r>
            <w:r>
              <w:rPr>
                <w:b/>
                <w:i/>
              </w:rPr>
              <w:t>că statele</w:t>
            </w:r>
            <w:r>
              <w:t xml:space="preserve"> membre </w:t>
            </w:r>
            <w:r>
              <w:rPr>
                <w:b/>
                <w:i/>
              </w:rPr>
              <w:t>trebuie să sprijine întreprinderile și lucrătorii prin</w:t>
            </w:r>
            <w:r>
              <w:t xml:space="preserve"> strategii </w:t>
            </w:r>
            <w:r>
              <w:rPr>
                <w:b/>
                <w:i/>
              </w:rPr>
              <w:t>și politici generale pentru o</w:t>
            </w:r>
            <w:r>
              <w:t xml:space="preserve"> tranziție </w:t>
            </w:r>
            <w:r>
              <w:rPr>
                <w:b/>
                <w:i/>
              </w:rPr>
              <w:t>echitabilă la nivel național</w:t>
            </w:r>
            <w:r>
              <w:t xml:space="preserve">; subliniază că aceste strategii </w:t>
            </w:r>
            <w:r>
              <w:rPr>
                <w:b/>
                <w:i/>
              </w:rPr>
              <w:t>naționale</w:t>
            </w:r>
            <w:r>
              <w:t xml:space="preserve"> ar trebui să prevadă impactul tranzițiilor asupra anumitor sectoare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c>
          <w:tcPr>
            <w:tcW w:w="4876" w:type="dxa"/>
            <w:tcBorders>
              <w:top w:val="nil"/>
              <w:left w:val="nil"/>
              <w:bottom w:val="nil"/>
              <w:right w:val="nil"/>
            </w:tcBorders>
          </w:tcPr>
          <w:p>
            <w:pPr>
              <w:pStyle w:val="Normal6a"/>
            </w:pPr>
            <w:r>
              <w:t>6.</w:t>
            </w:r>
            <w:r>
              <w:tab/>
            </w:r>
            <w:r>
              <w:t xml:space="preserve">subliniază </w:t>
            </w:r>
            <w:r>
              <w:rPr>
                <w:b/>
                <w:i/>
              </w:rPr>
              <w:t>rolul principal al statelor</w:t>
            </w:r>
            <w:r>
              <w:t xml:space="preserve"> membre </w:t>
            </w:r>
            <w:r>
              <w:rPr>
                <w:b/>
                <w:i/>
              </w:rPr>
              <w:t>și al regiunilor în sprijinirea întreprinderilor și a lucrătorilor prin elaborarea unor</w:t>
            </w:r>
            <w:r>
              <w:t xml:space="preserve"> strategii </w:t>
            </w:r>
            <w:r>
              <w:rPr>
                <w:b/>
                <w:i/>
              </w:rPr>
              <w:t>de</w:t>
            </w:r>
            <w:r>
              <w:t xml:space="preserve"> tranziție </w:t>
            </w:r>
            <w:r>
              <w:rPr>
                <w:b/>
                <w:i/>
              </w:rPr>
              <w:t>adaptate la situația lor locală</w:t>
            </w:r>
            <w:r>
              <w:t>; subliniază că aceste strategii ar trebui să prevadă impactul tranzițiilor asupra anumitor sectoare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subliniază că statele membre </w:t>
            </w:r>
            <w:r>
              <w:rPr>
                <w:b/>
                <w:i/>
              </w:rPr>
              <w:t>trebuie</w:t>
            </w:r>
            <w:r>
              <w:t xml:space="preserve"> să sprijine întreprinderile și lucrătorii prin strategii și politici generale pentru o tranziție echitabilă la nivel național; subliniază că aceste strategii naționale ar trebui să prevadă impactul tranzițiilor asupra anumitor sectoare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w:t>
            </w:r>
            <w:r>
              <w:rPr>
                <w:b/>
                <w:i/>
              </w:rPr>
              <w:t>și</w:t>
            </w:r>
            <w:r>
              <w:t xml:space="preserve"> societatea civilă; subliniază că investițiile directe în inovare și îmbunătățirea atractivității regiunilor prin </w:t>
            </w:r>
            <w:r>
              <w:rPr>
                <w:b/>
                <w:i/>
              </w:rPr>
              <w:t>modernizarea infrastructurii, a serviciilor</w:t>
            </w:r>
            <w:r>
              <w:t xml:space="preserve"> publice și a </w:t>
            </w:r>
            <w:r>
              <w:rPr>
                <w:b/>
                <w:i/>
              </w:rPr>
              <w:t>condițiilor cotidiene</w:t>
            </w:r>
            <w:r>
              <w:t xml:space="preserve"> sunt necesare pentru a păstra lucrătorii și a genera locuri de muncă de calitate;</w:t>
            </w:r>
          </w:p>
        </w:tc>
        <w:tc>
          <w:tcPr>
            <w:tcW w:w="4876" w:type="dxa"/>
            <w:tcBorders>
              <w:top w:val="nil"/>
              <w:left w:val="nil"/>
              <w:bottom w:val="nil"/>
              <w:right w:val="nil"/>
            </w:tcBorders>
          </w:tcPr>
          <w:p>
            <w:pPr>
              <w:pStyle w:val="Normal6a"/>
            </w:pPr>
            <w:r>
              <w:t>6.</w:t>
            </w:r>
            <w:r>
              <w:tab/>
            </w:r>
            <w:r>
              <w:t xml:space="preserve">subliniază că statele membre </w:t>
            </w:r>
            <w:r>
              <w:rPr>
                <w:b/>
                <w:i/>
              </w:rPr>
              <w:t>au obligația</w:t>
            </w:r>
            <w:r>
              <w:t xml:space="preserve"> să sprijine întreprinderile și lucrătorii prin strategii și politici generale pentru o tranziție echitabilă la nivel național </w:t>
            </w:r>
            <w:r>
              <w:rPr>
                <w:b/>
                <w:i/>
              </w:rPr>
              <w:t>și regional</w:t>
            </w:r>
            <w:r>
              <w:t xml:space="preserve">; subliniază că aceste strategii naționale ar trebui să prevadă impactul tranzițiilor asupra anumitor sectoare </w:t>
            </w:r>
            <w:r>
              <w:rPr>
                <w:b/>
                <w:i/>
              </w:rPr>
              <w:t>și regiuni, precum</w:t>
            </w:r>
            <w:r>
              <w:t xml:space="preserv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w:t>
            </w:r>
            <w:r>
              <w:rPr>
                <w:b/>
                <w:i/>
              </w:rPr>
              <w:t>,</w:t>
            </w:r>
            <w:r>
              <w:t xml:space="preserve"> societatea civilă </w:t>
            </w:r>
            <w:r>
              <w:rPr>
                <w:b/>
                <w:i/>
              </w:rPr>
              <w:t>și economia socială</w:t>
            </w:r>
            <w:r>
              <w:t xml:space="preserve">; subliniază că investițiile directe în inovare și îmbunătățirea atractivității regiunilor prin </w:t>
            </w:r>
            <w:r>
              <w:rPr>
                <w:b/>
                <w:i/>
              </w:rPr>
              <w:t>furnizarea unei infrastructuri, a unor servicii</w:t>
            </w:r>
            <w:r>
              <w:t xml:space="preserve"> publice și a </w:t>
            </w:r>
            <w:r>
              <w:rPr>
                <w:b/>
                <w:i/>
              </w:rPr>
              <w:t>unor facilități de înaltă calitate, la prețuri abordabile și accesibile</w:t>
            </w:r>
            <w:r>
              <w:t xml:space="preserve"> sunt necesare pentru a păstra lucrătorii și a genera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subliniază că statele membre trebuie să sprijine întreprinderile și lucrătorii prin strategii și politici generale pentru o tranziție echitabilă la nivel național; subliniază că aceste strategii naționale ar trebui să prevadă impactul tranzițiilor asupra anumitor sectoare și a forței de muncă </w:t>
            </w:r>
            <w:r>
              <w:rPr>
                <w:b/>
                <w:i/>
              </w:rPr>
              <w:t>și ar trebui să stabilească o gamă cuprinzătoare de măsuri transversale prin care să se atenueze acest impact</w:t>
            </w:r>
            <w:r>
              <w: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c>
          <w:tcPr>
            <w:tcW w:w="4876" w:type="dxa"/>
            <w:tcBorders>
              <w:top w:val="nil"/>
              <w:left w:val="nil"/>
              <w:bottom w:val="nil"/>
              <w:right w:val="nil"/>
            </w:tcBorders>
          </w:tcPr>
          <w:p>
            <w:pPr>
              <w:pStyle w:val="Normal6a"/>
            </w:pPr>
            <w:r>
              <w:t>6.</w:t>
            </w:r>
            <w:r>
              <w:tab/>
            </w:r>
            <w:r>
              <w:t>subliniază că statele membre trebuie să sprijine întreprinderile și lucrătorii prin strategii și politici generale pentru o tranziție echitabilă la nivel național; subliniază că aceste strategii naționale ar trebui să prevadă impactul tranzițiilor asupra anumitor sectoare și a forței de muncă;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subliniază că statele membre trebuie să sprijine întreprinderile și lucrătorii prin strategii și politici generale pentru o tranziție </w:t>
            </w:r>
            <w:r>
              <w:rPr>
                <w:b/>
                <w:i/>
              </w:rPr>
              <w:t>echitabilă</w:t>
            </w:r>
            <w:r>
              <w:t xml:space="preserve"> la nivel național; subliniază că aceste strategii naționale ar trebui să prevadă impactul tranzițiilor asupra </w:t>
            </w:r>
            <w:r>
              <w:rPr>
                <w:b/>
                <w:i/>
              </w:rPr>
              <w:t>anumitor</w:t>
            </w:r>
            <w:r>
              <w:t xml:space="preserve"> sectoare </w:t>
            </w:r>
            <w:r>
              <w:rPr>
                <w:b/>
                <w:i/>
              </w:rPr>
              <w:t>și</w:t>
            </w:r>
            <w:r>
              <w:t xml:space="preserve">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c>
          <w:tcPr>
            <w:tcW w:w="4876" w:type="dxa"/>
            <w:tcBorders>
              <w:top w:val="nil"/>
              <w:left w:val="nil"/>
              <w:bottom w:val="nil"/>
              <w:right w:val="nil"/>
            </w:tcBorders>
          </w:tcPr>
          <w:p>
            <w:pPr>
              <w:pStyle w:val="Normal6a"/>
            </w:pPr>
            <w:r>
              <w:t>6.</w:t>
            </w:r>
            <w:r>
              <w:tab/>
            </w:r>
            <w:r>
              <w:t xml:space="preserve">subliniază că statele membre trebuie să sprijine întreprinderile și lucrătorii prin strategii și politici generale pentru o tranziție </w:t>
            </w:r>
            <w:r>
              <w:rPr>
                <w:b/>
                <w:i/>
              </w:rPr>
              <w:t>justă</w:t>
            </w:r>
            <w:r>
              <w:t xml:space="preserve"> la nivel național; subliniază că aceste strategii naționale ar trebui să prevadă impactul tranzițiilor asupra </w:t>
            </w:r>
            <w:r>
              <w:rPr>
                <w:b/>
                <w:i/>
              </w:rPr>
              <w:t>unor</w:t>
            </w:r>
            <w:r>
              <w:t xml:space="preserve"> sectoare </w:t>
            </w:r>
            <w:r>
              <w:rPr>
                <w:b/>
                <w:i/>
              </w:rPr>
              <w:t>specifice,</w:t>
            </w:r>
            <w:r>
              <w:t xml:space="preserve"> a forței de muncă </w:t>
            </w:r>
            <w:r>
              <w:rPr>
                <w:b/>
                <w:i/>
              </w:rPr>
              <w:t>și a anumitor lucrătorilor</w:t>
            </w:r>
            <w:r>
              <w:t xml:space="preserve"> și ar trebui să stabilească o gamă cuprinzătoare de măsuri transversale prin care să se atenueze acest impact; evidențiază importanța elaborării unei viziuni și a unei strategii pe termen lung pentru tranziția economică la nivel local </w:t>
            </w:r>
            <w:r>
              <w:rPr>
                <w:b/>
                <w:i/>
              </w:rPr>
              <w:t>și regional</w:t>
            </w:r>
            <w:r>
              <w:t>,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subliniază că statele membre trebuie să sprijine întreprinderile și lucrătorii prin strategii și politici generale pentru o tranziție echitabilă la nivel național; subliniază că aceste strategii naționale ar trebui să prevadă impactul tranzițiilor asupra anumitor sectoare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c>
          <w:tcPr>
            <w:tcW w:w="4876" w:type="dxa"/>
            <w:tcBorders>
              <w:top w:val="nil"/>
              <w:left w:val="nil"/>
              <w:bottom w:val="nil"/>
              <w:right w:val="nil"/>
            </w:tcBorders>
          </w:tcPr>
          <w:p>
            <w:pPr>
              <w:pStyle w:val="Normal6a"/>
            </w:pPr>
            <w:r>
              <w:t>6.</w:t>
            </w:r>
            <w:r>
              <w:tab/>
            </w:r>
            <w:r>
              <w:t xml:space="preserve">subliniază că statele membre trebuie să sprijine întreprinderile și lucrătorii prin strategii și politici generale pentru o tranziție echitabilă la nivel național; subliniază că aceste strategii naționale ar trebui să prevadă impactul tranzițiilor asupra anumitor sectoare și a forței de muncă și ar trebui să stabilească o gamă cuprinzătoare de măsuri transversale prin care să se atenueze acest impact </w:t>
            </w:r>
            <w:r>
              <w:rPr>
                <w:b/>
                <w:i/>
              </w:rPr>
              <w:t>nu numai asupra anumitor companii, ci și la scară largă</w:t>
            </w:r>
            <w:r>
              <w: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subliniază că statele membre trebuie să sprijine întreprinderile și lucrătorii prin strategii și politici generale pentru o tranziție echitabilă la nivel național; subliniază că aceste strategii naționale ar trebui să prevadă impactul tranzițiilor asupra anumitor sectoare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p>
        </w:tc>
        <w:tc>
          <w:tcPr>
            <w:tcW w:w="4876" w:type="dxa"/>
            <w:tcBorders>
              <w:top w:val="nil"/>
              <w:left w:val="nil"/>
              <w:bottom w:val="nil"/>
              <w:right w:val="nil"/>
            </w:tcBorders>
          </w:tcPr>
          <w:p>
            <w:pPr>
              <w:pStyle w:val="Normal6a"/>
            </w:pPr>
            <w:r>
              <w:t>6.</w:t>
            </w:r>
            <w:r>
              <w:tab/>
            </w:r>
            <w:r>
              <w:t>subliniază că statele membre trebuie să sprijine întreprinderile și lucrătorii prin strategii și politici generale pentru o tranziție echitabilă la nivel național; subliniază că aceste strategii naționale ar trebui să prevadă impactul tranzițiilor asupra anumitor sectoare și a forței de muncă și ar trebui să stabilească o gamă cuprinzătoare de măsuri transversale prin care să se atenueze acest impact;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regiunilor prin modernizarea infrastructurii, a serviciilor publice și a condițiilor cotidiene sunt necesare pentru a păstra lucrătorii și a genera locuri de muncă de calitate</w:t>
            </w:r>
            <w:r>
              <w:rPr>
                <w:b/>
                <w:i/>
              </w:rPr>
              <w:t>, prevăzându-se în mod special o finanțare publică adecvată pentru infrastructura de sănătate, educație, transport și locuințe sociale, ca factor determinant al dezvoltării locale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subliniază că</w:t>
            </w:r>
            <w:r>
              <w:t xml:space="preserve"> statele membre </w:t>
            </w:r>
            <w:r>
              <w:rPr>
                <w:b/>
                <w:i/>
              </w:rPr>
              <w:t>trebuie</w:t>
            </w:r>
            <w:r>
              <w:t xml:space="preserve"> să sprijine întreprinderile și lucrătorii prin strategii și politici generale pentru o tranziție </w:t>
            </w:r>
            <w:r>
              <w:rPr>
                <w:b/>
                <w:i/>
              </w:rPr>
              <w:t>echitabilă</w:t>
            </w:r>
            <w:r>
              <w:t xml:space="preserve"> la nivel național</w:t>
            </w:r>
            <w:r>
              <w:rPr>
                <w:b/>
                <w:i/>
              </w:rPr>
              <w:t>;</w:t>
            </w:r>
            <w:r>
              <w:t xml:space="preserve"> </w:t>
            </w:r>
            <w:r>
              <w:rPr>
                <w:b/>
                <w:i/>
              </w:rPr>
              <w:t>subliniază că aceste strategii naționale ar trebui să prevadă impactul tranzițiilor asupra anumitor sectoare și a forței de muncă și ar trebui să stabilească o gamă cuprinzătoare de măsuri transversale prin care să se atenueze acest impact</w:t>
            </w:r>
            <w:r>
              <w:t xml:space="preserve">;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w:t>
            </w:r>
            <w:r>
              <w:rPr>
                <w:b/>
                <w:i/>
              </w:rPr>
              <w:t>regiunilor</w:t>
            </w:r>
            <w:r>
              <w:t xml:space="preserve"> prin modernizarea infrastructurii, a serviciilor publice și a condițiilor cotidiene sunt necesare pentru a păstra lucrătorii și a genera locuri de muncă de calitate;</w:t>
            </w:r>
          </w:p>
        </w:tc>
        <w:tc>
          <w:tcPr>
            <w:tcW w:w="4876" w:type="dxa"/>
            <w:tcBorders>
              <w:top w:val="nil"/>
              <w:left w:val="nil"/>
              <w:bottom w:val="nil"/>
              <w:right w:val="nil"/>
            </w:tcBorders>
          </w:tcPr>
          <w:p>
            <w:pPr>
              <w:pStyle w:val="Normal6a"/>
            </w:pPr>
            <w:r>
              <w:t>6.</w:t>
            </w:r>
            <w:r>
              <w:tab/>
            </w:r>
            <w:r>
              <w:rPr>
                <w:b/>
                <w:i/>
              </w:rPr>
              <w:t>recomandă ca</w:t>
            </w:r>
            <w:r>
              <w:t xml:space="preserve"> statele membre să sprijine întreprinderile și lucrătorii prin strategii și politici generale pentru o tranziție la nivel național; evidențiază importanța elaborării unei viziuni și a unei strategii pe termen lung pentru tranziția economică la nivel local, fiind implicați actori din sectoarele public și privat și societatea civilă; subliniază că investițiile directe în inovare și îmbunătățirea atractivității prin modernizarea infrastructurii, a serviciilor publice și a condițiilor cotidiene sunt necesare pentru a păstra lucrătorii și a genera locuri de muncă de calitate;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subliniază că mobilitatea forței de muncă și transformarea economică regională sunt strâns legate de locuințe accesibile și de calitate;</w:t>
            </w:r>
            <w:r>
              <w:t xml:space="preserve"> </w:t>
            </w:r>
            <w:r>
              <w:rPr>
                <w:b/>
                <w:i/>
              </w:rPr>
              <w:t>solicită dezvoltarea specifică a locuințelor sociale și a serviciilor comunitare în zonele depopulate și de tranziție industrială;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subliniază că tinerii și persoanele aflate pentru prima dată în căutarea unui loc de muncă sunt vulnerabile în timpul tranzițiilor;</w:t>
            </w:r>
            <w:r>
              <w:t xml:space="preserve"> </w:t>
            </w:r>
            <w:r>
              <w:rPr>
                <w:b/>
                <w:i/>
              </w:rPr>
              <w:t>solicită formare profesională, ucenicii și sprijin pentru antreprenoriat în cadrul strategiilor naționale pentru o tranziție justă;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solicită măsuri specifice de dezvoltare rurală pentru a se asigura că regiunile periferice și depopulate beneficiază în mod egal de fondurile pentru o tranziție justă și de crearea de locuri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subliniază că strategiile naționale pentru o tranziție justă trebuie să includă măsuri de prevenire a exodului creierelor în regiunile aflate în declin industrial, prin crearea de stimulente pentru ca lucrătorii calificați să rămână și tinerii să se întoarcă;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reamintește că IMM-urile sunt principalii generatori de locuri de muncă durabile la nivel local; subliniază că trebuie îmbunătățit accesul IMM-urilor la finanțarea </w:t>
            </w:r>
            <w:r>
              <w:rPr>
                <w:b/>
                <w:i/>
              </w:rPr>
              <w:t>tranziției</w:t>
            </w:r>
            <w:r>
              <w:t xml:space="preserve">, inclusiv prin autorizarea unor mecanisme de grupare pentru accesarea fondurilor </w:t>
            </w:r>
            <w:r>
              <w:rPr>
                <w:b/>
                <w:i/>
              </w:rPr>
              <w:t>și a asistenței tehnice, care le vor ajuta la conceperea și asigurarea conformității proiectelor</w:t>
            </w:r>
            <w:r>
              <w:t xml:space="preserve">; </w:t>
            </w:r>
            <w:r>
              <w:rPr>
                <w:b/>
                <w:i/>
              </w:rPr>
              <w:t>îndeamnă statele membre și autoritățile regionale să instituie și să consolideze programe de sprijin pentru întreprinderi în regiunile afectate, pentru a ajuta întreprinderile nou-înființate și IMM-urile să se dezvolte și să aibă succes;</w:t>
            </w:r>
            <w:r>
              <w:t xml:space="preserve"> </w:t>
            </w:r>
            <w:r>
              <w:rPr>
                <w:b/>
                <w:i/>
              </w:rPr>
              <w:t>subliniază că măsurile de stimulare a investiților pot contribui la atragerea întreprinderilor în regiunile vulnerabile;</w:t>
            </w:r>
          </w:p>
        </w:tc>
        <w:tc>
          <w:tcPr>
            <w:tcW w:w="4876" w:type="dxa"/>
            <w:tcBorders>
              <w:top w:val="nil"/>
              <w:left w:val="nil"/>
              <w:bottom w:val="nil"/>
              <w:right w:val="nil"/>
            </w:tcBorders>
          </w:tcPr>
          <w:p>
            <w:pPr>
              <w:pStyle w:val="Normal6a"/>
            </w:pPr>
            <w:r>
              <w:t>7.</w:t>
            </w:r>
            <w:r>
              <w:tab/>
            </w:r>
            <w:r>
              <w:t xml:space="preserve">reamintește că IMM-urile sunt principalii generatori de locuri de muncă durabile la nivel local; subliniază că trebuie îmbunătățit accesul IMM-urilor la finanțarea </w:t>
            </w:r>
            <w:r>
              <w:rPr>
                <w:b/>
                <w:i/>
              </w:rPr>
              <w:t>existentă</w:t>
            </w:r>
            <w:r>
              <w:t>, inclusiv prin autorizarea unor mecanisme de grupare pentru accesarea fondurilor;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reamintește că IMM-urile </w:t>
            </w:r>
            <w:r>
              <w:rPr>
                <w:b/>
                <w:i/>
              </w:rPr>
              <w:t>sunt principalii generatori</w:t>
            </w:r>
            <w:r>
              <w:t xml:space="preserve"> de locuri de muncă durabile la nivel local; subliniază că trebuie îmbunătățit accesul IMM-urilor la finanțarea tranziției, inclusiv prin autorizarea unor mecanisme de grupare pentru accesarea fondurilor și a asistenței tehnice, care le vor ajuta la conceperea și asigurarea conformității proiectelor; îndeamnă statele membre și autoritățile regionale să instituie și să consolideze programe de sprijin pentru întreprinderi în regiunile afectate, pentru a ajuta întreprinderile nou-înființate și IMM-urile să se dezvolte și să aibă succes; </w:t>
            </w:r>
            <w:r>
              <w:rPr>
                <w:b/>
                <w:i/>
              </w:rPr>
              <w:t>subliniază că măsurile de stimulare a investiților pot contribui la atragerea întreprinderilor în regiunile vulnerabile;</w:t>
            </w:r>
          </w:p>
        </w:tc>
        <w:tc>
          <w:tcPr>
            <w:tcW w:w="4876" w:type="dxa"/>
            <w:tcBorders>
              <w:top w:val="nil"/>
              <w:left w:val="nil"/>
              <w:bottom w:val="nil"/>
              <w:right w:val="nil"/>
            </w:tcBorders>
          </w:tcPr>
          <w:p>
            <w:pPr>
              <w:pStyle w:val="Normal6a"/>
            </w:pPr>
            <w:r>
              <w:t>7.</w:t>
            </w:r>
            <w:r>
              <w:tab/>
            </w:r>
            <w:r>
              <w:t xml:space="preserve">reamintește că IMM-urile </w:t>
            </w:r>
            <w:r>
              <w:rPr>
                <w:b/>
                <w:i/>
              </w:rPr>
              <w:t>și cooperativele sunt principalele generatoare</w:t>
            </w:r>
            <w:r>
              <w:t xml:space="preserve"> de locuri de muncă durabile la nivel local; subliniază că trebuie îmbunătățit accesul IMM-urilor la finanțarea tranziției, inclusiv prin autorizarea unor mecanisme de grupare pentru accesarea fondurilor și a asistenței tehnice, care le vor ajuta la conceperea și asigurarea conformității proiectelor; îndeamnă statele membre și autoritățile regionale să instituie și să consolideze programe de sprijin pentru întreprinderi </w:t>
            </w:r>
            <w:r>
              <w:rPr>
                <w:b/>
                <w:i/>
              </w:rPr>
              <w:t>legate de condiționalități solide</w:t>
            </w:r>
            <w:r>
              <w:t xml:space="preserve"> în regiunile afectate, pentru a ajuta întreprinderile nou-înființate și IMM-urile să se dezvolte și să aibă succes;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reamintește că IMM-urile sunt principalii generatori de locuri de muncă durabile la nivel local; subliniază că trebuie îmbunătățit accesul IMM-urilor la finanțarea tranziției, inclusiv prin autorizarea unor mecanisme de grupare pentru accesarea fondurilor și a asistenței tehnice, care le vor ajuta la conceperea și asigurarea conformității proiectelor; îndeamnă statele membre și autoritățile regionale să instituie și să consolideze programe de sprijin pentru întreprinderi în regiunile afectate, pentru a ajuta întreprinderile nou-înființate și IMM-urile să se dezvolte și să aibă succes; subliniază că măsurile de stimulare a investiților pot contribui la atragerea întreprinderilor în regiunile vulnerabile;</w:t>
            </w:r>
          </w:p>
        </w:tc>
        <w:tc>
          <w:tcPr>
            <w:tcW w:w="4876" w:type="dxa"/>
            <w:tcBorders>
              <w:top w:val="nil"/>
              <w:left w:val="nil"/>
              <w:bottom w:val="nil"/>
              <w:right w:val="nil"/>
            </w:tcBorders>
          </w:tcPr>
          <w:p>
            <w:pPr>
              <w:pStyle w:val="Normal6a"/>
            </w:pPr>
            <w:r>
              <w:t>7.</w:t>
            </w:r>
            <w:r>
              <w:tab/>
            </w:r>
            <w:r>
              <w:t xml:space="preserve">reamintește că IMM-urile sunt principalii generatori de locuri de muncă durabile la nivel local; subliniază că trebuie îmbunătățit accesul IMM-urilor la finanțarea tranziției, inclusiv prin autorizarea unor mecanisme de grupare pentru accesarea fondurilor și a asistenței tehnice, care le vor ajuta la conceperea și asigurarea conformității proiectelor; îndeamnă statele membre și autoritățile regionale să instituie și să consolideze programe de sprijin pentru întreprinderi în regiunile afectate, pentru a ajuta întreprinderile nou-înființate și IMM-urile să se dezvolte și să aibă succes; subliniază că măsurile de stimulare a investiților pot contribui la atragerea întreprinderilor în regiunile vulnerabile; </w:t>
            </w:r>
            <w:r>
              <w:rPr>
                <w:b/>
                <w:i/>
              </w:rPr>
              <w:t>întregul sprijin ar trebui să facă obiectul unor garanții clare de eligibilitate și integritate pentru a se asigura că activitățile contribuie în mod demonstrabil la neutralitatea climatică și la obiectivele tranziției juste, sunt aliniate la taxonomia UE și la principiile de „a nu aduce prejudicii semnificative” și la planurile teritoriale pentru o tranziție justă aprobate;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reamintește că IMM-urile sunt principalii generatori de locuri de muncă durabile la nivel local; subliniază că trebuie îmbunătățit accesul IMM-urilor la finanțarea tranziției, inclusiv prin autorizarea unor mecanisme de grupare pentru accesarea fondurilor și a asistenței tehnice, care le vor ajuta la conceperea și asigurarea conformității proiectelor; îndeamnă statele membre și autoritățile regionale să instituie și să consolideze programe de sprijin pentru întreprinderi în regiunile afectate, pentru a ajuta întreprinderile nou-înființate și IMM-urile să se dezvolte și să aibă succes; subliniază că măsurile de stimulare a investiților pot contribui la atragerea întreprinderilor în regiunile vulnerabile;</w:t>
            </w:r>
          </w:p>
        </w:tc>
        <w:tc>
          <w:tcPr>
            <w:tcW w:w="4876" w:type="dxa"/>
            <w:tcBorders>
              <w:top w:val="nil"/>
              <w:left w:val="nil"/>
              <w:bottom w:val="nil"/>
              <w:right w:val="nil"/>
            </w:tcBorders>
          </w:tcPr>
          <w:p>
            <w:pPr>
              <w:pStyle w:val="Normal6a"/>
            </w:pPr>
            <w:r>
              <w:t>7.</w:t>
            </w:r>
            <w:r>
              <w:tab/>
            </w:r>
            <w:r>
              <w:t>reamintește că IMM-urile sunt principalii generatori de locuri de muncă durabile la nivel local</w:t>
            </w:r>
            <w:r>
              <w:rPr>
                <w:b/>
                <w:i/>
              </w:rPr>
              <w:t>;</w:t>
            </w:r>
            <w:r>
              <w:t xml:space="preserve"> </w:t>
            </w:r>
            <w:r>
              <w:rPr>
                <w:b/>
                <w:i/>
              </w:rPr>
              <w:t>solicită statelor membre să acorde prioritate implicării IMM-urilor și meșteșugarilor locali în programele de renovare, asigurând sprijinul pentru economiile regionale și locurile de muncă pe termen lung</w:t>
            </w:r>
            <w:r>
              <w:t>; subliniază că trebuie îmbunătățit accesul IMM-urilor la finanțarea tranziției, inclusiv prin autorizarea unor mecanisme de grupare pentru accesarea fondurilor și a asistenței tehnice, care le vor ajuta la conceperea și asigurarea conformității proiectelor; îndeamnă statele membre și autoritățile regionale să instituie și să consolideze programe de sprijin pentru întreprinderi în regiunile afectate, pentru a ajuta întreprinderile nou-înființate și IMM-urile să se dezvolte și să aibă succes; subliniază că măsurile de stimulare a investiților pot contribui la atragerea întreprinderilor în regiunile vulnerabile;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reamintește că IMM-urile sunt principalii generatori de locuri de muncă durabile la nivel local; subliniază că trebuie îmbunătățit accesul IMM-urilor la finanțarea tranziției, inclusiv prin autorizarea unor mecanisme de grupare pentru accesarea fondurilor și a asistenței tehnice, care le vor ajuta la conceperea și asigurarea conformității proiectelor; îndeamnă statele membre și autoritățile regionale să instituie și să consolideze programe de sprijin pentru întreprinderi în regiunile afectate, pentru a ajuta întreprinderile nou-înființate și IMM-urile să se dezvolte și să aibă succes; subliniază că măsurile de stimulare a investiților pot contribui la atragerea întreprinderilor în regiunile vulnerabile;</w:t>
            </w:r>
          </w:p>
        </w:tc>
        <w:tc>
          <w:tcPr>
            <w:tcW w:w="4876" w:type="dxa"/>
            <w:tcBorders>
              <w:top w:val="nil"/>
              <w:left w:val="nil"/>
              <w:bottom w:val="nil"/>
              <w:right w:val="nil"/>
            </w:tcBorders>
          </w:tcPr>
          <w:p>
            <w:pPr>
              <w:pStyle w:val="Normal6a"/>
            </w:pPr>
            <w:r>
              <w:t>7.</w:t>
            </w:r>
            <w:r>
              <w:tab/>
            </w:r>
            <w:r>
              <w:t>reamintește că IMM-urile sunt principalii generatori de locuri de muncă durabile la nivel local; subliniază că trebuie îmbunătățit accesul IMM-urilor la finanțarea tranziției, inclusiv prin autorizarea unor mecanisme de grupare pentru accesarea fondurilor și a asistenței tehnice, care le vor ajuta la conceperea și asigurarea conformității proiectelor</w:t>
            </w:r>
            <w:r>
              <w:rPr>
                <w:b/>
                <w:i/>
              </w:rPr>
              <w:t>, pe lângă derogările de la obligațiile de raportare complexe sau costisitoare, prin formate de raportare simplificate (raportarea grupată a mai multor IMM-uri)</w:t>
            </w:r>
            <w:r>
              <w:t>; îndeamnă statele membre și autoritățile regionale să instituie și să consolideze programe de sprijin pentru întreprinderi în regiunile afectate, pentru a ajuta întreprinderile nou-înființate și IMM-urile să se dezvolte și să aibă succes; subliniază că măsurile de stimulare a investiților pot contribui la atragerea întreprinderilor în regiunile vulnerabile;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invită Comisia Europeană să ia o serie de măsuri, care nu au aproape nicio implicație financiară, pentru a dota mai bine IMM-urile cu setul adecvat de instrumente pe piețele interne și internaționale și pentru a le stimula competitivitatea, cum ar fi, printre altele, proceduri vamale simplificate și măsuri de facilitare a importurilor adaptate nevoilor întreprinderilor mici și mijlocii și scutiri de la măsurile de apărare comercială pentru importurile cu volum redus;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subliniază că economia socială, în special întreprinderile sociale de inserție, joacă un rol esențial în asigurarea unor tranziții incluzive și echitabile;</w:t>
            </w:r>
            <w:r>
              <w:t xml:space="preserve"> </w:t>
            </w:r>
            <w:r>
              <w:rPr>
                <w:b/>
                <w:i/>
              </w:rPr>
              <w:t>subliniază nevoia de sprijin în ceea ce privește accesul la finanțare, consolidarea capacităților și asistența tehnică;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subliniază necesitatea de a ajuta întreprinderile, în special IMM-urile, să compenseze deficitul de personal calificat în Uniune și să promoveze recalificarea și perfecționarea, ajutând oamenii să dobândească competențele potrivite pentru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consideră că investițiile în economia serviciilor de îngrijire (îngrijirea persoanelor în vârstă, îngrijirea copiilor, îngrijirea la domiciliu) pot crea locuri de muncă sustenabile la nivel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invită Comisia și statele membre să introducă condiționalități de mediu și sociale, elaborate împreună cu partenerii sociali, atunci când se acordă fonduri publice întreprinderilor private, inclusiv prin garanții obligatorii din punct de vedere juridic pentru menținerea locurilor de muncă în Europa, asigurându-se că investițiile publice generează profituri comune și sustenabile și că întreprinderile beneficiare se angajează în dialog social, oferă ucenicii și stagii de înaltă calitate, pun la dispoziție formare pentru lucrători și creează locuri de muncă de înaltă calitate;</w:t>
            </w:r>
            <w:r>
              <w:t xml:space="preserve"> </w:t>
            </w:r>
            <w:r>
              <w:rPr>
                <w:b/>
                <w:i/>
              </w:rPr>
              <w:t>solicită, de asemenea, ca corporațiile care nu respectă astfel de cerințe sau care aleg să se mute în afara Europei să aibă obligația de a rambursa fondurile publice primite;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invită Comisia Europeană să se asigure că există un buget dedicat exclusiv IMM-urilor în cadrul viitoarei finanțări pentru o tranziție justă;</w:t>
            </w:r>
            <w:r>
              <w:t xml:space="preserve"> </w:t>
            </w:r>
            <w:r>
              <w:rPr>
                <w:b/>
                <w:i/>
              </w:rPr>
              <w:t>invită, de asemenea, Comisia Europeană să urmărească participarea IMM-urilor la programele pentru o tranziție justă;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subliniază că locurile de muncă din sectorul îngrijirilor, adesea ocupate de femei, trebuie recunoscute ca locuri de muncă de calitate, cu salarii decente, protecție socială și parcursuri profesionale;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evidențiază că este important să se garanteze că fondurile europene și naționale sunt folosite pentru a facilita tranziția către o economie neutră climatic, inclusiv prin promovarea dialogului social și a negocierilor colective;</w:t>
            </w:r>
            <w:r>
              <w:t xml:space="preserve"> </w:t>
            </w:r>
            <w:r>
              <w:rPr>
                <w:b/>
                <w:i/>
              </w:rPr>
              <w:t>consideră, de asemenea, că UE nu ar trebui să acorde sprijin financiar întreprinderilor care nu respectă condițiile aplicabile privind munca și încadrarea în muncă și/sau obligațiile angajatorilor care decurg din legislația Uniunii sau națională a muncii sau din contractele colective relevante;</w:t>
            </w:r>
            <w:r>
              <w:t xml:space="preserve"> </w:t>
            </w:r>
            <w:r>
              <w:rPr>
                <w:b/>
                <w:i/>
              </w:rPr>
              <w:t>solicită ca finanțarea UE și ajutoarele de stat acordate de statele membre să fie aliniate la o politică industrială europeană, pentru a oferi locuri de muncă de înaltă calitate, a promova negocierea colectivă și respectarea drepturilor lucrătorilor și a standardelor de muncă ale UE, a îmbunătăți competitivitatea întreprinderilor europene și a asigura condiții mai bune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reamintește că, în pofida ambițiilor sale transformatoare, FTJ s-a confruntat cu provocări semnificative în atingerea obiectivelor sale, în special în ceea ce privește asigurarea unor rezultate echitabile și oferirea accesului la fond pentru întreprinderile mici și mijlocii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Just Transition in the World of Work (O tranziție justă în lumea muncii), EPRS, septembrie 2025 https://www.europarl.europa.eu/RegData/etudes/BRIE/2025/774668/EPRS_BRI(2025)774668_EN.pdf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solicită un acces simplificat la Fondul pentru o tranziție justă pentru IMM-uri prin furnizarea de asistență tehnică și reducerea sarcinilor administrative;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constată că lipsesc date exacte privind numărul de locuri de muncă pierdute, create sau afectate de dubla tranziție;</w:t>
            </w:r>
            <w:r>
              <w:t xml:space="preserve"> </w:t>
            </w:r>
            <w:r>
              <w:rPr>
                <w:b/>
                <w:i/>
              </w:rPr>
              <w:t>subliniază importanța anticipării schimbărilor de pe piața muncii și a tendințelor în ceea ce privește competențele necesare, pentru a se putea răspunde cu politici eficace;</w:t>
            </w:r>
            <w:r>
              <w:t xml:space="preserve"> </w:t>
            </w:r>
            <w:r>
              <w:rPr>
                <w:b/>
                <w:i/>
              </w:rPr>
              <w:t>cere să fie înființat un veritabil Observator al UE pentru o tranziție echitabilă, care să colecteze date relevante și să analizeze impactul politicilor de tranziție;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w:t>
            </w:r>
            <w:r>
              <w:rPr>
                <w:b/>
                <w:i/>
              </w:rPr>
              <w:t>cere să fie înființat un veritabil Observator al UE pentru o tranziție echitabilă, care să colecteze date relevante și să analizeze impactul politicilor de tranziție;</w:t>
            </w:r>
          </w:p>
        </w:tc>
        <w:tc>
          <w:tcPr>
            <w:tcW w:w="4876" w:type="dxa"/>
            <w:tcBorders>
              <w:top w:val="nil"/>
              <w:left w:val="nil"/>
              <w:bottom w:val="nil"/>
              <w:right w:val="nil"/>
            </w:tcBorders>
          </w:tcPr>
          <w:p>
            <w:pPr>
              <w:pStyle w:val="Normal6a"/>
            </w:pPr>
            <w:r>
              <w:t>8.</w:t>
            </w:r>
            <w:r>
              <w:tab/>
            </w:r>
            <w:r>
              <w:t>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w:t>
            </w:r>
            <w:r>
              <w:rPr>
                <w:b/>
                <w:i/>
              </w:rPr>
              <w:t>înființat un veritabil Observator al UE pentru o tranziție echitabilă, care să colecteze date relevante și să analizeze impactul politicilor de tranziție</w:t>
            </w:r>
            <w:r>
              <w:t>;</w:t>
            </w:r>
          </w:p>
        </w:tc>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w:t>
            </w:r>
            <w:r>
              <w:rPr>
                <w:b/>
                <w:i/>
              </w:rPr>
              <w:t>ca aceste date strategice</w:t>
            </w:r>
            <w:r>
              <w:t xml:space="preserve"> să fie </w:t>
            </w:r>
            <w:r>
              <w:rPr>
                <w:b/>
                <w:i/>
              </w:rPr>
              <w:t>produse de către o instituție sau un organism existent al Uniunii, cu creditele actuale, fără nicio creștere a costurilor sau a bugetului în acest scop</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w:t>
            </w:r>
            <w:r>
              <w:rPr>
                <w:b/>
                <w:i/>
              </w:rPr>
              <w:t>să fie înființat un veritabil Observator al UE pentru o tranziție echitabilă, care</w:t>
            </w:r>
            <w:r>
              <w:t xml:space="preserve"> să colecteze date relevante și să analizeze impactul politicilor de tranziție;</w:t>
            </w:r>
          </w:p>
        </w:tc>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w:t>
            </w:r>
            <w:r>
              <w:rPr>
                <w:b/>
                <w:i/>
              </w:rPr>
              <w:t>ca agențiile și organele deja înființate</w:t>
            </w:r>
            <w:r>
              <w:t xml:space="preserve"> să colecteze date relevante și să analizeze impactul politicilor de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care să </w:t>
            </w:r>
            <w:r>
              <w:rPr>
                <w:b/>
                <w:i/>
              </w:rPr>
              <w:t>colecteze</w:t>
            </w:r>
            <w:r>
              <w:t xml:space="preserve"> date relevante și </w:t>
            </w:r>
            <w:r>
              <w:rPr>
                <w:b/>
                <w:i/>
              </w:rPr>
              <w:t>să analizeze</w:t>
            </w:r>
            <w:r>
              <w:t xml:space="preserve"> impactul politicilor de tranziție;</w:t>
            </w:r>
          </w:p>
        </w:tc>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w:t>
            </w:r>
            <w:r>
              <w:rPr>
                <w:b/>
                <w:i/>
              </w:rPr>
              <w:t>bazat pe o guvernanță transparentă și favorabilă incluziunii,</w:t>
            </w:r>
            <w:r>
              <w:t xml:space="preserve"> care să </w:t>
            </w:r>
            <w:r>
              <w:rPr>
                <w:b/>
                <w:i/>
              </w:rPr>
              <w:t>includă reprezentanți ai partenerilor sociali europeni, ai societății civile și ai părților interesate din domeniul mediului, pentru a colecta</w:t>
            </w:r>
            <w:r>
              <w:t xml:space="preserve"> date relevante și </w:t>
            </w:r>
            <w:r>
              <w:rPr>
                <w:b/>
                <w:i/>
              </w:rPr>
              <w:t>dezagregate, a analiza</w:t>
            </w:r>
            <w:r>
              <w:t xml:space="preserve"> impactul politicilor de tranziție </w:t>
            </w:r>
            <w:r>
              <w:rPr>
                <w:b/>
                <w:i/>
              </w:rPr>
              <w:t>și a furniza rapoarte detaliate și periodice</w:t>
            </w:r>
            <w:r>
              <w:t xml:space="preserve">; </w:t>
            </w:r>
            <w:r>
              <w:rPr>
                <w:b/>
                <w:i/>
              </w:rPr>
              <w:t>evidențiază necesitatea de a identifica, a promova și a face schimb de bune practici;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care să colecteze date relevante și să analizeze impactul politicilor de tranziție;</w:t>
            </w:r>
          </w:p>
        </w:tc>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care să colecteze date relevante și să analizeze impactul politicilor de tranziție; </w:t>
            </w:r>
            <w:r>
              <w:rPr>
                <w:b/>
                <w:i/>
              </w:rPr>
              <w:t>invită Comisia și statele membre să cartografieze în mod riguros și sistematic lacunele actuale în materie de competențe la nivel regional, precum și să prevadă cererea viitoare de competențe;</w:t>
            </w:r>
            <w:r>
              <w:t xml:space="preserve"> </w:t>
            </w:r>
            <w:r>
              <w:rPr>
                <w:b/>
                <w:i/>
              </w:rPr>
              <w:t>subliniază că o astfel de cartografiere ar trebui să includă o analiză a impactului și să conducă la măsuri sectoriale și teritoriale în beneficiul potențialului tranziției verzi în toate regiunile;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care să colecteze date relevante și să analizeze impactul politicilor de tranziție;</w:t>
            </w:r>
          </w:p>
        </w:tc>
        <w:tc>
          <w:tcPr>
            <w:tcW w:w="4876" w:type="dxa"/>
            <w:tcBorders>
              <w:top w:val="nil"/>
              <w:left w:val="nil"/>
              <w:bottom w:val="nil"/>
              <w:right w:val="nil"/>
            </w:tcBorders>
          </w:tcPr>
          <w:p>
            <w:pPr>
              <w:pStyle w:val="Normal6a"/>
            </w:pPr>
            <w:r>
              <w:t>8.</w:t>
            </w:r>
            <w:r>
              <w:tab/>
            </w:r>
            <w:r>
              <w:rPr>
                <w:b/>
                <w:i/>
              </w:rPr>
              <w:t>subliniază că indicatorii sărăciei energetice ar trebui integrați în mod sistematic în structurile de monitorizare a tranziției juste, pentru a se asigura că finanțarea și măsurile de creare de locuri de muncă vizează în primul rând gospodăriile vulnerabile;</w:t>
            </w:r>
            <w:r>
              <w:t xml:space="preserve"> 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care să colecteze date relevante și să analizeze impactul politicilor de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care să colecteze date relevante și să analizeze impactul politicilor de tranziție;</w:t>
            </w:r>
          </w:p>
        </w:tc>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care să colecteze date relevante și să analizeze impactul politicilor de tranziție; </w:t>
            </w:r>
            <w:r>
              <w:rPr>
                <w:b/>
                <w:i/>
              </w:rPr>
              <w:t>solicită ca Observatorul UE pentru o tranziție echitabilă să monitorizeze, de asemenea, locuințele, sănătatea mintală și bunăstarea socială, pe lângă evoluțiile de pe piața forței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cere să fie înființat un veritabil Observator al UE pentru o tranziție echitabilă, care să colecteze date relevante și să analizeze impactul politicilor de tranziție;</w:t>
            </w:r>
          </w:p>
        </w:tc>
        <w:tc>
          <w:tcPr>
            <w:tcW w:w="4876" w:type="dxa"/>
            <w:tcBorders>
              <w:top w:val="nil"/>
              <w:left w:val="nil"/>
              <w:bottom w:val="nil"/>
              <w:right w:val="nil"/>
            </w:tcBorders>
          </w:tcPr>
          <w:p>
            <w:pPr>
              <w:pStyle w:val="Normal6a"/>
            </w:pPr>
            <w:r>
              <w:t>8.</w:t>
            </w:r>
            <w:r>
              <w:tab/>
            </w:r>
            <w:r>
              <w:t xml:space="preserve">constată că lipsesc date exacte privind numărul de locuri de muncă pierdute, create sau afectate de dubla tranziție; subliniază importanța anticipării schimbărilor de pe piața muncii și a tendințelor în ceea ce privește competențele necesare, pentru a se putea răspunde cu politici eficace </w:t>
            </w:r>
            <w:r>
              <w:rPr>
                <w:b/>
                <w:i/>
              </w:rPr>
              <w:t>și oportune</w:t>
            </w:r>
            <w:r>
              <w:t xml:space="preserve">; cere să fie înființat un veritabil Observator al UE pentru o tranziție echitabilă, care să colecteze date relevante și să analizeze impactul politicilor de tranziție; </w:t>
            </w:r>
            <w:r>
              <w:rPr>
                <w:b/>
                <w:i/>
              </w:rPr>
              <w:t>invită Comisia să clarifice ce agenție a UE va monitoriza datele specifice privind tranziția digitală;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reamintește potențialul deosebit al economiei sociale, al cooperativelor, al societăților de ajutor reciproc, al asociațiilor, al întreprinderilor publice și/sau semipublice pentru crearea de locuri de muncă sustenabile într-un mediu de lucru echitabil și favorabil incluziunii, respectând, în același timp, principiile producției ecologice și dezvoltării locale/regionale durabile;</w:t>
            </w:r>
            <w:r>
              <w:t xml:space="preserve"> </w:t>
            </w:r>
            <w:r>
              <w:rPr>
                <w:b/>
                <w:i/>
              </w:rPr>
              <w:t>subliniază potențialul inovațiilor economice și sociale pentru dezvoltarea în continuare a economiei locale și regionale, care oferă oportunități de atenuare pentru o tranziție justă din punct de vedere social și fructuoasă din punct de vedere al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încurajează programele de renovare la nivel de comunitate care acoperă cartiere sau sate, reducând costurile, consolidând coeziunea și accelerând tranziția;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w:t>
            </w:r>
            <w:r>
              <w:t xml:space="preserve"> </w:t>
            </w:r>
            <w:r>
              <w:rPr>
                <w:b/>
                <w:i/>
              </w:rPr>
              <w:t>subliniază că noul fond ar trebui să sprijine angajatorii în asigurarea dreptului lucrătorilor la formare, precum și în punerea în aplicare a planurilor de tranziție la nivel de întreprindere;</w:t>
            </w:r>
            <w:r>
              <w:t xml:space="preserve"> </w:t>
            </w:r>
            <w:r>
              <w:rPr>
                <w:b/>
                <w:i/>
              </w:rPr>
              <w:t>insistă ca finanțarea tranziției să conțină condiționalități sociale, pentru a sprijini incluziunea;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w:t>
            </w:r>
            <w:r>
              <w:t xml:space="preserve"> </w:t>
            </w:r>
            <w:r>
              <w:rPr>
                <w:b/>
                <w:i/>
              </w:rPr>
              <w:t>subliniază că noul fond ar trebui să sprijine angajatorii în asigurarea dreptului lucrătorilor la formare, precum și în punerea în aplicare a planurilor de tranziție la nivel de întreprindere;</w:t>
            </w:r>
            <w:r>
              <w:t xml:space="preserve"> </w:t>
            </w:r>
            <w:r>
              <w:rPr>
                <w:b/>
                <w:i/>
              </w:rPr>
              <w:t>insistă ca finanțarea tranziției să conțină condiționalități sociale, pentru a sprijini incluziunea;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w:t>
            </w:r>
            <w:r>
              <w:t xml:space="preserve"> </w:t>
            </w:r>
            <w:r>
              <w:rPr>
                <w:b/>
                <w:i/>
              </w:rPr>
              <w:t>subliniază că noul fond ar trebui să sprijine angajatorii în asigurarea dreptului lucrătorilor la formare, precum și în punerea în aplicare a planurilor de tranziție la nivel de întreprindere;</w:t>
            </w:r>
            <w:r>
              <w:t xml:space="preserve"> </w:t>
            </w:r>
            <w:r>
              <w:rPr>
                <w:b/>
                <w:i/>
              </w:rPr>
              <w:t>insistă ca finanțarea tranziției să conțină condiționalități sociale, pentru a sprijini incluziunea;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solicită </w:t>
            </w:r>
            <w:r>
              <w:rPr>
                <w:b/>
                <w:i/>
              </w:rPr>
              <w:t>ca propunerea de directivă să fie însoțită de o versiunea</w:t>
            </w:r>
            <w:r>
              <w:t xml:space="preserve"> revizuită a Fondului pentru o tranziție justă pentru perioada de programare de după 2027, asigurându-se că </w:t>
            </w:r>
            <w:r>
              <w:rPr>
                <w:b/>
                <w:i/>
              </w:rPr>
              <w:t>acesta funcționează în cadrul gestiunii partajate și al principiilor parteneriatului, cu un buget majorat</w:t>
            </w:r>
            <w:r>
              <w:t xml:space="preserve">; subliniază că noul fond ar trebui să sprijine angajatorii în asigurarea dreptului lucrătorilor la formare, precum și în punerea în aplicare a planurilor de tranziție la nivel de întreprindere; </w:t>
            </w:r>
            <w:r>
              <w:rPr>
                <w:b/>
                <w:i/>
              </w:rPr>
              <w:t>insistă ca finanțarea tranziției să conțină condiționalități sociale, pentru a sprijini incluziunea;</w:t>
            </w:r>
          </w:p>
        </w:tc>
        <w:tc>
          <w:tcPr>
            <w:tcW w:w="4876" w:type="dxa"/>
            <w:tcBorders>
              <w:top w:val="nil"/>
              <w:left w:val="nil"/>
              <w:bottom w:val="nil"/>
              <w:right w:val="nil"/>
            </w:tcBorders>
          </w:tcPr>
          <w:p>
            <w:pPr>
              <w:pStyle w:val="Normal6a"/>
            </w:pPr>
            <w:r>
              <w:t>9.</w:t>
            </w:r>
            <w:r>
              <w:tab/>
            </w:r>
            <w:r>
              <w:t xml:space="preserve">solicită </w:t>
            </w:r>
            <w:r>
              <w:rPr>
                <w:b/>
                <w:i/>
              </w:rPr>
              <w:t>o versiune</w:t>
            </w:r>
            <w:r>
              <w:t xml:space="preserve"> revizuită a Fondului pentru o tranziție justă pentru perioada de programare de după 2027, asigurându-se că </w:t>
            </w:r>
            <w:r>
              <w:rPr>
                <w:b/>
                <w:i/>
              </w:rPr>
              <w:t>fondurile sunt utilizate în mod eficient și sunt direcționate către proiecte cu beneficii economice clare</w:t>
            </w:r>
            <w:r>
              <w:t>; subliniază că noul fond ar trebui să sprijine angajatorii în asigurarea dreptului lucrătorilor la formare, precum și în punerea în aplicare a planurilor de tranziție la nivel de întreprindere;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solicită ca propunerea de directivă să fie însoțită de o versiunea revizuită a Fondului pentru o tranziție justă pentru perioada de programare de după 2027, asigurându-se că acesta funcționează în cadrul gestiunii partajate și al principiilor parteneriatului</w:t>
            </w:r>
            <w:r>
              <w:rPr>
                <w:b/>
                <w:i/>
              </w:rPr>
              <w:t>, cu un buget majorat</w:t>
            </w:r>
            <w:r>
              <w: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p>
        </w:tc>
        <w:tc>
          <w:tcPr>
            <w:tcW w:w="4876" w:type="dxa"/>
            <w:tcBorders>
              <w:top w:val="nil"/>
              <w:left w:val="nil"/>
              <w:bottom w:val="nil"/>
              <w:right w:val="nil"/>
            </w:tcBorders>
          </w:tcPr>
          <w:p>
            <w:pPr>
              <w:pStyle w:val="Normal6a"/>
            </w:pPr>
            <w:r>
              <w:t>9.</w:t>
            </w:r>
            <w:r>
              <w:tab/>
            </w:r>
            <w:r>
              <w:t>solicită ca propunerea de directivă să fie însoțită de o versiunea revizuită a Fondului pentru o tranziție justă pentru perioada de programare de după 2027, asigurându-se că acesta funcționează în cadrul gestiunii partajate și al principiilor parteneriatului;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solicită ca propunerea de directivă să fie însoțită de o </w:t>
            </w:r>
            <w:r>
              <w:rPr>
                <w:b/>
                <w:i/>
              </w:rPr>
              <w:t>versiunea revizuită</w:t>
            </w:r>
            <w:r>
              <w:t xml:space="preserve"> a Fondului pentru o tranziție justă pentru perioada de programare de după 2027, asigurându-se că acesta funcționează în cadrul gestiunii partajate și al principiilor parteneriatului, cu un buget majorat; subliniază că </w:t>
            </w:r>
            <w:r>
              <w:rPr>
                <w:b/>
                <w:i/>
              </w:rPr>
              <w:t>noul</w:t>
            </w:r>
            <w:r>
              <w:t xml:space="preserve"> fond ar trebui să </w:t>
            </w:r>
            <w:r>
              <w:rPr>
                <w:b/>
                <w:i/>
              </w:rPr>
              <w:t>sprijine angajatorii</w:t>
            </w:r>
            <w:r>
              <w:t xml:space="preserve"> în asigurarea dreptului lucrătorilor la formare, precum și în punerea în aplicare a planurilor de tranziție la nivel de întreprindere; insistă ca finanțarea tranziției să conțină condiționalități sociale, pentru a sprijini incluziunea;</w:t>
            </w:r>
          </w:p>
        </w:tc>
        <w:tc>
          <w:tcPr>
            <w:tcW w:w="4876" w:type="dxa"/>
            <w:tcBorders>
              <w:top w:val="nil"/>
              <w:left w:val="nil"/>
              <w:bottom w:val="nil"/>
              <w:right w:val="nil"/>
            </w:tcBorders>
          </w:tcPr>
          <w:p>
            <w:pPr>
              <w:pStyle w:val="Normal6a"/>
            </w:pPr>
            <w:r>
              <w:t>9.</w:t>
            </w:r>
            <w:r>
              <w:tab/>
            </w:r>
            <w:r>
              <w:rPr>
                <w:b/>
                <w:i/>
              </w:rPr>
              <w:t>își exprimă îngrijorarea cu privire la faptul că Comisia nu a propus un fond pentru o tranziție justă (FTJ) de sine stătător în propunerile sale recente privind viitorul cadru financiar multianual (CFM);</w:t>
            </w:r>
            <w:r>
              <w:t xml:space="preserve"> solicită</w:t>
            </w:r>
            <w:r>
              <w:rPr>
                <w:b/>
                <w:i/>
              </w:rPr>
              <w:t>, prin urmare,</w:t>
            </w:r>
            <w:r>
              <w:t xml:space="preserve"> ca propunerea de directivă să fie însoțită de o </w:t>
            </w:r>
            <w:r>
              <w:rPr>
                <w:b/>
                <w:i/>
              </w:rPr>
              <w:t>versiune extinsă</w:t>
            </w:r>
            <w:r>
              <w:t xml:space="preserve"> a Fondului pentru o tranziție justă pentru perioada de programare de după 2027, asigurându-se că acesta funcționează în cadrul gestiunii partajate și al principiilor parteneriatului, </w:t>
            </w:r>
            <w:r>
              <w:rPr>
                <w:b/>
                <w:i/>
              </w:rPr>
              <w:t>în cadrul politicii de coeziune și</w:t>
            </w:r>
            <w:r>
              <w:t xml:space="preserve"> cu un buget majorat; subliniază că </w:t>
            </w:r>
            <w:r>
              <w:rPr>
                <w:b/>
                <w:i/>
              </w:rPr>
              <w:t>acest nou</w:t>
            </w:r>
            <w:r>
              <w:t xml:space="preserve"> fond ar trebui să </w:t>
            </w:r>
            <w:r>
              <w:rPr>
                <w:b/>
                <w:i/>
              </w:rPr>
              <w:t>ofere sprijin comunităților pentru tranziție și să permită o capacitate de intervenție proporțională cu amploarea impactului socioeconomic, demografic, asupra ocupării forței de muncă și a mediului al tranziției către obiectivele energetice ale UE pentru 2030, precum și angajatorilor</w:t>
            </w:r>
            <w:r>
              <w:t xml:space="preserve"> în asigurarea dreptului lucrătorilor la formare, precum și în punerea în aplicare a planurilor de tranziție la nivel de întreprindere; insistă ca finanțarea tranziției să conțină condiționalități sociale, pentru a sprijini incluziunea; </w:t>
            </w:r>
            <w:r>
              <w:rPr>
                <w:b/>
                <w:i/>
              </w:rPr>
              <w:t>subliniază că acest fond ar trebui să aibă propria alocare bugetară previzibilă, care să-i asigure autonomia față de instrumentele extraordinare de răspuns la crize, cum ar fi Next Generation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p>
        </w:tc>
        <w:tc>
          <w:tcPr>
            <w:tcW w:w="4876" w:type="dxa"/>
            <w:tcBorders>
              <w:top w:val="nil"/>
              <w:left w:val="nil"/>
              <w:bottom w:val="nil"/>
              <w:right w:val="nil"/>
            </w:tcBorders>
          </w:tcPr>
          <w:p>
            <w:pPr>
              <w:pStyle w:val="Normal6a"/>
            </w:pPr>
            <w:r>
              <w:t>9.</w:t>
            </w:r>
            <w:r>
              <w:tab/>
            </w:r>
            <w:r>
              <w:rPr>
                <w:b/>
                <w:i/>
              </w:rPr>
              <w:t>regretă că propunerea privind cadrul financiar multianual 2028-2034 nu include un instrument de sine stătător pentru a aborda tranziția justă;</w:t>
            </w:r>
            <w:r>
              <w:t xml:space="preserve"> </w:t>
            </w:r>
            <w:r>
              <w:rPr>
                <w:b/>
                <w:i/>
              </w:rPr>
              <w:t>subliniază că finanțarea specifică continuă să fie necesară pentru a sprijini regiunile afectate să abordeze provocările generate de tranziția verde;</w:t>
            </w:r>
            <w:r>
              <w:t xml:space="preserve"> solicită</w:t>
            </w:r>
            <w:r>
              <w:rPr>
                <w:b/>
                <w:i/>
              </w:rPr>
              <w:t>, în acest sens,</w:t>
            </w:r>
            <w:r>
              <w:t xml:space="preserve">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p>
        </w:tc>
        <w:tc>
          <w:tcPr>
            <w:tcW w:w="4876" w:type="dxa"/>
            <w:tcBorders>
              <w:top w:val="nil"/>
              <w:left w:val="nil"/>
              <w:bottom w:val="nil"/>
              <w:right w:val="nil"/>
            </w:tcBorders>
          </w:tcPr>
          <w:p>
            <w:pPr>
              <w:pStyle w:val="Normal6a"/>
            </w:pPr>
            <w:r>
              <w:t>9.</w:t>
            </w:r>
            <w:r>
              <w:tab/>
            </w:r>
            <w:r>
              <w:t xml:space="preserve">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 </w:t>
            </w:r>
            <w:r>
              <w:rPr>
                <w:b/>
                <w:i/>
              </w:rPr>
              <w:t>accentuează că formarea ar trebui să fie de o calitate ridicată, să fie aliniată la nevoile de pe piața muncii și să aibă ca rezultat o calificare validată prin sisteme transparente și clare de certificare care să permită recunoașterea reciprocă între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p>
        </w:tc>
        <w:tc>
          <w:tcPr>
            <w:tcW w:w="4876" w:type="dxa"/>
            <w:tcBorders>
              <w:top w:val="nil"/>
              <w:left w:val="nil"/>
              <w:bottom w:val="nil"/>
              <w:right w:val="nil"/>
            </w:tcBorders>
          </w:tcPr>
          <w:p>
            <w:pPr>
              <w:pStyle w:val="Normal6a"/>
            </w:pPr>
            <w:r>
              <w:t>9.</w:t>
            </w:r>
            <w:r>
              <w:tab/>
            </w:r>
            <w:r>
              <w:rPr>
                <w:b/>
                <w:i/>
              </w:rPr>
              <w:t>regretă că Comisia nu a propus un fond pentru o tranziție justă de sine stătător în propunerea sa recentă privind cadrul financiar multianual (CFM) 2028-2034;</w:t>
            </w:r>
            <w:r>
              <w:t xml:space="preserve"> 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p>
        </w:tc>
        <w:tc>
          <w:tcPr>
            <w:tcW w:w="4876" w:type="dxa"/>
            <w:tcBorders>
              <w:top w:val="nil"/>
              <w:left w:val="nil"/>
              <w:bottom w:val="nil"/>
              <w:right w:val="nil"/>
            </w:tcBorders>
          </w:tcPr>
          <w:p>
            <w:pPr>
              <w:pStyle w:val="Normal6a"/>
            </w:pPr>
            <w:r>
              <w:t>9.</w:t>
            </w:r>
            <w:r>
              <w:tab/>
            </w:r>
            <w:r>
              <w:t>solicită ca propunerea de directivă să fie însoțită de o versiunea revizuită a Fondului pentru o tranziție justă pentru perioada de programare de după 2027, asigurându-se că acesta funcționează în cadrul gestiunii partajate și al principiilor parteneriatului, cu un buget majorat; subliniază că noul fond ar trebui să sprijine angajatorii în asigurarea dreptului lucrătorilor la formare, precum și în punerea în aplicare a planurilor de tranziție la nivel de întreprindere; insistă ca finanțarea tranziției să conțină condiționalități sociale, pentru a sprijini incluziunea</w:t>
            </w:r>
            <w:r>
              <w:rPr>
                <w:b/>
                <w:i/>
              </w:rPr>
              <w:t>, cum ar fi contractele colective de muncă, respectarea drepturilor lucrătorilor, egalitatea de remunerare între femei și bărbați și nediscriminarea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regretă că Comisia nu a propus un fond pentru o tranziție justă (FTJ) de sine stătător în propunerile sale recente privind viitorul cadru financiar multianual (CFM);</w:t>
            </w:r>
            <w:r>
              <w:t xml:space="preserve"> </w:t>
            </w:r>
            <w:r>
              <w:rPr>
                <w:b/>
                <w:i/>
              </w:rPr>
              <w:t>solicită așadar continuarea FTJ prin FTJ „II”, pentru perioada de programare de după 2027, pentru a oferi sprijin direct gospodăriilor și comunităților în vederea tranziției și pentru a permite o capacitate de intervenție proporțională cu amploarea impactului socioeconomic, asupra ocupării forței de muncă, demografic și de mediu al tranziției către obiectivele energetice ale UE pentru 2030;</w:t>
            </w:r>
            <w:r>
              <w:t xml:space="preserve"> </w:t>
            </w:r>
            <w:r>
              <w:rPr>
                <w:b/>
                <w:i/>
              </w:rPr>
              <w:t>subliniază că acest fond ar trebui să funcționeze în conformitate cu principiile gestiunii partajate și parteneriatului, în cadrul politicii de coeziune, și subliniază că ar trebui să dispună de o alocare bugetară previzibilă proprie, care să îi asigure autonomia față de instrumentele extraordinare de răspuns în situații de criză, cum ar fi NextGenerationEU;</w:t>
            </w:r>
            <w:r>
              <w:t xml:space="preserve"> </w:t>
            </w:r>
            <w:r>
              <w:rPr>
                <w:b/>
                <w:i/>
              </w:rPr>
              <w:t>fondul funcționează în conformitate cu principiile gestiunii partajate și parteneriatului, cu un buget majorat;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salută sinteza politică a Cedefop privind elaborarea unei hărți europene a calificărilor</w:t>
            </w:r>
            <w:r>
              <w:rPr>
                <w:b/>
                <w:i/>
                <w:vertAlign w:val="superscript"/>
              </w:rPr>
              <w:t>1a</w:t>
            </w:r>
            <w:r>
              <w:rPr>
                <w:b/>
                <w:i/>
              </w:rPr>
              <w:t>, care consolidează transparența, comparabilitatea și portabilitatea calificărilor în întreaga Europă;</w:t>
            </w:r>
            <w:r>
              <w:t xml:space="preserve"> </w:t>
            </w:r>
            <w:r>
              <w:rPr>
                <w:b/>
                <w:i/>
              </w:rPr>
              <w:t>subliniază că o astfel de hartă trebuie să meargă dincolo de un exercițiu academic și să servească drept instrument practic pentru competitivitate, relevanța pentru piața forței de muncă și mobilitate;</w:t>
            </w:r>
            <w:r>
              <w:t xml:space="preserve"> </w:t>
            </w:r>
            <w:r>
              <w:rPr>
                <w:b/>
                <w:i/>
              </w:rPr>
              <w:t>invită Comisia și statele membre să se asigure că cadrul european al calificărilor este strâns legat de nevoile economice, de politica industrială și de investițiile în competențe, pentru a sprijini antreprenorii, IMM-urile și întreprinderile să aibă acces la o forță de muncă dotată atât cu competențe tehnice, cât și transversale;</w:t>
            </w:r>
            <w:r>
              <w:t xml:space="preserve"> </w:t>
            </w:r>
            <w:r>
              <w:rPr>
                <w:b/>
                <w:i/>
              </w:rPr>
              <w:t>subliniază că această abordare este esențială pentru a corela oferta de competențe cu cererea, pentru a stimula creșterea și inovarea;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https://www.cedefop.europa.eu/files/9191_en.pdf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subliniază că investițiile publice și private directe în infrastructura ecologică, în proiecte privind energia din surse regenerabile și în activități ale economiei circulare sunt necesare pentru revitalizarea economiilor locale și stimularea creării de locuri de muncă;</w:t>
            </w:r>
            <w:r>
              <w:t xml:space="preserve"> </w:t>
            </w:r>
            <w:r>
              <w:rPr>
                <w:b/>
                <w:i/>
              </w:rPr>
              <w:t>subliniază că trebuie valorificate atuurile regionale, investind în sectoare în care regiunile au deja puncte forte sau avantaje comparative;</w:t>
            </w:r>
            <w:r>
              <w:t xml:space="preserve"> </w:t>
            </w:r>
            <w:r>
              <w:rPr>
                <w:b/>
                <w:i/>
              </w:rPr>
              <w:t>consideră că specializarea regională poate constitui baza unor noduri industriale ecologice;</w:t>
            </w:r>
            <w:r>
              <w:t xml:space="preserve"> </w:t>
            </w:r>
            <w:r>
              <w:rPr>
                <w:b/>
                <w:i/>
              </w:rPr>
              <w:t>subliniază că sprijinirea cercetării și a inovării și încurajarea colaborării dintre universități și întreprinderi pot stimula noi modele de afaceri sustenabile;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solicită să fie efectuat un studiu de fezabilitate pentru perioada de programare de după 2027, pentru a determina dacă și în ce măsură fondurile actuale funcționează pe baza unor abordări cuprinzătoare care vizează migrația, politica energetică, cercetarea și inovarea europeană și pentru a sprijini stabilirea unor strategii naționale pentru o tranziție justă, cu un accent deosebit pe dezvoltarea unei viziuni pe termen lung și a unor perspective concrete pentru economiile locale și forța de muncă locală din toate regiunile afectate;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Andrzej Buła, Gheorghe Falcă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evidențiază importanța dezvoltării competențelor digitale ale lucrătorilor, atât la nivel de bază, cât și la nivel avansat;</w:t>
            </w:r>
            <w:r>
              <w:t xml:space="preserve"> </w:t>
            </w:r>
            <w:r>
              <w:rPr>
                <w:b/>
                <w:i/>
              </w:rPr>
              <w:t>subliniază că cetățenii trebuie să fie înzestrați cu competențe digitale esențiale, să fie sensibilizați cu privire la date și la utilizarea cu prudență a instrumentelor online, astfel încât să își păstreze capacitatea de angajare și să se poată adapta, fiind promovate în același timp competențe mai avansate;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subliniază că eficacitatea formării depinde de disponibilitatea unor formatori și cadre didactice cu cunoștințe actuale despre economia sustenabilă și verde, despre eficiența energetică și despre tehnologiile verzi și digitale;</w:t>
            </w:r>
            <w:r>
              <w:t xml:space="preserve"> </w:t>
            </w:r>
            <w:r>
              <w:rPr>
                <w:b/>
                <w:i/>
              </w:rPr>
              <w:t>subliniază că rolul acestora este esențial pentru promovarea aptitudinilor și a competențelor potrivite atât în cazul generației de lucrători mai tinere, cât și în cazul generației mai în vârstă, precum și pentru recalificarea și perfecționarea corespunzătoare a persoanelor afectate de tranziția verde;</w:t>
            </w:r>
            <w:r>
              <w:t xml:space="preserve"> </w:t>
            </w:r>
            <w:r>
              <w:rPr>
                <w:b/>
                <w:i/>
              </w:rPr>
              <w:t>accentuează că instruirea și formarea unor astfel de cadre didactice și formatori ar trebui să fie, prin urmare, o prioritate primordială în orice strategie ce vizează competențele de la nivel european, național, regional și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invită statele membre să garanteze finanțarea durabilă a măsurilor privind tranziția justă prin intermediul fondurilor naționale pentru o tranziție justă, pe baza resurselor publice, a contribuțiilor angajatorilor și a fondurilor UE;</w:t>
            </w:r>
            <w:r>
              <w:t xml:space="preserve"> </w:t>
            </w:r>
            <w:r>
              <w:rPr>
                <w:b/>
                <w:i/>
              </w:rPr>
              <w:t>angajatorii trebuie să contribuie cu o cotă corespunzătoare la costurile de formare și reafectare;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subliniază că pentru realizarea obiectivelor tranziției juste este necesar un mix coerent și integrat de politici;</w:t>
            </w:r>
            <w:r>
              <w:t xml:space="preserve"> </w:t>
            </w:r>
            <w:r>
              <w:rPr>
                <w:b/>
                <w:i/>
              </w:rPr>
              <w:t>solicită ca în toate măsurile climatice și industriale ale UE să fie integrate obiective privind incluziunea, protecția socială și competențele;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subliniază că instituțiile de învățământ și de formare trebuie să crească relevanța formării lor, astfel încât aceasta să corespundă necesităților unei piețe concurențiale a muncii și să doteze cursanții, formatorii și cadrele didactice cu cunoștințe și competențe relevante, care să le confere rolul de agenți activi ai schimbării în cursul unei tranziții juste către modele economice sustenabile din punctul de vedere al mediului și către o societate pentru toți;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evidențiază importanța competențelor de bază și cognitive și a pregătirii instrumentelor necesare pentru a-i încuraja pe cetățeni să ia în considerare, de asemenea, dezvoltarea și evoluția lor personală odată cu aceste competențe, cum ar fi gândirea creativă, reziliența, flexibilitatea și agilitatea, motivația și conștiința de sine, curiozitatea și învățarea pe tot parcursul vieții, fiind astfel recunoscută importanța capacității lucrătorilor de a se adapta la instabilitatea locurilor de muncă, la autoeficacitate și la munca în echipe;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subliniază că dezvoltarea unei capacități administrative și tehnice solide la nivel național, regional și local este esențială pentru utilizarea cu eficacitate a fondurilor UE;</w:t>
            </w:r>
            <w:r>
              <w:t xml:space="preserve"> </w:t>
            </w:r>
            <w:r>
              <w:rPr>
                <w:b/>
                <w:i/>
              </w:rPr>
              <w:t>solicită să fie majorate investițiile în dezvoltarea capacităților administrative și tehnice la nivel local;</w:t>
            </w:r>
            <w:r>
              <w:t xml:space="preserve"> </w:t>
            </w:r>
            <w:r>
              <w:rPr>
                <w:b/>
                <w:i/>
              </w:rPr>
              <w:t>subliniază că autoritățile de management trebuie să dispună de personal, competențe și sisteme corespunzătoare pentru a asigura pregătirea, conformitatea, monitorizarea și evaluarea corespunzătoare a proiectelor;</w:t>
            </w:r>
            <w:r>
              <w:t xml:space="preserve"> </w:t>
            </w:r>
            <w:r>
              <w:rPr>
                <w:b/>
                <w:i/>
              </w:rPr>
              <w:t>subliniază că consolidarea capacității administrative este o condiție prealabilă pentru mobilizarea investițiilor, reducerea complexității și alinierea acțiunilor climatice la creșterea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invită Comisia și statele membre să faciliteze marile și micile investiții prin reducerea sarcinilor administrative, simplificarea procedurilor și asigurarea utilizării eficiente a fondurilor UE;</w:t>
            </w:r>
            <w:r>
              <w:t xml:space="preserve"> </w:t>
            </w:r>
            <w:r>
              <w:rPr>
                <w:b/>
                <w:i/>
              </w:rPr>
              <w:t>subliniază că antreprenorii, IMM-urile și întreprinderile mai mari trebuie să beneficieze de condiții favorabile pentru a investi, a se extinde și a inova, în special în regiunile rurale și în cele mai puțin dezvoltate;</w:t>
            </w:r>
            <w:r>
              <w:t xml:space="preserve"> </w:t>
            </w:r>
            <w:r>
              <w:rPr>
                <w:b/>
                <w:i/>
              </w:rPr>
              <w:t>subliniază că astfel de investiții sunt esențiale pentru consolidarea bazei industriale și tehnologice a Europei, pentru crearea unor locuri de muncă de înaltă calitate și pentru asigurarea unei forțe de muncă calificate, adaptată la realitățile, resursele și nevoile specifice locale, astfel încât să fie valorificat pe deplin potențialul regional și să fie stimulate competitivitatea, creșterea durabilă și crearea de valoare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invită statele membre să asigure o finanțare suficientă pentru competențe și programe de formare profesională de calitate, ca investiție pe termen lung în productivitatea, creșterea și competitivitatea lucrătorilor și întreprinderilor;</w:t>
            </w:r>
            <w:r>
              <w:t xml:space="preserve"> </w:t>
            </w:r>
            <w:r>
              <w:rPr>
                <w:b/>
                <w:i/>
              </w:rPr>
              <w:t>invită statele membre să valorifice strategic, cu sprijinul Comisiei, instrumentele existente ale Uniunii, în special Garanția de competențe, pentru a realiza Uniunea competențelor;</w:t>
            </w:r>
            <w:r>
              <w:t xml:space="preserve"> </w:t>
            </w:r>
            <w:r>
              <w:rPr>
                <w:b/>
                <w:i/>
              </w:rPr>
              <w:t>invită statele membre să utilizeze o proporție mai mare din veniturile provenite din sistemul național de comercializare a certificatelor de emisii pentru formarea lucrătorilor și realocarea forței de muncă;</w:t>
            </w:r>
            <w:r>
              <w:t xml:space="preserve"> </w:t>
            </w:r>
            <w:r>
              <w:rPr>
                <w:b/>
                <w:i/>
              </w:rPr>
              <w:t>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invită statele membre să asigure o finanțare suficientă pentru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w:t>
            </w:r>
            <w:r>
              <w:rPr>
                <w:b/>
                <w:i/>
              </w:rPr>
              <w:t>statele membre să utilizeze o proporție mai mare din veniturile provenite din sistemul național de comercializare a certificatelor de emisii pentru formarea lucrătorilor și realocarea forței de muncă;</w:t>
            </w:r>
            <w:r>
              <w:t xml:space="preserve"> </w:t>
            </w:r>
            <w:r>
              <w:rPr>
                <w:b/>
                <w:i/>
              </w:rPr>
              <w:t>invită</w:t>
            </w:r>
            <w:r>
              <w:t xml:space="preserve"> Comisia să analizeze modalitățile în care parteneriatele public-privat dintre statele membre și întreprinderi pot finanța formarea, recalificarea și perfecționarea lucrătorilor</w:t>
            </w:r>
            <w:r>
              <w:rPr>
                <w:b/>
                <w:i/>
              </w:rPr>
              <w:t>, în special dreptul la formare pentru lucrătorii individuali,</w:t>
            </w:r>
            <w:r>
              <w:t xml:space="preserve"> și să emită orientări </w:t>
            </w:r>
            <w:r>
              <w:rPr>
                <w:b/>
                <w:i/>
              </w:rPr>
              <w:t>cu privire aceasta</w:t>
            </w:r>
            <w:r>
              <w:t>;</w:t>
            </w:r>
          </w:p>
        </w:tc>
        <w:tc>
          <w:tcPr>
            <w:tcW w:w="4876" w:type="dxa"/>
            <w:tcBorders>
              <w:top w:val="nil"/>
              <w:left w:val="nil"/>
              <w:bottom w:val="nil"/>
              <w:right w:val="nil"/>
            </w:tcBorders>
          </w:tcPr>
          <w:p>
            <w:pPr>
              <w:pStyle w:val="Normal6a"/>
            </w:pPr>
            <w:r>
              <w:t>10.</w:t>
            </w:r>
            <w:r>
              <w:tab/>
            </w:r>
            <w:r>
              <w:t xml:space="preserve">invită statele membre să asigure o finanțare suficientă pentru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Comisia să analizeze modalitățile în care parteneriatele public-privat dintre statele membre și întreprinderi pot finanța formarea, recalificarea și perfecționarea lucrătorilor și să emită orientări </w:t>
            </w:r>
            <w:r>
              <w:rPr>
                <w:b/>
                <w:i/>
              </w:rPr>
              <w:t>în acest sens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invită</w:t>
            </w:r>
            <w:r>
              <w:t xml:space="preserve"> statele membre să asigure </w:t>
            </w:r>
            <w:r>
              <w:rPr>
                <w:b/>
                <w:i/>
              </w:rPr>
              <w:t>o finanțare suficientă pentru</w:t>
            </w:r>
            <w:r>
              <w:t xml:space="preserve">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w:t>
            </w:r>
          </w:p>
        </w:tc>
        <w:tc>
          <w:tcPr>
            <w:tcW w:w="4876" w:type="dxa"/>
            <w:tcBorders>
              <w:top w:val="nil"/>
              <w:left w:val="nil"/>
              <w:bottom w:val="nil"/>
              <w:right w:val="nil"/>
            </w:tcBorders>
          </w:tcPr>
          <w:p>
            <w:pPr>
              <w:pStyle w:val="Normal6a"/>
            </w:pPr>
            <w:r>
              <w:t>10.</w:t>
            </w:r>
            <w:r>
              <w:tab/>
            </w:r>
            <w:r>
              <w:rPr>
                <w:b/>
                <w:i/>
              </w:rPr>
              <w:t>încurajează</w:t>
            </w:r>
            <w:r>
              <w:t xml:space="preserve"> statele membre să asigure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invită statele membre să asigure o finanțare suficientă pentru competențe și programe de formare profesională de calitate, ca investiție pe termen lung </w:t>
            </w:r>
            <w:r>
              <w:rPr>
                <w:b/>
                <w:i/>
              </w:rPr>
              <w:t>în productivitatea, creșterea și competitivitatea lucrătorilor și întreprinderilor</w:t>
            </w:r>
            <w:r>
              <w:t>;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w:t>
            </w:r>
          </w:p>
        </w:tc>
        <w:tc>
          <w:tcPr>
            <w:tcW w:w="4876" w:type="dxa"/>
            <w:tcBorders>
              <w:top w:val="nil"/>
              <w:left w:val="nil"/>
              <w:bottom w:val="nil"/>
              <w:right w:val="nil"/>
            </w:tcBorders>
          </w:tcPr>
          <w:p>
            <w:pPr>
              <w:pStyle w:val="Normal6a"/>
            </w:pPr>
            <w:r>
              <w:t>10.</w:t>
            </w:r>
            <w:r>
              <w:tab/>
            </w:r>
            <w:r>
              <w:t xml:space="preserve">invită statele membre să asigure o finanțare suficientă pentru competențe și programe de formare profesională de calitate, ca investiție pe termen lung;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 </w:t>
            </w:r>
            <w:r>
              <w:rPr>
                <w:b/>
                <w:i/>
              </w:rPr>
              <w:t>invită statele membre să aloce, cu sprijinul Comisiei, fonduri specifice pentru a consolida capacitatea instituțională a autorităților publice și a partenerilor sociali necesară pentru a pune în aplicare participarea incluzivă a lucrătorilor și a reprezentanților acestora (precum și a altor grupuri-țintă relevante, cum ar fi organizațiile de tineret și comunitățile locale), a iniția un dialog social structurat și negocieri colective și a concepe în comun, a realiza și a monitoriza planuri teritoriale pentru o tranziție justă (PTTJ) de înaltă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invită statele membre să asigure o finanțare suficientă pentru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w:t>
            </w:r>
          </w:p>
        </w:tc>
        <w:tc>
          <w:tcPr>
            <w:tcW w:w="4876" w:type="dxa"/>
            <w:tcBorders>
              <w:top w:val="nil"/>
              <w:left w:val="nil"/>
              <w:bottom w:val="nil"/>
              <w:right w:val="nil"/>
            </w:tcBorders>
          </w:tcPr>
          <w:p>
            <w:pPr>
              <w:pStyle w:val="Normal6a"/>
            </w:pPr>
            <w:r>
              <w:t>10.</w:t>
            </w:r>
            <w:r>
              <w:tab/>
            </w:r>
            <w:r>
              <w:t xml:space="preserve">invită statele membre să asigure o finanțare suficientă pentru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 </w:t>
            </w:r>
            <w:r>
              <w:rPr>
                <w:b/>
                <w:i/>
              </w:rPr>
              <w:t>invită Comisia ca, împreună cu partenerii sociali, să definească un set armonizat de condiții sociale minime în toate statele membre, care să aducă beneficii reale lucrătorilor atunci când se acordă fonduri publice întreprinderilor și industriilor, inclusiv să includă dispoziții privind negocierile colective, să asigure salarii adecvate și condiții de muncă decente și să includă dispoziții privind sănătatea și siguranța, precum și să analizeze posibilitățile existente pentru reducerea timpului de lucru și schimbarea productivității, cu scopul de a reduce inegalitățile în domeniul muncii;</w:t>
            </w:r>
            <w:r>
              <w:t xml:space="preserve"> </w:t>
            </w:r>
            <w:r>
              <w:rPr>
                <w:b/>
                <w:i/>
              </w:rPr>
              <w:t>aceasta ar putea presupune, de asemenea, crearea de garanții privind locurile de muncă, generarea de locuri de muncă de înaltă calitate, investiții în competențe, garantarea faptului că activitățile nu vor fi relocalizate în țări terțe cu standarde mai scăzute și asigurarea faptului că banii publici sunt utilizați pentru investiții în locuri de muncă interne;</w:t>
            </w:r>
            <w:r>
              <w:t xml:space="preserve"> </w:t>
            </w:r>
            <w:r>
              <w:rPr>
                <w:b/>
                <w:i/>
              </w:rPr>
              <w:t>invită statele membre în care negocierile colective au o acoperire mai mică de 80 % să stabilească planuri naționale cu termene clare și măsuri specifice pentru creșterea acoperirii;</w:t>
            </w:r>
            <w:r>
              <w:t xml:space="preserve"> </w:t>
            </w:r>
            <w:r>
              <w:rPr>
                <w:b/>
                <w:i/>
              </w:rPr>
              <w:t>invită Comisia să ofere orientări și sprijin statelor membre pentru ca acestea să își consolideze sistemele de negociere, în special la nivel sectorial, inclusiv cu participarea deplină a partenerilor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invită statele membre să asigure o finanțare suficientă pentru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w:t>
            </w:r>
          </w:p>
        </w:tc>
        <w:tc>
          <w:tcPr>
            <w:tcW w:w="4876" w:type="dxa"/>
            <w:tcBorders>
              <w:top w:val="nil"/>
              <w:left w:val="nil"/>
              <w:bottom w:val="nil"/>
              <w:right w:val="nil"/>
            </w:tcBorders>
          </w:tcPr>
          <w:p>
            <w:pPr>
              <w:pStyle w:val="Normal6a"/>
            </w:pPr>
            <w:r>
              <w:t>10.</w:t>
            </w:r>
            <w:r>
              <w:tab/>
            </w:r>
            <w:r>
              <w:t>invită statele membre să asigure o finanțare suficientă pentru competențe și programe de formare profesională de calitate, ca investiție pe termen lung în productivitatea, creșterea și competitivitatea lucrătorilor și întreprinderilor; invită statele membre să valorifice strategic, cu sprijinul Comisiei, instrumentele existente ale Uniunii, în special Garanția de competențe, pentru a realiza Uniunea competențelor; invită statele membre să utilizeze o proporție mai mare din veniturile provenite din sistemul național de comercializare a certificatelor de emisii pentru formarea lucrătorilor și realocarea forței de muncă</w:t>
            </w:r>
            <w:r>
              <w:rPr>
                <w:b/>
                <w:i/>
              </w:rPr>
              <w:t>, respingând orice formă de redundanță</w:t>
            </w:r>
            <w:r>
              <w:t>;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aceasta;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reamintește rolul pe care Fondul european de ajustare la globalizare pentru lucrătorii disponibilizați (FEG) îl poate juca în sprijinirea lucrătorilor afectați de tranziția verde și cea digitală în perioada de programare rămasă;</w:t>
            </w:r>
            <w:r>
              <w:t xml:space="preserve"> </w:t>
            </w:r>
            <w:r>
              <w:rPr>
                <w:b/>
                <w:i/>
              </w:rPr>
              <w:t>salută obiectivul revizuirii propuse a actualului FEG, și anume de a accelera procedura de aprobare a cererilor și, în plus, de a sprijini în mod proactiv lucrătorii afectați de disponibilizări iminente;</w:t>
            </w:r>
            <w:r>
              <w:t xml:space="preserve"> </w:t>
            </w:r>
            <w:r>
              <w:rPr>
                <w:b/>
                <w:i/>
              </w:rPr>
              <w:t>subliniază, cu toate acestea, că este important să se asigure faptul că întreprinderile aflate în curs de restructurare care doresc să solicite sprijin din partea fondului fac acest lucru consultându-se riguros cu lucrătorii și cu reprezentanții acestora, inclusiv în ceea ce privește conceperea pachetului personalizat de măsuri;</w:t>
            </w:r>
            <w:r>
              <w:t xml:space="preserve"> </w:t>
            </w:r>
            <w:r>
              <w:rPr>
                <w:b/>
                <w:i/>
              </w:rPr>
              <w:t>regretă eliminarea FEG din propunerea privind cadrul financiar multianual 2028-2034;</w:t>
            </w:r>
            <w:r>
              <w:t xml:space="preserve"> </w:t>
            </w:r>
            <w:r>
              <w:rPr>
                <w:b/>
                <w:i/>
              </w:rPr>
              <w:t>subliniază importanța unor măsuri active pe piața muncii pentru reintegrarea pe piața muncii a lucrătorilor disponibilizați în urma unor evenimente majore de restructurare;</w:t>
            </w:r>
            <w:r>
              <w:t xml:space="preserve"> </w:t>
            </w:r>
            <w:r>
              <w:rPr>
                <w:b/>
                <w:i/>
              </w:rPr>
              <w:t>invită Comisia să asigure în continuare, în următorul CFM, un sprijin specific pentru lucrătorii expuși riscurilor cauzate de evenimente majore de restructurare sau disponibilizați în urma unor astfel de evenimente;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trebuie consolidată capacitatea autorităților regionale de a colabora cu succes cu grupurile-țintă (cum ar fi lucrătorii, organizațiile de tineret, persoanele în vârstă, cetățenii preocupați de starea mediului, asociațiile de fermieri și populațiile indigene), cu scopul de a dezvolta și gestiona sisteme de sprijin social și de a măsura efectele distributive ale politicilor;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invită statele membre să aloce o parte din veniturile generate de ETS pentru recalificarea lucrătorilor din regiunile cu emisii ridicate de dioxid de carbon și pentru sprijinirea IMM-urilor în timpul tranziției;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reamintește că este important să se asigure un nivel ridicat de securitate și sănătate în muncă pentru lucrători;</w:t>
            </w:r>
            <w:r>
              <w:t xml:space="preserve"> </w:t>
            </w:r>
            <w:r>
              <w:rPr>
                <w:b/>
                <w:i/>
              </w:rPr>
              <w:t>subliniază că este important să se răspundă în mod proactiv riscurilor în continuă evoluție în materie de securitate și sănătate în muncă ce afectează sarcinile de muncă, modalitățile de îndeplinire a muncii și locurile de muncă, în special riscurile de mediu și psihosociale, în contextul dublei tranziții;</w:t>
            </w:r>
            <w:r>
              <w:t xml:space="preserve"> </w:t>
            </w:r>
            <w:r>
              <w:rPr>
                <w:b/>
                <w:i/>
              </w:rPr>
              <w:t>invită Comisia să efectueze o analiză cuprinzătoare a actualului cadru strategic privind securitatea și sănătatea în muncă și a cadrului legislativ în vigoare privind acest subiect, cu scopul de a identifica lacunele rămase și de a veni cu propuneri noi sau actualizate pentru a asigura corespunderea în continuare a acquis-ului UE scopului urmărit și pentru a contribui la elaborarea cadrului strategic pentru perioada de după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că pentru a sprijini lucrătorii </w:t>
            </w:r>
            <w:r>
              <w:rPr>
                <w:b/>
                <w:i/>
              </w:rPr>
              <w:t>în perioadele</w:t>
            </w:r>
            <w:r>
              <w:t xml:space="preserve"> de tranziție este esențial să existe plase de siguranță socială și sisteme de protecție socială puternice; </w:t>
            </w:r>
            <w:r>
              <w:rPr>
                <w:b/>
                <w:i/>
              </w:rPr>
              <w:t>invită</w:t>
            </w:r>
            <w:r>
              <w:t xml:space="preserve"> statele membre să își modernizeze și să își consolideze sistemele și serviciile de protecție socială, pentru a asigura reziliența în fața șocurilor generate de </w:t>
            </w:r>
            <w:r>
              <w:rPr>
                <w:b/>
                <w:i/>
              </w:rPr>
              <w:t>dubla tranziție</w:t>
            </w:r>
            <w:r>
              <w:t xml:space="preserve"> care afectează piața muncii;</w:t>
            </w:r>
          </w:p>
        </w:tc>
        <w:tc>
          <w:tcPr>
            <w:tcW w:w="4876" w:type="dxa"/>
            <w:tcBorders>
              <w:top w:val="nil"/>
              <w:left w:val="nil"/>
              <w:bottom w:val="nil"/>
              <w:right w:val="nil"/>
            </w:tcBorders>
          </w:tcPr>
          <w:p>
            <w:pPr>
              <w:pStyle w:val="Normal6a"/>
            </w:pPr>
            <w:r>
              <w:t>11.</w:t>
            </w:r>
            <w:r>
              <w:tab/>
            </w:r>
            <w:r>
              <w:t xml:space="preserve">subliniază că pentru a sprijini lucrătorii </w:t>
            </w:r>
            <w:r>
              <w:rPr>
                <w:b/>
                <w:i/>
              </w:rPr>
              <w:t>care își pierd locurile de muncă din cauza politicilor</w:t>
            </w:r>
            <w:r>
              <w:t xml:space="preserve"> de tranziție este esențial să existe plase de siguranță socială și sisteme de protecție socială puternice; </w:t>
            </w:r>
            <w:r>
              <w:rPr>
                <w:b/>
                <w:i/>
              </w:rPr>
              <w:t>recomandă ca</w:t>
            </w:r>
            <w:r>
              <w:t xml:space="preserve"> statele membre să își modernizeze și să își consolideze sistemele și serviciile de protecție socială, pentru a asigura reziliența în fața șocurilor generate de </w:t>
            </w:r>
            <w:r>
              <w:rPr>
                <w:b/>
                <w:i/>
              </w:rPr>
              <w:t>reglementările europene</w:t>
            </w:r>
            <w:r>
              <w:t xml:space="preserve"> care afectează piața muncii;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pentru a asigura reziliența în fața șocurilor generate de dubla tranziție care afectează piața muncii;</w:t>
            </w:r>
          </w:p>
        </w:tc>
        <w:tc>
          <w:tcPr>
            <w:tcW w:w="4876" w:type="dxa"/>
            <w:tcBorders>
              <w:top w:val="nil"/>
              <w:left w:val="nil"/>
              <w:bottom w:val="nil"/>
              <w:right w:val="nil"/>
            </w:tcBorders>
          </w:tcPr>
          <w:p>
            <w:pPr>
              <w:pStyle w:val="Normal6a"/>
            </w:pPr>
            <w:r>
              <w:t>11.</w:t>
            </w:r>
            <w:r>
              <w:tab/>
            </w:r>
            <w:r>
              <w:t xml:space="preserve">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pentru a asigura reziliența în fața șocurilor generate de dubla tranziție care afectează piața muncii; </w:t>
            </w:r>
            <w:r>
              <w:rPr>
                <w:b/>
                <w:i/>
              </w:rPr>
              <w:t>îndeamnă statele membre să pună în aplicare pe deplin Recomandarea Consiliului privind protecția socială a lucrătorilor și a persoanelor care desfășoară o activitate independentă;</w:t>
            </w:r>
            <w:r>
              <w:t xml:space="preserve"> </w:t>
            </w:r>
            <w:r>
              <w:rPr>
                <w:b/>
                <w:i/>
              </w:rPr>
              <w:t>invită Comisia să monitorizeze riscurile și progresele în sensul unor astfel de acțiuni prin intermediul tabloului de bord social și al cadrului de convergență socială;</w:t>
            </w:r>
            <w:r>
              <w:t xml:space="preserve"> </w:t>
            </w:r>
            <w:r>
              <w:rPr>
                <w:b/>
                <w:i/>
              </w:rPr>
              <w:t>subliniază că este important să se asigure relevanța ofertelor serviciilor publice naționale de ocupare a forței de muncă pentru evoluțiile de pe piața forței de muncă, pentru a asigura un sprijin destinat persoanelor care își schimbă locul de muncă ca urmare a tranzițiilor și pentru a le facilita această schimbare;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că pentru a sprijini lucrătorii în perioadele de tranziție este esențial să existe plase de siguranță socială și sisteme de protecție socială puternice; invită statele membre să își </w:t>
            </w:r>
            <w:r>
              <w:rPr>
                <w:b/>
                <w:i/>
              </w:rPr>
              <w:t>modernizeze și să își</w:t>
            </w:r>
            <w:r>
              <w:t xml:space="preserve"> consolideze sistemele și serviciile de protecție socială, pentru a asigura reziliența </w:t>
            </w:r>
            <w:r>
              <w:rPr>
                <w:b/>
                <w:i/>
              </w:rPr>
              <w:t>în fața șocurilor</w:t>
            </w:r>
            <w:r>
              <w:t xml:space="preserve"> generate de dubla tranziție care afectează piața muncii;</w:t>
            </w:r>
          </w:p>
        </w:tc>
        <w:tc>
          <w:tcPr>
            <w:tcW w:w="4876" w:type="dxa"/>
            <w:tcBorders>
              <w:top w:val="nil"/>
              <w:left w:val="nil"/>
              <w:bottom w:val="nil"/>
              <w:right w:val="nil"/>
            </w:tcBorders>
          </w:tcPr>
          <w:p>
            <w:pPr>
              <w:pStyle w:val="Normal6a"/>
            </w:pPr>
            <w:r>
              <w:t>11.</w:t>
            </w:r>
            <w:r>
              <w:tab/>
            </w:r>
            <w:r>
              <w:t xml:space="preserve">subliniază că pentru a sprijini lucrătorii </w:t>
            </w:r>
            <w:r>
              <w:rPr>
                <w:b/>
                <w:i/>
              </w:rPr>
              <w:t>și pentru a întări coeziunea socială</w:t>
            </w:r>
            <w:r>
              <w:t xml:space="preserve"> în perioadele de tranziție este esențial să existe plase de siguranță socială și sisteme de protecție socială puternice; invită statele membre să își consolideze</w:t>
            </w:r>
            <w:r>
              <w:rPr>
                <w:b/>
                <w:i/>
              </w:rPr>
              <w:t>, în consultare cu partenerii sociali și cu organizațiile societății civile,</w:t>
            </w:r>
            <w:r>
              <w:t xml:space="preserve"> sistemele și serviciile de protecție socială, </w:t>
            </w:r>
            <w:r>
              <w:rPr>
                <w:b/>
                <w:i/>
              </w:rPr>
              <w:t>precum și sprijinul acordat prestatorilor de servicii sociale non-profit, cu un accent deosebit pe impozitarea echitabilă și progresivă, politicile de incluziune socială, sprijinul pentru venit și accesul la servicii esențiale și locuințe la prețuri accesibile,</w:t>
            </w:r>
            <w:r>
              <w:t xml:space="preserve"> pentru a asigura reziliența </w:t>
            </w:r>
            <w:r>
              <w:rPr>
                <w:b/>
                <w:i/>
              </w:rPr>
              <w:t>la șocurile</w:t>
            </w:r>
            <w:r>
              <w:t xml:space="preserve"> generate de dubla tranziție care afectează piața muncii</w:t>
            </w:r>
            <w:r>
              <w:rPr>
                <w:b/>
                <w:i/>
              </w:rPr>
              <w:t>, iar angajații afectați de pierderea locului de muncă să își poată menține nivelul de trai cât mai mult posibil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pentru a asigura reziliența în fața șocurilor generate de dubla tranziție care afectează piața muncii;</w:t>
            </w:r>
          </w:p>
        </w:tc>
        <w:tc>
          <w:tcPr>
            <w:tcW w:w="4876" w:type="dxa"/>
            <w:tcBorders>
              <w:top w:val="nil"/>
              <w:left w:val="nil"/>
              <w:bottom w:val="nil"/>
              <w:right w:val="nil"/>
            </w:tcBorders>
          </w:tcPr>
          <w:p>
            <w:pPr>
              <w:pStyle w:val="Normal6a"/>
            </w:pPr>
            <w:r>
              <w:t>11.</w:t>
            </w:r>
            <w:r>
              <w:tab/>
            </w:r>
            <w:r>
              <w:t>subliniază că pentru a sprijini lucrătorii în perioadele de tranziție este esențial să existe plase de siguranță socială și sisteme de protecție socială puternice</w:t>
            </w:r>
            <w:r>
              <w:rPr>
                <w:b/>
                <w:i/>
              </w:rPr>
              <w:t>;</w:t>
            </w:r>
            <w:r>
              <w:t xml:space="preserve"> </w:t>
            </w:r>
            <w:r>
              <w:rPr>
                <w:b/>
                <w:i/>
              </w:rPr>
              <w:t>subliniază că, pentru a asigura acceptarea din partea publicului larg, este esențial să se realizeze beneficii vizibile pentru gospodării, cum ar fi reducerea facturilor la utilități și îmbunătățirea condițiilor de trai;</w:t>
            </w:r>
            <w:r>
              <w:t xml:space="preserve"> </w:t>
            </w:r>
            <w:r>
              <w:rPr>
                <w:b/>
                <w:i/>
              </w:rPr>
              <w:t>directiva ar trebui să coreleze măsurile de renovare cu o comunicare transparentă cu privire la aceste avantaje</w:t>
            </w:r>
            <w:r>
              <w:t>; invită statele membre să își modernizeze și să își consolideze sistemele și serviciile de protecție socială, pentru a asigura reziliența în fața șocurilor generate de dubla tranziție care afectează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pentru a asigura reziliența în fața șocurilor generate de dubla tranziție care afectează piața muncii;</w:t>
            </w:r>
          </w:p>
        </w:tc>
        <w:tc>
          <w:tcPr>
            <w:tcW w:w="4876" w:type="dxa"/>
            <w:tcBorders>
              <w:top w:val="nil"/>
              <w:left w:val="nil"/>
              <w:bottom w:val="nil"/>
              <w:right w:val="nil"/>
            </w:tcBorders>
          </w:tcPr>
          <w:p>
            <w:pPr>
              <w:pStyle w:val="Normal6a"/>
            </w:pPr>
            <w:r>
              <w:t>11.</w:t>
            </w:r>
            <w:r>
              <w:tab/>
            </w:r>
            <w:r>
              <w:t xml:space="preserve">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pentru a asigura reziliența în fața șocurilor generate de dubla tranziție care afectează piața muncii; </w:t>
            </w:r>
            <w:r>
              <w:rPr>
                <w:b/>
                <w:i/>
              </w:rPr>
              <w:t>subliniază că, pentru a asigura o tranziție justă și echitabilă, sistemele de protecție socială și plasele de siguranță ar trebui să le garanteze persoanelor locuri de muncă de calitate, venituri și stabilitate;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pentru a asigura reziliența în fața șocurilor generate de dubla tranziție care afectează piața muncii;</w:t>
            </w:r>
          </w:p>
        </w:tc>
        <w:tc>
          <w:tcPr>
            <w:tcW w:w="4876" w:type="dxa"/>
            <w:tcBorders>
              <w:top w:val="nil"/>
              <w:left w:val="nil"/>
              <w:bottom w:val="nil"/>
              <w:right w:val="nil"/>
            </w:tcBorders>
          </w:tcPr>
          <w:p>
            <w:pPr>
              <w:pStyle w:val="Normal6a"/>
            </w:pPr>
            <w:r>
              <w:t>11.</w:t>
            </w:r>
            <w:r>
              <w:tab/>
            </w:r>
            <w:r>
              <w:t xml:space="preserve">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pentru a asigura reziliența în fața șocurilor generate de dubla tranziție care afectează piața muncii; </w:t>
            </w:r>
            <w:r>
              <w:rPr>
                <w:b/>
                <w:i/>
              </w:rPr>
              <w:t>solicită să se asigure accesul universal la indemnizații de șomaj și la servicii publice pentru a se preveni sărăcia și excluziunea socială în timpul tranziției;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pentru a asigura reziliența în fața șocurilor generate de dubla tranziție care afectează piața muncii;</w:t>
            </w:r>
          </w:p>
        </w:tc>
        <w:tc>
          <w:tcPr>
            <w:tcW w:w="4876" w:type="dxa"/>
            <w:tcBorders>
              <w:top w:val="nil"/>
              <w:left w:val="nil"/>
              <w:bottom w:val="nil"/>
              <w:right w:val="nil"/>
            </w:tcBorders>
          </w:tcPr>
          <w:p>
            <w:pPr>
              <w:pStyle w:val="Normal6a"/>
            </w:pPr>
            <w:r>
              <w:t>11.</w:t>
            </w:r>
            <w:r>
              <w:tab/>
            </w:r>
            <w:r>
              <w:t xml:space="preserve">subliniază că pentru a sprijini lucrătorii în perioadele de tranziție este esențial să existe plase de siguranță socială și sisteme de protecție socială puternice; invită statele membre să își modernizeze și să își consolideze sistemele și serviciile de protecție socială, </w:t>
            </w:r>
            <w:r>
              <w:rPr>
                <w:b/>
                <w:i/>
              </w:rPr>
              <w:t>asigurând totodată sustenabilitatea acestora pe termen lung,</w:t>
            </w:r>
            <w:r>
              <w:t xml:space="preserve"> pentru a asigura reziliența în fața șocurilor generate de dubla tranziție care afectează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evidențiază importanța unor politici specifice prin care să fie sprijinite persoanele cele mai afectate de dubla tranziție, în special persoanele aflate în situații de vulnerabilitate;</w:t>
            </w:r>
            <w:r>
              <w:t xml:space="preserve"> </w:t>
            </w:r>
            <w:r>
              <w:rPr>
                <w:b/>
                <w:i/>
              </w:rPr>
              <w:t>subliniază că este nevoie de sprijin activ și de intervenții timpurii pentru a împiedica persoanele aflate în situații de vulnerabilitate să intre în perioade lungi de șomaj sau să devină descurajate ca lucrători;</w:t>
            </w:r>
            <w:r>
              <w:t xml:space="preserve"> </w:t>
            </w:r>
            <w:r>
              <w:rPr>
                <w:b/>
                <w:i/>
              </w:rPr>
              <w:t>invită statele membre să majoreze în mod semnificativ sprijinul activ pentru locurile de muncă de calitate, în special sprijinind accesul la locuri de muncă de calitate și menținerea acestora, promovând spiritul antreprenorial și stimulând crearea de locuri de muncă de calitate;</w:t>
            </w:r>
            <w:r>
              <w:t xml:space="preserve"> </w:t>
            </w:r>
            <w:r>
              <w:rPr>
                <w:b/>
                <w:i/>
              </w:rPr>
              <w:t>evidențiază rolul subvențiilor salariale, al achizițiilor publice specifice și al lucrărilor publice locale în crearea de locuri de muncă de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solicită ca, în cazul nerespectării dispozițiilor de drept intern adoptate în temeiul prezentei directive, statele membre să se asigure că contribuția angajatorilor la Fondul pentru o tranziție justă este dublată pentru o perioadă de șase luni;</w:t>
            </w:r>
            <w:r>
              <w:t xml:space="preserve"> </w:t>
            </w:r>
            <w:r>
              <w:rPr>
                <w:b/>
                <w:i/>
              </w:rPr>
              <w:t>în cazul în care o întreprindere nu respectă această sancțiune pecuniară în termenul aplicabil, statele membre trebuie să emită o declarație publică în care să se indice întreprinderea responsabilă de încălcare și natura încălcării;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reamintește relevanța Fondului european de ajustare la globalizare pentru lucrătorii disponibilizați în ceea ce privește acordarea de sprijin lucrătorilor afectați de disponibilizări iminente în întreprinderile în curs de restructurare și încurajează statele membre să utilizeze pe deplin fondul, cu sprijinul Comisiei;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subliniază că, în perioadele de tranziție, trebuie garantat accesul la serviciile sociale esențiale, cum ar fi asistența medicală, transporturile, energia și învățământul;</w:t>
            </w:r>
            <w:r>
              <w:t xml:space="preserve"> </w:t>
            </w:r>
            <w:r>
              <w:rPr>
                <w:b/>
                <w:i/>
              </w:rPr>
              <w:t>solicită să fie efectuate evaluări ale impactului social pentru toate investițiile majore în tranziția regională;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invită statele membre să ceară întreprinderilor să instituie o procedură echitabilă, accesibilă publicului, previzibilă și transparentă, care să le permită lucrătorilor vizați de domeniul de aplicare al prezentei directive, reprezentanților acestora și altor părți interesate relevante să depună plângeri adresate acestora cu privire la aplicarea drepturilor legate de tranziția justă și a drepturilor conexe ale lucrătorilor;</w:t>
            </w:r>
            <w:r>
              <w:t xml:space="preserve"> </w:t>
            </w:r>
            <w:r>
              <w:rPr>
                <w:b/>
                <w:i/>
              </w:rPr>
              <w:t>această procedură poate fi integrată în procedura prevăzută la articolul 14 din Directiva (UE) 2024/1760, după caz;</w:t>
            </w:r>
            <w:r>
              <w:t xml:space="preserve"> </w:t>
            </w:r>
            <w:r>
              <w:rPr>
                <w:b/>
                <w:i/>
              </w:rPr>
              <w:t>întreprinderile trebuie să ia măsuri pentru a preîntâmpina orice formă de represalii, asigurând confidențialitatea persoanei sau organizației care depune plângerea, în conformitate cu Directiva (UE) 2019/1937 și cu dreptul intern aplicabil;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subliniază că trebuie sprijinite schemele de reducere a timpului de muncă și evidențiază importanța unui sprijin specific pentru lucrătorii afectați de tranziții, pe baza experienței pozitive a instrumentului SURE;</w:t>
            </w:r>
            <w:r>
              <w:t xml:space="preserve"> </w:t>
            </w:r>
            <w:r>
              <w:rPr>
                <w:b/>
                <w:i/>
              </w:rPr>
              <w:t>solicită consolidarea mecanismului SURE, deoarece sprijinirea unor astfel de măsuri de protecție a locurilor de muncă în perioade de criză poate stabiliza cheltuielile publice destinate politicilor de ocupare a forței de muncă și măsurilor de tranziție justă menite să atenueze impactul imediat asupra locurilor de muncă al transformării necesare a economiei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subliniază că impactul asupra ocupării forței de muncă va fi diferit de la o regiune la alta și de la o populație la alta;</w:t>
            </w:r>
            <w:r>
              <w:t xml:space="preserve"> </w:t>
            </w:r>
            <w:r>
              <w:rPr>
                <w:b/>
                <w:i/>
              </w:rPr>
              <w:t>subliniază, în acest sens, că cetățenii și părțile interesate locale trebuie implicate și dotate cu instrumentele necesare, astfel încât să poată juca un rol activ în procesul de tranziție;</w:t>
            </w:r>
            <w:r>
              <w:t xml:space="preserve"> </w:t>
            </w:r>
            <w:r>
              <w:rPr>
                <w:b/>
                <w:i/>
              </w:rPr>
              <w:t>subliniază că autoritățile publice trebuie să inițieze consultări strategice și o cooperare cu partenerii sociali în timpul gestionării tranziției;</w:t>
            </w:r>
            <w:r>
              <w:t xml:space="preserve"> </w:t>
            </w:r>
            <w:r>
              <w:rPr>
                <w:b/>
                <w:i/>
              </w:rPr>
              <w:t>subliniază că o participare efectivă poate fi asigurată prin consultări într-un stadiu timpuriu și prin acordarea unor mandate clare și a drepturilor de vot partenerilor sociali, IMM-urilor, societății civile și tineretului, în cadrul organismelor de coordonare regionale;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w:t>
            </w:r>
            <w:r>
              <w:rPr>
                <w:b/>
                <w:i/>
              </w:rPr>
              <w:t>consultări</w:t>
            </w:r>
            <w:r>
              <w:t xml:space="preserve"> strategice </w:t>
            </w:r>
            <w:r>
              <w:rPr>
                <w:b/>
                <w:i/>
              </w:rPr>
              <w:t>și o cooperare</w:t>
            </w:r>
            <w:r>
              <w:t xml:space="preserve"> cu partenerii sociali în timpul gestionării tranziției; subliniază că </w:t>
            </w:r>
            <w:r>
              <w:rPr>
                <w:b/>
                <w:i/>
              </w:rPr>
              <w:t>o participare efectivă</w:t>
            </w:r>
            <w:r>
              <w:t xml:space="preserve"> poate fi asigurată prin </w:t>
            </w:r>
            <w:r>
              <w:rPr>
                <w:b/>
                <w:i/>
              </w:rPr>
              <w:t>consultări într-un stadiu timpuriu și prin acordarea unor mandate clare și a drepturilor de vot</w:t>
            </w:r>
            <w:r>
              <w:t xml:space="preserve"> partenerilor sociali, IMM-urilor, societății civile și </w:t>
            </w:r>
            <w:r>
              <w:rPr>
                <w:b/>
                <w:i/>
              </w:rPr>
              <w:t>tineretului, în cadrul organismelor</w:t>
            </w:r>
            <w:r>
              <w:t xml:space="preserve"> de coordonare regionale;</w:t>
            </w:r>
          </w:p>
        </w:tc>
        <w:tc>
          <w:tcPr>
            <w:tcW w:w="4876" w:type="dxa"/>
            <w:tcBorders>
              <w:top w:val="nil"/>
              <w:left w:val="nil"/>
              <w:bottom w:val="nil"/>
              <w:right w:val="nil"/>
            </w:tcBorders>
          </w:tcPr>
          <w:p>
            <w:pPr>
              <w:pStyle w:val="Normal6a"/>
            </w:pPr>
            <w:r>
              <w:t>12.</w:t>
            </w:r>
            <w:r>
              <w:tab/>
            </w:r>
            <w:r>
              <w:t xml:space="preserve">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w:t>
            </w:r>
            <w:r>
              <w:rPr>
                <w:b/>
                <w:i/>
              </w:rPr>
              <w:t>acțiuni</w:t>
            </w:r>
            <w:r>
              <w:t xml:space="preserve"> strategice </w:t>
            </w:r>
            <w:r>
              <w:rPr>
                <w:b/>
                <w:i/>
              </w:rPr>
              <w:t>de concepere a măsurilor în comun</w:t>
            </w:r>
            <w:r>
              <w:t xml:space="preserve"> cu partenerii sociali în timpul gestionării tranziției; subliniază că </w:t>
            </w:r>
            <w:r>
              <w:rPr>
                <w:b/>
                <w:i/>
              </w:rPr>
              <w:t>participarea semnificativă</w:t>
            </w:r>
            <w:r>
              <w:t xml:space="preserve"> poate fi asigurată prin </w:t>
            </w:r>
            <w:r>
              <w:rPr>
                <w:b/>
                <w:i/>
              </w:rPr>
              <w:t>implicarea</w:t>
            </w:r>
            <w:r>
              <w:t xml:space="preserve"> partenerilor sociali, </w:t>
            </w:r>
            <w:r>
              <w:rPr>
                <w:b/>
                <w:i/>
              </w:rPr>
              <w:t>a</w:t>
            </w:r>
            <w:r>
              <w:t xml:space="preserve"> IMM-urilor, </w:t>
            </w:r>
            <w:r>
              <w:rPr>
                <w:b/>
                <w:i/>
              </w:rPr>
              <w:t>a</w:t>
            </w:r>
            <w:r>
              <w:t xml:space="preserve"> societății civile și </w:t>
            </w:r>
            <w:r>
              <w:rPr>
                <w:b/>
                <w:i/>
              </w:rPr>
              <w:t>a tinerilor în organismele</w:t>
            </w:r>
            <w:r>
              <w:t xml:space="preserve"> de coordonare regionale </w:t>
            </w:r>
            <w:r>
              <w:rPr>
                <w:b/>
                <w:i/>
              </w:rPr>
              <w:t>și prin asigurarea unor metode și măsuri accesibile de participare, inclusiv – dar fără a se limita la acestea – accesibilitatea limbajului, timpul plătit/îngrijirea copiilor, sprijinul pentru deplasări și mecanisme eficace de soluționare a reclamațiilor și de contestare, astfel încât comunitățile afectate să poată contesta și remedia prejudiciile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 </w:t>
            </w:r>
            <w:r>
              <w:rPr>
                <w:b/>
                <w:i/>
              </w:rPr>
              <w:t>subliniază că o participare efectivă poate fi asigurată prin consultări într-un stadiu timpuriu și prin acordarea unor mandate clare și a drepturilor de vot partenerilor sociali, IMM-urilor, societății civile și tineretului, în cadrul organismelor de coordonare regionale;</w:t>
            </w:r>
          </w:p>
        </w:tc>
        <w:tc>
          <w:tcPr>
            <w:tcW w:w="4876" w:type="dxa"/>
            <w:tcBorders>
              <w:top w:val="nil"/>
              <w:left w:val="nil"/>
              <w:bottom w:val="nil"/>
              <w:right w:val="nil"/>
            </w:tcBorders>
          </w:tcPr>
          <w:p>
            <w:pPr>
              <w:pStyle w:val="Normal6a"/>
            </w:pPr>
            <w:r>
              <w:t>12.</w:t>
            </w:r>
            <w:r>
              <w:tab/>
            </w:r>
            <w:r>
              <w:t>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w:t>
            </w:r>
            <w:r>
              <w:rPr>
                <w:b/>
                <w:i/>
              </w:rPr>
              <w:t>partenerilor sociali, IMM-urilor, societății civile și tineretului,</w:t>
            </w:r>
            <w:r>
              <w:t xml:space="preserve"> în cadrul organismelor de coordonare regionale;</w:t>
            </w:r>
          </w:p>
        </w:tc>
        <w:tc>
          <w:tcPr>
            <w:tcW w:w="4876" w:type="dxa"/>
            <w:tcBorders>
              <w:top w:val="nil"/>
              <w:left w:val="nil"/>
              <w:bottom w:val="nil"/>
              <w:right w:val="nil"/>
            </w:tcBorders>
          </w:tcPr>
          <w:p>
            <w:pPr>
              <w:pStyle w:val="Normal6a"/>
            </w:pPr>
            <w:r>
              <w:t>12.</w:t>
            </w:r>
            <w:r>
              <w:tab/>
            </w:r>
            <w:r>
              <w:t>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în cadrul organismelor de coordonare regionale</w:t>
            </w:r>
            <w:r>
              <w:rPr>
                <w:b/>
                <w:i/>
              </w:rPr>
              <w:t> partenerilor sociali, IMM-urilor, inclusiv întreprinderilor sociale, societății civile și tineretului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partenerilor sociali, IMM-urilor, societății civile </w:t>
            </w:r>
            <w:r>
              <w:rPr>
                <w:b/>
                <w:i/>
              </w:rPr>
              <w:t>și</w:t>
            </w:r>
            <w:r>
              <w:t xml:space="preserve"> tineretului, în cadrul organismelor de coordonare regionale;</w:t>
            </w:r>
          </w:p>
        </w:tc>
        <w:tc>
          <w:tcPr>
            <w:tcW w:w="4876" w:type="dxa"/>
            <w:tcBorders>
              <w:top w:val="nil"/>
              <w:left w:val="nil"/>
              <w:bottom w:val="nil"/>
              <w:right w:val="nil"/>
            </w:tcBorders>
          </w:tcPr>
          <w:p>
            <w:pPr>
              <w:pStyle w:val="Normal6a"/>
            </w:pPr>
            <w:r>
              <w:t>12.</w:t>
            </w:r>
            <w:r>
              <w:tab/>
            </w:r>
            <w:r>
              <w:t>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partenerilor sociali, IMM-urilor, societății civile</w:t>
            </w:r>
            <w:r>
              <w:rPr>
                <w:b/>
                <w:i/>
              </w:rPr>
              <w:t>,</w:t>
            </w:r>
            <w:r>
              <w:t xml:space="preserve"> tineretului</w:t>
            </w:r>
            <w:r>
              <w:rPr>
                <w:b/>
                <w:i/>
              </w:rPr>
              <w:t>, sindicatelor, organizațiilor de femei și mișcărilor sociale locale</w:t>
            </w:r>
            <w:r>
              <w:t>, în cadrul organismelor de coordonare regionale;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partenerilor sociali, IMM-urilor, societății civile și tineretului, în cadrul organismelor de coordonare regionale;</w:t>
            </w:r>
          </w:p>
        </w:tc>
        <w:tc>
          <w:tcPr>
            <w:tcW w:w="4876" w:type="dxa"/>
            <w:tcBorders>
              <w:top w:val="nil"/>
              <w:left w:val="nil"/>
              <w:bottom w:val="nil"/>
              <w:right w:val="nil"/>
            </w:tcBorders>
          </w:tcPr>
          <w:p>
            <w:pPr>
              <w:pStyle w:val="Normal6a"/>
            </w:pPr>
            <w:r>
              <w:t>12.</w:t>
            </w:r>
            <w:r>
              <w:tab/>
            </w:r>
            <w:r>
              <w:t>subliniază că impactul asupra ocupării forței de muncă va fi diferit de la o regiune la alta și de la o populație la alta; subliniază, în acest sens, că cetățenii și părțile interesate locale</w:t>
            </w:r>
            <w:r>
              <w:rPr>
                <w:b/>
                <w:i/>
              </w:rPr>
              <w:t>, inclusiv organizațiile societății civile,</w:t>
            </w:r>
            <w:r>
              <w:t xml:space="preserve"> trebuie implicate și dotate cu instrumentele necesare, astfel încât să poată juca un rol activ în procesul de tranziție; </w:t>
            </w:r>
            <w:r>
              <w:rPr>
                <w:b/>
                <w:i/>
              </w:rPr>
              <w:t>evidențiază importanța promovării inițiativelor conduse de lucrători, inclusiv a cooperativelor lucrătorilor, a preluărilor de către angajați și a altor forme de proprietate colectivă și comunitară;</w:t>
            </w:r>
            <w:r>
              <w:t xml:space="preserve"> subliniază că autoritățile publice trebuie să inițieze consultări strategice și o cooperare cu partenerii sociali </w:t>
            </w:r>
            <w:r>
              <w:rPr>
                <w:b/>
                <w:i/>
              </w:rPr>
              <w:t>și cu societatea civilă</w:t>
            </w:r>
            <w:r>
              <w:t xml:space="preserve"> în timpul gestionării tranziției; subliniază că o participare efectivă poate fi asigurată prin consultări într-un stadiu timpuriu și prin acordarea unor mandate clare și a drepturilor de vot partenerilor sociali, IMM-urilor, societății civile</w:t>
            </w:r>
            <w:r>
              <w:rPr>
                <w:b/>
                <w:i/>
              </w:rPr>
              <w:t>, economiei sociale</w:t>
            </w:r>
            <w:r>
              <w:t xml:space="preserve"> și tineretului, în cadrul organismelor de coordonare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partenerilor sociali, IMM-urilor, societății civile și tineretului, în cadrul organismelor de coordonare regionale;</w:t>
            </w:r>
          </w:p>
        </w:tc>
        <w:tc>
          <w:tcPr>
            <w:tcW w:w="4876" w:type="dxa"/>
            <w:tcBorders>
              <w:top w:val="nil"/>
              <w:left w:val="nil"/>
              <w:bottom w:val="nil"/>
              <w:right w:val="nil"/>
            </w:tcBorders>
          </w:tcPr>
          <w:p>
            <w:pPr>
              <w:pStyle w:val="Normal6a"/>
            </w:pPr>
            <w:r>
              <w:t>12.</w:t>
            </w:r>
            <w:r>
              <w:tab/>
            </w:r>
            <w:r>
              <w:t>subliniază că impactul asupra ocupării forței de muncă va fi diferit de la o regiune la alta și de la o populație la alta; subliniază, în acest sens, că cetățenii și părțile interesate locale</w:t>
            </w:r>
            <w:r>
              <w:rPr>
                <w:b/>
                <w:i/>
              </w:rPr>
              <w:t>, inclusiv organizațiile societății civile care au o bună înțelegere a provocărilor și a nevoilor comunităților locale,</w:t>
            </w:r>
            <w:r>
              <w:t> trebuie implicate și dotate cu instrumentele necesare, astfel încât să poată juca un rol activ în procesul de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partenerilor sociali, IMM-urilor, societății civile și tineretului, în cadrul organismelor de coordonare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w:t>
            </w:r>
            <w:r>
              <w:rPr>
                <w:b/>
                <w:i/>
              </w:rPr>
              <w:t>procesul de</w:t>
            </w:r>
            <w:r>
              <w:t xml:space="preserv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partenerilor sociali, IMM-urilor, societății civile și tineretului, în cadrul organismelor de coordonare regionale;</w:t>
            </w:r>
          </w:p>
        </w:tc>
        <w:tc>
          <w:tcPr>
            <w:tcW w:w="4876" w:type="dxa"/>
            <w:tcBorders>
              <w:top w:val="nil"/>
              <w:left w:val="nil"/>
              <w:bottom w:val="nil"/>
              <w:right w:val="nil"/>
            </w:tcBorders>
          </w:tcPr>
          <w:p>
            <w:pPr>
              <w:pStyle w:val="Normal6a"/>
            </w:pPr>
            <w:r>
              <w:t>12.</w:t>
            </w:r>
            <w:r>
              <w:tab/>
            </w:r>
            <w:r>
              <w:t xml:space="preserve">subliniază că impactul asupra ocupării forței de muncă va fi diferit de la o regiune la alta și de la o populație la alta; subliniază, în acest sens, că cetățenii și părțile interesate locale trebuie implicate și dotate cu instrumentele necesare, astfel încât să poată juca un rol activ în </w:t>
            </w:r>
            <w:r>
              <w:rPr>
                <w:b/>
                <w:i/>
              </w:rPr>
              <w:t>decizia dacă să se efectueze sau nu o</w:t>
            </w:r>
            <w:r>
              <w:t xml:space="preserve"> tranziție; subliniază că autoritățile publice trebuie să inițieze consultări strategice și o cooperare cu partenerii sociali în timpul gestionării tranziției; subliniază că o participare efectivă poate fi asigurată prin consultări într-un stadiu timpuriu și prin acordarea unor mandate clare și a drepturilor de vot partenerilor sociali, IMM-urilor, societății civile și tineretului, în cadrul organismelor de coordonare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insistă asupra faptului că această directivă nu trebuie să constituie un motiv valabil pentru reducerea nivelului general de protecție oferit deja lucrătorilor în statele membre, în special în ceea ce privește dreptul la formare, tranziția la locul de muncă, siguranța locului de muncă și participarea lucrătorilor;</w:t>
            </w:r>
            <w:r>
              <w:t xml:space="preserve"> </w:t>
            </w:r>
            <w:r>
              <w:rPr>
                <w:b/>
                <w:i/>
              </w:rPr>
              <w:t>subliniază că prezenta directivă nu trebuie să aducă atingere prerogativei statelor membre de a aplica sau de a adopta acte cu putere de lege sau acte administrative mai favorabile lucrătorilor ori de a încuraja sau de a permite aplicarea unor convenții colective care sunt mai favorabile lucrătorilor;</w:t>
            </w:r>
            <w:r>
              <w:t xml:space="preserve"> </w:t>
            </w:r>
            <w:r>
              <w:rPr>
                <w:b/>
                <w:i/>
              </w:rPr>
              <w:t>subliniază că nicio dispoziție din prezenta directivă nu trebuie interpretată sau aplicată într-un mod care să restricționeze, să încalce sau să submineze drepturile fundamentale recunoscute în statele membre, inclusiv dreptul la negocieri colective, dreptul la grevă sau dreptul de a întreprinde acțiuni colective;</w:t>
            </w:r>
            <w:r>
              <w:t xml:space="preserve"> </w:t>
            </w:r>
            <w:r>
              <w:rPr>
                <w:b/>
                <w:i/>
              </w:rPr>
              <w:t>insistă ca prezenta directivă să respecte autonomia partenerilor sociali și să nu afecteze capacitatea acestora de a negocia, de a încheia sau de a pune în aplicare acorduri colective ori de a participa la alte activități compatibile cu sistemele naționale de relații de muncă;</w:t>
            </w:r>
            <w:r>
              <w:t xml:space="preserve"> </w:t>
            </w:r>
            <w:r>
              <w:rPr>
                <w:b/>
                <w:i/>
              </w:rPr>
              <w:t>subliniază, de asemenea, că prezenta directivă trebuie să creeze drepturi suplimentare privind informarea, consultarea și negocierile colective în situații de tranziție și nu trebuie să aducă atingere aplicării altor instrumente ale dreptului Uniunii privind participarea angajaților;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invită Comisia și statele membre să elaboreze politici care să deblocheze oportunitățile economice pentru sectorul privat, în special pentru IMM-uri, prin reducerea sarcinilor administrative, reducerea cerințelor de cofinanțare și simplificarea accesului la finanțare;</w:t>
            </w:r>
            <w:r>
              <w:t xml:space="preserve"> </w:t>
            </w:r>
            <w:r>
              <w:rPr>
                <w:b/>
                <w:i/>
              </w:rPr>
              <w:t>subliniază că antreprenorii și întreprinderile mici sunt esențiale pentru investiții, inovare și crearea de locuri de muncă și că oportunitățile de finanțare și de asistența tehnică trebuie să fie adaptate nevoilor acestora, pentru a le putea fi valorificat pe deplin potențialul în economia verde și digitală;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că guvernele ar trebui să sprijine consolidarea capacității partenerilor sociali, în special la nivel regional (precum și în cadrul punerii în aplicare a recomandării Consiliului privind asigurarea unei tranziții echitabile către neutralitatea climatică);</w:t>
            </w:r>
            <w:r>
              <w:t xml:space="preserve"> </w:t>
            </w:r>
            <w:r>
              <w:rPr>
                <w:b/>
                <w:i/>
              </w:rPr>
              <w:t>subliniază că democrația deliberativă le permite cetățenilor să participe la conceperea unor politici locale și regionale care corespund necesităților și particularităților teritoriului, ceea ce sporește gradul de implicare și de aderare la politici;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invită Comisia să includă în directivă standarde favorabile persoanelor cu dizabilități, inclusiv accesibilitatea la locul de muncă, condiții flexibile și amenajări rezonabile în activitățile de formare;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evidențiază importanța unor strategii specifice pentru zonele rurale și periferice, unde investițiile insuficiente, emigrarea și oferta scăzută de forță de muncă amenință dezvoltarea pe termen lung;</w:t>
            </w:r>
            <w:r>
              <w:t xml:space="preserve"> </w:t>
            </w:r>
            <w:r>
              <w:rPr>
                <w:b/>
                <w:i/>
              </w:rPr>
              <w:t>invită Comisia și statele membre să sprijine politicile bazate pe necesitățile locale, care creează oportunități economice pentru oamenii și întreprinderile din regiunile rurale, atrag investiții private și generează locuri de muncă la nivel local;</w:t>
            </w:r>
            <w:r>
              <w:t xml:space="preserve"> </w:t>
            </w:r>
            <w:r>
              <w:rPr>
                <w:b/>
                <w:i/>
              </w:rPr>
              <w:t>subliniază că astfel de strategii sunt necesare pentru a garanta că cetățenii își pot construi viitorul în comunitățile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invită Comisia să recunoască „dreptul la o tranziție justă individuală și colectivă” pentru lucrători și comunități, atât în Europa, cât și în afara UE;</w:t>
            </w:r>
            <w:r>
              <w:t xml:space="preserve"> </w:t>
            </w:r>
            <w:r>
              <w:rPr>
                <w:b/>
                <w:i/>
              </w:rPr>
              <w:t>la nivel individual, dreptul la o tranziție justă include dreptul de a păstra un loc de muncă sau de a avea acces la un loc de muncă în condiții echitabile și decente;</w:t>
            </w:r>
            <w:r>
              <w:t xml:space="preserve"> </w:t>
            </w:r>
            <w:r>
              <w:rPr>
                <w:b/>
                <w:i/>
              </w:rPr>
              <w:t>la nivel colectiv, dreptul la o tranziție justă implică faptul că nicio persoană, niciun grup și niciun teritoriu nu trebuie lăsat în urmă;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subliniază că este important să se acorde o atenție deosebită sectorului îngrijirii, precum și lucrătorilor și regiunilor din industriile cele mai afectate de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subliniază că previziunile regionale ale Eurostat indică pentru anii 2020 și 2030 o scădere continuă a populației în vârstă de muncă în multe teritorii, în special în regiunile deja afectate de îmbătrânirea populației și de emigrare;</w:t>
            </w:r>
            <w:r>
              <w:t xml:space="preserve"> </w:t>
            </w:r>
            <w:r>
              <w:rPr>
                <w:b/>
                <w:i/>
              </w:rPr>
              <w:t>constată că dezechilibrele demografice duc la majorarea costurilor sociale și bugetare cauzate de insuficiența investițiilor în zonele rurale, inclusiv prin reducerea bazei de impozitare și prin creșterea costurilor serviciilor pe cap de locuitor;</w:t>
            </w:r>
            <w:r>
              <w:t xml:space="preserve"> </w:t>
            </w:r>
            <w:r>
              <w:rPr>
                <w:b/>
                <w:i/>
              </w:rPr>
              <w:t>subliniază că aceste tendințe riscă să slăbească oferta de forță de muncă chiar în momentul în care lucrătorii calificați sunt esențiali pentru tranziția verde și cea digitală;</w:t>
            </w:r>
            <w:r>
              <w:t xml:space="preserve"> </w:t>
            </w:r>
            <w:r>
              <w:rPr>
                <w:b/>
                <w:i/>
              </w:rPr>
              <w:t>invită, prin urmare, Comisia și statele membre să acorde prioritate investițiilor și politicilor specifice care îmbunătățesc oportunitățile economice în zonele rurale, sprijină crearea de locuri de muncă și asigură disponibilitatea pe termen lung a unei forțe de muncă calificate;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invită Comisia să recunoască, de asemenea, „dreptul de a rămâne”, în contrast cu mobilitatea forțată;</w:t>
            </w:r>
            <w:r>
              <w:t xml:space="preserve"> </w:t>
            </w:r>
            <w:r>
              <w:rPr>
                <w:b/>
                <w:i/>
              </w:rPr>
              <w:t>realizarea măsurilor pentru o tranziție justă trebuie să le asigure lucrătorilor și comunităților posibilitatea de a rămâne în zona geografică în care dețin un loc de muncă și/sau în care locuiesc; acest lucru reflectă „dreptul de a rămâne”, iar fără acesta măsurile de tranziție pot să oblige lucrătorii să își schimbe situația geografică, contrar dorinței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solicită Comisiei să prezinte până la 31 ianuarie 2027, în temeiul articolului 153 alineatul (2) litera (b), coroborat cu articolul 153 alineatul (1) literele (a), (b), (e) și (h) din TFUE, o propunere de directivă privind tranziția justă la locul de muncă, pe baza recomandărilor din anexă;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solicită Comisiei să prezinte până la 31 ianuarie 2027, în temeiul articolului 153 alineatul (2) litera (b), coroborat cu articolul 153 alineatul (1) literele (a), (b), (e) și (h) din TFUE, o propunere de directivă privind tranziția justă la locul de muncă, pe baza recomandărilor din anexă;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solicită Comisiei să prezinte până la 31 ianuarie 2027, în temeiul articolului 153 alineatul (2) litera (b), coroborat cu articolul 153 alineatul (1) literele (a), (b), (e) și (h) din TFUE, o propunere de directivă privind tranziția justă la locul de muncă, pe baza recomandărilor din anexă;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solicită Comisiei să prezinte </w:t>
            </w:r>
            <w:r>
              <w:rPr>
                <w:b/>
                <w:i/>
              </w:rPr>
              <w:t>până la 31 ianuarie 2027, în temeiul articolului 153 alineatul (2) litera (b), coroborat cu articolul 153 alineatul (1) literele (a), (b), (e) și (h) din TFUE,</w:t>
            </w:r>
            <w:r>
              <w:t xml:space="preserve"> o propunere </w:t>
            </w:r>
            <w:r>
              <w:rPr>
                <w:b/>
                <w:i/>
              </w:rPr>
              <w:t>de directivă</w:t>
            </w:r>
            <w:r>
              <w:t xml:space="preserve"> privind tranziția justă la locul de muncă, </w:t>
            </w:r>
            <w:r>
              <w:rPr>
                <w:b/>
                <w:i/>
              </w:rPr>
              <w:t>pe baza recomandărilor din anexă</w:t>
            </w:r>
            <w:r>
              <w:t>;</w:t>
            </w:r>
          </w:p>
        </w:tc>
        <w:tc>
          <w:tcPr>
            <w:tcW w:w="4876" w:type="dxa"/>
            <w:tcBorders>
              <w:top w:val="nil"/>
              <w:left w:val="nil"/>
              <w:bottom w:val="nil"/>
              <w:right w:val="nil"/>
            </w:tcBorders>
          </w:tcPr>
          <w:p>
            <w:pPr>
              <w:pStyle w:val="Normal6a"/>
            </w:pPr>
            <w:r>
              <w:t>13.</w:t>
            </w:r>
            <w:r>
              <w:tab/>
            </w:r>
            <w:r>
              <w:t xml:space="preserve">solicită Comisiei să prezinte o propunere privind </w:t>
            </w:r>
            <w:r>
              <w:rPr>
                <w:b/>
                <w:i/>
              </w:rPr>
              <w:t>un cadru de măsuri fără caracter legislativ referitoare la</w:t>
            </w:r>
            <w:r>
              <w:t xml:space="preserve"> tranziția justă la locul de muncă, </w:t>
            </w:r>
            <w:r>
              <w:rPr>
                <w:b/>
                <w:i/>
              </w:rPr>
              <w:t>după consultarea partenerilor sociali europeni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solicită Comisiei să prezinte până la 31 ianuarie 2027, în temeiul articolului 153 alineatul (2) </w:t>
            </w:r>
            <w:r>
              <w:rPr>
                <w:b/>
                <w:i/>
              </w:rPr>
              <w:t>litera (b)</w:t>
            </w:r>
            <w:r>
              <w:t>, coroborat cu articolul 153 alineatul (1) literele (a), (b), (e) și (h) din TFUE, o propunere de directivă privind tranziția justă la locul de muncă, pe baza recomandărilor din anexă;</w:t>
            </w:r>
          </w:p>
        </w:tc>
        <w:tc>
          <w:tcPr>
            <w:tcW w:w="4876" w:type="dxa"/>
            <w:tcBorders>
              <w:top w:val="nil"/>
              <w:left w:val="nil"/>
              <w:bottom w:val="nil"/>
              <w:right w:val="nil"/>
            </w:tcBorders>
          </w:tcPr>
          <w:p>
            <w:pPr>
              <w:pStyle w:val="Normal6a"/>
            </w:pPr>
            <w:r>
              <w:t>13.</w:t>
            </w:r>
            <w:r>
              <w:tab/>
            </w:r>
            <w:r>
              <w:t xml:space="preserve">solicită Comisiei să prezinte până la 31 ianuarie 2027, în temeiul articolului 153 alineatul (2) </w:t>
            </w:r>
            <w:r>
              <w:rPr>
                <w:b/>
                <w:i/>
              </w:rPr>
              <w:t>literele (b) și (c)</w:t>
            </w:r>
            <w:r>
              <w:t>, coroborat cu articolul 153 alineatul (1) literele (a), (b), (e) și (h) din TFUE, o propunere de directivă privind tranziția justă la locul de muncă, pe baza recomandărilor din anexă;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consideră că implicațiile financiare ale </w:t>
            </w:r>
            <w:r>
              <w:rPr>
                <w:b/>
                <w:i/>
              </w:rPr>
              <w:t>propunerilor solicitate</w:t>
            </w:r>
            <w:r>
              <w:t xml:space="preserve"> ar trebui să fie acoperite prin alocările bugetare existente;</w:t>
            </w:r>
          </w:p>
        </w:tc>
        <w:tc>
          <w:tcPr>
            <w:tcW w:w="4876" w:type="dxa"/>
            <w:tcBorders>
              <w:top w:val="nil"/>
              <w:left w:val="nil"/>
              <w:bottom w:val="nil"/>
              <w:right w:val="nil"/>
            </w:tcBorders>
          </w:tcPr>
          <w:p>
            <w:pPr>
              <w:pStyle w:val="Normal6a"/>
            </w:pPr>
            <w:r>
              <w:t>14.</w:t>
            </w:r>
            <w:r>
              <w:tab/>
            </w:r>
            <w:r>
              <w:t xml:space="preserve">consideră că implicațiile financiare ale </w:t>
            </w:r>
            <w:r>
              <w:rPr>
                <w:b/>
                <w:i/>
              </w:rPr>
              <w:t>prezentei rezoluții</w:t>
            </w:r>
            <w:r>
              <w:t xml:space="preserve"> ar trebui să fie acoperite prin alocările bugetare existente;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consideră</w:t>
            </w:r>
            <w:r>
              <w:t xml:space="preserve"> că implicațiile financiare ale propunerilor solicitate ar trebui să fie acoperite prin alocările bugetare existente;</w:t>
            </w:r>
          </w:p>
        </w:tc>
        <w:tc>
          <w:tcPr>
            <w:tcW w:w="4876" w:type="dxa"/>
            <w:tcBorders>
              <w:top w:val="nil"/>
              <w:left w:val="nil"/>
              <w:bottom w:val="nil"/>
              <w:right w:val="nil"/>
            </w:tcBorders>
          </w:tcPr>
          <w:p>
            <w:pPr>
              <w:pStyle w:val="Normal6a"/>
            </w:pPr>
            <w:r>
              <w:t>14.</w:t>
            </w:r>
            <w:r>
              <w:tab/>
            </w:r>
            <w:r>
              <w:rPr>
                <w:b/>
                <w:i/>
              </w:rPr>
              <w:t>subliniază cu insistență</w:t>
            </w:r>
            <w:r>
              <w:t xml:space="preserve"> că implicațiile financiare ale propunerilor solicitate ar trebui să fie acoperite prin alocările bugetare existente</w:t>
            </w:r>
            <w:r>
              <w:rPr>
                <w:b/>
                <w:i/>
              </w:rPr>
              <w:t>, fără a crește cheltuielile Uniunii sau a impune noi sarcini contribuabililor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consideră că implicațiile financiare ale propunerilor solicitate ar trebui să fie acoperite prin alocările bugetare existente;</w:t>
            </w:r>
          </w:p>
        </w:tc>
        <w:tc>
          <w:tcPr>
            <w:tcW w:w="4876" w:type="dxa"/>
            <w:tcBorders>
              <w:top w:val="nil"/>
              <w:left w:val="nil"/>
              <w:bottom w:val="nil"/>
              <w:right w:val="nil"/>
            </w:tcBorders>
          </w:tcPr>
          <w:p>
            <w:pPr>
              <w:pStyle w:val="Normal6a"/>
            </w:pPr>
            <w:r>
              <w:t>14.</w:t>
            </w:r>
            <w:r>
              <w:tab/>
            </w:r>
            <w:r>
              <w:t xml:space="preserve">consideră că implicațiile financiare ale propunerilor solicitate ar trebui să fie acoperite </w:t>
            </w:r>
            <w:r>
              <w:rPr>
                <w:b/>
                <w:i/>
              </w:rPr>
              <w:t>în principal</w:t>
            </w:r>
            <w:r>
              <w:t xml:space="preserve"> prin alocările bugetare existente; </w:t>
            </w:r>
            <w:r>
              <w:rPr>
                <w:b/>
                <w:i/>
              </w:rPr>
              <w:t>subliniază că trebuie evaluate la nivel național și la nivelul Uniunii resursele necesare pentru realizarea obiectivelor directivei propuse;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subliniază că directiva trebuie să includă sancțiuni eficace, proporționale și disuasive, aplicabile în cazul încălcării drepturilor și obligațiilor prevăzute în directivă;</w:t>
            </w:r>
            <w:r>
              <w:t xml:space="preserve"> </w:t>
            </w:r>
            <w:r>
              <w:rPr>
                <w:b/>
                <w:i/>
              </w:rPr>
              <w:t>subliniază că directiva trebuie să includă, de asemenea, dispoziții privind menținerea nivelului de protecție și dispoziții mai favorabile, pentru a se asigura aplicarea acesteia în mod echitabil și consecvent în întreaga Uniune și pentru a le asigura întreprinderilor condiții de concurență echitabile, pentru a preveni concurența neloială și pentru a oferi securitate atât angajatorilor, cât și lucrătorilor;</w:t>
            </w:r>
            <w:r>
              <w:t xml:space="preserve"> </w:t>
            </w:r>
            <w:r>
              <w:rPr>
                <w:b/>
                <w:i/>
              </w:rPr>
              <w:t>subliniază, de asemenea, că directiva trebuie să protejeze drepturile existente și să respecte autonomia partenerilor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încredințează Președintei sarcina de a transmite Comisiei și Consiliului </w:t>
            </w:r>
            <w:r>
              <w:rPr>
                <w:b/>
                <w:i/>
              </w:rPr>
              <w:t>prezenta rezoluție și recomandările din anexă</w:t>
            </w:r>
            <w:r>
              <w:t>.</w:t>
            </w:r>
          </w:p>
        </w:tc>
        <w:tc>
          <w:tcPr>
            <w:tcW w:w="4876" w:type="dxa"/>
            <w:tcBorders>
              <w:top w:val="nil"/>
              <w:left w:val="nil"/>
              <w:bottom w:val="nil"/>
              <w:right w:val="nil"/>
            </w:tcBorders>
          </w:tcPr>
          <w:p>
            <w:pPr>
              <w:pStyle w:val="Normal6a"/>
            </w:pPr>
            <w:r>
              <w:t>15.</w:t>
            </w:r>
            <w:r>
              <w:tab/>
            </w:r>
            <w:r>
              <w:t xml:space="preserve">încredințează Președintei sarcina de a transmite </w:t>
            </w:r>
            <w:r>
              <w:rPr>
                <w:b/>
                <w:i/>
              </w:rPr>
              <w:t>prezenta rezoluție</w:t>
            </w:r>
            <w:r>
              <w:t xml:space="preserve"> Comisiei și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RECOMANDĂRI PRIVIND CONȚINUTUL PROPUNERII SOLICITATE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 directivă europeană pentru o tranziție justă în lumea muncii:</w:t>
            </w:r>
            <w:r>
              <w:rPr>
                <w:b/>
                <w:i/>
              </w:rPr>
              <w:t xml:space="preserve"> </w:t>
            </w:r>
            <w:r>
              <w:rPr>
                <w:b/>
                <w:i/>
              </w:rPr>
              <w:t>asigurarea creării de locuri de muncă și revitalizarea economiilor locale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Parlamentul European consideră că viitoarea propunere legislativă de directivă privind tranziția justă în lumea muncii:</w:t>
            </w:r>
            <w:r>
              <w:rPr>
                <w:b/>
                <w:i/>
              </w:rPr>
              <w:t xml:space="preserve"> </w:t>
            </w:r>
            <w:r>
              <w:rPr>
                <w:b/>
                <w:i/>
              </w:rPr>
              <w:t>asigurarea creării de locuri de muncă și revitalizarea economiilor locale, ar trebui să respecte următoarele principii și obiective: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Obiectivul general al propunerii este de a stabili un cadru de măsuri de politică al Uniunii, care să poată fi pus în practică în regiunile afectate de tranziția verde și cea digitală, cu scopul de a asigura o tranziție echitabilă din punct de vedere social și incluzivă și de a crea de locuri de muncă de calitate.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Obiectivul general al propunerii este de a stabili un cadru de măsuri de politică al Uniunii, care să poată fi pus în practică în regiunile afectate de tranziția verde și cea digitală, cu scopul de a asigura o tranziție echitabilă din punct de vedere social și incluzivă și de a crea de locuri de muncă de calitate.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Forma propunerii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Propunerea ar trebui să ia forma unei directive.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Având în vedere că pentru atingerea acestui obiectiv este necesar un pachet cuprinzător de măsuri, propunerea ar trebui să conțină elemente privind următoarele aspecte: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condițiile de muncă;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integrarea persoanelor excluse de pe piața forței de muncă;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informarea și consultarea lucrătorilor;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îmbunătățirea mediului de muncă, pentru a proteja sănătatea și siguranța lucrătorilor.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Obiectul propunerii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Propunerea ar trebui să se axeze pe următoarele măsuri de politică: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instituirea unui cadru specific care să asigure pregătirea pentru schimbări și gestionarea acestora în regiunile și sectoarele care vor fi afectate de tranziție, pe baza principiilor informării și consultării, dialogului social și negocierii colective;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asigurarea, pe baza unei revizuiri a cadrului legislativ, a faptului că dreptul la informare și consultare al lucrătorilor și al reprezentanților acestora este aplicat efectiv în contextul tranzițiilor;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stabilirea unui drept individual pentru lucrători la formare gratuită în timpul programului de lucru;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stabilirea unor strategii naționale pentru o tranziție justă, cu un accent deosebit pe elaborarea unei viziuni pe termen lung pentru economiile și forța de muncă locale din toate regiunile afectate;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dezvoltarea de programe de sprijin pentru întreprinderi, în special pentru IMM-uri și actorii locali, pentru a încuraja crearea de locuri de muncă la nivel local;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asigurarea unei corelări între cererea și oferta de forță de muncă și de competențe prin utilizarea simultană a informațiilor privind piața forței de muncă, a unei colaborări mai strânse între actorii locali și organismele de formare și a promovării unor planuri de tranziție la nivel de întreprindere;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crearea unei structuri de monitorizare care să pună la dispoziție analize prospective strategice privind impactul tranziției și evoluțiile de pe piața forței de muncă.</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RECOMANDĂRI PRIVIND CONȚINUTUL PROPUNERII SOLICITATE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 directivă europeană pentru o tranziție justă în lumea muncii:</w:t>
            </w:r>
            <w:r>
              <w:rPr>
                <w:b/>
                <w:i/>
              </w:rPr>
              <w:t xml:space="preserve"> </w:t>
            </w:r>
            <w:r>
              <w:rPr>
                <w:b/>
                <w:i/>
              </w:rPr>
              <w:t>asigurarea creării de locuri de muncă și revitalizarea economiilor locale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Parlamentul European consideră că viitoarea propunere legislativă de directivă privind tranziția justă în lumea muncii:</w:t>
            </w:r>
            <w:r>
              <w:rPr>
                <w:b/>
                <w:i/>
              </w:rPr>
              <w:t xml:space="preserve"> </w:t>
            </w:r>
            <w:r>
              <w:rPr>
                <w:b/>
                <w:i/>
              </w:rPr>
              <w:t>asigurarea creării de locuri de muncă și revitalizarea economiilor locale, ar trebui să respecte următoarele principii și obiective: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Obiectivul general al propunerii este de a stabili un cadru de măsuri de politică al Uniunii, care să poată fi pus în practică în regiunile afectate de tranziția verde și cea digitală, cu scopul de a asigura o tranziție echitabilă din punct de vedere social și incluzivă și de a crea de locuri de muncă de calitate.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Obiectivul general al propunerii este de a stabili un cadru de măsuri de politică al Uniunii, care să poată fi pus în practică în regiunile afectate de tranziția verde și cea digitală, cu scopul de a asigura o tranziție echitabilă din punct de vedere social și incluzivă și de a crea de locuri de muncă de calitate.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Forma propunerii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Propunerea ar trebui să ia forma unei directive.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Având în vedere că pentru atingerea acestui obiectiv este necesar un pachet cuprinzător de măsuri, propunerea ar trebui să conțină elemente privind următoarele aspecte: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condițiile de muncă;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integrarea persoanelor excluse de pe piața forței de muncă;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informarea și consultarea lucrătorilor;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îmbunătățirea mediului de muncă, pentru a proteja sănătatea și siguranța lucrătorilor.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Obiectul propunerii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Propunerea ar trebui să se axeze pe următoarele măsuri de politică: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instituirea unui cadru specific care să asigure pregătirea pentru schimbări și gestionarea acestora în regiunile și sectoarele care vor fi afectate de tranziție, pe baza principiilor informării și consultării, dialogului social și negocierii colective;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asigurarea, pe baza unei revizuiri a cadrului legislativ, a faptului că dreptul la informare și consultare al lucrătorilor și al reprezentanților acestora este aplicat efectiv în contextul tranzițiilor;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stabilirea unui drept individual pentru lucrători la formare gratuită în timpul programului de lucru;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stabilirea unor strategii naționale pentru o tranziție justă, cu un accent deosebit pe elaborarea unei viziuni pe termen lung pentru economiile și forța de muncă locale din toate regiunile afectate;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dezvoltarea de programe de sprijin pentru întreprinderi, în special pentru IMM-uri și actorii locali, pentru a încuraja crearea de locuri de muncă la nivel local;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asigurarea unei corelări între cererea și oferta de forță de muncă și de competențe prin utilizarea simultană a informațiilor privind piața forței de muncă, a unei colaborări mai strânse între actorii locali și organismele de formare și a promovării unor planuri de tranziție la nivel de întreprindere;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crearea unei structuri de monitorizare care să pună la dispoziție analize prospective strategice privind impactul tranziției și evoluțiile de pe piața forței de muncă.</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Obiectivul general al propunerii este de a </w:t>
            </w:r>
            <w:r>
              <w:rPr>
                <w:b/>
                <w:i/>
              </w:rPr>
              <w:t>stabili un cadru de</w:t>
            </w:r>
            <w:r>
              <w:t xml:space="preserve"> măsuri de politică </w:t>
            </w:r>
            <w:r>
              <w:rPr>
                <w:b/>
                <w:i/>
              </w:rPr>
              <w:t>al Uniunii</w:t>
            </w:r>
            <w:r>
              <w:t xml:space="preserve">, care să poată fi </w:t>
            </w:r>
            <w:r>
              <w:rPr>
                <w:b/>
                <w:i/>
              </w:rPr>
              <w:t>pus</w:t>
            </w:r>
            <w:r>
              <w:t xml:space="preserve"> în practică în </w:t>
            </w:r>
            <w:r>
              <w:rPr>
                <w:b/>
                <w:i/>
              </w:rPr>
              <w:t>regiunile</w:t>
            </w:r>
            <w:r>
              <w:t xml:space="preserve"> afectate de tranziția verde și cea digitală, cu scopul de a asigura </w:t>
            </w:r>
            <w:r>
              <w:rPr>
                <w:b/>
                <w:i/>
              </w:rPr>
              <w:t>o tranziție echitabilă din punct de vedere social și incluzivă și de a crea de</w:t>
            </w:r>
            <w:r>
              <w:t xml:space="preserve"> locuri de muncă de calitate.</w:t>
            </w:r>
          </w:p>
        </w:tc>
        <w:tc>
          <w:tcPr>
            <w:tcW w:w="4876" w:type="dxa"/>
            <w:tcBorders>
              <w:top w:val="nil"/>
              <w:left w:val="nil"/>
              <w:bottom w:val="nil"/>
              <w:right w:val="nil"/>
            </w:tcBorders>
          </w:tcPr>
          <w:p>
            <w:pPr>
              <w:pStyle w:val="Normal6a"/>
            </w:pPr>
            <w:r>
              <w:t xml:space="preserve">Obiectivul general al propunerii este de a </w:t>
            </w:r>
            <w:r>
              <w:rPr>
                <w:b/>
                <w:i/>
              </w:rPr>
              <w:t>favoriza apariția unor</w:t>
            </w:r>
            <w:r>
              <w:t xml:space="preserve"> măsuri de politică </w:t>
            </w:r>
            <w:r>
              <w:rPr>
                <w:b/>
                <w:i/>
              </w:rPr>
              <w:t>în cadrul statelor membre</w:t>
            </w:r>
            <w:r>
              <w:t xml:space="preserve">, care să poată fi </w:t>
            </w:r>
            <w:r>
              <w:rPr>
                <w:b/>
                <w:i/>
              </w:rPr>
              <w:t>puse</w:t>
            </w:r>
            <w:r>
              <w:t xml:space="preserve"> în practică în </w:t>
            </w:r>
            <w:r>
              <w:rPr>
                <w:b/>
                <w:i/>
              </w:rPr>
              <w:t>zonele</w:t>
            </w:r>
            <w:r>
              <w:t xml:space="preserve"> afectate de tranziția verde și cea digitală, cu scopul de a asigura locuri de muncă de calitate.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Obiectivul general al propunerii este de a stabili un cadru de măsuri de politică al Uniunii, care să poată fi pus în practică în regiunile afectate de tranziția verde și cea digitală, cu scopul de a asigura o tranziție echitabilă din punct de vedere social și incluzivă și de a crea de locuri de muncă de calitate.</w:t>
            </w:r>
          </w:p>
        </w:tc>
        <w:tc>
          <w:tcPr>
            <w:tcW w:w="4876" w:type="dxa"/>
            <w:tcBorders>
              <w:top w:val="nil"/>
              <w:left w:val="nil"/>
              <w:bottom w:val="nil"/>
              <w:right w:val="nil"/>
            </w:tcBorders>
          </w:tcPr>
          <w:p>
            <w:pPr>
              <w:pStyle w:val="Normal6a"/>
            </w:pPr>
            <w:r>
              <w:t>Obiectivul general al propunerii este de a stabili un cadru de măsuri de politică al Uniunii, care să poată fi pus în practică în regiunile afectate de tranziția verde și cea digitală, cu scopul de a asigura o tranziție echitabilă din punct de vedere social și incluzivă și de a crea de locuri de muncă de calitate</w:t>
            </w:r>
            <w:r>
              <w:rPr>
                <w:b/>
                <w:i/>
              </w:rPr>
              <w:t>, acordând o atenție deosebită locurilor de muncă cu normă întreagă și stabile, remunerației echitabile, contractelor colective de muncă, egalității de gen, precum și reducerii precarității și a muncii nedeclarate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Obiectivul general al propunerii este de a stabili un cadru de măsuri de politică al Uniunii, care să poată fi pus în practică în regiunile afectate de tranziția verde și cea digitală, cu scopul de a asigura o tranziție echitabilă din punct de vedere social și incluzivă </w:t>
            </w:r>
            <w:r>
              <w:rPr>
                <w:b/>
                <w:i/>
              </w:rPr>
              <w:t>și</w:t>
            </w:r>
            <w:r>
              <w:t xml:space="preserve"> de a crea </w:t>
            </w:r>
            <w:r>
              <w:rPr>
                <w:b/>
                <w:i/>
              </w:rPr>
              <w:t>de</w:t>
            </w:r>
            <w:r>
              <w:t xml:space="preserve"> locuri de muncă de calitate.</w:t>
            </w:r>
          </w:p>
        </w:tc>
        <w:tc>
          <w:tcPr>
            <w:tcW w:w="4876" w:type="dxa"/>
            <w:tcBorders>
              <w:top w:val="nil"/>
              <w:left w:val="nil"/>
              <w:bottom w:val="nil"/>
              <w:right w:val="nil"/>
            </w:tcBorders>
          </w:tcPr>
          <w:p>
            <w:pPr>
              <w:pStyle w:val="Normal6a"/>
            </w:pPr>
            <w:r>
              <w:t>Obiectivul general al propunerii este de a stabili un cadru de măsuri de politică al Uniunii, care să poată fi pus în practică în regiunile afectate de tranziția verde și cea digitală, cu scopul de a asigura o tranziție echitabilă din punct de vedere social și incluzivă</w:t>
            </w:r>
            <w:r>
              <w:rPr>
                <w:b/>
                <w:i/>
              </w:rPr>
              <w:t>,</w:t>
            </w:r>
            <w:r>
              <w:t xml:space="preserve"> de a crea locuri de muncă de calitate </w:t>
            </w:r>
            <w:r>
              <w:rPr>
                <w:b/>
                <w:i/>
              </w:rPr>
              <w:t>și de a le proteja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1 – alineatul 1 – paragraful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Obiectivul general al propunerii ar trebui să vizeze, de asemenea, problema reducerii afluxului de migranți ilegali necalificați și a aprovizionării IMM-urilor cu energie accesibilă ca preț și la costuri reduse.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2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Propunerea ar trebui să ia forma unei directive.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2 – paragraful 2 – punctul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includerea unor standarde minime obligatorii pentru a asigura o protecție socială puternică, protecția împotriva disponibilizărilor în perioadele de tranziție și recunoașterea juridică a drepturilor de participare ale lucrătorilor;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2 – paragraful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 astfel de directivă trebuie să permită statelor membre să ofere partenerilor sociali, la un nivel corespunzător și în condițiile stabilite de statele membre, posibilitatea de a menține sau de a încheia convenții colective care adaptează, completează și/sau diferă de normele incluse în directivă, atât timp cât sistemul național garantează un rezultat just și nu încalcă drepturile fundamentale.</w:t>
            </w:r>
            <w:r>
              <w:t xml:space="preserve"> </w:t>
            </w:r>
            <w:r>
              <w:rPr>
                <w:b/>
                <w:i/>
              </w:rPr>
              <w:t>Directiva nu trebuie să afecteze în niciun fel exercitarea drepturilor fundamentale, astfel cum sunt recunoscute în statele membre și la nivelul Uniunii, inclusiv dreptul sau libertatea de a intra în grevă sau de a întreprinde alte acțiuni care țin de sistemele specifice de relații de muncă din statele membre, în conformitate cu legislația și/sau cu practicile naționale.</w:t>
            </w:r>
            <w:r>
              <w:t xml:space="preserve"> </w:t>
            </w:r>
            <w:r>
              <w:rPr>
                <w:b/>
                <w:i/>
              </w:rPr>
              <w:t>Directiva nu trebuie să afecteze nici dreptul de a negocia, de a încheia și de a pune în aplicare convenții colective sau de a desfășura acțiuni colective în conformitate cu dreptul intern și/sau cu practicile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în numele grupului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Propunerea ar trebui să se axeze pe următoarele măsuri de politică:</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Propunerea ar trebui să se axeze pe următoarele măsuri de politică: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instituirea unui cadru specific care să asigure pregătirea pentru schimbări și gestionarea acestora în regiunile și sectoarele care vor fi afectate de tranziție, pe baza principiilor informării și consultării, dialogului social și negocierii colective;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asigurarea, pe baza unei revizuiri a cadrului legislativ, a faptului că dreptul la informare și consultare al lucrătorilor și al reprezentanților acestora este aplicat efectiv în contextul tranzițiilor;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stabilirea unui drept individual pentru lucrători la formare gratuită în timpul programului de lucru;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stabilirea unor strategii naționale pentru o tranziție justă, cu un accent deosebit pe elaborarea unei viziuni pe termen lung pentru economiile și forța de muncă locale din toate regiunile afectate;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dezvoltarea de programe de sprijin pentru întreprinderi, în special pentru IMM-uri și actorii locali, pentru a încuraja crearea de locuri de muncă la nivel local;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asigurarea unei corelări între cererea și oferta de forță de muncă și de competențe prin utilizarea simultană a informațiilor privind piața forței de muncă, a unei colaborări mai strânse între actorii locali și organismele de formare și a promovării unor planuri de tranziție la nivel de întreprindere;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crearea unei structuri de monitorizare care să pună la dispoziție analize prospective strategice privind impactul tranziției și evoluțiile de pe piața forței de muncă.</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instituirea unui cadru specific care să asigure pregătirea pentru schimbări și gestionarea acestora în regiunile </w:t>
            </w:r>
            <w:r>
              <w:rPr>
                <w:b/>
                <w:i/>
              </w:rPr>
              <w:t>și</w:t>
            </w:r>
            <w:r>
              <w:t xml:space="preserve"> sectoarele care vor fi afectate de tranziție, </w:t>
            </w:r>
            <w:r>
              <w:rPr>
                <w:b/>
                <w:i/>
              </w:rPr>
              <w:t>pe baza principiilor informării și consultării, dialogului</w:t>
            </w:r>
            <w:r>
              <w:t xml:space="preserve"> social și </w:t>
            </w:r>
            <w:r>
              <w:rPr>
                <w:b/>
                <w:i/>
              </w:rPr>
              <w:t>negocierii</w:t>
            </w:r>
            <w:r>
              <w:t xml:space="preserve"> colective;</w:t>
            </w:r>
          </w:p>
        </w:tc>
        <w:tc>
          <w:tcPr>
            <w:tcW w:w="4876" w:type="dxa"/>
            <w:tcBorders>
              <w:top w:val="nil"/>
              <w:left w:val="nil"/>
              <w:bottom w:val="nil"/>
              <w:right w:val="nil"/>
            </w:tcBorders>
          </w:tcPr>
          <w:p>
            <w:pPr>
              <w:pStyle w:val="Normal6a"/>
            </w:pPr>
            <w:r>
              <w:t>(a)</w:t>
            </w:r>
            <w:r>
              <w:tab/>
            </w:r>
            <w:r>
              <w:t>instituirea unui cadru specific care să asigure pregătirea pentru schimbări și gestionarea acestora în regiunile</w:t>
            </w:r>
            <w:r>
              <w:rPr>
                <w:b/>
                <w:i/>
              </w:rPr>
              <w:t>,</w:t>
            </w:r>
            <w:r>
              <w:t xml:space="preserve"> sectoarele </w:t>
            </w:r>
            <w:r>
              <w:rPr>
                <w:b/>
                <w:i/>
              </w:rPr>
              <w:t>și întreprinderile</w:t>
            </w:r>
            <w:r>
              <w:t xml:space="preserve"> care vor fi afectate de tranziție, </w:t>
            </w:r>
            <w:r>
              <w:rPr>
                <w:b/>
                <w:i/>
              </w:rPr>
              <w:t>prin informarea și consultarea în timp util și efectivă a lucrătorilor și a reprezentanților acestora (precum și a altor părți interesate vizate, inclusiv a comunităților locale, a populațiilor indigene, a grupurilor de tineret și a cetățenilor afectați), prin dialog</w:t>
            </w:r>
            <w:r>
              <w:t xml:space="preserve"> social și </w:t>
            </w:r>
            <w:r>
              <w:rPr>
                <w:b/>
                <w:i/>
              </w:rPr>
              <w:t>negocieri</w:t>
            </w:r>
            <w:r>
              <w:t xml:space="preserve"> colective;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instituirea unui cadru specific care să asigure pregătirea pentru schimbări și gestionarea acestora în regiunile </w:t>
            </w:r>
            <w:r>
              <w:rPr>
                <w:b/>
                <w:i/>
              </w:rPr>
              <w:t>și</w:t>
            </w:r>
            <w:r>
              <w:t xml:space="preserve"> sectoarele care vor fi afectate de tranziție, </w:t>
            </w:r>
            <w:r>
              <w:rPr>
                <w:b/>
                <w:i/>
              </w:rPr>
              <w:t>pe baza principiilor informării și consultării, dialogului</w:t>
            </w:r>
            <w:r>
              <w:t xml:space="preserve"> social și </w:t>
            </w:r>
            <w:r>
              <w:rPr>
                <w:b/>
                <w:i/>
              </w:rPr>
              <w:t>negocierii</w:t>
            </w:r>
            <w:r>
              <w:t xml:space="preserve"> colective;</w:t>
            </w:r>
          </w:p>
        </w:tc>
        <w:tc>
          <w:tcPr>
            <w:tcW w:w="4876" w:type="dxa"/>
            <w:tcBorders>
              <w:top w:val="nil"/>
              <w:left w:val="nil"/>
              <w:bottom w:val="nil"/>
              <w:right w:val="nil"/>
            </w:tcBorders>
          </w:tcPr>
          <w:p>
            <w:pPr>
              <w:pStyle w:val="Normal6a"/>
            </w:pPr>
            <w:r>
              <w:t>(a)</w:t>
            </w:r>
            <w:r>
              <w:tab/>
            </w:r>
            <w:r>
              <w:t>instituirea unui cadru specific care să asigure pregătirea pentru schimbări și gestionarea acestora în regiunile</w:t>
            </w:r>
            <w:r>
              <w:rPr>
                <w:b/>
                <w:i/>
              </w:rPr>
              <w:t>,</w:t>
            </w:r>
            <w:r>
              <w:t xml:space="preserve"> sectoarele </w:t>
            </w:r>
            <w:r>
              <w:rPr>
                <w:b/>
                <w:i/>
              </w:rPr>
              <w:t>și întreprinderile</w:t>
            </w:r>
            <w:r>
              <w:t xml:space="preserve"> care vor fi afectate de tranziție, </w:t>
            </w:r>
            <w:r>
              <w:rPr>
                <w:b/>
                <w:i/>
              </w:rPr>
              <w:t>prin informarea și consultarea în timp util și efectivă, prin dialog</w:t>
            </w:r>
            <w:r>
              <w:t xml:space="preserve"> social și </w:t>
            </w:r>
            <w:r>
              <w:rPr>
                <w:b/>
                <w:i/>
              </w:rPr>
              <w:t>negocieri</w:t>
            </w:r>
            <w:r>
              <w:t xml:space="preserve"> colective;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instituirea unui cadru specific care să asigure pregătirea pentru schimbări și gestionarea acestora în regiunile </w:t>
            </w:r>
            <w:r>
              <w:rPr>
                <w:b/>
                <w:i/>
              </w:rPr>
              <w:t>și</w:t>
            </w:r>
            <w:r>
              <w:t xml:space="preserve"> sectoarele care vor fi afectate de tranziție, </w:t>
            </w:r>
            <w:r>
              <w:rPr>
                <w:b/>
                <w:i/>
              </w:rPr>
              <w:t>pe baza principiilor informării și consultării, dialogului</w:t>
            </w:r>
            <w:r>
              <w:t xml:space="preserve"> social și </w:t>
            </w:r>
            <w:r>
              <w:rPr>
                <w:b/>
                <w:i/>
              </w:rPr>
              <w:t>negocierii</w:t>
            </w:r>
            <w:r>
              <w:t xml:space="preserve"> colective;</w:t>
            </w:r>
          </w:p>
        </w:tc>
        <w:tc>
          <w:tcPr>
            <w:tcW w:w="4876" w:type="dxa"/>
            <w:tcBorders>
              <w:top w:val="nil"/>
              <w:left w:val="nil"/>
              <w:bottom w:val="nil"/>
              <w:right w:val="nil"/>
            </w:tcBorders>
          </w:tcPr>
          <w:p>
            <w:pPr>
              <w:pStyle w:val="Normal6a"/>
            </w:pPr>
            <w:r>
              <w:t>(a)</w:t>
            </w:r>
            <w:r>
              <w:tab/>
            </w:r>
            <w:r>
              <w:t>instituirea unui cadru specific care să asigure pregătirea pentru schimbări și gestionarea acestora în regiunile</w:t>
            </w:r>
            <w:r>
              <w:rPr>
                <w:b/>
                <w:i/>
              </w:rPr>
              <w:t>,</w:t>
            </w:r>
            <w:r>
              <w:t xml:space="preserve"> sectoarele </w:t>
            </w:r>
            <w:r>
              <w:rPr>
                <w:b/>
                <w:i/>
              </w:rPr>
              <w:t>și întreprinderile</w:t>
            </w:r>
            <w:r>
              <w:t xml:space="preserve"> care vor fi afectate de tranziție, </w:t>
            </w:r>
            <w:r>
              <w:rPr>
                <w:b/>
                <w:i/>
              </w:rPr>
              <w:t>prin informarea și consultarea în timp util și efectivă, prin dialog</w:t>
            </w:r>
            <w:r>
              <w:t xml:space="preserve"> social și </w:t>
            </w:r>
            <w:r>
              <w:rPr>
                <w:b/>
                <w:i/>
              </w:rPr>
              <w:t>negocieri</w:t>
            </w:r>
            <w:r>
              <w:t xml:space="preserve"> colective;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punctul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instituirea unui cadru specific care să asigure pregătirea pentru schimbări și gestionarea acestora în regiunile și sectoarele care vor fi afectate de tranziție, pe baza principiilor informării și consultării, dialogului social și negocierii colective;</w:t>
            </w:r>
          </w:p>
        </w:tc>
        <w:tc>
          <w:tcPr>
            <w:tcW w:w="4876" w:type="dxa"/>
            <w:tcBorders>
              <w:top w:val="nil"/>
              <w:left w:val="nil"/>
              <w:bottom w:val="nil"/>
              <w:right w:val="nil"/>
            </w:tcBorders>
          </w:tcPr>
          <w:p>
            <w:pPr>
              <w:pStyle w:val="Normal6a"/>
            </w:pPr>
            <w:r>
              <w:t>(a)</w:t>
            </w:r>
            <w:r>
              <w:tab/>
            </w:r>
            <w:r>
              <w:t xml:space="preserve">instituirea unui cadru specific care să asigure pregătirea pentru schimbări și gestionarea acestora în regiunile și sectoarele care vor fi afectate de tranziție, pe baza principiilor informării și consultării, dialogului social </w:t>
            </w:r>
            <w:r>
              <w:rPr>
                <w:b/>
                <w:i/>
              </w:rPr>
              <w:t>obligatoriu</w:t>
            </w:r>
            <w:r>
              <w:t xml:space="preserve"> și negocierii colective;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stabilirea unor drepturi individuale pentru o tranziție justă:</w:t>
            </w:r>
            <w:r>
              <w:t xml:space="preserve"> </w:t>
            </w:r>
            <w:r>
              <w:rPr>
                <w:b/>
                <w:i/>
              </w:rPr>
              <w:t>dreptul lucrătorilor la condiții de muncă echitabile și decente, precum și competențele și formarea necesare pentru tranziții;</w:t>
            </w:r>
            <w:r>
              <w:t xml:space="preserve"> </w:t>
            </w:r>
            <w:r>
              <w:rPr>
                <w:b/>
                <w:i/>
              </w:rPr>
              <w:t>pentru toate persoanele afectate de dubla tranziție și de restructurările conexe, dreptul de acces la locuri de muncă în condiții echitabile și decente și dreptul de a rămâne în zona lor geografică actuală.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ab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stabilirea unui drept colectiv la o tranziție justă:</w:t>
            </w:r>
            <w:r>
              <w:t xml:space="preserve"> </w:t>
            </w:r>
            <w:r>
              <w:rPr>
                <w:b/>
                <w:i/>
              </w:rPr>
              <w:t>statele membre trebuie să se asigure că nu sunt lăsate în urmă niciun teritoriu și nicio comunitate;</w:t>
            </w:r>
            <w:r>
              <w:t xml:space="preserve"> </w:t>
            </w:r>
            <w:r>
              <w:rPr>
                <w:b/>
                <w:i/>
              </w:rPr>
              <w:t>aceasta înseamnă dreptul de a trăi într-un mediu sănătos, de a beneficia de oportunități de angajare în diferite sectoare și de acces la servicii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asigurarea</w:t>
            </w:r>
            <w:r>
              <w:rPr>
                <w:b/>
                <w:i/>
              </w:rPr>
              <w:t>, pe baza unei revizuiri a cadrului legislativ, a</w:t>
            </w:r>
            <w:r>
              <w:t xml:space="preserve"> faptului că dreptul la informare și consultare al lucrătorilor și al reprezentanților acestora este aplicat efectiv în contextul tranzițiilor;</w:t>
            </w:r>
          </w:p>
        </w:tc>
        <w:tc>
          <w:tcPr>
            <w:tcW w:w="4876" w:type="dxa"/>
            <w:tcBorders>
              <w:top w:val="nil"/>
              <w:left w:val="nil"/>
              <w:bottom w:val="nil"/>
              <w:right w:val="nil"/>
            </w:tcBorders>
          </w:tcPr>
          <w:p>
            <w:pPr>
              <w:pStyle w:val="Normal6a"/>
            </w:pPr>
            <w:r>
              <w:t>(b)</w:t>
            </w:r>
            <w:r>
              <w:tab/>
            </w:r>
            <w:r>
              <w:t>asigurarea faptului că dreptul la informare și consultare al lucrătorilor și al reprezentanților acestora</w:t>
            </w:r>
            <w:r>
              <w:rPr>
                <w:b/>
                <w:i/>
              </w:rPr>
              <w:t>, astfel cum este prevăzut în dispozițiile Uniunii și în dispozițiile naționale privind informarea și consultarea, inclusiv în Directiva 2002/14/CE,</w:t>
            </w:r>
            <w:r>
              <w:t xml:space="preserve"> este aplicat efectiv în contextul tranzițiilor;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asigurarea, pe baza unei revizuiri a cadrului legislativ, a faptului că </w:t>
            </w:r>
            <w:r>
              <w:rPr>
                <w:b/>
                <w:i/>
              </w:rPr>
              <w:t>dreptul la informare și consultare al</w:t>
            </w:r>
            <w:r>
              <w:t xml:space="preserve"> lucrătorilor și </w:t>
            </w:r>
            <w:r>
              <w:rPr>
                <w:b/>
                <w:i/>
              </w:rPr>
              <w:t>al</w:t>
            </w:r>
            <w:r>
              <w:t xml:space="preserve"> reprezentanților acestora </w:t>
            </w:r>
            <w:r>
              <w:rPr>
                <w:b/>
                <w:i/>
              </w:rPr>
              <w:t>este aplicat</w:t>
            </w:r>
            <w:r>
              <w:t xml:space="preserve"> efectiv în contextul tranzițiilor</w:t>
            </w:r>
            <w:r>
              <w:rPr>
                <w:b/>
                <w:i/>
              </w:rPr>
              <w:t>;</w:t>
            </w:r>
          </w:p>
        </w:tc>
        <w:tc>
          <w:tcPr>
            <w:tcW w:w="4876" w:type="dxa"/>
            <w:tcBorders>
              <w:top w:val="nil"/>
              <w:left w:val="nil"/>
              <w:bottom w:val="nil"/>
              <w:right w:val="nil"/>
            </w:tcBorders>
          </w:tcPr>
          <w:p>
            <w:pPr>
              <w:pStyle w:val="Normal6a"/>
            </w:pPr>
            <w:r>
              <w:t>(b)</w:t>
            </w:r>
            <w:r>
              <w:tab/>
            </w:r>
            <w:r>
              <w:t xml:space="preserve">asigurarea, pe baza unei revizuiri a cadrului legislativ, a faptului că </w:t>
            </w:r>
            <w:r>
              <w:rPr>
                <w:b/>
                <w:i/>
              </w:rPr>
              <w:t>drepturile</w:t>
            </w:r>
            <w:r>
              <w:t xml:space="preserve"> lucrătorilor și </w:t>
            </w:r>
            <w:r>
              <w:rPr>
                <w:b/>
                <w:i/>
              </w:rPr>
              <w:t>ale</w:t>
            </w:r>
            <w:r>
              <w:t xml:space="preserve"> reprezentanților acestora </w:t>
            </w:r>
            <w:r>
              <w:rPr>
                <w:b/>
                <w:i/>
              </w:rPr>
              <w:t>de a fi informați și consultați sunt întărite și aplicate</w:t>
            </w:r>
            <w:r>
              <w:t xml:space="preserve"> efectiv în contextul tranzițiilor </w:t>
            </w:r>
            <w:r>
              <w:rPr>
                <w:b/>
                <w:i/>
              </w:rPr>
              <w:t>și consolidarea competențelor părților interesate, inclusiv ale lucrătorilor și ale comunităților locale, de a participa la conceperea măsurilor pentru o tranziție justă și la adoptarea deciziilor în legătură cu acestea.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asigurarea, pe baza unei revizuiri a cadrului legislativ, a faptului că </w:t>
            </w:r>
            <w:r>
              <w:rPr>
                <w:b/>
                <w:i/>
              </w:rPr>
              <w:t>dreptul la informare și consultare al</w:t>
            </w:r>
            <w:r>
              <w:t xml:space="preserve"> lucrătorilor și </w:t>
            </w:r>
            <w:r>
              <w:rPr>
                <w:b/>
                <w:i/>
              </w:rPr>
              <w:t>al</w:t>
            </w:r>
            <w:r>
              <w:t xml:space="preserve"> reprezentanților acestora </w:t>
            </w:r>
            <w:r>
              <w:rPr>
                <w:b/>
                <w:i/>
              </w:rPr>
              <w:t>este aplicat</w:t>
            </w:r>
            <w:r>
              <w:t xml:space="preserve"> efectiv în contextul tranzițiilor</w:t>
            </w:r>
            <w:r>
              <w:rPr>
                <w:b/>
                <w:i/>
              </w:rPr>
              <w:t>;</w:t>
            </w:r>
          </w:p>
        </w:tc>
        <w:tc>
          <w:tcPr>
            <w:tcW w:w="4876" w:type="dxa"/>
            <w:tcBorders>
              <w:top w:val="nil"/>
              <w:left w:val="nil"/>
              <w:bottom w:val="nil"/>
              <w:right w:val="nil"/>
            </w:tcBorders>
          </w:tcPr>
          <w:p>
            <w:pPr>
              <w:pStyle w:val="Normal6a"/>
            </w:pPr>
            <w:r>
              <w:t>(b)</w:t>
            </w:r>
            <w:r>
              <w:tab/>
            </w:r>
            <w:r>
              <w:t xml:space="preserve">asigurarea, pe baza unei revizuiri a cadrului legislativ, a faptului că </w:t>
            </w:r>
            <w:r>
              <w:rPr>
                <w:b/>
                <w:i/>
              </w:rPr>
              <w:t>drepturile</w:t>
            </w:r>
            <w:r>
              <w:t xml:space="preserve"> lucrătorilor și </w:t>
            </w:r>
            <w:r>
              <w:rPr>
                <w:b/>
                <w:i/>
              </w:rPr>
              <w:t>ale</w:t>
            </w:r>
            <w:r>
              <w:t xml:space="preserve"> reprezentanților acestora </w:t>
            </w:r>
            <w:r>
              <w:rPr>
                <w:b/>
                <w:i/>
              </w:rPr>
              <w:t>de a fi informați și consultați sunt întărite și aplicate</w:t>
            </w:r>
            <w:r>
              <w:t xml:space="preserve"> efectiv în contextul tranzițiilor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asigurarea, pe baza unei revizuiri a cadrului legislativ, a faptului că </w:t>
            </w:r>
            <w:r>
              <w:rPr>
                <w:b/>
                <w:i/>
              </w:rPr>
              <w:t>dreptul la informare și consultare al</w:t>
            </w:r>
            <w:r>
              <w:t xml:space="preserve"> lucrătorilor și </w:t>
            </w:r>
            <w:r>
              <w:rPr>
                <w:b/>
                <w:i/>
              </w:rPr>
              <w:t>al</w:t>
            </w:r>
            <w:r>
              <w:t xml:space="preserve"> reprezentanților acestora </w:t>
            </w:r>
            <w:r>
              <w:rPr>
                <w:b/>
                <w:i/>
              </w:rPr>
              <w:t>este aplicat</w:t>
            </w:r>
            <w:r>
              <w:t xml:space="preserve"> efectiv în contextul tranzițiilor</w:t>
            </w:r>
            <w:r>
              <w:rPr>
                <w:b/>
                <w:i/>
              </w:rPr>
              <w:t>;</w:t>
            </w:r>
          </w:p>
        </w:tc>
        <w:tc>
          <w:tcPr>
            <w:tcW w:w="4876" w:type="dxa"/>
            <w:tcBorders>
              <w:top w:val="nil"/>
              <w:left w:val="nil"/>
              <w:bottom w:val="nil"/>
              <w:right w:val="nil"/>
            </w:tcBorders>
          </w:tcPr>
          <w:p>
            <w:pPr>
              <w:pStyle w:val="Normal6a"/>
            </w:pPr>
            <w:r>
              <w:t>(b)</w:t>
            </w:r>
            <w:r>
              <w:tab/>
            </w:r>
            <w:r>
              <w:t xml:space="preserve">asigurarea, pe baza unei revizuiri a cadrului legislativ, a faptului că </w:t>
            </w:r>
            <w:r>
              <w:rPr>
                <w:b/>
                <w:i/>
              </w:rPr>
              <w:t>drepturile</w:t>
            </w:r>
            <w:r>
              <w:t xml:space="preserve"> lucrătorilor și </w:t>
            </w:r>
            <w:r>
              <w:rPr>
                <w:b/>
                <w:i/>
              </w:rPr>
              <w:t>ale</w:t>
            </w:r>
            <w:r>
              <w:t xml:space="preserve"> reprezentanților acestora </w:t>
            </w:r>
            <w:r>
              <w:rPr>
                <w:b/>
                <w:i/>
              </w:rPr>
              <w:t>de a fi informați și consultați sunt întărite și aplicate</w:t>
            </w:r>
            <w:r>
              <w:t xml:space="preserve"> efectiv în contextul tranzițiilor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punctul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stabilirea unui drept </w:t>
            </w:r>
            <w:r>
              <w:rPr>
                <w:b/>
                <w:i/>
              </w:rPr>
              <w:t>individual</w:t>
            </w:r>
            <w:r>
              <w:t xml:space="preserve"> pentru lucrători la formare gratuită în timpul programului de lucru;</w:t>
            </w:r>
          </w:p>
        </w:tc>
        <w:tc>
          <w:tcPr>
            <w:tcW w:w="4876" w:type="dxa"/>
            <w:tcBorders>
              <w:top w:val="nil"/>
              <w:left w:val="nil"/>
              <w:bottom w:val="nil"/>
              <w:right w:val="nil"/>
            </w:tcBorders>
          </w:tcPr>
          <w:p>
            <w:pPr>
              <w:pStyle w:val="Normal6a"/>
            </w:pPr>
            <w:r>
              <w:t>(c)</w:t>
            </w:r>
            <w:r>
              <w:tab/>
            </w:r>
            <w:r>
              <w:t xml:space="preserve">stabilirea unui drept </w:t>
            </w:r>
            <w:r>
              <w:rPr>
                <w:b/>
                <w:i/>
              </w:rPr>
              <w:t>universal</w:t>
            </w:r>
            <w:r>
              <w:t xml:space="preserve"> pentru lucrători la formare gratuită</w:t>
            </w:r>
            <w:r>
              <w:rPr>
                <w:b/>
                <w:i/>
              </w:rPr>
              <w:t>, finanțată în principal prin fonduri publice și organizată</w:t>
            </w:r>
            <w:r>
              <w:t xml:space="preserve"> în timpul programului de lucru;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stabilirea unui drept individual </w:t>
            </w:r>
            <w:r>
              <w:rPr>
                <w:b/>
                <w:i/>
              </w:rPr>
              <w:t>pentru lucrători</w:t>
            </w:r>
            <w:r>
              <w:t xml:space="preserve"> la formare </w:t>
            </w:r>
            <w:r>
              <w:rPr>
                <w:b/>
                <w:i/>
              </w:rPr>
              <w:t>gratuită în timpul programului de lucru</w:t>
            </w:r>
            <w:r>
              <w:t>;</w:t>
            </w:r>
          </w:p>
        </w:tc>
        <w:tc>
          <w:tcPr>
            <w:tcW w:w="4876" w:type="dxa"/>
            <w:tcBorders>
              <w:top w:val="nil"/>
              <w:left w:val="nil"/>
              <w:bottom w:val="nil"/>
              <w:right w:val="nil"/>
            </w:tcBorders>
          </w:tcPr>
          <w:p>
            <w:pPr>
              <w:pStyle w:val="Normal6a"/>
            </w:pPr>
            <w:r>
              <w:t>(c)</w:t>
            </w:r>
            <w:r>
              <w:tab/>
            </w:r>
            <w:r>
              <w:t>stabilirea unui drept individual la formare;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stabilirea unui drept individual pentru lucrători la formare gratuită în timpul programului de lucru;</w:t>
            </w:r>
          </w:p>
        </w:tc>
        <w:tc>
          <w:tcPr>
            <w:tcW w:w="4876" w:type="dxa"/>
            <w:tcBorders>
              <w:top w:val="nil"/>
              <w:left w:val="nil"/>
              <w:bottom w:val="nil"/>
              <w:right w:val="nil"/>
            </w:tcBorders>
          </w:tcPr>
          <w:p>
            <w:pPr>
              <w:pStyle w:val="Normal6a"/>
            </w:pPr>
            <w:r>
              <w:t>(c)</w:t>
            </w:r>
            <w:r>
              <w:tab/>
            </w:r>
            <w:r>
              <w:t xml:space="preserve">stabilirea unui drept individual pentru lucrători la formare </w:t>
            </w:r>
            <w:r>
              <w:rPr>
                <w:b/>
                <w:i/>
              </w:rPr>
              <w:t>și învățare pe tot parcursul vieții,</w:t>
            </w:r>
            <w:r>
              <w:t xml:space="preserve"> gratuită</w:t>
            </w:r>
            <w:r>
              <w:rPr>
                <w:b/>
                <w:i/>
              </w:rPr>
              <w:t> și</w:t>
            </w:r>
            <w:r>
              <w:t xml:space="preserve"> în timpul programului de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consolidarea negocierilor colective, extinderea acoperirii negocierilor colective pentru a sprijini efectiv tranziția lucrătorilor;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stabilirea unor strategii naționale pentru o tranziție justă, cu un accent deosebit pe elaborarea unei viziuni pe termen lung pentru economiile și forța de muncă locale din toate regiunile afectate;</w:t>
            </w:r>
          </w:p>
        </w:tc>
        <w:tc>
          <w:tcPr>
            <w:tcW w:w="4876" w:type="dxa"/>
            <w:tcBorders>
              <w:top w:val="nil"/>
              <w:left w:val="nil"/>
              <w:bottom w:val="nil"/>
              <w:right w:val="nil"/>
            </w:tcBorders>
          </w:tcPr>
          <w:p>
            <w:pPr>
              <w:pStyle w:val="Normal6a"/>
            </w:pPr>
            <w:r>
              <w:t>(d)</w:t>
            </w:r>
            <w:r>
              <w:tab/>
            </w:r>
            <w:r>
              <w:t xml:space="preserve">stabilirea unor strategii naționale pentru o tranziție justă </w:t>
            </w:r>
            <w:r>
              <w:rPr>
                <w:b/>
                <w:i/>
              </w:rPr>
              <w:t>în cadrul unui dialog social consistent cu sindicatele</w:t>
            </w:r>
            <w:r>
              <w:t xml:space="preserve">, cu un accent deosebit pe elaborarea unei viziuni pe termen lung pentru economiile și forța de muncă locale din toate regiunile </w:t>
            </w:r>
            <w:r>
              <w:rPr>
                <w:b/>
                <w:i/>
              </w:rPr>
              <w:t>și sectoarele</w:t>
            </w:r>
            <w:r>
              <w:t xml:space="preserve"> afectate; </w:t>
            </w:r>
            <w:r>
              <w:rPr>
                <w:b/>
                <w:i/>
              </w:rPr>
              <w:t>asigurarea faptului că strategiile și măsurile sectoriale, inclusiv planurile pentru competențe și cele privind formarea, sunt concepute în comun prin dialog social, cu drepturi decizionale egale pentru partenerii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stabilirea unor strategii naționale pentru o tranziție justă, cu un accent deosebit pe elaborarea unei viziuni pe termen lung pentru economiile și forța de muncă locale din toate regiunile afectate;</w:t>
            </w:r>
          </w:p>
        </w:tc>
        <w:tc>
          <w:tcPr>
            <w:tcW w:w="4876" w:type="dxa"/>
            <w:tcBorders>
              <w:top w:val="nil"/>
              <w:left w:val="nil"/>
              <w:bottom w:val="nil"/>
              <w:right w:val="nil"/>
            </w:tcBorders>
          </w:tcPr>
          <w:p>
            <w:pPr>
              <w:pStyle w:val="Normal6a"/>
            </w:pPr>
            <w:r>
              <w:t>(d)</w:t>
            </w:r>
            <w:r>
              <w:tab/>
            </w:r>
            <w:r>
              <w:t xml:space="preserve">stabilirea unor strategii naționale </w:t>
            </w:r>
            <w:r>
              <w:rPr>
                <w:b/>
                <w:i/>
              </w:rPr>
              <w:t>obligatorii</w:t>
            </w:r>
            <w:r>
              <w:t xml:space="preserve"> pentru o tranziție justă </w:t>
            </w:r>
            <w:r>
              <w:rPr>
                <w:b/>
                <w:i/>
              </w:rPr>
              <w:t>în cadrul unui dialog social consistent cu sindicatele</w:t>
            </w:r>
            <w:r>
              <w:t xml:space="preserve">, cu un accent deosebit pe elaborarea unei viziuni pe termen lung pentru economiile și forța de muncă locale din toate regiunile </w:t>
            </w:r>
            <w:r>
              <w:rPr>
                <w:b/>
                <w:i/>
              </w:rPr>
              <w:t>și sectoarele</w:t>
            </w:r>
            <w:r>
              <w:t xml:space="preserve"> afectate;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stabilirea unor strategii naționale pentru o tranziție justă, cu un accent deosebit pe elaborarea unei viziuni pe termen lung pentru economiile și forța de muncă locale din toate regiunile afectate;</w:t>
            </w:r>
          </w:p>
        </w:tc>
        <w:tc>
          <w:tcPr>
            <w:tcW w:w="4876" w:type="dxa"/>
            <w:tcBorders>
              <w:top w:val="nil"/>
              <w:left w:val="nil"/>
              <w:bottom w:val="nil"/>
              <w:right w:val="nil"/>
            </w:tcBorders>
          </w:tcPr>
          <w:p>
            <w:pPr>
              <w:pStyle w:val="Normal6a"/>
            </w:pPr>
            <w:r>
              <w:t>(d)</w:t>
            </w:r>
            <w:r>
              <w:tab/>
            </w:r>
            <w:r>
              <w:t xml:space="preserve">stabilirea unor strategii naționale pentru o tranziție justă </w:t>
            </w:r>
            <w:r>
              <w:rPr>
                <w:b/>
                <w:i/>
              </w:rPr>
              <w:t>în cadrul unui dialog social consistent cu sindicatele</w:t>
            </w:r>
            <w:r>
              <w:t xml:space="preserve">, cu un accent deosebit pe elaborarea unei viziuni pe termen lung pentru economiile și forța de muncă locale din toate regiunile </w:t>
            </w:r>
            <w:r>
              <w:rPr>
                <w:b/>
                <w:i/>
              </w:rPr>
              <w:t>și sectoarele</w:t>
            </w:r>
            <w:r>
              <w:t xml:space="preserve"> afectate;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stabilirea unor strategii naționale pentru o tranziție justă, cu un accent deosebit pe elaborarea unei viziuni pe termen lung pentru economiile și forța de muncă locale din toate regiunile afectate;</w:t>
            </w:r>
          </w:p>
        </w:tc>
        <w:tc>
          <w:tcPr>
            <w:tcW w:w="4876" w:type="dxa"/>
            <w:tcBorders>
              <w:top w:val="nil"/>
              <w:left w:val="nil"/>
              <w:bottom w:val="nil"/>
              <w:right w:val="nil"/>
            </w:tcBorders>
          </w:tcPr>
          <w:p>
            <w:pPr>
              <w:pStyle w:val="Normal6a"/>
            </w:pPr>
            <w:r>
              <w:t>(d)</w:t>
            </w:r>
            <w:r>
              <w:tab/>
            </w:r>
            <w:r>
              <w:t xml:space="preserve">stabilirea unor strategii naționale pentru o tranziție justă, cu un accent deosebit pe elaborarea unei viziuni pe termen lung pentru economiile și forța de muncă locale din toate regiunile </w:t>
            </w:r>
            <w:r>
              <w:rPr>
                <w:b/>
                <w:i/>
              </w:rPr>
              <w:t>și sectoarele</w:t>
            </w:r>
            <w:r>
              <w:t xml:space="preserve"> afectate;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stabilirea unor strategii naționale pentru o tranziție justă, cu un accent deosebit pe elaborarea unei viziuni pe termen lung pentru economiile și forța de muncă locale din toate regiunile afectate;</w:t>
            </w:r>
          </w:p>
        </w:tc>
        <w:tc>
          <w:tcPr>
            <w:tcW w:w="4876" w:type="dxa"/>
            <w:tcBorders>
              <w:top w:val="nil"/>
              <w:left w:val="nil"/>
              <w:bottom w:val="nil"/>
              <w:right w:val="nil"/>
            </w:tcBorders>
          </w:tcPr>
          <w:p>
            <w:pPr>
              <w:pStyle w:val="Normal6a"/>
            </w:pPr>
            <w:r>
              <w:t>(d)</w:t>
            </w:r>
            <w:r>
              <w:tab/>
            </w:r>
            <w:r>
              <w:t xml:space="preserve">stabilirea unor strategii naționale pentru o tranziție justă, cu un accent deosebit pe elaborarea unei viziuni pe termen lung pentru economiile și forța de muncă locale din toate regiunile </w:t>
            </w:r>
            <w:r>
              <w:rPr>
                <w:b/>
                <w:i/>
              </w:rPr>
              <w:t>și sectoarele</w:t>
            </w:r>
            <w:r>
              <w:t xml:space="preserve"> afectate;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asigurarea capacității autorităților publice și a partenerilor sociali de a colabora cu părțile interesate pentru conceperea și monitorizarea în comun a unor politici eficace pentru o tranziție justă, care să țină seama de efectele distributive ale politicilor.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dezvoltarea de programe de sprijin pentru întreprinderi, în special pentru IMM-uri </w:t>
            </w:r>
            <w:r>
              <w:rPr>
                <w:b/>
                <w:i/>
              </w:rPr>
              <w:t>și</w:t>
            </w:r>
            <w:r>
              <w:t xml:space="preserve"> actorii locali, pentru a încuraja crearea de locuri de muncă la nivel local;</w:t>
            </w:r>
          </w:p>
        </w:tc>
        <w:tc>
          <w:tcPr>
            <w:tcW w:w="4876" w:type="dxa"/>
            <w:tcBorders>
              <w:top w:val="nil"/>
              <w:left w:val="nil"/>
              <w:bottom w:val="nil"/>
              <w:right w:val="nil"/>
            </w:tcBorders>
          </w:tcPr>
          <w:p>
            <w:pPr>
              <w:pStyle w:val="Normal6a"/>
            </w:pPr>
            <w:r>
              <w:t>(e)</w:t>
            </w:r>
            <w:r>
              <w:tab/>
            </w:r>
            <w:r>
              <w:t>dezvoltarea de programe de sprijin pentru întreprinderi, în special pentru IMM-uri</w:t>
            </w:r>
            <w:r>
              <w:rPr>
                <w:b/>
                <w:i/>
              </w:rPr>
              <w:t>,</w:t>
            </w:r>
            <w:r>
              <w:t xml:space="preserve"> actorii locali </w:t>
            </w:r>
            <w:r>
              <w:rPr>
                <w:b/>
                <w:i/>
              </w:rPr>
              <w:t>și entitățile economiei sociale</w:t>
            </w:r>
            <w:r>
              <w:t>, pentru a încuraja crearea de locuri de muncă la nivel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dezvoltarea de programe de sprijin pentru întreprinderi, în special pentru IMM-uri și actorii locali, pentru a încuraja crearea de locuri de muncă la nivel local;</w:t>
            </w:r>
          </w:p>
        </w:tc>
        <w:tc>
          <w:tcPr>
            <w:tcW w:w="4876" w:type="dxa"/>
            <w:tcBorders>
              <w:top w:val="nil"/>
              <w:left w:val="nil"/>
              <w:bottom w:val="nil"/>
              <w:right w:val="nil"/>
            </w:tcBorders>
          </w:tcPr>
          <w:p>
            <w:pPr>
              <w:pStyle w:val="Normal6a"/>
            </w:pPr>
            <w:r>
              <w:t>(e)</w:t>
            </w:r>
            <w:r>
              <w:tab/>
            </w:r>
            <w:r>
              <w:t>dezvoltarea de programe de sprijin pentru întreprinderi</w:t>
            </w:r>
            <w:r>
              <w:rPr>
                <w:b/>
                <w:i/>
              </w:rPr>
              <w:t>, pe baza unor condiționalități sociale</w:t>
            </w:r>
            <w:r>
              <w:t>, în special pentru IMM-uri și actorii locali, pentru a încuraja crearea de locuri de muncă la nivel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punctul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dezvoltarea de programe de sprijin pentru întreprinderi, în special pentru IMM-uri și actorii locali, pentru a încuraja crearea de locuri de muncă la nivel local;</w:t>
            </w:r>
          </w:p>
        </w:tc>
        <w:tc>
          <w:tcPr>
            <w:tcW w:w="4876" w:type="dxa"/>
            <w:tcBorders>
              <w:top w:val="nil"/>
              <w:left w:val="nil"/>
              <w:bottom w:val="nil"/>
              <w:right w:val="nil"/>
            </w:tcBorders>
          </w:tcPr>
          <w:p>
            <w:pPr>
              <w:pStyle w:val="Normal6a"/>
            </w:pPr>
            <w:r>
              <w:t>(e)</w:t>
            </w:r>
            <w:r>
              <w:tab/>
            </w:r>
            <w:r>
              <w:t xml:space="preserve">dezvoltarea de programe de sprijin pentru întreprinderi, în special pentru IMM-uri și actorii locali, pentru a încuraja crearea de locuri de muncă </w:t>
            </w:r>
            <w:r>
              <w:rPr>
                <w:b/>
                <w:i/>
              </w:rPr>
              <w:t>de calitate</w:t>
            </w:r>
            <w:r>
              <w:t xml:space="preserve"> la nivel local;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pentru cazurile de restructurare cu posibile disponibilizări, statele membre trebuie să elaboreze programe de sprijin și stimulente pentru inițiativele conduse de lucrători, inclusiv cooperative ale lucrătorilor, preluări de către angajați și alte forme de proprietate colectivă sau comunitară, în cazul în care acestea vizează asigurarea unei tranziții echitabile din punct de vedere social și ecologic;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asigurarea unei corelări între cererea și oferta de forță de muncă și de competențe prin utilizarea simultană a informațiilor privind piața forței de muncă, a unei colaborări mai strânse </w:t>
            </w:r>
            <w:r>
              <w:rPr>
                <w:b/>
                <w:i/>
              </w:rPr>
              <w:t>între actorii</w:t>
            </w:r>
            <w:r>
              <w:t xml:space="preserve"> locali și organismele de formare și a promovării unor planuri de tranziție la nivel de întreprindere;</w:t>
            </w:r>
          </w:p>
        </w:tc>
        <w:tc>
          <w:tcPr>
            <w:tcW w:w="4876" w:type="dxa"/>
            <w:tcBorders>
              <w:top w:val="nil"/>
              <w:left w:val="nil"/>
              <w:bottom w:val="nil"/>
              <w:right w:val="nil"/>
            </w:tcBorders>
          </w:tcPr>
          <w:p>
            <w:pPr>
              <w:pStyle w:val="Normal6a"/>
            </w:pPr>
            <w:r>
              <w:t>(f)</w:t>
            </w:r>
            <w:r>
              <w:tab/>
            </w:r>
            <w:r>
              <w:t xml:space="preserve">asigurarea unei corelări între cererea și oferta de forță de muncă și de competențe prin utilizarea simultană a informațiilor privind piața forței de muncă, a unei colaborări mai strânse </w:t>
            </w:r>
            <w:r>
              <w:rPr>
                <w:b/>
                <w:i/>
              </w:rPr>
              <w:t>a actorilor</w:t>
            </w:r>
            <w:r>
              <w:t xml:space="preserve"> locali și </w:t>
            </w:r>
            <w:r>
              <w:rPr>
                <w:b/>
                <w:i/>
              </w:rPr>
              <w:t>partenerilor sociali cu</w:t>
            </w:r>
            <w:r>
              <w:t xml:space="preserve"> organismele de formare și a promovării unor planuri de tranziție la nivel de întreprindere;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asigurarea unei corelări între cererea și oferta de forță de muncă și de competențe prin utilizarea simultană a informațiilor privind piața forței de muncă</w:t>
            </w:r>
            <w:r>
              <w:rPr>
                <w:b/>
                <w:i/>
              </w:rPr>
              <w:t>,</w:t>
            </w:r>
            <w:r>
              <w:t xml:space="preserve"> a unei colaborări mai strânse </w:t>
            </w:r>
            <w:r>
              <w:rPr>
                <w:b/>
                <w:i/>
              </w:rPr>
              <w:t>între actorii</w:t>
            </w:r>
            <w:r>
              <w:t xml:space="preserve"> locali </w:t>
            </w:r>
            <w:r>
              <w:rPr>
                <w:b/>
                <w:i/>
              </w:rPr>
              <w:t>și</w:t>
            </w:r>
            <w:r>
              <w:t xml:space="preserve"> organismele de formare </w:t>
            </w:r>
            <w:r>
              <w:rPr>
                <w:b/>
                <w:i/>
              </w:rPr>
              <w:t>și a promovării unor planuri de tranziție la nivel de întreprindere</w:t>
            </w:r>
            <w:r>
              <w:t>;</w:t>
            </w:r>
          </w:p>
        </w:tc>
        <w:tc>
          <w:tcPr>
            <w:tcW w:w="4876" w:type="dxa"/>
            <w:tcBorders>
              <w:top w:val="nil"/>
              <w:left w:val="nil"/>
              <w:bottom w:val="nil"/>
              <w:right w:val="nil"/>
            </w:tcBorders>
          </w:tcPr>
          <w:p>
            <w:pPr>
              <w:pStyle w:val="Normal6a"/>
            </w:pPr>
            <w:r>
              <w:t>(f)</w:t>
            </w:r>
            <w:r>
              <w:tab/>
            </w:r>
            <w:r>
              <w:t xml:space="preserve">asigurarea unei corelări între cererea și oferta de forță de muncă și de competențe prin utilizarea simultană a informațiilor privind piața forței de muncă </w:t>
            </w:r>
            <w:r>
              <w:rPr>
                <w:b/>
                <w:i/>
              </w:rPr>
              <w:t>și</w:t>
            </w:r>
            <w:r>
              <w:t xml:space="preserve"> a unei colaborări mai strânse </w:t>
            </w:r>
            <w:r>
              <w:rPr>
                <w:b/>
                <w:i/>
              </w:rPr>
              <w:t>a partenerilor sociali și a actorilor</w:t>
            </w:r>
            <w:r>
              <w:t xml:space="preserve"> locali </w:t>
            </w:r>
            <w:r>
              <w:rPr>
                <w:b/>
                <w:i/>
              </w:rPr>
              <w:t>cu</w:t>
            </w:r>
            <w:r>
              <w:t xml:space="preserve"> organismele de formare;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asigurarea unei corelări între cererea și oferta de forță de muncă și de competențe prin utilizarea simultană a informațiilor privind piața forței de muncă, a unei colaborări mai strânse între actorii locali și organismele de formare și a promovării unor planuri de tranziție la nivel de întreprindere;</w:t>
            </w:r>
          </w:p>
        </w:tc>
        <w:tc>
          <w:tcPr>
            <w:tcW w:w="4876" w:type="dxa"/>
            <w:tcBorders>
              <w:top w:val="nil"/>
              <w:left w:val="nil"/>
              <w:bottom w:val="nil"/>
              <w:right w:val="nil"/>
            </w:tcBorders>
          </w:tcPr>
          <w:p>
            <w:pPr>
              <w:pStyle w:val="Normal6a"/>
            </w:pPr>
            <w:r>
              <w:t>(f)</w:t>
            </w:r>
            <w:r>
              <w:tab/>
            </w:r>
            <w:r>
              <w:t>asigurarea unei corelări între cererea și oferta de forță de muncă și de competențe prin utilizarea simultană a informațiilor privind piața forței de muncă, a unei colaborări mai strânse între actorii locali</w:t>
            </w:r>
            <w:r>
              <w:rPr>
                <w:b/>
                <w:i/>
              </w:rPr>
              <w:t>, partenerii sociali</w:t>
            </w:r>
            <w:r>
              <w:t xml:space="preserve"> și organismele de formare și a promovării unor planuri de tranziție la nivel de întreprindere;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fa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stabilirea unor planuri de tranziție obligatorii pentru întreprinderi, proporționale cu dimensiunea și tipul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punctul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crearea unei structuri de monitorizare care să pună la dispoziție analize prospective strategice privind impactul tranziției și evoluțiile de pe piața forței de muncă.</w:t>
            </w:r>
          </w:p>
        </w:tc>
        <w:tc>
          <w:tcPr>
            <w:tcW w:w="4876" w:type="dxa"/>
            <w:tcBorders>
              <w:top w:val="nil"/>
              <w:left w:val="nil"/>
              <w:bottom w:val="nil"/>
              <w:right w:val="nil"/>
            </w:tcBorders>
          </w:tcPr>
          <w:p>
            <w:pPr>
              <w:pStyle w:val="Normal6a"/>
            </w:pPr>
            <w:r>
              <w:t>(g)</w:t>
            </w:r>
            <w:r>
              <w:tab/>
            </w:r>
            <w:r>
              <w:t>crearea unei structuri de monitorizare care să pună la dispoziție analize prospective strategice privind impactul tranziției și evoluțiile de pe piața forței de muncă</w:t>
            </w:r>
            <w:r>
              <w:rPr>
                <w:b/>
                <w:i/>
              </w:rPr>
              <w:t>, precum și privind îndeplinirea obligațiilor referitoare la contractele colective de muncă, cu implicarea partenerilor sociali (sindicate și organizații ale comunităților locale)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crearea</w:t>
            </w:r>
            <w:r>
              <w:t xml:space="preserve"> unei structuri de monitorizare </w:t>
            </w:r>
            <w:r>
              <w:rPr>
                <w:b/>
                <w:i/>
              </w:rPr>
              <w:t>care să pună la dispoziție analize prospective strategice</w:t>
            </w:r>
            <w:r>
              <w:t xml:space="preserve"> privind impactul tranziției și evoluțiile </w:t>
            </w:r>
            <w:r>
              <w:rPr>
                <w:b/>
                <w:i/>
              </w:rPr>
              <w:t>de pe piața</w:t>
            </w:r>
            <w:r>
              <w:t xml:space="preserve"> forței de muncă.</w:t>
            </w:r>
          </w:p>
        </w:tc>
        <w:tc>
          <w:tcPr>
            <w:tcW w:w="4876" w:type="dxa"/>
            <w:tcBorders>
              <w:top w:val="nil"/>
              <w:left w:val="nil"/>
              <w:bottom w:val="nil"/>
              <w:right w:val="nil"/>
            </w:tcBorders>
          </w:tcPr>
          <w:p>
            <w:pPr>
              <w:pStyle w:val="Normal6a"/>
            </w:pPr>
            <w:r>
              <w:t>(g)</w:t>
            </w:r>
            <w:r>
              <w:tab/>
            </w:r>
            <w:r>
              <w:rPr>
                <w:b/>
                <w:i/>
              </w:rPr>
              <w:t>dezvoltarea</w:t>
            </w:r>
            <w:r>
              <w:t xml:space="preserve"> unei structuri de monitorizare </w:t>
            </w:r>
            <w:r>
              <w:rPr>
                <w:b/>
                <w:i/>
              </w:rPr>
              <w:t>cu participarea partenerilor sociali și a altor părți interesate vizate, pentru a realiza o analiză prospectivă strategică</w:t>
            </w:r>
            <w:r>
              <w:t xml:space="preserve"> privind impactul tranziției și evoluțiile </w:t>
            </w:r>
            <w:r>
              <w:rPr>
                <w:b/>
                <w:i/>
              </w:rPr>
              <w:t>pieței</w:t>
            </w:r>
            <w:r>
              <w:t xml:space="preserve"> forței de muncă</w:t>
            </w:r>
            <w:r>
              <w:rPr>
                <w:b/>
                <w:i/>
              </w:rPr>
              <w:t>, precum și monitorizarea punerii în aplicare și a efectelor distributive ale strategiilor de tranziție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crearea</w:t>
            </w:r>
            <w:r>
              <w:t xml:space="preserve"> unei structuri de monitorizare </w:t>
            </w:r>
            <w:r>
              <w:rPr>
                <w:b/>
                <w:i/>
              </w:rPr>
              <w:t>care să pună la dispoziție analize prospective strategice</w:t>
            </w:r>
            <w:r>
              <w:t xml:space="preserve"> privind impactul tranziției și evoluțiile </w:t>
            </w:r>
            <w:r>
              <w:rPr>
                <w:b/>
                <w:i/>
              </w:rPr>
              <w:t>de pe piața</w:t>
            </w:r>
            <w:r>
              <w:t xml:space="preserve"> forței de muncă.</w:t>
            </w:r>
          </w:p>
        </w:tc>
        <w:tc>
          <w:tcPr>
            <w:tcW w:w="4876" w:type="dxa"/>
            <w:tcBorders>
              <w:top w:val="nil"/>
              <w:left w:val="nil"/>
              <w:bottom w:val="nil"/>
              <w:right w:val="nil"/>
            </w:tcBorders>
          </w:tcPr>
          <w:p>
            <w:pPr>
              <w:pStyle w:val="Normal6a"/>
            </w:pPr>
            <w:r>
              <w:t>(g)</w:t>
            </w:r>
            <w:r>
              <w:tab/>
            </w:r>
            <w:r>
              <w:rPr>
                <w:b/>
                <w:i/>
              </w:rPr>
              <w:t>dezvoltarea</w:t>
            </w:r>
            <w:r>
              <w:t xml:space="preserve"> unei structuri de monitorizare </w:t>
            </w:r>
            <w:r>
              <w:rPr>
                <w:b/>
                <w:i/>
              </w:rPr>
              <w:t>cu participarea partenerilor sociali, pentru a realiza o analiză prospectivă strategică</w:t>
            </w:r>
            <w:r>
              <w:t xml:space="preserve"> privind impactul tranziției și evoluțiile </w:t>
            </w:r>
            <w:r>
              <w:rPr>
                <w:b/>
                <w:i/>
              </w:rPr>
              <w:t>pieței</w:t>
            </w:r>
            <w:r>
              <w:t xml:space="preserve"> forței de muncă</w:t>
            </w:r>
            <w:r>
              <w:rPr>
                <w:b/>
                <w:i/>
              </w:rPr>
              <w:t>, precum și monitorizarea punerii în aplicare a strategiilor de tranziție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crearea</w:t>
            </w:r>
            <w:r>
              <w:t xml:space="preserve"> unei structuri de monitorizare </w:t>
            </w:r>
            <w:r>
              <w:rPr>
                <w:b/>
                <w:i/>
              </w:rPr>
              <w:t>care să pună la dispoziție analize prospective strategice</w:t>
            </w:r>
            <w:r>
              <w:t xml:space="preserve"> privind impactul tranziției și evoluțiile </w:t>
            </w:r>
            <w:r>
              <w:rPr>
                <w:b/>
                <w:i/>
              </w:rPr>
              <w:t>de pe piața</w:t>
            </w:r>
            <w:r>
              <w:t xml:space="preserve"> forței de muncă</w:t>
            </w:r>
            <w:r>
              <w:rPr>
                <w:b/>
                <w:i/>
              </w:rPr>
              <w:t>.</w:t>
            </w:r>
          </w:p>
        </w:tc>
        <w:tc>
          <w:tcPr>
            <w:tcW w:w="4876" w:type="dxa"/>
            <w:tcBorders>
              <w:top w:val="nil"/>
              <w:left w:val="nil"/>
              <w:bottom w:val="nil"/>
              <w:right w:val="nil"/>
            </w:tcBorders>
          </w:tcPr>
          <w:p>
            <w:pPr>
              <w:pStyle w:val="Normal6a"/>
            </w:pPr>
            <w:r>
              <w:t>(g)</w:t>
            </w:r>
            <w:r>
              <w:tab/>
            </w:r>
            <w:r>
              <w:rPr>
                <w:b/>
                <w:i/>
              </w:rPr>
              <w:t>dezvoltarea</w:t>
            </w:r>
            <w:r>
              <w:t xml:space="preserve"> unei structuri de monitorizare </w:t>
            </w:r>
            <w:r>
              <w:rPr>
                <w:b/>
                <w:i/>
              </w:rPr>
              <w:t>cu participarea partenerilor sociali, pentru a realiza o analiză prospectivă strategică</w:t>
            </w:r>
            <w:r>
              <w:t xml:space="preserve"> privind impactul tranziției și evoluțiile </w:t>
            </w:r>
            <w:r>
              <w:rPr>
                <w:b/>
                <w:i/>
              </w:rPr>
              <w:t>pieței</w:t>
            </w:r>
            <w:r>
              <w:t xml:space="preserve"> forței de muncă</w:t>
            </w:r>
            <w:r>
              <w:rPr>
                <w:b/>
                <w:i/>
              </w:rPr>
              <w:t>, precum și monitorizarea punerii în aplicare a strategiilor de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ga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consolidarea negocierilor colective și extinderea acoperirii negocierilor colective, pentru a sprijini efectiv tranziția lucrătorilor către noi locuri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ga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consolidarea negocierilor colective și extinderea acoperirii negocierilor colective, pentru a sprijini efectiv tranziția lucrătorilor;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ga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stabilirea unor sancțiuni eficace, proporționale și disuasive, aplicabile în cazul încălcării drepturilor și obligațiilor;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 paragraful 1 – litera gb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asigurarea faptului că, în contextul tranzițiilor și al punerii în aplicare a planurilor pentru o tranziție justă, disponibilizările individuale sau colective sunt avute în vedere numai în ultimă instanță;</w:t>
            </w:r>
            <w:r>
              <w:t xml:space="preserve"> </w:t>
            </w:r>
            <w:r>
              <w:rPr>
                <w:b/>
                <w:i/>
              </w:rPr>
              <w:t>lucrătorii expuși riscului de disponibilizare au dreptul la reducerea timpului de lucru plătit, la schimbarea locului de muncă, la sisteme de pensionare anticipată și la formare remunerată pentru recalificare și perfecționare, pentru a se evita pierderea locurilor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recomandarea 3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Recomandarea 3a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Măsuri de asigurare a respectării legislației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Pentru a asigura punerea în aplicare efectivă și respectarea directivei, propunerea ar trebui să includă cel puțin următoarele măsuri: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accesul condiționat la resurse publice:</w:t>
            </w:r>
            <w:r>
              <w:t xml:space="preserve"> </w:t>
            </w:r>
            <w:r>
              <w:rPr>
                <w:b/>
                <w:i/>
              </w:rPr>
              <w:t>statele membre trebuie să se asigure că, în executarea contractelor de achiziții publice, operatorii economici respectă obligațiile prevăzute în directivă, iar beneficiarii de ajutoare europene și de stat respectă obligațiile prevăzute în prezenta directivă, în legislația europeană și națională aplicabilă în domeniul social și al muncii și în contractele colective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sancțiuni:</w:t>
            </w:r>
            <w:r>
              <w:t xml:space="preserve"> </w:t>
            </w:r>
            <w:r>
              <w:rPr>
                <w:b/>
                <w:i/>
              </w:rPr>
              <w:t>directiva ar trebui să prevadă un nivel minim de sancțiuni efective, proporționale și disuasive, care să fie stabilite de statele membre în cazul încălcării drepturilor și obligațiilor care intră în domeniul de aplicare al prezentei directive;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menținerea nivelului de protecție și dispoziții mai favorabile:</w:t>
            </w:r>
            <w:r>
              <w:t xml:space="preserve"> </w:t>
            </w:r>
            <w:r>
              <w:rPr>
                <w:b/>
                <w:i/>
              </w:rPr>
              <w:t>directiva nu trebuie să constituie un motiv valabil pentru reducerea nivelului general de protecție asigurat deja pentru lucrători în statele membre;</w:t>
            </w:r>
            <w:r>
              <w:t xml:space="preserve"> </w:t>
            </w:r>
            <w:r>
              <w:rPr>
                <w:b/>
                <w:i/>
              </w:rPr>
              <w:t>directiva nu trebuie să aducă atingere prerogativei statelor membre de a aplica sau de a introduce acte cu putere de lege sau acte administrative mai favorabile lucrătorilor și/sau comunităților afectate ori de a încuraja sau de a permite aplicarea unor contracte colective de muncă care să fie mai favorabile lucrătorilor;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asigurarea drepturilor fundamentale și a autonomiei partenerilor sociali:</w:t>
            </w:r>
            <w:r>
              <w:t xml:space="preserve"> </w:t>
            </w:r>
            <w:r>
              <w:rPr>
                <w:b/>
                <w:i/>
              </w:rPr>
              <w:t>nicio dispoziție din prezenta directivă nu trebuie interpretată sau aplicată într-un mod care să restricționeze, să încalce sau să submineze drepturile fundamentale recunoscute în statele membre, inclusiv dreptul la negocieri colective, dreptul la grevă sau dreptul de a întreprinde acțiuni colective;</w:t>
            </w:r>
            <w:r>
              <w:t xml:space="preserve"> </w:t>
            </w:r>
            <w:r>
              <w:rPr>
                <w:b/>
                <w:i/>
              </w:rPr>
              <w:t>prezenta directivă respectă autonomia partenerilor sociali și nu afectează capacitatea acestora de a negocia, de a încheia sau de a pune în aplicare contracte colective de muncă sau de a participa la alte activități compatibile cu sistemele naționale de relații de muncă, cu scopul de a completa și de a consolida obligațiile și drepturile prevăzute de prezenta directivă.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778.022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186</w:t>
    </w:r>
    <w:r>
      <w:fldChar w:fldCharType="end"/>
    </w:r>
    <w:r>
      <w:t>/</w:t>
    </w:r>
    <w:r>
      <w:fldChar w:fldCharType="begin"/>
    </w:r>
    <w:r>
      <w:instrText xml:space="preserve"> NUMPAGES </w:instrText>
    </w:r>
    <w:r>
      <w:fldChar w:fldCharType="separate"/>
    </w:r>
    <w:r>
      <w:t>187</w:t>
    </w:r>
    <w:r>
      <w:fldChar w:fldCharType="end"/>
    </w:r>
    <w:r>
      <w:tab/>
    </w:r>
    <w:r>
      <w:rPr>
        <w:rStyle w:val="HideTWBExt"/>
      </w:rPr>
      <w:t>&lt;PathFdR&gt;</w:t>
    </w:r>
    <w:r>
      <w:t>AM\1328386RO.docx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AM\1328386RO.docx</w:t>
    </w:r>
    <w:r>
      <w:rPr>
        <w:rStyle w:val="HideTWBExt"/>
      </w:rPr>
      <w:t>&lt;/PathFdR&gt;</w:t>
    </w:r>
    <w:r>
      <w:tab/>
    </w:r>
    <w:r>
      <w:fldChar w:fldCharType="begin"/>
    </w:r>
    <w:r>
      <w:instrText xml:space="preserve"> PAGE </w:instrText>
    </w:r>
    <w:r>
      <w:fldChar w:fldCharType="separate"/>
    </w:r>
    <w:r>
      <w:t>187</w:t>
    </w:r>
    <w:r>
      <w:fldChar w:fldCharType="end"/>
    </w:r>
    <w:r>
      <w:t>/</w:t>
    </w:r>
    <w:r>
      <w:fldChar w:fldCharType="begin"/>
    </w:r>
    <w:r>
      <w:instrText xml:space="preserve"> NUMPAGES </w:instrText>
    </w:r>
    <w:r>
      <w:fldChar w:fldCharType="separate"/>
    </w:r>
    <w:r>
      <w:t>187</w:t>
    </w:r>
    <w:r>
      <w:fldChar w:fldCharType="end"/>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AM\1328386RO.docx</w:t>
    </w:r>
    <w:r>
      <w:rPr>
        <w:rStyle w:val="HideTWBExt"/>
      </w:rPr>
      <w:t>&lt;/PathFdR&gt;</w:t>
    </w:r>
    <w:r>
      <w:tab/>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187</Pages>
  <Words>45461</Words>
  <Characters>275428</Characters>
  <Application>Microsoft Office Word</Application>
  <DocSecurity>0</DocSecurity>
  <Lines>1</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253492</vt:lpwstr>
  </property>
  <property fmtid="{D5CDD505-2E9C-101B-9397-08002B2CF9AE}" pid="7" name="dmxml.render.traceId">
    <vt:lpwstr>68e38591a0c02c95efc127238d9d3d2e</vt:lpwstr>
  </property>
  <property fmtid="{D5CDD505-2E9C-101B-9397-08002B2CF9AE}" pid="8" name="FooterPath">
    <vt:lpwstr>AM\1328386RO.docx</vt:lpwstr>
  </property>
  <property fmtid="{D5CDD505-2E9C-101B-9397-08002B2CF9AE}" pid="9" name="PE Number">
    <vt:lpwstr>778.022</vt:lpwstr>
  </property>
  <property fmtid="{D5CDD505-2E9C-101B-9397-08002B2CF9AE}" pid="10" name="UID">
    <vt:lpwstr>eu.europa.europarl-DIN1-2025-0000177077_02.00-ro-01.00_text-xml</vt:lpwstr>
  </property>
</Properties>
</file>