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Utskottet för sysselsättning och sociala frågor</w:t>
      </w:r>
      <w:r>
        <w:rPr>
          <w:rStyle w:val="HideTWBExt"/>
        </w:rPr>
        <w:t>&lt;/Commission&gt;</w:t>
      </w:r>
    </w:p>
    <w:p>
      <w:pPr>
        <w:pStyle w:val="LineBottom"/>
      </w:pPr>
      <w:r>
        <w:t xml:space="preserve"> </w:t>
      </w:r>
    </w:p>
    <w:p>
      <w:pPr>
        <w:pStyle w:val="CoverReference"/>
      </w:pPr>
      <w:r>
        <w:rPr>
          <w:rStyle w:val="HideTWBExt"/>
        </w:rPr>
        <w:t>&lt;RefProc&gt;</w:t>
      </w:r>
      <w:r>
        <w:t>2025/2131</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{26/09/2025}</w:t>
      </w:r>
      <w:r>
        <w:t>26.9.2025</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312</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Jana Toom</w:t>
      </w:r>
      <w:r>
        <w:rPr>
          <w:rStyle w:val="HideTWBExt"/>
        </w:rPr>
        <w:t>&lt;/Rapporteur&gt;</w:t>
      </w:r>
    </w:p>
    <w:p>
      <w:pPr>
        <w:pStyle w:val="CoverNormal24a"/>
      </w:pPr>
      <w:r>
        <w:rPr>
          <w:rStyle w:val="HideTWBExt"/>
        </w:rPr>
        <w:t>&lt;DocRefPE&gt;</w:t>
      </w:r>
      <w:r>
        <w:t>(PE775.632v01-00)</w:t>
      </w:r>
      <w:r>
        <w:rPr>
          <w:rStyle w:val="HideTWBExt"/>
        </w:rPr>
        <w:t>&lt;/DocRefPE&gt;</w:t>
      </w:r>
    </w:p>
    <w:p>
      <w:pPr>
        <w:pStyle w:val="CoverNormal"/>
      </w:pPr>
      <w:r>
        <w:rPr>
          <w:rStyle w:val="HideTWBExt"/>
        </w:rPr>
        <w:t>&lt;Titre&gt;</w:t>
      </w:r>
      <w:r>
        <w:t>Direktivet om en rättvis omställning i arbetslivet: säkerställa skapandet av arbetstillfällen och blåsa nytt liv i lokala ekonomier</w:t>
      </w:r>
      <w:r>
        <w:rPr>
          <w:rStyle w:val="HideTWBExt"/>
        </w:rPr>
        <w:t>&lt;/Titre&gt;</w:t>
      </w:r>
    </w:p>
    <w:p>
      <w:pPr>
        <w:pStyle w:val="CoverNormal24a"/>
      </w:pPr>
      <w:r>
        <w:rPr>
          <w:rStyle w:val="HideTWBExt"/>
        </w:rPr>
        <w:t>&lt;DocRef&gt;</w:t>
      </w:r>
      <w:r>
        <w:t>(2025/2131(INL))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med beaktande av artikel </w:t>
            </w:r>
            <w:r>
              <w:rPr>
                <w:b/>
                <w:i/>
              </w:rPr>
              <w:t>225</w:t>
            </w:r>
            <w:r>
              <w:t xml:space="preserve"> i fördraget om Europeiska unionens funktionssätt (EUF‑fördraget),</w:t>
            </w:r>
          </w:p>
        </w:tc>
        <w:tc>
          <w:tcPr>
            <w:tcW w:w="4876" w:type="dxa"/>
            <w:tcBorders>
              <w:top w:val="nil"/>
              <w:left w:val="nil"/>
              <w:bottom w:val="nil"/>
              <w:right w:val="nil"/>
            </w:tcBorders>
          </w:tcPr>
          <w:p>
            <w:pPr>
              <w:pStyle w:val="Normal6a"/>
            </w:pPr>
            <w:r>
              <w:t>—</w:t>
            </w:r>
            <w:r>
              <w:tab/>
            </w:r>
            <w:r>
              <w:t xml:space="preserve">med beaktande av artikel </w:t>
            </w:r>
            <w:r>
              <w:rPr>
                <w:b/>
                <w:i/>
              </w:rPr>
              <w:t>153</w:t>
            </w:r>
            <w:r>
              <w:t> i fördraget om Europeiska unionens funktionssätt (EUF‑fördraget),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kommissionens meddelande av den 11 december 2019 Den europeiska gröna given (COM(2019)0640),</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briefingen om bedömningen av det europeiska mervärdet från september 2025, med titeln Just transition directive in the world of work:</w:t>
            </w:r>
            <w:r>
              <w:t xml:space="preserve"> </w:t>
            </w:r>
            <w:r>
              <w:rPr>
                <w:b/>
                <w:i/>
              </w:rPr>
              <w:t>ensuring the creation of jobs and revitalising local economies.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sin resolution av den 23 november 2023 om skapande av arbetstillfällen: rättvis omställning och investering i samhällsutveckling,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12b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Internationella arbetsorganisationens (ILO) resolution om en rättvis övergång mot ekonomiskt hållbara ekonomier och samhällen för alla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ILC.111/Resolution V, 16 juni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12c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Enrico Lettas rapport av den 10 april 2024 Much more than a market</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http://www.consilium.europa.eu/media/ny3j24sm/much-more-than-a-market-report-by-enrico-letta.pdf.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Mario Draghis rapport från september 2024 om EU:s framtida konkurrenskraft (Draghi-rapporten),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Mario Draghis rapport från september 2024 om EU:s framtida konkurrenskraft (Draghi-rapporten),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14a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10 september 2025 om sammanhållningspolitikens roll för att stödja den rättvisa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rådets rekommendation om säkerställande av en rättvis omställning till klimatneutralitet från 2022,</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17 december 2020 om ett starkt socialt Europa för rättvisa omställningar,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Politiska riktlinjer för nästa Europeiska kommission 2024–2029</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https://commission.europa.eu/document/download/e6cd4328-673c-4e7a-8683-f63ffb2cf648_sv.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kommissionens meddelande av den 26 februari 2025 om given för en ren industri (COM(2025)0085)</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https://eur-lex.europa.eu/legal-content/SV/TXT/PDF/?uri=CELEX:52025DC0085.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23 november 2023 om skapande av arbetstillfällen: rättvis omställning och investering i samhällsutveckling,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kommissionens meddelande från juli 2025 Ram för statliga stödåtgärder till stöd för given för en ren industri (C/2025/3602),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kommissionens meddelande av den 26 februari 2025 om given för en ren industri (COM(2025)0085)</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https://eur-lex.europa.eu/legal-content/SV/TXT/PDF/?uri=CELEX:52025DC0085.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La Hulpe-förklaringen om framtiden för den europeiska pelaren för sociala rättigheter av den 16 april 2024</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https://data.consilium.europa.eu/doc/document/ST-10676-2024-INIT/sv/pdf.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sin resolution av den 23 november 2023 om skapande av arbetstillfällen: rättvis omställning och investering i samhällsutveckling,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huvudbudskapen från sysselsättningskommittén och kommittén för socialt skydd om genomförandet av rådets rekommendation om säkerställande av en rättvis omställning till klimatneutralitet av den 17 november 2023</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https://data.consilium.europa.eu/doc/document/ST-15439-2023-INIT/sv/pdf.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yttrandet från Europeiska unionens råds sysselsättningskommitté om aspekter för kvalitet i arbetet av den 6 juni 2025</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https://data.consilium.europa.eu/doc/document/ST-9417-2025-INIT/sv/pdf.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16f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9 september 2025 om offentlig upphandling,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16g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kommissionens meddelande av den 25 juni 2025 om ramen för statliga stödåtgärder till stöd för given för en ren industri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https://eur-lex.europa.eu/eli/C/2025/3602/oj/swe.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16h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huvudbudskapen från sysselsättningskommittén och kommittén för socialt skydd om genomförandet av rådets rekommendation om säkerställande av en rättvis omställning till klimatneutralitet av den 17 november 2023</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https://data.consilium.europa.eu/doc/document/ST-15439-2023-INIT/sv/pdf.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16i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Europeiska ekonomiska och sociala kommitténs yttrande av den 4 december 2024 I riktning mot ett lagstiftningsförslag om en rättvis omställning och EU-politiska verktyg i syfte att bidra till en mer social europeisk grön giv</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https://eur-lex.europa.eu/legal-content/SV/TXT/PDF/?uri=OJ:C_202504203.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Den gröna och den digitala omställningen har en i grunden omvälvande effekt på Europas ekonomier, regioner och arbetsplatser. Att säkerställa en faktisk övergång till en </w:t>
            </w:r>
            <w:r>
              <w:rPr>
                <w:b/>
                <w:i/>
              </w:rPr>
              <w:t>klimatneutral och</w:t>
            </w:r>
            <w:r>
              <w:t xml:space="preserve"> digitaliserad ekonomi och ett minskat beroende av energiförsörjning är </w:t>
            </w:r>
            <w:r>
              <w:rPr>
                <w:b/>
                <w:i/>
              </w:rPr>
              <w:t>avgörande</w:t>
            </w:r>
            <w:r>
              <w:t xml:space="preserve"> för Europas hållbarhet, tillväxt och konkurrenskraft. </w:t>
            </w:r>
            <w:r>
              <w:rPr>
                <w:b/>
                <w:i/>
              </w:rPr>
              <w:t>För att den dubbla omställningen i slutändan ska bli framgångsrik bör man framför allt se till att omställningen är rättvis och inkluderande för arbetstagare, företag och drabbade regioner.</w:t>
            </w:r>
          </w:p>
        </w:tc>
        <w:tc>
          <w:tcPr>
            <w:tcW w:w="4876" w:type="dxa"/>
            <w:tcBorders>
              <w:top w:val="nil"/>
              <w:left w:val="nil"/>
              <w:bottom w:val="nil"/>
              <w:right w:val="nil"/>
            </w:tcBorders>
          </w:tcPr>
          <w:p>
            <w:pPr>
              <w:pStyle w:val="Normal6a"/>
            </w:pPr>
            <w:r>
              <w:t>A.</w:t>
            </w:r>
            <w:r>
              <w:tab/>
            </w:r>
            <w:r>
              <w:t xml:space="preserve">Den gröna och den digitala omställningen har en i grunden omvälvande effekt på Europas ekonomier, regioner och arbetsplatser </w:t>
            </w:r>
            <w:r>
              <w:rPr>
                <w:b/>
                <w:i/>
              </w:rPr>
              <w:t>och innebär betydande kostnader för dem</w:t>
            </w:r>
            <w:r>
              <w:t xml:space="preserve">. Att säkerställa en faktisk övergång till en digitaliserad ekonomi och ett minskat beroende av energiförsörjning är </w:t>
            </w:r>
            <w:r>
              <w:rPr>
                <w:b/>
                <w:i/>
              </w:rPr>
              <w:t>nödvändigt</w:t>
            </w:r>
            <w:r>
              <w:t xml:space="preserve"> för Europas hållbarhet, tillväxt och konkurrenskraft.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Den gröna och den digitala omställningen har en i grunden omvälvande effekt på Europas ekonomier, regioner och arbetsplatser. Att säkerställa en faktisk övergång till en klimatneutral och digitaliserad ekonomi och ett minskat beroende av energiförsörjning </w:t>
            </w:r>
            <w:r>
              <w:rPr>
                <w:b/>
                <w:i/>
              </w:rPr>
              <w:t>är avgörande för Europas hållbarhet, tillväxt och konkurrenskraft</w:t>
            </w:r>
            <w:r>
              <w:t xml:space="preserve">. För att den dubbla omställningen i slutändan ska bli framgångsrik </w:t>
            </w:r>
            <w:r>
              <w:rPr>
                <w:b/>
                <w:i/>
              </w:rPr>
              <w:t>bör man</w:t>
            </w:r>
            <w:r>
              <w:t xml:space="preserve"> framför allt </w:t>
            </w:r>
            <w:r>
              <w:rPr>
                <w:b/>
                <w:i/>
              </w:rPr>
              <w:t>se</w:t>
            </w:r>
            <w:r>
              <w:t xml:space="preserve"> till att </w:t>
            </w:r>
            <w:r>
              <w:rPr>
                <w:b/>
                <w:i/>
              </w:rPr>
              <w:t>omställningen är rättvis och inkluderande för</w:t>
            </w:r>
            <w:r>
              <w:t xml:space="preserve"> arbetstagare, företag och drabbade regioner.</w:t>
            </w:r>
          </w:p>
        </w:tc>
        <w:tc>
          <w:tcPr>
            <w:tcW w:w="4876" w:type="dxa"/>
            <w:tcBorders>
              <w:top w:val="nil"/>
              <w:left w:val="nil"/>
              <w:bottom w:val="nil"/>
              <w:right w:val="nil"/>
            </w:tcBorders>
          </w:tcPr>
          <w:p>
            <w:pPr>
              <w:pStyle w:val="Normal6a"/>
            </w:pPr>
            <w:r>
              <w:t>A.</w:t>
            </w:r>
            <w:r>
              <w:tab/>
            </w:r>
            <w:r>
              <w:t xml:space="preserve">Den gröna och den digitala omställningen har en i grunden omvälvande </w:t>
            </w:r>
            <w:r>
              <w:rPr>
                <w:b/>
                <w:i/>
              </w:rPr>
              <w:t>negativ</w:t>
            </w:r>
            <w:r>
              <w:t xml:space="preserve"> effekt på Europas ekonomier, regioner och arbetsplatser. Att säkerställa en faktisk övergång till en klimatneutral och digitaliserad ekonomi och ett minskat beroende av energiförsörjning </w:t>
            </w:r>
            <w:r>
              <w:rPr>
                <w:b/>
                <w:i/>
              </w:rPr>
              <w:t>handlar om en missbedömd miljöpartistisk fantasi utan belägg</w:t>
            </w:r>
            <w:r>
              <w:t xml:space="preserve">. För att den dubbla omställningen i slutändan ska bli framgångsrik </w:t>
            </w:r>
            <w:r>
              <w:rPr>
                <w:b/>
                <w:i/>
              </w:rPr>
              <w:t>förutsätter det</w:t>
            </w:r>
            <w:r>
              <w:t xml:space="preserve"> framför allt </w:t>
            </w:r>
            <w:r>
              <w:rPr>
                <w:b/>
                <w:i/>
              </w:rPr>
              <w:t>man ser</w:t>
            </w:r>
            <w:r>
              <w:t xml:space="preserve"> till att arbetstagare, företag och drabbade regioner </w:t>
            </w:r>
            <w:r>
              <w:rPr>
                <w:b/>
                <w:i/>
              </w:rPr>
              <w:t>pressas till att acceptera sina förluster som något normalt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Den gröna och den digitala omställningen har en i grunden omvälvande effekt på Europas ekonomier, regioner och arbetsplatser. Att säkerställa en faktisk övergång till en klimatneutral och digitaliserad ekonomi och ett minskat beroende av energiförsörjning är avgörande för Europas hållbarhet, tillväxt och konkurrenskraft. För att den dubbla omställningen i slutändan ska bli framgångsrik bör man framför allt se till att omställningen är rättvis och inkluderande för arbetstagare, företag och </w:t>
            </w:r>
            <w:r>
              <w:rPr>
                <w:b/>
                <w:i/>
              </w:rPr>
              <w:t>drabbade</w:t>
            </w:r>
            <w:r>
              <w:t xml:space="preserve"> regioner.</w:t>
            </w:r>
          </w:p>
        </w:tc>
        <w:tc>
          <w:tcPr>
            <w:tcW w:w="4876" w:type="dxa"/>
            <w:tcBorders>
              <w:top w:val="nil"/>
              <w:left w:val="nil"/>
              <w:bottom w:val="nil"/>
              <w:right w:val="nil"/>
            </w:tcBorders>
          </w:tcPr>
          <w:p>
            <w:pPr>
              <w:pStyle w:val="Normal6a"/>
            </w:pPr>
            <w:r>
              <w:t>A.</w:t>
            </w:r>
            <w:r>
              <w:tab/>
            </w:r>
            <w:r>
              <w:t xml:space="preserve">Den gröna och den digitala omställningen har en i grunden omvälvande effekt på Europas ekonomier, regioner och arbetsplatser </w:t>
            </w:r>
            <w:r>
              <w:rPr>
                <w:b/>
                <w:i/>
              </w:rPr>
              <w:t>samt på människor</w:t>
            </w:r>
            <w:r>
              <w:t xml:space="preserve">. Att säkerställa en faktisk övergång till en klimatneutral och digitaliserad ekonomi och ett minskat beroende av energiförsörjning är avgörande för Europas hållbarhet, tillväxt och konkurrenskraft. För att den dubbla omställningen i slutändan ska bli framgångsrik bör man framför allt se till att omställningen är rättvis och inkluderande för arbetstagare, företag och regioner. </w:t>
            </w:r>
            <w:r>
              <w:rPr>
                <w:b/>
                <w:i/>
              </w:rPr>
              <w:t>En rättvis omställning skulle i sig kunna ge 261 miljarder euro per år i vinst, särskilt genom att åtgärda sociala ojämlikheter och regionala skillnader</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https://www.europarl.europa.eu/RegData/etudes/BRIE/2022/730346/EPRS_BRI(2022)730346_EN.pdf.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Den gröna och den digitala omställningen har en i grunden omvälvande effekt på Europas ekonomier, regioner och arbetsplatser. Att säkerställa en faktisk övergång till en klimatneutral och digitaliserad ekonomi och ett minskat beroende av energiförsörjning är avgörande för Europas hållbarhet, tillväxt och konkurrenskraft. För att den dubbla omställningen i slutändan ska bli framgångsrik bör man framför allt se till att omställningen är rättvis och inkluderande för arbetstagare, företag och drabbade regioner.</w:t>
            </w:r>
          </w:p>
        </w:tc>
        <w:tc>
          <w:tcPr>
            <w:tcW w:w="4876" w:type="dxa"/>
            <w:tcBorders>
              <w:top w:val="nil"/>
              <w:left w:val="nil"/>
              <w:bottom w:val="nil"/>
              <w:right w:val="nil"/>
            </w:tcBorders>
          </w:tcPr>
          <w:p>
            <w:pPr>
              <w:pStyle w:val="Normal6a"/>
            </w:pPr>
            <w:r>
              <w:t>A.</w:t>
            </w:r>
            <w:r>
              <w:tab/>
            </w:r>
            <w:r>
              <w:t>Den gröna och den digitala omställningen har en i grunden omvälvande effekt på Europas ekonomier, regioner och arbetsplatser. Att säkerställa en faktisk övergång till en klimatneutral och digitaliserad ekonomi och ett minskat beroende av energiförsörjning är avgörande för Europas hållbarhet, tillväxt och konkurrenskraft. För att den dubbla omställningen i slutändan ska bli framgångsrik bör man framför allt se till att omställningen är rättvis och inkluderande för arbetstagare, företag</w:t>
            </w:r>
            <w:r>
              <w:rPr>
                <w:b/>
                <w:i/>
              </w:rPr>
              <w:t>,</w:t>
            </w:r>
            <w:r>
              <w:t xml:space="preserve"> och drabbade regioner </w:t>
            </w:r>
            <w:r>
              <w:rPr>
                <w:b/>
                <w:i/>
              </w:rPr>
              <w:t>både inom de närmast påverkade områdena och längs de globala värdekedjorna i företagens verksamhetskedjor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Den gröna och den digitala omställningen har en i grunden omvälvande effekt på Europas ekonomier, regioner och arbetsplatser. Att säkerställa en faktisk övergång till en klimatneutral och digitaliserad ekonomi och ett minskat beroende av energiförsörjning är avgörande för Europas hållbarhet, tillväxt och konkurrenskraft. För att den dubbla omställningen i slutändan ska bli framgångsrik bör man framför allt se till att omställningen är rättvis och inkluderande för arbetstagare, företag och drabbade regioner.</w:t>
            </w:r>
          </w:p>
        </w:tc>
        <w:tc>
          <w:tcPr>
            <w:tcW w:w="4876" w:type="dxa"/>
            <w:tcBorders>
              <w:top w:val="nil"/>
              <w:left w:val="nil"/>
              <w:bottom w:val="nil"/>
              <w:right w:val="nil"/>
            </w:tcBorders>
          </w:tcPr>
          <w:p>
            <w:pPr>
              <w:pStyle w:val="Normal6a"/>
            </w:pPr>
            <w:r>
              <w:t>A.</w:t>
            </w:r>
            <w:r>
              <w:tab/>
            </w:r>
            <w:r>
              <w:t xml:space="preserve">Den gröna och den digitala omställningen har en i grunden omvälvande effekt på Europas ekonomier, </w:t>
            </w:r>
            <w:r>
              <w:rPr>
                <w:b/>
                <w:i/>
              </w:rPr>
              <w:t>samhällen,</w:t>
            </w:r>
            <w:r>
              <w:t xml:space="preserve"> regioner och arbetsplatser</w:t>
            </w:r>
            <w:r>
              <w:rPr>
                <w:b/>
                <w:i/>
              </w:rPr>
              <w:t>, vilket tar sig olika uttryck och kräver omfattande social- och sysselsättningspolitiska åtgärder för att förhindra negativa effekter och främja ekonomisk, social och territoriell sammanhållning</w:t>
            </w:r>
            <w:r>
              <w:t xml:space="preserve">. Att säkerställa en faktisk övergång till en klimatneutral och digitaliserad ekonomi och ett minskat beroende av energiförsörjning är avgörande för Europas </w:t>
            </w:r>
            <w:r>
              <w:rPr>
                <w:b/>
                <w:i/>
              </w:rPr>
              <w:t>långsiktiga välstånd, välbefinnande,</w:t>
            </w:r>
            <w:r>
              <w:t xml:space="preserve"> hållbarhet, tillväxt och konkurrenskraft. För att den dubbla omställningen i slutändan ska bli framgångsrik bör man framför allt se till att omställningen är rättvis och inkluderande för arbetstagare, företag och drabbade regioner </w:t>
            </w:r>
            <w:r>
              <w:rPr>
                <w:b/>
                <w:i/>
              </w:rPr>
              <w:t>och att den bidrar till social rättvisa för alla, med särskilt fokus på de mest utsatta, för att se till att ingen lämnas utanför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Den gröna och den digitala omställningen har en i grunden omvälvande effekt på Europas ekonomier, regioner och arbetsplatser. Att säkerställa en faktisk övergång till en klimatneutral och digitaliserad ekonomi och ett minskat beroende av energiförsörjning är avgörande för Europas hållbarhet, tillväxt och konkurrenskraft. För att den dubbla omställningen i slutändan ska bli framgångsrik bör man framför allt se till att omställningen är rättvis och inkluderande för arbetstagare, företag och drabbade regioner.</w:t>
            </w:r>
          </w:p>
        </w:tc>
        <w:tc>
          <w:tcPr>
            <w:tcW w:w="4876" w:type="dxa"/>
            <w:tcBorders>
              <w:top w:val="nil"/>
              <w:left w:val="nil"/>
              <w:bottom w:val="nil"/>
              <w:right w:val="nil"/>
            </w:tcBorders>
          </w:tcPr>
          <w:p>
            <w:pPr>
              <w:pStyle w:val="Normal6a"/>
            </w:pPr>
            <w:r>
              <w:t>A.</w:t>
            </w:r>
            <w:r>
              <w:tab/>
            </w:r>
            <w:r>
              <w:t xml:space="preserve">Den gröna och den digitala omställningen har en i grunden omvälvande effekt på Europas ekonomier, regioner och arbetsplatser. Att säkerställa en faktisk övergång till en klimatneutral och digitaliserad ekonomi och ett minskat beroende av energiförsörjning är avgörande för Europas hållbarhet, tillväxt och konkurrenskraft. För att den dubbla omställningen i slutändan ska bli framgångsrik bör man framför allt se till att omställningen är rättvis och inkluderande för arbetstagare, företag och drabbade regioner </w:t>
            </w:r>
            <w:r>
              <w:rPr>
                <w:b/>
                <w:i/>
              </w:rPr>
              <w:t>och ger medlemsstaterna tillräcklig flexibilitet att följa de vägar som är bäst lämpade för deras ekonomiska och sociala verklighet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Ett rimligt och realistiskt genomförande av den gröna och digitala omställningen har potential att åstadkomma en djupgående och hållbar omvandling av Europas ekonomier, regioner och arbetsmarknader.</w:t>
            </w:r>
            <w:r>
              <w:t xml:space="preserve"> </w:t>
            </w:r>
            <w:r>
              <w:rPr>
                <w:b/>
                <w:i/>
              </w:rPr>
              <w:t>För Europas långsiktiga hållbarhet och ekonomiska tillväxt är det absolut nödvändigt att säkerställa en ändamålsenlig och överkomlig övergång till en utvecklad och digitaliserad ekonomi, tillsammans med en minskning av energiförsörjningsberoendet av alla större utländska ekonomier.</w:t>
            </w:r>
            <w:r>
              <w:t xml:space="preserve"> </w:t>
            </w:r>
            <w:r>
              <w:rPr>
                <w:b/>
                <w:i/>
              </w:rPr>
              <w:t>För att omställningen ska bli framgångsrik bör man se till att omställningen genomförs på ett rättvist och inkluderande sätt, med hänsyn till de berörda arbetstagarnas, företagens och regionernas intressen, och stöds av ekonomiskt bärkraftig innovativ teknik och energi till ett allmänt överkomligt pris.</w:t>
            </w:r>
            <w:r>
              <w:t xml:space="preserve"> </w:t>
            </w:r>
            <w:r>
              <w:rPr>
                <w:b/>
                <w:i/>
              </w:rPr>
              <w:t>Det bör vidare betonas att de utmaningar som den europeiska arbetsmarknaden för närvarande står inför delvis beror på bristen på kvalificerad arbetskraft och tillströmningen av okvalificerade irreguljära migranter, vilket framgår av kommissionens uppgifter om att mer än sju miljoner arbetslösa migranter för närvarande är bosatta i EU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 Europeiska kommissionens rapport Employment and Social Developments in Europe (ESDE) från 2025 anges att över sju miljoner migranter från länder utanför EU står utanför arbetskraften i EU. https://op.europa.eu/en/publication-detail/-/publication/17b34170-8138-11ef-a67d-01aa75ed71a1/language-en.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Den dubbla omställningens effekter på sysselsättningen är asymmetriska i hela unionen.</w:t>
            </w:r>
            <w:r>
              <w:t xml:space="preserve"> </w:t>
            </w:r>
            <w:r>
              <w:rPr>
                <w:b/>
                <w:i/>
              </w:rPr>
              <w:t>Utfasningen av fossila bränslen har en starkare negativ socioekonomisk inverkan på regioner med en hög grad av sysselsättning inom gruv- och utvinningssektorerna.</w:t>
            </w:r>
            <w:r>
              <w:t xml:space="preserve"> </w:t>
            </w:r>
            <w:r>
              <w:rPr>
                <w:b/>
                <w:i/>
              </w:rPr>
              <w:t>De positiva effekterna för sysselsättningen tenderar att spridas ut mellan olika regioner.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Omställningarna måste hanteras på ett sätt som säkerställer social inkludering, minskar fattigdom och ojämlikhet och tar vara på potentialen att skapa arbetstillfällen av hög kvalitet, främja demokrati på arbetsplatsen, säkerställa sysselsättning av hög kvalitet och anständiga arbetsvillkor, skydda arbetstagarnas rättigheter och höja arbetsnormerna inom alla sektorer.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EU:s arbetsmarknader är fortfarande territoriellt uppdelade, och arbetskvaliteten och anställningskontrakten är allt oftare atypiska till formen, särskilt bland ungdomar.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Att hantera övergången till en koldioxidneutral ekonomi bör inte bara handla om att stödja omställningen till nya arbetstillfällen i framväxande sektorer, utan även om att behålla befintliga arbetstillfällen och sektorer och anpassa dem till klimatneutrala och rena industrier och tekniker för människor som bor i drabbade områden.</w:t>
            </w:r>
            <w:r>
              <w:t xml:space="preserve"> </w:t>
            </w:r>
            <w:r>
              <w:rPr>
                <w:b/>
                <w:i/>
              </w:rPr>
              <w:t>Det är viktigt att arbetstagare och arbetssökande känner att de får stöd i att hantera omställningen för att främja förståelse och acceptans för målen i strategin för klimatneutralitet 2050.</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Att hantera övergången till en koldioxidneutral ekonomi bör inte bara handla om att stödja omställningen till nya arbetstillfällen i framväxande sektorer, utan även om att behålla befintliga arbetstillfällen och sektorer och anpassa dem till klimatneutrala och rena industrier och tekniker </w:t>
            </w:r>
            <w:r>
              <w:rPr>
                <w:b/>
                <w:i/>
              </w:rPr>
              <w:t>för</w:t>
            </w:r>
            <w:r>
              <w:t xml:space="preserve"> människor som bor i drabbade områden. Det är viktigt att arbetstagare och arbetssökande känner att de får stöd i att hantera omställningen för att främja förståelse </w:t>
            </w:r>
            <w:r>
              <w:rPr>
                <w:b/>
                <w:i/>
              </w:rPr>
              <w:t>och acceptans</w:t>
            </w:r>
            <w:r>
              <w:t xml:space="preserve"> för målen i strategin för klimatneutralitet 2050.</w:t>
            </w:r>
          </w:p>
        </w:tc>
        <w:tc>
          <w:tcPr>
            <w:tcW w:w="4876" w:type="dxa"/>
            <w:tcBorders>
              <w:top w:val="nil"/>
              <w:left w:val="nil"/>
              <w:bottom w:val="nil"/>
              <w:right w:val="nil"/>
            </w:tcBorders>
          </w:tcPr>
          <w:p>
            <w:pPr>
              <w:pStyle w:val="Normal6a"/>
            </w:pPr>
            <w:r>
              <w:t>B.</w:t>
            </w:r>
            <w:r>
              <w:tab/>
            </w:r>
            <w:r>
              <w:t xml:space="preserve">Att hantera övergången till en koldioxidneutral ekonomi bör inte bara handla om att stödja omställningen till nya arbetstillfällen i framväxande sektorer, utan även om att behålla befintliga arbetstillfällen och sektorer och anpassa dem till klimatneutrala och rena industrier och tekniker </w:t>
            </w:r>
            <w:r>
              <w:rPr>
                <w:b/>
                <w:i/>
              </w:rPr>
              <w:t>i samarbete med</w:t>
            </w:r>
            <w:r>
              <w:t xml:space="preserve"> människor som bor i drabbade områden. Det är viktigt att arbetstagare och arbetssökande känner att de får stöd i att hantera omställningen </w:t>
            </w:r>
            <w:r>
              <w:rPr>
                <w:b/>
                <w:i/>
              </w:rPr>
              <w:t>genom tidig och kontinuerlig social dialog, gemensam utformning, och transparent beslutsfattande</w:t>
            </w:r>
            <w:r>
              <w:t xml:space="preserve"> för att främja förståelse</w:t>
            </w:r>
            <w:r>
              <w:rPr>
                <w:b/>
                <w:i/>
              </w:rPr>
              <w:t>, förtroende och ett varaktigt demokratiskt mandat</w:t>
            </w:r>
            <w:r>
              <w:t xml:space="preserve"> för målen i strategin för klimatneutralitet 2050. </w:t>
            </w:r>
            <w:r>
              <w:rPr>
                <w:b/>
                <w:i/>
              </w:rPr>
              <w:t>Eurofounds forskning</w:t>
            </w:r>
            <w:r>
              <w:rPr>
                <w:b/>
                <w:i/>
                <w:vertAlign w:val="superscript"/>
              </w:rPr>
              <w:t>1a</w:t>
            </w:r>
            <w:r>
              <w:t xml:space="preserve"> </w:t>
            </w:r>
            <w:r>
              <w:rPr>
                <w:b/>
                <w:i/>
              </w:rPr>
              <w:t>visar att ett brett deltagande av det civila samhället, arbetsmarknadens parter och offentliga myndigheter i övergångsprocessen är avgörande för att säkra och rättvist fördela avkastningen från ekonomisk verksamhet och ekonomiska resurser samt hantera konflikter.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(2024), Creating a new social contract for the just transition:</w:t>
            </w:r>
            <w:r>
              <w:t xml:space="preserve"> </w:t>
            </w:r>
            <w:r>
              <w:rPr>
                <w:b/>
                <w:i/>
              </w:rPr>
              <w:t>Is partnership working?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Att hantera övergången till en </w:t>
            </w:r>
            <w:r>
              <w:rPr>
                <w:b/>
                <w:i/>
              </w:rPr>
              <w:t>koldioxidneutral</w:t>
            </w:r>
            <w:r>
              <w:t xml:space="preserve"> ekonomi bör inte bara handla om att stödja </w:t>
            </w:r>
            <w:r>
              <w:rPr>
                <w:b/>
                <w:i/>
              </w:rPr>
              <w:t>omställningen till</w:t>
            </w:r>
            <w:r>
              <w:t xml:space="preserve"> nya arbetstillfällen </w:t>
            </w:r>
            <w:r>
              <w:rPr>
                <w:b/>
                <w:i/>
              </w:rPr>
              <w:t>i</w:t>
            </w:r>
            <w:r>
              <w:t xml:space="preserve"> framväxande sektorer, utan även om att behålla befintliga arbetstillfällen och sektorer och anpassa dem till </w:t>
            </w:r>
            <w:r>
              <w:rPr>
                <w:b/>
                <w:i/>
              </w:rPr>
              <w:t>klimatneutrala och rena</w:t>
            </w:r>
            <w:r>
              <w:t xml:space="preserve"> industrier och tekniker </w:t>
            </w:r>
            <w:r>
              <w:rPr>
                <w:b/>
                <w:i/>
              </w:rPr>
              <w:t>för människor som bor i drabbade områden</w:t>
            </w:r>
            <w:r>
              <w:t xml:space="preserve">. </w:t>
            </w:r>
            <w:r>
              <w:rPr>
                <w:b/>
                <w:i/>
              </w:rPr>
              <w:t>Det är viktigt att arbetstagare och arbetssökande känner att de får stöd i att hantera omställningen för att främja förståelse och acceptans för målen i strategin för klimatneutralitet 2050.</w:t>
            </w:r>
          </w:p>
        </w:tc>
        <w:tc>
          <w:tcPr>
            <w:tcW w:w="4876" w:type="dxa"/>
            <w:tcBorders>
              <w:top w:val="nil"/>
              <w:left w:val="nil"/>
              <w:bottom w:val="nil"/>
              <w:right w:val="nil"/>
            </w:tcBorders>
          </w:tcPr>
          <w:p>
            <w:pPr>
              <w:pStyle w:val="Normal6a"/>
            </w:pPr>
            <w:r>
              <w:t>B.</w:t>
            </w:r>
            <w:r>
              <w:tab/>
            </w:r>
            <w:r>
              <w:t xml:space="preserve">Att hantera övergången till en ekonomi </w:t>
            </w:r>
            <w:r>
              <w:rPr>
                <w:b/>
                <w:i/>
              </w:rPr>
              <w:t>som tar större ansvar för de föroreningar som den orsakar</w:t>
            </w:r>
            <w:r>
              <w:t xml:space="preserve"> bör inte bara handla om att stödja </w:t>
            </w:r>
            <w:r>
              <w:rPr>
                <w:b/>
                <w:i/>
              </w:rPr>
              <w:t>investeringar i</w:t>
            </w:r>
            <w:r>
              <w:t xml:space="preserve"> nya arbetstillfällen </w:t>
            </w:r>
            <w:r>
              <w:rPr>
                <w:b/>
                <w:i/>
              </w:rPr>
              <w:t>inom</w:t>
            </w:r>
            <w:r>
              <w:t xml:space="preserve"> framväxande sektorer, utan även om att behålla befintliga arbetstillfällen och sektorer och anpassa dem till </w:t>
            </w:r>
            <w:r>
              <w:rPr>
                <w:b/>
                <w:i/>
              </w:rPr>
              <w:t>renare</w:t>
            </w:r>
            <w:r>
              <w:t xml:space="preserve"> industrier och tekniker.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Att hantera övergången till en koldioxidneutral ekonomi bör inte bara handla om att stödja omställningen till nya arbetstillfällen i framväxande sektorer, utan även om att behålla befintliga arbetstillfällen och sektorer och anpassa dem till </w:t>
            </w:r>
            <w:r>
              <w:rPr>
                <w:b/>
                <w:i/>
              </w:rPr>
              <w:t>klimatneutrala</w:t>
            </w:r>
            <w:r>
              <w:t xml:space="preserve"> och rena industrier och tekniker för människor som bor i drabbade områden. Det är viktigt att arbetstagare och arbetssökande känner att de får stöd i att hantera omställningen för att främja förståelse och acceptans för målen i strategin för klimatneutralitet 2050.</w:t>
            </w:r>
          </w:p>
        </w:tc>
        <w:tc>
          <w:tcPr>
            <w:tcW w:w="4876" w:type="dxa"/>
            <w:tcBorders>
              <w:top w:val="nil"/>
              <w:left w:val="nil"/>
              <w:bottom w:val="nil"/>
              <w:right w:val="nil"/>
            </w:tcBorders>
          </w:tcPr>
          <w:p>
            <w:pPr>
              <w:pStyle w:val="Normal6a"/>
            </w:pPr>
            <w:r>
              <w:t>B.</w:t>
            </w:r>
            <w:r>
              <w:tab/>
            </w:r>
            <w:r>
              <w:t xml:space="preserve">Att hantera övergången till en koldioxidneutral ekonomi bör inte bara handla om att stödja omställningen till nya arbetstillfällen i framväxande sektorer, utan även om att behålla befintliga arbetstillfällen och sektorer och anpassa dem till </w:t>
            </w:r>
            <w:r>
              <w:rPr>
                <w:b/>
                <w:i/>
              </w:rPr>
              <w:t>koldioxidsnåla</w:t>
            </w:r>
            <w:r>
              <w:t xml:space="preserve"> och rena industrier och tekniker för människor som bor i drabbade områden</w:t>
            </w:r>
            <w:r>
              <w:rPr>
                <w:b/>
                <w:i/>
              </w:rPr>
              <w:t>.</w:t>
            </w:r>
            <w:r>
              <w:t xml:space="preserve"> </w:t>
            </w:r>
            <w:r>
              <w:rPr>
                <w:b/>
                <w:i/>
              </w:rPr>
              <w:t>Hela regioner och industrier som är beroende av fossila bränslen måste omformas senast 2050</w:t>
            </w:r>
            <w:r>
              <w:t>. Det är viktigt att arbetstagare och arbetssökande känner att de får stöd i att hantera omställningen för att främja förståelse och acceptans för målen i strategin för klimatneutralitet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Att hantera övergången till en koldioxidneutral ekonomi bör inte bara handla om att stödja omställningen till nya arbetstillfällen i framväxande sektorer, utan även om att behålla befintliga arbetstillfällen och sektorer och anpassa dem till klimatneutrala och rena industrier och tekniker för människor som bor i drabbade områden. Det är viktigt att arbetstagare och arbetssökande känner att de får stöd i att hantera omställningen för att främja förståelse </w:t>
            </w:r>
            <w:r>
              <w:rPr>
                <w:b/>
                <w:i/>
              </w:rPr>
              <w:t>och</w:t>
            </w:r>
            <w:r>
              <w:t xml:space="preserve"> acceptans för målen i strategin för klimatneutralitet 2050.</w:t>
            </w:r>
          </w:p>
        </w:tc>
        <w:tc>
          <w:tcPr>
            <w:tcW w:w="4876" w:type="dxa"/>
            <w:tcBorders>
              <w:top w:val="nil"/>
              <w:left w:val="nil"/>
              <w:bottom w:val="nil"/>
              <w:right w:val="nil"/>
            </w:tcBorders>
          </w:tcPr>
          <w:p>
            <w:pPr>
              <w:pStyle w:val="Normal6a"/>
            </w:pPr>
            <w:r>
              <w:t>B.</w:t>
            </w:r>
            <w:r>
              <w:tab/>
            </w:r>
            <w:r>
              <w:t>Att hantera övergången till en koldioxidneutral ekonomi bör inte bara handla om att stödja omställningen till nya arbetstillfällen i framväxande sektorer, utan även om att behålla befintliga arbetstillfällen och sektorer och anpassa dem till klimatneutrala och rena industrier och tekniker för människor</w:t>
            </w:r>
            <w:r>
              <w:rPr>
                <w:b/>
                <w:i/>
              </w:rPr>
              <w:t>, särskilt för dem</w:t>
            </w:r>
            <w:r>
              <w:t xml:space="preserve"> som bor i </w:t>
            </w:r>
            <w:r>
              <w:rPr>
                <w:b/>
                <w:i/>
              </w:rPr>
              <w:t>mer</w:t>
            </w:r>
            <w:r>
              <w:t xml:space="preserve"> drabbade områden. Det är viktigt att arbetstagare och arbetssökande känner att de får stöd i att hantera omställningen för att främja förståelse</w:t>
            </w:r>
            <w:r>
              <w:rPr>
                <w:b/>
                <w:i/>
              </w:rPr>
              <w:t>,</w:t>
            </w:r>
            <w:r>
              <w:t xml:space="preserve"> acceptans </w:t>
            </w:r>
            <w:r>
              <w:rPr>
                <w:b/>
                <w:i/>
              </w:rPr>
              <w:t>och ändamålsenligheten</w:t>
            </w:r>
            <w:r>
              <w:t xml:space="preserve"> för målen i strategin för klimatneutralitet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Att hantera övergången till en koldioxidneutral ekonomi bör inte bara handla om att stödja omställningen till nya arbetstillfällen i framväxande sektorer, utan även om att behålla befintliga arbetstillfällen och sektorer och anpassa dem till klimatneutrala och rena industrier och tekniker för människor som bor i drabbade områden. Det är viktigt att arbetstagare och arbetssökande </w:t>
            </w:r>
            <w:r>
              <w:rPr>
                <w:b/>
                <w:i/>
              </w:rPr>
              <w:t>känner att de</w:t>
            </w:r>
            <w:r>
              <w:t xml:space="preserve"> får stöd i att hantera omställningen för att främja förståelse och acceptans för målen i strategin för klimatneutralitet 2050.</w:t>
            </w:r>
          </w:p>
        </w:tc>
        <w:tc>
          <w:tcPr>
            <w:tcW w:w="4876" w:type="dxa"/>
            <w:tcBorders>
              <w:top w:val="nil"/>
              <w:left w:val="nil"/>
              <w:bottom w:val="nil"/>
              <w:right w:val="nil"/>
            </w:tcBorders>
          </w:tcPr>
          <w:p>
            <w:pPr>
              <w:pStyle w:val="Normal6a"/>
            </w:pPr>
            <w:r>
              <w:t>B.</w:t>
            </w:r>
            <w:r>
              <w:tab/>
            </w:r>
            <w:r>
              <w:t xml:space="preserve">Att hantera övergången till en koldioxidneutral ekonomi bör inte bara handla om att stödja omställningen till nya arbetstillfällen </w:t>
            </w:r>
            <w:r>
              <w:rPr>
                <w:b/>
                <w:i/>
              </w:rPr>
              <w:t>av hög kvalitet</w:t>
            </w:r>
            <w:r>
              <w:t xml:space="preserve"> i framväxande sektorer, utan även om att behålla befintliga arbetstillfällen och sektorer och anpassa dem till klimatneutrala och rena industrier och tekniker för människor som bor i drabbade områden. Det är viktigt att </w:t>
            </w:r>
            <w:r>
              <w:rPr>
                <w:b/>
                <w:i/>
              </w:rPr>
              <w:t>alla, även</w:t>
            </w:r>
            <w:r>
              <w:t xml:space="preserve"> arbetstagare och arbetssökande</w:t>
            </w:r>
            <w:r>
              <w:rPr>
                <w:b/>
                <w:i/>
              </w:rPr>
              <w:t>,</w:t>
            </w:r>
            <w:r>
              <w:t xml:space="preserve"> får stöd i att hantera omställningen för att främja förståelse och acceptans för målen i strategin för klimatneutralitet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Utöver behovet att se till att tillräckligt många av de personer som ska ut på arbetsmarknaden förvärvar den kompetens som krävs för framtidens ekonomi, ligger en ytterligare utmaning i kompetenshöjningen och omskolningen av arbetstagare, särskilt för att tillgodose aktuella och framväxande arbetsmarknadsbehov.</w:t>
            </w:r>
            <w:r>
              <w:t xml:space="preserve"> </w:t>
            </w:r>
            <w:r>
              <w:rPr>
                <w:b/>
                <w:i/>
              </w:rPr>
              <w:t>Detta är ofta svårare för äldre arbetstagare och särskilt för lågutbildade arbetstagare, som kan uppleva större svårigheter att ”höja sin kompetens” och konkurrera om nya arbetstillfällen.</w:t>
            </w:r>
            <w:r>
              <w:t xml:space="preserve"> </w:t>
            </w:r>
            <w:r>
              <w:rPr>
                <w:b/>
                <w:i/>
              </w:rPr>
              <w:t>Här uppstår också en rumslig utmaning, eftersom arbetstillfällen i den koldioxidsnåla ekonomin kan skapas i regioner som skiljer sig mycket från dem där arbetstillfällen går förlorade.</w:t>
            </w:r>
            <w:r>
              <w:t xml:space="preserve"> </w:t>
            </w:r>
            <w:r>
              <w:rPr>
                <w:b/>
                <w:i/>
              </w:rPr>
              <w:t>Utbildningsinsatserna måste därför vara nära kopplade till politiken för en rättvis omställning.</w:t>
            </w:r>
            <w:r>
              <w:t xml:space="preserve"> </w:t>
            </w:r>
            <w:r>
              <w:rPr>
                <w:b/>
                <w:i/>
              </w:rPr>
              <w:t>Det kommer att krävas riktat stöd till missgynnade arbetstagare och samhällen för att se till att de inte lämnas utanför.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Den gröna omställningen kräver betydande investeringar i omskolning och kompetenshöjning för att ge arbetstagarna både specifik teknisk kompetens för varje yrke och den grundläggande mjuka kompetens som krävs.</w:t>
            </w:r>
            <w:r>
              <w:t xml:space="preserve"> </w:t>
            </w:r>
            <w:r>
              <w:rPr>
                <w:b/>
                <w:i/>
              </w:rPr>
              <w:t>Kompetensklyftor och brister på arbetsmarknaden är nästan oundvikliga när nya produkter eller tjänster uppstår, och den gröna och digitala ekonomin är inget undantag.</w:t>
            </w:r>
            <w:r>
              <w:t xml:space="preserve"> </w:t>
            </w:r>
            <w:r>
              <w:rPr>
                <w:b/>
                <w:i/>
              </w:rPr>
              <w:t>Ett integrerat paket av politiska åtgärder som kombinerar kompetensutveckling, finans- och industripolitik är en viktig möjliggörande faktor för konkurrenskraft, investeringar och skapande av hållbara arbetstillfällen.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Inrättandet av en europeisk karta över färdigheter och kvalifikationer är en viktig åtgärd för att stärka konkurrenskraften, säkerställa arbetsmarknadsrelevans och rörlighet samt hjälpa entreprenörer och företag att få tillgång till en arbetskraft som har både teknisk och övergripande kompetens.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Förvärvande eller förbättring av vissa grundläggande färdigheter kommer sannolikt att spela större roll för en persons anställbarhet än färdigheter och kompetenser som är mycket specifika för vissa yrken eller viss teknik.</w:t>
            </w:r>
            <w:r>
              <w:t xml:space="preserve"> </w:t>
            </w:r>
            <w:r>
              <w:rPr>
                <w:b/>
                <w:i/>
              </w:rPr>
              <w:t>Läs-, skriv- och räknekunskaper, liksom kompetens i fråga om beslutsfattande, lagarbete och kommunikation, är avgörande eftersom de påverkar människors förmåga att fungera väl i team, vilket i sin tur stärker deras anpassningsförmåga och yrkesmässiga rörlighet.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För Europas ekonomiska omvandling krävs ett starkt fokus på konkurrenskraft och tillväxt.</w:t>
            </w:r>
            <w:r>
              <w:t xml:space="preserve"> </w:t>
            </w:r>
            <w:r>
              <w:rPr>
                <w:b/>
                <w:i/>
              </w:rPr>
              <w:t>Att minska byråkratin och säkerställa att medel används effektivt är avgörande för att locka privata investeringar.</w:t>
            </w:r>
            <w:r>
              <w:t xml:space="preserve"> </w:t>
            </w:r>
            <w:r>
              <w:rPr>
                <w:b/>
                <w:i/>
              </w:rPr>
              <w:t>Entreprenörer och jobbskapare måste ges rätt förutsättningar att investera och expandera.</w:t>
            </w:r>
            <w:r>
              <w:t xml:space="preserve"> </w:t>
            </w:r>
            <w:r>
              <w:rPr>
                <w:b/>
                <w:i/>
              </w:rPr>
              <w:t>Kompetenspolitiken bör inriktas på efterfrågan på arbetsmarknaden och kombinera omskolning, kompetenshöjning, yrkesutbildning och livslångt lärande för att bygga upp en arbetskraft som stärker Europas strategiska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Bf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Europas strategier för kompetens, konkurrenskraft och investeringar bör skapa möjligheter för både stora företag och små och medelstora företag, samtidigt som de tillgodoser nationella, regionala och lokala behov.</w:t>
            </w:r>
            <w:r>
              <w:t xml:space="preserve"> </w:t>
            </w:r>
            <w:r>
              <w:rPr>
                <w:b/>
                <w:i/>
              </w:rPr>
              <w:t>Politiska åtgärder som stärker industrins kapacitet, uppmuntrar entreprenörskap och bygger upp en arbetskraft med kompetens som är anpassad till lokala förhållanden är avgörande för att säkerställa att alla européer kan dra nytta av tillväxt och innovation.</w:t>
            </w:r>
            <w:r>
              <w:t xml:space="preserve"> </w:t>
            </w:r>
            <w:r>
              <w:rPr>
                <w:b/>
                <w:i/>
              </w:rPr>
              <w:t>Det är viktigt att befolkningen i både stads- och landsbygdsområden engagerar sig i och stöder en rättvis omställning med en välavvägd balans mellan konkurrenskraft och solidaritet, och att de kan lita på att deras arbete, insats och livsstil skyddas så att ingen lämnas utanför.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Även om ett antal viktiga lagstiftningsinitiativ och andra initiativ på unionsnivå har till syfte eller kan bidra till att hantera effekterna av den dubbla omställningen (särskilt mekanismen för en rättvis omställning, kompetensunionen, den sociala klimatfonden, ESF+ och faciliteten för återhämtning och resiliens) kvarstår brister i den rättsliga och politiska ramen när det gäller störningar på arbetsplatsen, arbetstagares rättigheter, socialt skydd och social dialog.</w:t>
            </w:r>
            <w:r>
              <w:t xml:space="preserve"> </w:t>
            </w:r>
            <w:r>
              <w:rPr>
                <w:b/>
                <w:i/>
              </w:rPr>
              <w:t>Det är endast åtgärder på unionsnivå som kan säkerställa ett verkligt mervärde parallellt med uppåtgående social konvergens för att löftet om att ”ingen får lämnas utanför” ska infrias.</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Även om ett antal viktiga lagstiftningsinitiativ och andra initiativ på unionsnivå har till syfte eller kan bidra till att hantera effekterna av den dubbla omställningen (särskilt mekanismen för en rättvis omställning, kompetensunionen, den sociala klimatfonden, ESF+ och faciliteten för återhämtning och resiliens) kvarstår brister i den rättsliga och politiska ramen när det gäller störningar på arbetsplatsen, arbetstagares rättigheter, socialt skydd och social dialog.</w:t>
            </w:r>
            <w:r>
              <w:t xml:space="preserve"> </w:t>
            </w:r>
            <w:r>
              <w:rPr>
                <w:b/>
                <w:i/>
              </w:rPr>
              <w:t>Det är endast åtgärder på unionsnivå som kan säkerställa ett verkligt mervärde parallellt med uppåtgående social konvergens för att löftet om att ”ingen får lämnas utanför” ska infrias.</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Även om ett antal viktiga lagstiftningsinitiativ och andra initiativ på unionsnivå har till syfte eller kan bidra till att hantera effekterna av den dubbla omställningen (särskilt mekanismen för en rättvis omställning, kompetensunionen, den sociala klimatfonden, ESF+ och faciliteten för återhämtning och resiliens) </w:t>
            </w:r>
            <w:r>
              <w:rPr>
                <w:b/>
                <w:i/>
              </w:rPr>
              <w:t>kvarstår brister i den rättsliga och politiska ramen</w:t>
            </w:r>
            <w:r>
              <w:t xml:space="preserve"> när det gäller störningar på arbetsplatsen, arbetstagares rättigheter, socialt skydd och social dialog. </w:t>
            </w:r>
            <w:r>
              <w:rPr>
                <w:b/>
                <w:i/>
              </w:rPr>
              <w:t>Det är endast åtgärder på unionsnivå som kan säkerställa ett verkligt</w:t>
            </w:r>
            <w:r>
              <w:t xml:space="preserve"> mervärde </w:t>
            </w:r>
            <w:r>
              <w:rPr>
                <w:b/>
                <w:i/>
              </w:rPr>
              <w:t>parallellt med uppåtgående social konvergens för att löftet om att ”ingen får lämnas utanför” ska infrias</w:t>
            </w:r>
            <w:r>
              <w:t>.</w:t>
            </w:r>
          </w:p>
        </w:tc>
        <w:tc>
          <w:tcPr>
            <w:tcW w:w="4876" w:type="dxa"/>
            <w:tcBorders>
              <w:top w:val="nil"/>
              <w:left w:val="nil"/>
              <w:bottom w:val="nil"/>
              <w:right w:val="nil"/>
            </w:tcBorders>
          </w:tcPr>
          <w:p>
            <w:pPr>
              <w:pStyle w:val="Normal6a"/>
            </w:pPr>
            <w:r>
              <w:t>C.</w:t>
            </w:r>
            <w:r>
              <w:tab/>
            </w:r>
            <w:r>
              <w:t xml:space="preserve">Även om ett antal viktiga lagstiftningsinitiativ och andra initiativ på unionsnivå har till syfte eller kan bidra till att hantera effekterna av den dubbla omställningen (särskilt mekanismen för en rättvis omställning, </w:t>
            </w:r>
            <w:r>
              <w:rPr>
                <w:b/>
                <w:i/>
              </w:rPr>
              <w:t>fonden för en rättvis omställning,</w:t>
            </w:r>
            <w:r>
              <w:t xml:space="preserve"> kompetensunionen, den sociala klimatfonden, ESF+ och faciliteten för återhämtning och resiliens) </w:t>
            </w:r>
            <w:r>
              <w:rPr>
                <w:b/>
                <w:i/>
              </w:rPr>
              <w:t>behövs en översyn</w:t>
            </w:r>
            <w:r>
              <w:t xml:space="preserve"> när det gäller störningar på arbetsplatsen, arbetstagares rättigheter, socialt skydd och social dialog. </w:t>
            </w:r>
            <w:r>
              <w:rPr>
                <w:b/>
                <w:i/>
              </w:rPr>
              <w:t>EU bör fokusera på att stödja medlemsstaterna på områden där europeiskt samarbete skapar ett tydligt</w:t>
            </w:r>
            <w:r>
              <w:t xml:space="preserve"> mervärde</w:t>
            </w:r>
            <w:r>
              <w:rPr>
                <w:b/>
                <w:i/>
              </w:rPr>
              <w:t>, samtidigt som man undviker universallösningar som riskerar att undergräva nationella arbetsmarknadsmodeller och traditioner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Även om ett antal viktiga lagstiftningsinitiativ och andra initiativ på unionsnivå har till syfte </w:t>
            </w:r>
            <w:r>
              <w:rPr>
                <w:b/>
                <w:i/>
              </w:rPr>
              <w:t>eller kan</w:t>
            </w:r>
            <w:r>
              <w:t xml:space="preserve"> bidra till att hantera effekterna av den dubbla omställningen (särskilt mekanismen för en rättvis omställning, kompetensunionen, den sociala klimatfonden, ESF+ och faciliteten för återhämtning och resiliens) kvarstår brister i den rättsliga och politiska ramen när det gäller störningar på arbetsplatsen, arbetstagares rättigheter, socialt skydd och social dialog. Det är endast åtgärder på </w:t>
            </w:r>
            <w:r>
              <w:rPr>
                <w:b/>
                <w:i/>
              </w:rPr>
              <w:t>unionsnivå</w:t>
            </w:r>
            <w:r>
              <w:t xml:space="preserve"> som kan säkerställa ett verkligt mervärde </w:t>
            </w:r>
            <w:r>
              <w:rPr>
                <w:b/>
                <w:i/>
              </w:rPr>
              <w:t>parallellt med uppåtgående social konvergens för att löftet om att ”ingen får lämnas utanför” ska infrias</w:t>
            </w:r>
            <w:r>
              <w:t>.</w:t>
            </w:r>
          </w:p>
        </w:tc>
        <w:tc>
          <w:tcPr>
            <w:tcW w:w="4876" w:type="dxa"/>
            <w:tcBorders>
              <w:top w:val="nil"/>
              <w:left w:val="nil"/>
              <w:bottom w:val="nil"/>
              <w:right w:val="nil"/>
            </w:tcBorders>
          </w:tcPr>
          <w:p>
            <w:pPr>
              <w:pStyle w:val="Normal6a"/>
            </w:pPr>
            <w:r>
              <w:t>C.</w:t>
            </w:r>
            <w:r>
              <w:tab/>
            </w:r>
            <w:r>
              <w:t xml:space="preserve">Även om ett antal viktiga lagstiftningsinitiativ och andra initiativ på unionsnivå </w:t>
            </w:r>
            <w:r>
              <w:rPr>
                <w:b/>
                <w:i/>
              </w:rPr>
              <w:t>och subventioner som skattebetalarna står för</w:t>
            </w:r>
            <w:r>
              <w:t xml:space="preserve"> har till syfte </w:t>
            </w:r>
            <w:r>
              <w:rPr>
                <w:b/>
                <w:i/>
              </w:rPr>
              <w:t>att</w:t>
            </w:r>
            <w:r>
              <w:t xml:space="preserve"> bidra till att hantera effekterna av den dubbla omställningen (särskilt mekanismen </w:t>
            </w:r>
            <w:r>
              <w:rPr>
                <w:b/>
                <w:i/>
              </w:rPr>
              <w:t>för en rättvis omställning, fonden</w:t>
            </w:r>
            <w:r>
              <w:t xml:space="preserve"> för en rättvis omställning, kompetensunionen, den sociala klimatfonden, ESF+ och faciliteten för återhämtning och resiliens) kvarstår brister i den rättsliga och politiska ramen när det gäller störningar på arbetsplatsen, arbetstagares rättigheter, socialt skydd och social dialog. Det är endast åtgärder på </w:t>
            </w:r>
            <w:r>
              <w:rPr>
                <w:b/>
                <w:i/>
              </w:rPr>
              <w:t>medlemsstatsnivå</w:t>
            </w:r>
            <w:r>
              <w:t xml:space="preserve"> som kan säkerställa ett verkligt mervärde.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Även om ett antal viktiga lagstiftningsinitiativ och andra initiativ på unionsnivå har till syfte eller kan bidra till att hantera effekterna av den dubbla omställningen (särskilt mekanismen för en rättvis omställning, kompetensunionen, den sociala klimatfonden, ESF+ och faciliteten för återhämtning och resiliens) kvarstår brister i den rättsliga och politiska ramen när det gäller störningar på arbetsplatsen, arbetstagares rättigheter, socialt skydd </w:t>
            </w:r>
            <w:r>
              <w:rPr>
                <w:b/>
                <w:i/>
              </w:rPr>
              <w:t>och</w:t>
            </w:r>
            <w:r>
              <w:t xml:space="preserve"> social dialog. Det är endast åtgärder på unionsnivå som kan säkerställa ett verkligt mervärde parallellt med uppåtgående social konvergens för att löftet om att ”ingen får lämnas utanför” ska infrias.</w:t>
            </w:r>
          </w:p>
        </w:tc>
        <w:tc>
          <w:tcPr>
            <w:tcW w:w="4876" w:type="dxa"/>
            <w:tcBorders>
              <w:top w:val="nil"/>
              <w:left w:val="nil"/>
              <w:bottom w:val="nil"/>
              <w:right w:val="nil"/>
            </w:tcBorders>
          </w:tcPr>
          <w:p>
            <w:pPr>
              <w:pStyle w:val="Normal6a"/>
            </w:pPr>
            <w:r>
              <w:t>C.</w:t>
            </w:r>
            <w:r>
              <w:tab/>
            </w:r>
            <w:r>
              <w:t>Även om ett antal viktiga lagstiftningsinitiativ och andra initiativ på unionsnivå har till syfte eller kan bidra till att hantera effekterna av den dubbla omställningen (särskilt mekanismen för en rättvis omställning</w:t>
            </w:r>
            <w:r>
              <w:rPr>
                <w:b/>
                <w:i/>
              </w:rPr>
              <w:t>, fonden för en rättvis omställning, Europeiska fonden för justering för globaliseringseffekter</w:t>
            </w:r>
            <w:r>
              <w:t>, kompetensunionen, den sociala klimatfonden, ESF+ och faciliteten för återhämtning och resiliens) kvarstår brister i den rättsliga och politiska ramen när det gäller störningar på arbetsplatsen, arbetstagares rättigheter, socialt skydd</w:t>
            </w:r>
            <w:r>
              <w:rPr>
                <w:b/>
                <w:i/>
              </w:rPr>
              <w:t>,</w:t>
            </w:r>
            <w:r>
              <w:t xml:space="preserve"> social dialog </w:t>
            </w:r>
            <w:r>
              <w:rPr>
                <w:b/>
                <w:i/>
              </w:rPr>
              <w:t>och utbildningsmöjligheter</w:t>
            </w:r>
            <w:r>
              <w:t xml:space="preserve">. Det är endast åtgärder på unionsnivå som kan säkerställa ett verkligt mervärde parallellt med uppåtgående social konvergens för att löftet om att ”ingen får lämnas utanför” </w:t>
            </w:r>
            <w:r>
              <w:rPr>
                <w:b/>
                <w:i/>
              </w:rPr>
              <w:t>och principerna i den europeiska pelaren för sociala rättigheter</w:t>
            </w:r>
            <w:r>
              <w:t xml:space="preserve"> ska infrias.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Även om ett antal viktiga lagstiftningsinitiativ och andra initiativ på unionsnivå har till syfte eller kan bidra till att hantera effekterna av den dubbla omställningen (särskilt mekanismen för en rättvis omställning, kompetensunionen, den sociala klimatfonden, ESF+ och faciliteten för återhämtning och resiliens) </w:t>
            </w:r>
            <w:r>
              <w:rPr>
                <w:b/>
                <w:i/>
              </w:rPr>
              <w:t>kvarstår</w:t>
            </w:r>
            <w:r>
              <w:t xml:space="preserve"> brister i den rättsliga och politiska ramen när det gäller störningar på arbetsplatsen, arbetstagares rättigheter, socialt skydd och social dialog. Det är endast åtgärder på unionsnivå som kan säkerställa ett verkligt mervärde parallellt med uppåtgående social konvergens för att löftet om att ”ingen får lämnas utanför” ska infrias.</w:t>
            </w:r>
          </w:p>
        </w:tc>
        <w:tc>
          <w:tcPr>
            <w:tcW w:w="4876" w:type="dxa"/>
            <w:tcBorders>
              <w:top w:val="nil"/>
              <w:left w:val="nil"/>
              <w:bottom w:val="nil"/>
              <w:right w:val="nil"/>
            </w:tcBorders>
          </w:tcPr>
          <w:p>
            <w:pPr>
              <w:pStyle w:val="Normal6a"/>
            </w:pPr>
            <w:r>
              <w:t>C.</w:t>
            </w:r>
            <w:r>
              <w:tab/>
            </w:r>
            <w:r>
              <w:t xml:space="preserve">Även om ett antal viktiga lagstiftningsinitiativ och andra initiativ på unionsnivå har till syfte eller kan bidra till att hantera effekterna av den dubbla omställningen (särskilt mekanismen för en rättvis omställning, </w:t>
            </w:r>
            <w:r>
              <w:rPr>
                <w:b/>
                <w:i/>
              </w:rPr>
              <w:t>fonden för en rättvis omställning,</w:t>
            </w:r>
            <w:r>
              <w:t xml:space="preserve"> kompetensunionen, den sociala klimatfonden, ESF+ och faciliteten för återhämtning och resiliens) </w:t>
            </w:r>
            <w:r>
              <w:rPr>
                <w:b/>
                <w:i/>
              </w:rPr>
              <w:t>och stärka konkurrenskraften.</w:t>
            </w:r>
            <w:r>
              <w:t xml:space="preserve"> Brister</w:t>
            </w:r>
            <w:r>
              <w:rPr>
                <w:b/>
                <w:i/>
              </w:rPr>
              <w:t> kvarstår</w:t>
            </w:r>
            <w:r>
              <w:t xml:space="preserve"> i den rättsliga och politiska ramen när det gäller störningar på arbetsplatsen, arbetstagares rättigheter, socialt skydd och social dialog. Det är endast åtgärder på unionsnivå som kan säkerställa ett verkligt mervärde parallellt med uppåtgående social konvergens för att löftet om att ”ingen får lämnas utanför” ska infrias.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Enligt Eurofounds forskning</w:t>
            </w:r>
            <w:r>
              <w:rPr>
                <w:b/>
                <w:i/>
                <w:vertAlign w:val="superscript"/>
              </w:rPr>
              <w:t>1b</w:t>
            </w:r>
            <w:r>
              <w:t xml:space="preserve"> </w:t>
            </w:r>
            <w:r>
              <w:rPr>
                <w:b/>
                <w:i/>
              </w:rPr>
              <w:t>innehåller kollektivavtal knappast några aspekter som rör den dubbla omställningen, och arbetstagarrepresentanter verkar vara mindre involverade i omstruktureringsärenden som rör den gröna och den digitala omställningen än i andra omstruktureringsfall.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Eurofound (2024), Creating a new social contract for the just transition:</w:t>
            </w:r>
            <w:r>
              <w:t xml:space="preserve"> </w:t>
            </w:r>
            <w:r>
              <w:rPr>
                <w:b/>
                <w:i/>
              </w:rPr>
              <w:t>Is partnership working?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 Draghi-rapporten identifieras ihållande kompetensbrist som ett hinder för innovation, införande av teknik och insatser för utfasning av fossila bränslen, vilket i sin tur hämmar tillväxten och konkurrenskraften.</w:t>
            </w:r>
            <w:r>
              <w:t xml:space="preserve"> </w:t>
            </w:r>
            <w:r>
              <w:rPr>
                <w:b/>
                <w:i/>
              </w:rPr>
              <w:t>I Draghi-rapporten konstateras att nästan 80 % små och medelstora företag har svårt att hitta arbetstagare med rätt kompetens.</w:t>
            </w:r>
            <w:r>
              <w:t xml:space="preserve"> </w:t>
            </w:r>
            <w:r>
              <w:rPr>
                <w:b/>
                <w:i/>
              </w:rPr>
              <w:t>I Draghi-rapporten betonas vidare behovet av att säkerställa att produktivitetstillväxt och social inkludering går hand i hand, där medlemsstaternas välfärdssystem är avgörande för att man under omställningen ska kunna tillhandahålla starka offentliga tjänster, socialt skydd, bostäder, transporter och barnomsorg.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 Draghi-rapporten identifieras ihållande kompetensbrist som ett hinder för innovation, införande av teknik och insatser för utfasning av fossila bränslen, vilket i sin tur hämmar tillväxten och konkurrenskraften. I Draghi-rapporten konstateras att nästan 80 % små och medelstora företag har svårt att hitta arbetstagare med rätt kompetens. I Draghi-rapporten betonas vidare behovet av att säkerställa att produktivitetstillväxt och social inkludering går hand i hand, där medlemsstaternas välfärdssystem är avgörande för att man under omställningen ska kunna tillhandahålla starka offentliga tjänster, socialt skydd, bostäder, transporter och barnomsorg.</w:t>
            </w:r>
          </w:p>
        </w:tc>
        <w:tc>
          <w:tcPr>
            <w:tcW w:w="4876" w:type="dxa"/>
            <w:tcBorders>
              <w:top w:val="nil"/>
              <w:left w:val="nil"/>
              <w:bottom w:val="nil"/>
              <w:right w:val="nil"/>
            </w:tcBorders>
          </w:tcPr>
          <w:p>
            <w:pPr>
              <w:pStyle w:val="Normal6a"/>
            </w:pPr>
            <w:r>
              <w:t>D</w:t>
            </w:r>
            <w:r>
              <w:rPr>
                <w:b/>
                <w:i/>
              </w:rPr>
              <w:t>.</w:t>
            </w:r>
            <w:r>
              <w:tab/>
            </w:r>
            <w:r>
              <w:rPr>
                <w:b/>
                <w:i/>
              </w:rPr>
              <w:t>Genom att investera i utveckling av högkvalificerad kompetens kan EU främja en positiv spiral med ökad produktivitet, högre löner och större ekonomisk jämlikhet.</w:t>
            </w:r>
            <w:r>
              <w:t xml:space="preserve"> </w:t>
            </w:r>
            <w:r>
              <w:rPr>
                <w:b/>
                <w:i/>
              </w:rPr>
              <w:t>Nästan 50 % av alla vuxna kan behöva kompetenshöjning eller omskolning</w:t>
            </w:r>
            <w:r>
              <w:rPr>
                <w:b/>
                <w:i/>
                <w:vertAlign w:val="superscript"/>
              </w:rPr>
              <w:t>1a</w:t>
            </w:r>
            <w:r>
              <w:rPr>
                <w:b/>
                <w:i/>
              </w:rPr>
              <w:t>.</w:t>
            </w:r>
            <w:r>
              <w:t xml:space="preserve"> </w:t>
            </w:r>
            <w:r>
              <w:rPr>
                <w:b/>
                <w:i/>
              </w:rPr>
              <w:t>Enbart i EU:s energisektor kommer det att behövas minst 145 000 kvalificerade arbetstagare fram till 2030</w:t>
            </w:r>
            <w:r>
              <w:rPr>
                <w:b/>
                <w:i/>
                <w:vertAlign w:val="superscript"/>
              </w:rPr>
              <w:t>2a</w:t>
            </w:r>
            <w:r>
              <w:rPr>
                <w:b/>
                <w:i/>
              </w:rPr>
              <w:t>.</w:t>
            </w:r>
            <w:r>
              <w:t xml:space="preserve"> </w:t>
            </w:r>
            <w:r>
              <w:rPr>
                <w:b/>
                <w:i/>
              </w:rPr>
              <w:t>Clean tech är en av drivkrafterna för det ekonomiska välståndet i Europa, och bidrog till 30 % av EU:s tillväxt och skapade miljontals arbetstillfällen endast under 2023</w:t>
            </w:r>
            <w:r>
              <w:rPr>
                <w:b/>
                <w:i/>
                <w:vertAlign w:val="superscript"/>
              </w:rPr>
              <w:t>3a</w:t>
            </w:r>
            <w:r>
              <w:t xml:space="preserve">. I Draghi-rapporten identifieras ihållande kompetensbrist som ett hinder för innovation, införande av teknik och insatser för utfasning av fossila bränslen, vilket i sin tur hämmar tillväxten och konkurrenskraften. I Draghi-rapporten konstateras att nästan 80 % </w:t>
            </w:r>
            <w:r>
              <w:rPr>
                <w:b/>
                <w:i/>
              </w:rPr>
              <w:t>av</w:t>
            </w:r>
            <w:r>
              <w:t xml:space="preserve"> små och medelstora företag har svårt att hitta arbetstagare med rätt kompetens. I Draghi-rapporten betonas vidare behovet av att säkerställa att produktivitetstillväxt och social inkludering går hand i hand, där medlemsstaternas välfärdssystem är avgörande för att man under omställningen ska kunna tillhandahålla starka offentliga tjänster, socialt skydd, bostäder, transporter och barnomsorg. </w:t>
            </w:r>
            <w:r>
              <w:rPr>
                <w:b/>
                <w:i/>
              </w:rPr>
              <w:t>Kompetensklyftan riskerar att påverka äldre, lågutbildade och kvinnliga arbetstagare oproportionerligt mycket.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https://www.cedefop.europa.eu/en/publications/4223#group-downloads.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https://op.europa.eu/en/publication-detail/-/publication/4826f429-0545-11f0-b1a3-01aa75ed71a1/language-en.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https://www.cedefop.europa.eu/en/news/green-transition-creates-more-jobs-it-destroys.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I Draghi-rapporten identifieras ihållande kompetensbrist som ett hinder för innovation, införande av teknik och insatser för utfasning av fossila bränslen, vilket i sin tur hämmar tillväxten och konkurrenskraften.</w:t>
            </w:r>
            <w:r>
              <w:t xml:space="preserve"> </w:t>
            </w:r>
            <w:r>
              <w:rPr>
                <w:b/>
                <w:i/>
              </w:rPr>
              <w:t>I Draghi-rapporten konstateras att</w:t>
            </w:r>
            <w:r>
              <w:t xml:space="preserve"> nästan 80 % små och medelstora företag har svårt att hitta arbetstagare med rätt kompetens. </w:t>
            </w:r>
            <w:r>
              <w:rPr>
                <w:b/>
                <w:i/>
              </w:rPr>
              <w:t>I Draghi-rapporten betonas vidare behovet av att säkerställa att produktivitetstillväxt och social inkludering går hand i hand, där medlemsstaternas välfärdssystem är avgörande för att man under omställningen ska kunna tillhandahålla starka offentliga tjänster, socialt skydd, bostäder, transporter och barnomsorg.</w:t>
            </w:r>
          </w:p>
        </w:tc>
        <w:tc>
          <w:tcPr>
            <w:tcW w:w="4876" w:type="dxa"/>
            <w:tcBorders>
              <w:top w:val="nil"/>
              <w:left w:val="nil"/>
              <w:bottom w:val="nil"/>
              <w:right w:val="nil"/>
            </w:tcBorders>
          </w:tcPr>
          <w:p>
            <w:pPr>
              <w:pStyle w:val="Normal6a"/>
            </w:pPr>
            <w:r>
              <w:t>D.</w:t>
            </w:r>
            <w:r>
              <w:tab/>
            </w:r>
            <w:r>
              <w:t xml:space="preserve">Nästan 80 % </w:t>
            </w:r>
            <w:r>
              <w:rPr>
                <w:b/>
                <w:i/>
              </w:rPr>
              <w:t>av alla</w:t>
            </w:r>
            <w:r>
              <w:t xml:space="preserve"> små och medelstora företag har svårt att hitta arbetstagare med rätt kompetens.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 Draghi-rapporten identifieras ihållande kompetensbrist som ett hinder för innovation, införande av teknik och insatser för utfasning av fossila bränslen, vilket i sin tur hämmar tillväxten och konkurrenskraften. </w:t>
            </w:r>
            <w:r>
              <w:rPr>
                <w:b/>
                <w:i/>
              </w:rPr>
              <w:t>I Draghi-rapporten konstateras att</w:t>
            </w:r>
            <w:r>
              <w:t xml:space="preserve"> nästan </w:t>
            </w:r>
            <w:r>
              <w:rPr>
                <w:b/>
                <w:i/>
              </w:rPr>
              <w:t>80 %</w:t>
            </w:r>
            <w:r>
              <w:t xml:space="preserve"> små och medelstora företag har svårt att hitta arbetstagare med rätt kompetens. </w:t>
            </w:r>
            <w:r>
              <w:rPr>
                <w:b/>
                <w:i/>
              </w:rPr>
              <w:t>I Draghi-rapporten betonas vidare behovet av att säkerställa att produktivitetstillväxt och social inkludering går hand i hand, där medlemsstaternas välfärdssystem är avgörande för att man under</w:t>
            </w:r>
            <w:r>
              <w:t xml:space="preserve"> omställningen </w:t>
            </w:r>
            <w:r>
              <w:rPr>
                <w:b/>
                <w:i/>
              </w:rPr>
              <w:t>ska kunna tillhandahålla starka offentliga tjänster, socialt skydd, bostäder, transporter och barnomsorg</w:t>
            </w:r>
            <w:r>
              <w:t>.</w:t>
            </w:r>
          </w:p>
        </w:tc>
        <w:tc>
          <w:tcPr>
            <w:tcW w:w="4876" w:type="dxa"/>
            <w:tcBorders>
              <w:top w:val="nil"/>
              <w:left w:val="nil"/>
              <w:bottom w:val="nil"/>
              <w:right w:val="nil"/>
            </w:tcBorders>
          </w:tcPr>
          <w:p>
            <w:pPr>
              <w:pStyle w:val="Normal6a"/>
            </w:pPr>
            <w:r>
              <w:t>D.</w:t>
            </w:r>
            <w:r>
              <w:tab/>
            </w:r>
            <w:r>
              <w:t xml:space="preserve">I Draghi-rapporten identifieras ihållande kompetensbrist som ett hinder för innovation, införande av teknik och insatser för utfasning av fossila bränslen, vilket i sin tur hämmar tillväxten och konkurrenskraften. Nästan </w:t>
            </w:r>
            <w:r>
              <w:rPr>
                <w:b/>
                <w:i/>
              </w:rPr>
              <w:t>fyra av fem</w:t>
            </w:r>
            <w:r>
              <w:t xml:space="preserve"> små och medelstora företag </w:t>
            </w:r>
            <w:r>
              <w:rPr>
                <w:b/>
                <w:i/>
              </w:rPr>
              <w:t>i EU uppger att de</w:t>
            </w:r>
            <w:r>
              <w:t xml:space="preserve"> har svårt att hitta arbetstagare med rätt kompetens. </w:t>
            </w:r>
            <w:r>
              <w:rPr>
                <w:b/>
                <w:i/>
              </w:rPr>
              <w:t>Försämringen av utbildningssystemen, särskilt vuxenutbildningen, innebär att arbetskraften inte förbereds för den dubbla</w:t>
            </w:r>
            <w:r>
              <w:t xml:space="preserve"> omställningen</w:t>
            </w:r>
            <w:r>
              <w:rPr>
                <w:b/>
                <w:i/>
              </w:rPr>
              <w:t>.</w:t>
            </w:r>
            <w:r>
              <w:t xml:space="preserve"> </w:t>
            </w:r>
            <w:r>
              <w:rPr>
                <w:b/>
                <w:i/>
              </w:rPr>
              <w:t>Deltagandet i vuxenutbildning är fortfarande otillräckligt eftersom endast 39,5 % av alla vuxna deltar i utbildning varje år</w:t>
            </w:r>
            <w:r>
              <w:rPr>
                <w:b/>
                <w:i/>
                <w:vertAlign w:val="superscript"/>
              </w:rPr>
              <w:t>1a</w:t>
            </w:r>
            <w:r>
              <w:rPr>
                <w:b/>
                <w:i/>
              </w:rPr>
              <w:t>, vilket är långt under målet för 2030 på minst 60 % – omkring 50 miljoner fler arbetstagare skulle behöva utbildning för att uppnå det</w:t>
            </w:r>
            <w:r>
              <w:rPr>
                <w:b/>
                <w:i/>
                <w:vertAlign w:val="superscript"/>
              </w:rPr>
              <w:t>1b</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https://eur-lex.europa.eu/legal-content/SV/TXT/PDF/?uri=CELEX%3A52025DC0090.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Draghi-rapporten, s. 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 Draghi-rapporten identifieras ihållande kompetensbrist som ett hinder för innovation, införande av teknik och insatser för utfasning av fossila bränslen, vilket i sin tur hämmar tillväxten och konkurrenskraften. I Draghi-rapporten konstateras att nästan 80 % små och medelstora företag har svårt att hitta arbetstagare med rätt kompetens. I Draghi-rapporten betonas vidare behovet av att säkerställa att produktivitetstillväxt och social inkludering går hand i hand, där medlemsstaternas välfärdssystem är avgörande för att man under omställningen ska kunna tillhandahålla starka offentliga tjänster, socialt skydd, bostäder, transporter och barnomsorg.</w:t>
            </w:r>
          </w:p>
        </w:tc>
        <w:tc>
          <w:tcPr>
            <w:tcW w:w="4876" w:type="dxa"/>
            <w:tcBorders>
              <w:top w:val="nil"/>
              <w:left w:val="nil"/>
              <w:bottom w:val="nil"/>
              <w:right w:val="nil"/>
            </w:tcBorders>
          </w:tcPr>
          <w:p>
            <w:pPr>
              <w:pStyle w:val="Normal6a"/>
            </w:pPr>
            <w:r>
              <w:t>D.</w:t>
            </w:r>
            <w:r>
              <w:tab/>
            </w:r>
            <w:r>
              <w:t xml:space="preserve">I Draghi-rapporten identifieras ihållande kompetensbrist som ett hinder för innovation, införande av teknik och insatser för utfasning av fossila bränslen, vilket i sin tur hämmar tillväxten och konkurrenskraften. I Draghi-rapporten konstateras att nästan 80 % </w:t>
            </w:r>
            <w:r>
              <w:rPr>
                <w:b/>
                <w:i/>
              </w:rPr>
              <w:t>av</w:t>
            </w:r>
            <w:r>
              <w:t xml:space="preserve"> små och medelstora företag har svårt att hitta arbetstagare med rätt kompetens. I Draghi-rapporten betonas vidare behovet av att säkerställa att produktivitetstillväxt och social inkludering går hand i hand, där medlemsstaternas välfärdssystem är avgörande för att man under omställningen ska kunna tillhandahålla starka offentliga tjänster, socialt skydd, bostäder, transporter och barnomsorg. </w:t>
            </w:r>
            <w:r>
              <w:rPr>
                <w:b/>
                <w:i/>
              </w:rPr>
              <w:t>Starka och tillräckligt finansierade system för välfärd och socialt skydd är en förutsättning för att säkerställa en rättvis omställning till klimatneutralitet och digital omvandling.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 Draghi-rapporten identifieras ihållande kompetensbrist som ett hinder för innovation, införande av teknik och insatser för utfasning av fossila bränslen, vilket i sin tur hämmar tillväxten och konkurrenskraften. I Draghi-rapporten konstateras att nästan 80 % små och medelstora företag har svårt att hitta arbetstagare med rätt kompetens. I Draghi-rapporten betonas vidare behovet av att säkerställa att produktivitetstillväxt och social inkludering går hand i hand, där medlemsstaternas välfärdssystem är avgörande för att man under omställningen ska kunna tillhandahålla starka offentliga tjänster, socialt skydd, bostäder, transporter och barnomsorg.</w:t>
            </w:r>
          </w:p>
        </w:tc>
        <w:tc>
          <w:tcPr>
            <w:tcW w:w="4876" w:type="dxa"/>
            <w:tcBorders>
              <w:top w:val="nil"/>
              <w:left w:val="nil"/>
              <w:bottom w:val="nil"/>
              <w:right w:val="nil"/>
            </w:tcBorders>
          </w:tcPr>
          <w:p>
            <w:pPr>
              <w:pStyle w:val="Normal6a"/>
            </w:pPr>
            <w:r>
              <w:t>D.</w:t>
            </w:r>
            <w:r>
              <w:tab/>
            </w:r>
            <w:r>
              <w:t xml:space="preserve">I Draghi-rapporten identifieras ihållande kompetensbrist som ett hinder för innovation, införande av teknik och insatser för utfasning av fossila bränslen, vilket i sin tur hämmar tillväxten och konkurrenskraften. I Draghi-rapporten konstateras att nästan 80 % </w:t>
            </w:r>
            <w:r>
              <w:rPr>
                <w:b/>
                <w:i/>
              </w:rPr>
              <w:t>av</w:t>
            </w:r>
            <w:r>
              <w:t xml:space="preserve"> små och medelstora företag har svårt att hitta arbetstagare med rätt kompetens. I Draghi-rapporten betonas vidare behovet av att säkerställa att produktivitetstillväxt och social inkludering går hand i hand, där medlemsstaternas välfärdssystem är avgörande för att man under omställningen ska kunna tillhandahålla starka offentliga tjänster, socialt skydd, bostäder, transporter och barnomsorg</w:t>
            </w:r>
            <w:r>
              <w:rPr>
                <w:b/>
                <w:i/>
              </w:rPr>
              <w:t> – med andra ord hoppas vi att det som återstår av vår industri genererar tillräckligt med pengar för att betala för dem som inte kommer att eller inte kan arbeta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 Draghi-rapporten erkänns också den europeiska sociala modellens betydelse och det betonas att främjandet av konkurrenskraft inte bör grunda sig på lönesänkningar för att sänka de relativa kostnaderna.</w:t>
            </w:r>
            <w:r>
              <w:t xml:space="preserve"> </w:t>
            </w:r>
            <w:r>
              <w:rPr>
                <w:b/>
                <w:i/>
              </w:rPr>
              <w:t>De nya gröna arbetstillfällen som skapas bör alla vara högkvalitativa arbetstillfällen.</w:t>
            </w:r>
            <w:r>
              <w:t xml:space="preserve"> </w:t>
            </w:r>
            <w:r>
              <w:rPr>
                <w:b/>
                <w:i/>
              </w:rPr>
              <w:t>Arbetstillfällen av hög kvalitet bör inbegripa följande aspekter: i) kollektivförhandlingar, ii) full respekt för arbetstagarnas och fackföreningarnas rättigheter, iii) rättvisa löner, iv) arbetstrygghet och socialt skydd, v) kostnadsfri utbildning under arbetstid, vi) goda arbetsvillkor, vii) hälsa och säkerhet på arbetsplatsen, viii) balans mellan arbete och privatliv, ix) jämlikhet och icke-diskriminering.</w:t>
            </w:r>
            <w:r>
              <w:t xml:space="preserve"> </w:t>
            </w:r>
            <w:r>
              <w:rPr>
                <w:b/>
                <w:i/>
              </w:rPr>
              <w:t>Goda arbetsvillkor, social dialog och kollektivförhandlingar är oumbärliga för våra europeiska välfärdssystem, unionens konkurrenskraft och även för demokratin.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Arbetstillfällen av hög kvalitet, som bland annat inbegriper anständiga löner, standardiserade anställningsavtal, tillgång till socialt skydd, möjligheter till livslångt lärande, höga normer för hälsa och säkerhet på arbetsplatsen, rimliga arbetstider med en god balans mellan arbete och privatliv, arbetstagarrepresentation, demokrati på arbetsplatsen och kollektivavtal, spelar en avgörande roll för att locka och behålla arbetskraft.</w:t>
            </w:r>
            <w:r>
              <w:t xml:space="preserve"> </w:t>
            </w:r>
            <w:r>
              <w:rPr>
                <w:b/>
                <w:i/>
              </w:rPr>
              <w:t>Tillgång till högkvalitativ och inkluderande utbildning och livslångt lärande för alla är avgörande för att säkerställa att arbetskraften har den kompetens som krävs för att genomföra den digitala och den gröna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Olika berörda parters administrativa och tekniska kapacitet måste stärkas.</w:t>
            </w:r>
            <w:r>
              <w:t xml:space="preserve"> </w:t>
            </w:r>
            <w:r>
              <w:rPr>
                <w:b/>
                <w:i/>
              </w:rPr>
              <w:t>Medlemsstaterna står fortfarande inför betydande utmaningar när det gäller att ändamålsenligt förvalta och använda EU-medel på lokal nivå och bedöma klimatpolitikens olika effekter.</w:t>
            </w:r>
            <w:r>
              <w:t xml:space="preserve"> </w:t>
            </w:r>
            <w:r>
              <w:rPr>
                <w:b/>
                <w:i/>
              </w:rPr>
              <w:t>Det är viktigt att utveckla strategier som främjar ekonomiska möjligheter, särskilt på landsbygden, för att locka till sig investeringar, stödja företag, skapa lokala arbetstillfällen och göra det möjligt för människor att stanna kvar i sina lokalsamhällen.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Små och medelstora företag utgör ryggraden i den europeiska ekonomin och skapar en stor andel permanenta arbetstillfällen på lokal nivå.</w:t>
            </w:r>
            <w:r>
              <w:t xml:space="preserve"> </w:t>
            </w:r>
            <w:r>
              <w:rPr>
                <w:b/>
                <w:i/>
              </w:rPr>
              <w:t>För att en rättvis omställning på arbetsområdet ska vara möjlig måste det inrättas ett rättvist förenklingspaket för små och medelstora företag med särskilda bestämmelser, såsom förlängda övergångsperioder och förenklade krav för små och medelstora företag.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Klimatalarmism, däribland falska narrativ om farorna med naturliga klimatförändringar, biologisk mångfald och bränslebrist, skapar en konstgjord panik som motiverar införandet av lagstiftning mot industrin, som kommer att flytta företag från unionen till tredjeländer, särskilt Kina och Indien.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 Draghi-rapporten betonas vidare behovet av att säkerställa att produktivitetstillväxt och social inkludering går hand i hand, där medlemsstaternas välfärdssystem är avgörande för att man under omställningen ska kunna tillhandahålla starka offentliga tjänster, socialt skydd, bostäder, transporter och barnomsorg.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Om en rättvis omställning ska bli lyckosam krävs det offentliga investeringar, omfördelning av resurser och starka sociala skyddsnät för att säkerställa att ingen arbetstagare eller grupp lämnas utanför.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 Letta-rapporten framhålls att ”friheten att stanna kvar” och den fria rörligheten bör ses som två sidor av samma mynt.</w:t>
            </w:r>
            <w:r>
              <w:t xml:space="preserve"> </w:t>
            </w:r>
            <w:r>
              <w:rPr>
                <w:b/>
                <w:i/>
              </w:rPr>
              <w:t>I Letta-rapporten betraktas den fria rörligheten som en grundläggande rättighet och ett fritt val, och inte som en nödvändighet för att kompensera för bristen på attraktiva och anständiga arbetstillfällen i vissa regioner.</w:t>
            </w:r>
            <w:r>
              <w:t xml:space="preserve"> </w:t>
            </w:r>
            <w:r>
              <w:rPr>
                <w:b/>
                <w:i/>
              </w:rPr>
              <w:t>I rapporten framhålls behovet av att skapa möjligheter för medborgarna i alla regioner, särskilt i dem som hamnar på efterkälken, även behovet av arbetstillfällen av hög kvalitet, och behovet av att hantera ojämlikheter inom och mellan länder</w:t>
            </w:r>
            <w:r>
              <w:rPr>
                <w:b/>
                <w:i/>
                <w:vertAlign w:val="superscript"/>
              </w:rPr>
              <w:t>2a</w:t>
            </w:r>
            <w:r>
              <w:rPr>
                <w:b/>
                <w:i/>
              </w:rPr>
              <w:t>.</w:t>
            </w:r>
            <w:r>
              <w:t xml:space="preserve"> </w:t>
            </w:r>
            <w:r>
              <w:rPr>
                <w:b/>
                <w:i/>
              </w:rPr>
              <w:t>Om den gröna omställningen inte utformas och stöds på lämpligt sätt skulle den kunna påverka sårbara regioner i östra och södra Europa oproportionerligt mycket</w:t>
            </w:r>
            <w:r>
              <w:rPr>
                <w:b/>
                <w:i/>
                <w:vertAlign w:val="superscript"/>
              </w:rPr>
              <w:t>3a</w:t>
            </w:r>
            <w:r>
              <w:t xml:space="preserve"> </w:t>
            </w:r>
            <w:r>
              <w:rPr>
                <w:b/>
                <w:i/>
              </w:rPr>
              <w:t>vad gäller risken för arbetslöshet och förlorade arbetstillfällen.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https://cohesiondata.ec.europa.eu/stories/s/py4s-5ad4.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https://op.europa.eu/sv/publication-detail/-/publication/24c7aa49-2451-11ee-94cb-01aa75ed71a1.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Enligt kommissionens rapport om sysselsättning och social utveckling i Europa 2024 (ESDE 2024)</w:t>
            </w:r>
            <w:r>
              <w:rPr>
                <w:b/>
                <w:i/>
                <w:vertAlign w:val="superscript"/>
              </w:rPr>
              <w:t>1a</w:t>
            </w:r>
            <w:r>
              <w:t xml:space="preserve"> </w:t>
            </w:r>
            <w:r>
              <w:rPr>
                <w:b/>
                <w:i/>
              </w:rPr>
              <w:t>beror det begränsade deltagandet i vuxenutbildning på hinder såsom upplevd brist på nödvändighet, otillräckligt utbud eller svårigheter att få tillgång till relevant utbildning av god kvalitet, krockande tidsscheman, familjeansvar och ekonomiska begränsningar.</w:t>
            </w:r>
            <w:r>
              <w:t xml:space="preserve"> </w:t>
            </w:r>
            <w:r>
              <w:rPr>
                <w:b/>
                <w:i/>
              </w:rPr>
              <w:t>I Draghi-rapporten uppmanas EU att säkerställa att alla arbetstagare har rätt till utbildning och omskolning, så att de kan övergå till nya roller när deras företag antar ny teknik, eller till goda arbetstillfällen inom nya sektorer</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https://employment-social-affairs.ec.europa.eu/employment-and-social-developments-europe-2024-upward-social-convergence-eu-and-role-social_en?prefLang=sv.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Draghi-rapporten, s. 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Arbetets geografi kännetecknas fortfarande av en stor klyfta mellan nordväst och sydöst, med en "blå korridor" som sträcker sig från södra Sverige genom Danmark, norra Tyskland, Österrike och Nederländerna, där sysselsättningsgraden är 78 % eller mer, medan merparten av södra Spanien, Grekland, södra Italien, östra Kroatien, Bulgarien och Rumänien ligger kvar under 68 %.</w:t>
            </w:r>
            <w:r>
              <w:t xml:space="preserve"> </w:t>
            </w:r>
            <w:r>
              <w:rPr>
                <w:b/>
                <w:i/>
              </w:rPr>
              <w:t>I kolberoende territorier får sårbarheten ytterligare ett lager –</w:t>
            </w:r>
            <w:r>
              <w:t xml:space="preserve"> </w:t>
            </w:r>
            <w:r>
              <w:rPr>
                <w:b/>
                <w:i/>
              </w:rPr>
              <w:t>där ligger sysselsättningsgraden 10–15 % under EU-genomsnittet</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Just Transition on the World of Work, utredningsavdelningen för transport, sysselsättning och sociala frågor, generaldirektoratet för sammanhållning, jordbruk och socialpolitik, Izabela Marcinowska, Veronika Hvozdikova, september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Färdplanen för sysselsättning av hög kvalitet förväntas främja åtgärder som hjälper medlemsstaterna och industriföretagen att tillhandahålla bra arbetsvillkor och tillgång till utbildning, och fastställer höga normer för hälsa och säkerhet på arbetsplatsen, säkerställer rättvisa övergångar på arbetsmarknaden för arbetstagare och egenföretagare samt kollektivförhandlingar, i syfte att locka talanger och bidra till de europeiska industriföretagens konkurrenskraft.</w:t>
            </w:r>
            <w:r>
              <w:t xml:space="preserve"> </w:t>
            </w:r>
            <w:r>
              <w:rPr>
                <w:b/>
                <w:i/>
              </w:rPr>
              <w:t>Därför förväntas kommissionen med arbetsmarknadens parter diskutera en ram för att stödja omstruktureringsprocesser på EU-nivå och medlemsstatsnivå.</w:t>
            </w:r>
            <w:r>
              <w:t xml:space="preserve"> </w:t>
            </w:r>
            <w:r>
              <w:rPr>
                <w:b/>
                <w:i/>
              </w:rPr>
              <w:t>Ramen ska inriktas på en rättvis omställning, rätten till utbildning, föregripande av förändringar, tidigare insatser när det finns ett hot om omstrukturering samt förbättrade informations- och samrådsinsatser.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Sedan 2012 har unionen upplevt en ny våg av lönekonvergens, och vissa tidigare kol- och storindustriområden i Polen, Ungern och östra Tyskland har vuxit snabbare än EU-genomsnittet, medan andra regioner, såsom södra Italien, en stor del av Grekland och flera rumänska regioner bara har upplevt en liten BNP-upphämtning eller ingen alls</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Just Transition in the World of Work, utredning för EMPL-utskottet, september 2025, https://www.europarl.europa.eu/RegData/etudes/BRIE/2025/774668/EPRS_BRI (2025) 774668_EN.pdf.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Genomförandet av Fonden för en rättvis omställning har gått långsamt, vilket framgår av betalningsgraden på endast 32,2 % i slutet av 2024</w:t>
            </w:r>
            <w:r>
              <w:rPr>
                <w:b/>
                <w:i/>
                <w:vertAlign w:val="superscript"/>
              </w:rPr>
              <w:t>1d</w:t>
            </w:r>
            <w:r>
              <w:rPr>
                <w:b/>
                <w:i/>
              </w:rPr>
              <w:t>.</w:t>
            </w:r>
            <w:r>
              <w:t xml:space="preserve"> </w:t>
            </w:r>
            <w:r>
              <w:rPr>
                <w:b/>
                <w:i/>
              </w:rPr>
              <w:t>Antalet arbetstillfällen som skapas genom FRO täcker inte på lång väg det antal arbetstillfällen som förväntas gå förlorade i takt med att koldioxidintensiva industrier ställer om till renare teknik.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Mekanismen för en rättvis omställning – Resultat 2025, Europeiska kommissionen, https://commission.europa.eu/strategy-and-policy/eu-budget/performance-and-reporting/programme-performance-statements/just-transition-mechanism-performance_en?prefLang=sv.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Given för en ren industri kommer att påskynda utfasningen av fossila bränslen, vilket gör den till en drivkraft för tillväxt för europeiska industriföretag, sänker energipriserna och skapar arbetstillfällen av hög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Den kommande översynen av direktiven om offentlig upphandling syftar till att anpassa reglerna för offentlig upphandling till unionens bredare strategiska mål, inbegripet den gröna och den digitala omställningen, rättvisa arbetstillfällen, innovation, höga sociala och gröna standarder och resiliens.</w:t>
            </w:r>
            <w:r>
              <w:t xml:space="preserve"> </w:t>
            </w:r>
            <w:r>
              <w:rPr>
                <w:b/>
                <w:i/>
              </w:rPr>
              <w:t>Denna översyn är en möjlighet att främja kollektivförhandlingar och användningen av den sociala klausulen samt förmånlig behandling av företag med kollektivavtal.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w:t>
            </w:r>
            <w:r>
              <w:rPr>
                <w:b/>
                <w:i/>
              </w:rPr>
              <w:t>betonar att en framgångsrik övergång till mer hållbara energikällor och industrier kommer att spela en viktig roll för den långsiktiga konkurrenskraften på den globala marknaden för unionens företag.</w:t>
            </w:r>
            <w:r>
              <w:t xml:space="preserve"> </w:t>
            </w:r>
            <w:r>
              <w:rPr>
                <w:b/>
                <w:i/>
              </w:rPr>
              <w:t>Parlamentet</w:t>
            </w:r>
            <w:r>
              <w:t xml:space="preserve"> understryker behovet av att se till att företag och arbetstagare är väl rustade att dra nytta av de möjligheter som övergången till nya och innovativa lösningar skapar. Parlamentet </w:t>
            </w:r>
            <w:r>
              <w:rPr>
                <w:b/>
                <w:i/>
              </w:rPr>
              <w:t>anser att en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w:t>
            </w:r>
            <w:r>
              <w:t xml:space="preserve"> </w:t>
            </w:r>
            <w:r>
              <w:rPr>
                <w:b/>
                <w:i/>
              </w:rPr>
              <w:t>Parlamentet</w:t>
            </w:r>
            <w:r>
              <w:t xml:space="preserve"> betonar att </w:t>
            </w:r>
            <w:r>
              <w:rPr>
                <w:b/>
                <w:i/>
              </w:rPr>
              <w:t>regionerna kan uppmuntra en rättvis omställning</w:t>
            </w:r>
            <w:r>
              <w:t xml:space="preserve"> genom att kombinera socialt skydd, ekonomisk diversifiering och territoriell samordning för att minska de negativa effekterna </w:t>
            </w:r>
            <w:r>
              <w:rPr>
                <w:b/>
                <w:i/>
              </w:rPr>
              <w:t>och främja en mer inkluderande utveckling</w:t>
            </w:r>
            <w:r>
              <w:t>.</w:t>
            </w:r>
          </w:p>
        </w:tc>
        <w:tc>
          <w:tcPr>
            <w:tcW w:w="4876" w:type="dxa"/>
            <w:tcBorders>
              <w:top w:val="nil"/>
              <w:left w:val="nil"/>
              <w:bottom w:val="nil"/>
              <w:right w:val="nil"/>
            </w:tcBorders>
          </w:tcPr>
          <w:p>
            <w:pPr>
              <w:pStyle w:val="Normal6a"/>
            </w:pPr>
            <w:r>
              <w:t>1.</w:t>
            </w:r>
            <w:r>
              <w:tab/>
            </w:r>
            <w:r>
              <w:t xml:space="preserve">Europaparlamentet understryker behovet av att se till att företag och arbetstagare är väl rustade att dra nytta av de möjligheter som övergången till nya och innovativa lösningar skapar. Parlamentet betonar att </w:t>
            </w:r>
            <w:r>
              <w:rPr>
                <w:b/>
                <w:i/>
              </w:rPr>
              <w:t>medlemsstaterna kan genomföra omställningen</w:t>
            </w:r>
            <w:r>
              <w:t xml:space="preserve"> genom att kombinera socialt skydd, ekonomisk diversifiering och territoriell samordning för att minska de negativa effekterna.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betonar att en framgångsrik övergång till mer hållbara energikällor och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w:t>
            </w:r>
            <w:r>
              <w:rPr>
                <w:b/>
                <w:i/>
              </w:rPr>
              <w:t>Parlamentet anser att en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w:t>
            </w:r>
            <w:r>
              <w:t xml:space="preserve"> </w:t>
            </w:r>
            <w:r>
              <w:rPr>
                <w:b/>
                <w:i/>
              </w:rPr>
              <w:t>Parlamentet betonar att regionerna kan uppmuntra en rättvis omställning genom att kombinera socialt skydd, ekonomisk diversifiering och territoriell samordning för att minska de negativa effekterna och främja en mer inkluderande utveckling.</w:t>
            </w:r>
          </w:p>
        </w:tc>
        <w:tc>
          <w:tcPr>
            <w:tcW w:w="4876" w:type="dxa"/>
            <w:tcBorders>
              <w:top w:val="nil"/>
              <w:left w:val="nil"/>
              <w:bottom w:val="nil"/>
              <w:right w:val="nil"/>
            </w:tcBorders>
          </w:tcPr>
          <w:p>
            <w:pPr>
              <w:pStyle w:val="Normal6a"/>
            </w:pPr>
            <w:r>
              <w:t>1.</w:t>
            </w:r>
            <w:r>
              <w:tab/>
            </w:r>
            <w:r>
              <w:t>Europaparlamentet betonar att en framgångsrik övergång till mer hållbara energikällor och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betonar att en framgångsrik övergång till mer hållbara energikällor och industrier kommer att spela en </w:t>
            </w:r>
            <w:r>
              <w:rPr>
                <w:b/>
                <w:i/>
              </w:rPr>
              <w:t>viktig</w:t>
            </w:r>
            <w:r>
              <w:t xml:space="preserve">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w:t>
            </w:r>
            <w:r>
              <w:rPr>
                <w:b/>
                <w:i/>
              </w:rPr>
              <w:t>.</w:t>
            </w:r>
            <w:r>
              <w:t xml:space="preserve"> </w:t>
            </w:r>
            <w:r>
              <w:rPr>
                <w:b/>
                <w:i/>
              </w:rPr>
              <w:t>Parlamentet anser att en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w:t>
            </w:r>
            <w:r>
              <w:t xml:space="preserve">. </w:t>
            </w:r>
            <w:r>
              <w:rPr>
                <w:b/>
                <w:i/>
              </w:rPr>
              <w:t>Parlamentet betonar att regionerna kan uppmuntra en rättvis omställning genom att kombinera socialt skydd, ekonomisk diversifiering och territoriell samordning för att minska de negativa effekterna och främja en mer inkluderande utveckling.</w:t>
            </w:r>
          </w:p>
        </w:tc>
        <w:tc>
          <w:tcPr>
            <w:tcW w:w="4876" w:type="dxa"/>
            <w:tcBorders>
              <w:top w:val="nil"/>
              <w:left w:val="nil"/>
              <w:bottom w:val="nil"/>
              <w:right w:val="nil"/>
            </w:tcBorders>
          </w:tcPr>
          <w:p>
            <w:pPr>
              <w:pStyle w:val="Normal6a"/>
            </w:pPr>
            <w:r>
              <w:t>1.</w:t>
            </w:r>
            <w:r>
              <w:tab/>
            </w:r>
            <w:r>
              <w:t xml:space="preserve">Europaparlamentet betonar att en framgångsrik övergång till mer hållbara energikällor och industrier kommer att spela en </w:t>
            </w:r>
            <w:r>
              <w:rPr>
                <w:b/>
                <w:i/>
              </w:rPr>
              <w:t>stor negativ</w:t>
            </w:r>
            <w:r>
              <w:t xml:space="preserve">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w:t>
            </w:r>
            <w:r>
              <w:rPr>
                <w:b/>
                <w:i/>
              </w:rPr>
              <w:t>, utan att förkasta den traditionella industri som har gett medlemsstaterna deras ekonomiska grund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betonar att en framgångsrik övergång till mer hållbara energikällor och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Parlamentet anser att en </w:t>
            </w:r>
            <w:r>
              <w:rPr>
                <w:b/>
                <w:i/>
              </w:rPr>
              <w:t>bindande ram</w:t>
            </w:r>
            <w:r>
              <w:t xml:space="preserve">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 Parlamentet betonar att regionerna kan uppmuntra en rättvis omställning genom att kombinera socialt skydd, ekonomisk diversifiering och territoriell samordning för att minska de negativa effekterna och främja en mer inkluderande utveckling.</w:t>
            </w:r>
          </w:p>
        </w:tc>
        <w:tc>
          <w:tcPr>
            <w:tcW w:w="4876" w:type="dxa"/>
            <w:tcBorders>
              <w:top w:val="nil"/>
              <w:left w:val="nil"/>
              <w:bottom w:val="nil"/>
              <w:right w:val="nil"/>
            </w:tcBorders>
          </w:tcPr>
          <w:p>
            <w:pPr>
              <w:pStyle w:val="Normal6a"/>
            </w:pPr>
            <w:r>
              <w:t>1.</w:t>
            </w:r>
            <w:r>
              <w:tab/>
            </w:r>
            <w:r>
              <w:t xml:space="preserve">Europaparlamentet betonar att en framgångsrik övergång till mer hållbara energikällor och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Parlamentet anser att en </w:t>
            </w:r>
            <w:r>
              <w:rPr>
                <w:b/>
                <w:i/>
              </w:rPr>
              <w:t>översyn av den nuvarande rättsliga ramen</w:t>
            </w:r>
            <w:r>
              <w:t xml:space="preserve">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 Parlamentet betonar att regionerna kan uppmuntra en rättvis omställning genom att kombinera socialt skydd, ekonomisk diversifiering och territoriell samordning för att minska de negativa effekterna och främja en mer inkluderande utveckling.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Gheorghe Falcă, Romana Tomc,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betonar att en framgångsrik övergång till mer hållbara energikällor och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Parlamentet anser att en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 Parlamentet betonar att regionerna kan uppmuntra en rättvis omställning genom att kombinera socialt skydd, ekonomisk diversifiering och territoriell samordning för att minska de negativa effekterna och främja </w:t>
            </w:r>
            <w:r>
              <w:rPr>
                <w:b/>
                <w:i/>
              </w:rPr>
              <w:t>en mer inkluderande</w:t>
            </w:r>
            <w:r>
              <w:t xml:space="preserve"> utveckling.</w:t>
            </w:r>
          </w:p>
        </w:tc>
        <w:tc>
          <w:tcPr>
            <w:tcW w:w="4876" w:type="dxa"/>
            <w:tcBorders>
              <w:top w:val="nil"/>
              <w:left w:val="nil"/>
              <w:bottom w:val="nil"/>
              <w:right w:val="nil"/>
            </w:tcBorders>
          </w:tcPr>
          <w:p>
            <w:pPr>
              <w:pStyle w:val="Normal6a"/>
            </w:pPr>
            <w:r>
              <w:t>1.</w:t>
            </w:r>
            <w:r>
              <w:tab/>
            </w:r>
            <w:r>
              <w:t>Europaparlamentet betonar att en framgångsrik övergång till mer hållbara energikällor och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Parlamentet anser att en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 Parlamentet betonar att regionerna kan uppmuntra en rättvis omställning genom att kombinera socialt skydd, ekonomisk diversifiering och territoriell samordning för att minska de negativa effekterna och främja utveckling.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betonar att en framgångsrik övergång till mer hållbara energikällor </w:t>
            </w:r>
            <w:r>
              <w:rPr>
                <w:b/>
                <w:i/>
              </w:rPr>
              <w:t>och</w:t>
            </w:r>
            <w:r>
              <w:t xml:space="preserve">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Parlamentet anser att en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 Parlamentet betonar att regionerna kan uppmuntra en rättvis omställning genom att kombinera socialt skydd, ekonomisk diversifiering och territoriell samordning för att minska de negativa effekterna och främja en mer inkluderande utveckling.</w:t>
            </w:r>
          </w:p>
        </w:tc>
        <w:tc>
          <w:tcPr>
            <w:tcW w:w="4876" w:type="dxa"/>
            <w:tcBorders>
              <w:top w:val="nil"/>
              <w:left w:val="nil"/>
              <w:bottom w:val="nil"/>
              <w:right w:val="nil"/>
            </w:tcBorders>
          </w:tcPr>
          <w:p>
            <w:pPr>
              <w:pStyle w:val="Normal6a"/>
            </w:pPr>
            <w:r>
              <w:t>1.</w:t>
            </w:r>
            <w:r>
              <w:tab/>
            </w:r>
            <w:r>
              <w:t>Europaparlamentet betonar att en framgångsrik övergång till mer hållbara energikällor</w:t>
            </w:r>
            <w:r>
              <w:rPr>
                <w:b/>
                <w:i/>
              </w:rPr>
              <w:t>, moderniserade</w:t>
            </w:r>
            <w:r>
              <w:t xml:space="preserve"> industrier </w:t>
            </w:r>
            <w:r>
              <w:rPr>
                <w:b/>
                <w:i/>
              </w:rPr>
              <w:t>och en mer digitaliserad ekonomi</w:t>
            </w:r>
            <w:r>
              <w:t xml:space="preserve">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Parlamentet anser att en bindande ram för att hantera de utmaningar och möjligheter som en rättvis omställning på arbetsplatsen ger är avgörande för att säkerställa </w:t>
            </w:r>
            <w:r>
              <w:rPr>
                <w:b/>
                <w:i/>
              </w:rPr>
              <w:t>lämpliga</w:t>
            </w:r>
            <w:r>
              <w:t xml:space="preserve"> gemensamma minimistandarder som skapar klarhet och struktur för både arbetstagare och arbetsgivare när det gäller att förutse och hantera förändringar och i slutändan förbättra unionens resiliens, konkurrenskraft och uppåtgående sociala konvergens </w:t>
            </w:r>
            <w:r>
              <w:rPr>
                <w:b/>
                <w:i/>
              </w:rPr>
              <w:t>samt den sociala rättvisan.</w:t>
            </w:r>
            <w:r>
              <w:t xml:space="preserve"> </w:t>
            </w:r>
            <w:r>
              <w:rPr>
                <w:b/>
                <w:i/>
              </w:rPr>
              <w:t>Parlamentet understryker särskilt vikten av anständigt arbete och jobb som täcks av kollektivavtal, vilket är oumbärligt för att säkerställa ytterligare sociala framsteg, rättvis fördelning och acceptans för omställningen.</w:t>
            </w:r>
            <w:r>
              <w:t xml:space="preserve"> </w:t>
            </w:r>
            <w:r>
              <w:rPr>
                <w:b/>
                <w:i/>
              </w:rPr>
              <w:t>Parlamentet understryker att kollektivförhandlingar är avgörande för rättvisa löner, social rättvisa och demokrati i arbetslivet, men att täckningen fortfarande är ojämn.</w:t>
            </w:r>
            <w:r>
              <w:t xml:space="preserve"> </w:t>
            </w:r>
            <w:r>
              <w:rPr>
                <w:b/>
                <w:i/>
              </w:rPr>
              <w:t>Parlamentet betonar att EU bör ge vägledning och stöd för att bidra till att stärka förhandlingssystemen, särskilt på branschnivå, och säkerställa arbetsmarknadsparternas fulla delaktighet.</w:t>
            </w:r>
            <w:r>
              <w:t xml:space="preserve"> </w:t>
            </w:r>
            <w:r>
              <w:rPr>
                <w:b/>
                <w:i/>
              </w:rPr>
              <w:t>Parlamentet betonar hur viktigt det är att mobilisera EU-resurser för att bygga upp kapacitet där så behövs</w:t>
            </w:r>
            <w:r>
              <w:t>. Parlamentet betonar att regionerna kan uppmuntra en rättvis omställning genom att kombinera socialt skydd, ekonomisk diversifiering och territoriell samordning för att minska de negativa effekterna och främja en mer inkluderande utveckling.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betonar att en framgångsrik övergång till mer hållbara energikällor och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Parlamentet anser att en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 Parlamentet betonar att regionerna kan uppmuntra en rättvis omställning genom att kombinera socialt skydd, ekonomisk diversifiering och territoriell samordning för att minska de negativa effekterna och främja en mer inkluderande utveckling.</w:t>
            </w:r>
          </w:p>
        </w:tc>
        <w:tc>
          <w:tcPr>
            <w:tcW w:w="4876" w:type="dxa"/>
            <w:tcBorders>
              <w:top w:val="nil"/>
              <w:left w:val="nil"/>
              <w:bottom w:val="nil"/>
              <w:right w:val="nil"/>
            </w:tcBorders>
          </w:tcPr>
          <w:p>
            <w:pPr>
              <w:pStyle w:val="Normal6a"/>
            </w:pPr>
            <w:r>
              <w:t>1.</w:t>
            </w:r>
            <w:r>
              <w:tab/>
            </w:r>
            <w:r>
              <w:t xml:space="preserve">Europaparlamentet betonar att en framgångsrik övergång till mer hållbara energikällor och industrier kommer att spela en viktig roll för den långsiktiga konkurrenskraften på den globala marknaden för unionens företag </w:t>
            </w:r>
            <w:r>
              <w:rPr>
                <w:b/>
                <w:i/>
              </w:rPr>
              <w:t>och leda till att en avsevärd mängd gröna arbetstillfällen skapas i Europa</w:t>
            </w:r>
            <w:r>
              <w:t xml:space="preserve">. Parlamentet understryker behovet av att se till att företag och arbetstagare är väl rustade att dra nytta av de möjligheter som övergången till nya och innovativa lösningar skapar. Parlamentet anser att en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 </w:t>
            </w:r>
            <w:r>
              <w:rPr>
                <w:b/>
                <w:i/>
              </w:rPr>
              <w:t>samt demokratin i arbetslivet</w:t>
            </w:r>
            <w:r>
              <w:t>. Parlamentet betonar att regionerna kan uppmuntra en rättvis omställning genom att kombinera socialt skydd, ekonomisk diversifiering och territoriell samordning för att minska de negativa effekterna och främja en mer inkluderande utveckling.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betonar att en framgångsrik övergång till mer hållbara energikällor och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Parlamentet anser att en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 Parlamentet betonar att regionerna kan uppmuntra en rättvis omställning genom att kombinera socialt skydd, ekonomisk diversifiering och territoriell samordning för att minska de negativa effekterna och främja en mer inkluderande utveckling.</w:t>
            </w:r>
          </w:p>
        </w:tc>
        <w:tc>
          <w:tcPr>
            <w:tcW w:w="4876" w:type="dxa"/>
            <w:tcBorders>
              <w:top w:val="nil"/>
              <w:left w:val="nil"/>
              <w:bottom w:val="nil"/>
              <w:right w:val="nil"/>
            </w:tcBorders>
          </w:tcPr>
          <w:p>
            <w:pPr>
              <w:pStyle w:val="Normal6a"/>
            </w:pPr>
            <w:r>
              <w:t>1.</w:t>
            </w:r>
            <w:r>
              <w:tab/>
            </w:r>
            <w:r>
              <w:t>Europaparlamentet betonar att en framgångsrik övergång till mer hållbara energikällor och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Parlamentet anser att en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w:t>
            </w:r>
            <w:r>
              <w:rPr>
                <w:b/>
                <w:i/>
              </w:rPr>
              <w:t>, varvid prioriteringen bör vara skapande av högkvalitativa och stabila arbetstillfällen med kollektivavtal, stärkta minimilöner och lönejämlikhet mellan könen</w:t>
            </w:r>
            <w:r>
              <w:t>. Parlamentet betonar att regionerna kan uppmuntra en rättvis omställning genom att kombinera socialt skydd, ekonomisk diversifiering och territoriell samordning för att minska de negativa effekterna och främja en mer inkluderande utveckling.</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betonar att en framgångsrik övergång till mer hållbara energikällor och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Parlamentet anser att en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 Parlamentet betonar att regionerna kan uppmuntra en rättvis omställning genom att kombinera socialt skydd, ekonomisk diversifiering och territoriell samordning för att minska de negativa effekterna och främja en mer inkluderande utveckling.</w:t>
            </w:r>
          </w:p>
        </w:tc>
        <w:tc>
          <w:tcPr>
            <w:tcW w:w="4876" w:type="dxa"/>
            <w:tcBorders>
              <w:top w:val="nil"/>
              <w:left w:val="nil"/>
              <w:bottom w:val="nil"/>
              <w:right w:val="nil"/>
            </w:tcBorders>
          </w:tcPr>
          <w:p>
            <w:pPr>
              <w:pStyle w:val="Normal6a"/>
            </w:pPr>
            <w:r>
              <w:t>1.</w:t>
            </w:r>
            <w:r>
              <w:tab/>
            </w:r>
            <w:r>
              <w:t xml:space="preserve">Europaparlamentet betonar att en framgångsrik övergång till mer hållbara energikällor och industrier kommer att spela en viktig roll för den långsiktiga konkurrenskraften på den globala marknaden för unionens företag. Parlamentet understryker behovet av att se till att företag och arbetstagare är väl rustade att dra nytta av de möjligheter som övergången till nya och innovativa lösningar skapar. Parlamentet anser att en </w:t>
            </w:r>
            <w:r>
              <w:rPr>
                <w:b/>
                <w:i/>
              </w:rPr>
              <w:t>rättsligt</w:t>
            </w:r>
            <w:r>
              <w:t xml:space="preserve"> bindande ram för att hantera de utmaningar och möjligheter som en rättvis omställning på arbetsplatsen ger är avgörande för att säkerställa gemensamma minimistandarder som skapar klarhet och struktur för både arbetstagare och arbetsgivare när det gäller att förutse och hantera förändringar och i slutändan förbättra unionens resiliens, konkurrenskraft och uppåtgående sociala konvergens. Parlamentet betonar att regionerna kan uppmuntra en rättvis omställning genom att kombinera socialt skydd, ekonomisk diversifiering och territoriell samordning för att minska de negativa effekterna och främja en mer inkluderande utveckling.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Europaparlamentet beklagar att många företag under de senaste årtiondena har utnyttjat övergångarna inom ramen för den gröna och den digitala omställningen som en förevändning att ansöka om och ta emot betydande summor offentliga medel samtidigt som de genomför massuppsägningar, särskilt inom fordons- och energisektorn.</w:t>
            </w:r>
            <w:r>
              <w:t xml:space="preserve"> </w:t>
            </w:r>
            <w:r>
              <w:rPr>
                <w:b/>
                <w:i/>
              </w:rPr>
              <w:t>Parlamentet uppmanar kommissionen att skapa en rättslig ram för att förhindra att detta upprepas och att kräva att företag, när de blir medvetna om potentiella kriser, ska vara skyldiga att utfärda tidiga varningar och omedelbart samarbeta med fackföreningar, arbetstagarrepresentanter och företrädare för berörda samhällen för att diskutera och hantera situationen.</w:t>
            </w:r>
            <w:r>
              <w:t xml:space="preserve"> </w:t>
            </w:r>
            <w:r>
              <w:rPr>
                <w:b/>
                <w:i/>
              </w:rPr>
              <w:t>Parlamentet anser att uppsägningar bör vara den sista utvägen och enbart tas till när ett företag kan bevisa att det i god tro har försökt föregripa och hantera förändringar.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Europaparlamentet anser att en framgångsrik utveckling på grundval av hållbarare och oberoende energikällor och industrier kommer att spela en viktig roll för EU-företagens långsiktiga konkurrenskraft på en global marknad som bygger på energi till mycket mer överkomliga priser, särskilt när det gäller AI-drivna tjänster, som utvecklas mycket snabbt och är mycket föränderliga, som bygger på energiintensiva serveranläggningar.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framhåller att effekterna av utfasningen av fossila bränslen på sysselsättningen inte bara leder till minskningar i sektorerna för fossila bränslen, utan också har en mer allmän inverkan </w:t>
            </w:r>
            <w:r>
              <w:rPr>
                <w:b/>
                <w:i/>
              </w:rPr>
              <w:t>när det gäller att omdefiniera</w:t>
            </w:r>
            <w:r>
              <w:t xml:space="preserve"> arbetstillfällen och </w:t>
            </w:r>
            <w:r>
              <w:rPr>
                <w:b/>
                <w:i/>
              </w:rPr>
              <w:t>ställa om arbetsmarknaden.</w:t>
            </w:r>
            <w:r>
              <w:t xml:space="preserve"> </w:t>
            </w:r>
            <w:r>
              <w:rPr>
                <w:b/>
                <w:i/>
              </w:rPr>
              <w:t>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hälsa och säkerhet, kollektivavtalstäckning samt utbildning och kompetens</w:t>
            </w:r>
            <w:r>
              <w:t xml:space="preserve">. </w:t>
            </w:r>
            <w:r>
              <w:rPr>
                <w:b/>
                <w:i/>
              </w:rPr>
              <w:t>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w:t>
            </w:r>
          </w:p>
        </w:tc>
        <w:tc>
          <w:tcPr>
            <w:tcW w:w="4876" w:type="dxa"/>
            <w:tcBorders>
              <w:top w:val="nil"/>
              <w:left w:val="nil"/>
              <w:bottom w:val="nil"/>
              <w:right w:val="nil"/>
            </w:tcBorders>
          </w:tcPr>
          <w:p>
            <w:pPr>
              <w:pStyle w:val="Normal6a"/>
            </w:pPr>
            <w:r>
              <w:t>2.</w:t>
            </w:r>
            <w:r>
              <w:tab/>
            </w:r>
            <w:r>
              <w:t xml:space="preserve">Europaparlamentet framhåller att effekterna av utfasningen av fossila bränslen på sysselsättningen inte bara leder till minskningar i sektorerna för fossila bränslen, utan också har en mer allmän inverkan </w:t>
            </w:r>
            <w:r>
              <w:rPr>
                <w:b/>
                <w:i/>
              </w:rPr>
              <w:t>i form av förlust av</w:t>
            </w:r>
            <w:r>
              <w:t xml:space="preserve"> arbetstillfällen och </w:t>
            </w:r>
            <w:r>
              <w:rPr>
                <w:b/>
                <w:i/>
              </w:rPr>
              <w:t>en krympande arbetsmarknad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framhåller att effekterna av utfasningen av fossila bränslen på sysselsättningen inte bara leder till minskningar i sektorerna för fossila bränslen, utan också har en mer allmän inverkan när det gäller att </w:t>
            </w:r>
            <w:r>
              <w:rPr>
                <w:b/>
                <w:i/>
              </w:rPr>
              <w:t>omdefiniera</w:t>
            </w:r>
            <w:r>
              <w:t xml:space="preserve"> arbetstillfällen och </w:t>
            </w:r>
            <w:r>
              <w:rPr>
                <w:b/>
                <w:i/>
              </w:rPr>
              <w:t>ställa om</w:t>
            </w:r>
            <w:r>
              <w:t xml:space="preserve"> arbetsmarknaden. Parlamentet betonar att den kommande uppdateringen av handlingsplanen för den europeiska pelaren för sociala rättigheter och den nya färdplanen för sysselsättning av god kvalitet </w:t>
            </w:r>
            <w:r>
              <w:rPr>
                <w:b/>
                <w:i/>
              </w:rPr>
              <w:t>måste innehålla en uppsättning konkreta lagstiftningsåtgärder och andra åtgärder som märkbart förbättrar arbetstagarnas och egenföretagarnas arbetsvillkor, hälsa och säkerhet, kollektivavtalstäckning samt utbildning och kompetens</w:t>
            </w:r>
            <w:r>
              <w:t xml:space="preserve">. Parlamentet betonar att sådana åtgärder också erbjuder en möjlighet att stödja unionens arbetsgivare, särskilt små och medelstora företag, att behålla och förbättra sin konkurrenskraft genom att </w:t>
            </w:r>
            <w:r>
              <w:rPr>
                <w:b/>
                <w:i/>
              </w:rPr>
              <w:t>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w:t>
            </w:r>
            <w:r>
              <w:t>.</w:t>
            </w:r>
          </w:p>
        </w:tc>
        <w:tc>
          <w:tcPr>
            <w:tcW w:w="4876" w:type="dxa"/>
            <w:tcBorders>
              <w:top w:val="nil"/>
              <w:left w:val="nil"/>
              <w:bottom w:val="nil"/>
              <w:right w:val="nil"/>
            </w:tcBorders>
          </w:tcPr>
          <w:p>
            <w:pPr>
              <w:pStyle w:val="Normal6a"/>
            </w:pPr>
            <w:r>
              <w:t>2.</w:t>
            </w:r>
            <w:r>
              <w:tab/>
            </w:r>
            <w:r>
              <w:t xml:space="preserve">Europaparlamentet framhåller att effekterna av utfasningen av fossila bränslen på sysselsättningen inte bara leder till minskningar i sektorerna för fossila bränslen, utan också har en mer allmän inverkan när det gäller att </w:t>
            </w:r>
            <w:r>
              <w:rPr>
                <w:b/>
                <w:i/>
              </w:rPr>
              <w:t>minska antalet</w:t>
            </w:r>
            <w:r>
              <w:t xml:space="preserve"> arbetstillfällen och </w:t>
            </w:r>
            <w:r>
              <w:rPr>
                <w:b/>
                <w:i/>
              </w:rPr>
              <w:t>undergräva</w:t>
            </w:r>
            <w:r>
              <w:t xml:space="preserve"> arbetsmarknaden </w:t>
            </w:r>
            <w:r>
              <w:rPr>
                <w:b/>
                <w:i/>
              </w:rPr>
              <w:t>i EU</w:t>
            </w:r>
            <w:r>
              <w:t xml:space="preserve">. Parlamentet betonar att den kommande uppdateringen av handlingsplanen för den europeiska pelaren för sociala rättigheter och den nya färdplanen för sysselsättning av god kvalitet </w:t>
            </w:r>
            <w:r>
              <w:rPr>
                <w:b/>
                <w:i/>
              </w:rPr>
              <w:t>behövs för att minska de begränsningar som ligger sysselsättningen i EU till last</w:t>
            </w:r>
            <w:r>
              <w:t xml:space="preserve">. Parlamentet betonar att sådana åtgärder också erbjuder en möjlighet att stödja unionens arbetsgivare, särskilt små och medelstora företag, att behålla och förbättra sin konkurrenskraft genom att </w:t>
            </w:r>
            <w:r>
              <w:rPr>
                <w:b/>
                <w:i/>
              </w:rPr>
              <w:t>främja avreglering</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w:t>
            </w:r>
            <w:r>
              <w:rPr>
                <w:b/>
                <w:i/>
              </w:rPr>
              <w:t>konkreta lagstiftningsåtgärder och andra</w:t>
            </w:r>
            <w:r>
              <w:t xml:space="preserve">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w:t>
            </w:r>
          </w:p>
        </w:tc>
        <w:tc>
          <w:tcPr>
            <w:tcW w:w="4876" w:type="dxa"/>
            <w:tcBorders>
              <w:top w:val="nil"/>
              <w:left w:val="nil"/>
              <w:bottom w:val="nil"/>
              <w:right w:val="nil"/>
            </w:tcBorders>
          </w:tcPr>
          <w:p>
            <w:pPr>
              <w:pStyle w:val="Normal6a"/>
            </w:pPr>
            <w:r>
              <w:t>2.</w:t>
            </w:r>
            <w:r>
              <w:tab/>
            </w:r>
            <w:r>
              <w:t>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w:t>
            </w:r>
            <w:r>
              <w:rPr>
                <w:b/>
                <w:i/>
              </w:rPr>
              <w:t>en tydlig ram</w:t>
            </w:r>
            <w:r>
              <w:t xml:space="preserve"> som förutser och hanterar förändringar, och att investera i yrkesutbildning, kompetenshöjning och omskolning av arbetstagare för att hantera kompetens- och arbetskraftsbrist som hämmar produktiviteten och tillväxten.</w:t>
            </w:r>
          </w:p>
        </w:tc>
        <w:tc>
          <w:tcPr>
            <w:tcW w:w="4876" w:type="dxa"/>
            <w:tcBorders>
              <w:top w:val="nil"/>
              <w:left w:val="nil"/>
              <w:bottom w:val="nil"/>
              <w:right w:val="nil"/>
            </w:tcBorders>
          </w:tcPr>
          <w:p>
            <w:pPr>
              <w:pStyle w:val="Normal6a"/>
            </w:pPr>
            <w:r>
              <w:t>2.</w:t>
            </w:r>
            <w:r>
              <w:tab/>
            </w:r>
            <w:r>
              <w:t xml:space="preserve">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w:t>
            </w:r>
            <w:r>
              <w:rPr>
                <w:b/>
                <w:i/>
              </w:rPr>
              <w:t>ge praktisk vägledning och</w:t>
            </w:r>
            <w:r>
              <w:t xml:space="preserve"> tillhandahålla </w:t>
            </w:r>
            <w:r>
              <w:rPr>
                <w:b/>
                <w:i/>
              </w:rPr>
              <w:t>stödverktyg</w:t>
            </w:r>
            <w:r>
              <w:t xml:space="preserve"> som förutser och hanterar förändringar, och att investera i yrkesutbildning, kompetenshöjning och omskolning av arbetstagare för att hantera kompetens- och arbetskraftsbrist som hämmar produktiviteten och tillväxten.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w:t>
            </w:r>
            <w:r>
              <w:rPr>
                <w:b/>
                <w:i/>
              </w:rPr>
              <w:t>framhåller</w:t>
            </w:r>
            <w:r>
              <w:t xml:space="preserve"> att effekterna av utfasningen av fossila bränslen på sysselsättningen inte bara leder till minskningar i sektorerna för fossila bränslen, utan också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w:t>
            </w:r>
          </w:p>
        </w:tc>
        <w:tc>
          <w:tcPr>
            <w:tcW w:w="4876" w:type="dxa"/>
            <w:tcBorders>
              <w:top w:val="nil"/>
              <w:left w:val="nil"/>
              <w:bottom w:val="nil"/>
              <w:right w:val="nil"/>
            </w:tcBorders>
          </w:tcPr>
          <w:p>
            <w:pPr>
              <w:pStyle w:val="Normal6a"/>
            </w:pPr>
            <w:r>
              <w:t>2.</w:t>
            </w:r>
            <w:r>
              <w:tab/>
            </w:r>
            <w:r>
              <w:t xml:space="preserve">Europaparlamentet </w:t>
            </w:r>
            <w:r>
              <w:rPr>
                <w:b/>
                <w:i/>
              </w:rPr>
              <w:t>insisterar på</w:t>
            </w:r>
            <w:r>
              <w:t xml:space="preserve"> att effekterna av utfasningen av fossila bränslen på sysselsättningen inte bara leder till minskningar i sektorerna för fossila bränslen, utan också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 </w:t>
            </w:r>
            <w:r>
              <w:rPr>
                <w:b/>
                <w:i/>
              </w:rPr>
              <w:t>och även försämrar arbetstagarnas framtidsutsikter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w:t>
            </w:r>
          </w:p>
        </w:tc>
        <w:tc>
          <w:tcPr>
            <w:tcW w:w="4876" w:type="dxa"/>
            <w:tcBorders>
              <w:top w:val="nil"/>
              <w:left w:val="nil"/>
              <w:bottom w:val="nil"/>
              <w:right w:val="nil"/>
            </w:tcBorders>
          </w:tcPr>
          <w:p>
            <w:pPr>
              <w:pStyle w:val="Normal6a"/>
            </w:pPr>
            <w:r>
              <w:t>2.</w:t>
            </w:r>
            <w:r>
              <w:tab/>
            </w:r>
            <w:r>
              <w:t xml:space="preserve">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 </w:t>
            </w:r>
            <w:r>
              <w:rPr>
                <w:b/>
                <w:i/>
              </w:rPr>
              <w:t>Parlamentet efterlyser åtgärder som garanterar allmän användning av kollektivförhandlingar, stärkande av fackföreningar och befästande av arbetstagarnas rätt att delta i utformningen av omställningsplaner.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w:t>
            </w:r>
          </w:p>
        </w:tc>
        <w:tc>
          <w:tcPr>
            <w:tcW w:w="4876" w:type="dxa"/>
            <w:tcBorders>
              <w:top w:val="nil"/>
              <w:left w:val="nil"/>
              <w:bottom w:val="nil"/>
              <w:right w:val="nil"/>
            </w:tcBorders>
          </w:tcPr>
          <w:p>
            <w:pPr>
              <w:pStyle w:val="Normal6a"/>
            </w:pPr>
            <w:r>
              <w:t>2.</w:t>
            </w:r>
            <w:r>
              <w:tab/>
            </w:r>
            <w:r>
              <w:t>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w:t>
            </w:r>
            <w:r>
              <w:rPr>
                <w:b/>
                <w:i/>
              </w:rPr>
              <w:t>.</w:t>
            </w:r>
            <w:r>
              <w:t xml:space="preserve"> </w:t>
            </w:r>
            <w:r>
              <w:rPr>
                <w:b/>
                <w:i/>
              </w:rPr>
              <w:t>Parlamentet betonar behovet av att anpassa de befintliga jobb som i framtiden kommer att påverkas av klimatförändringarna , eller som redan påverkas, till stigande temperaturer och andra extrema väderförhållanden</w:t>
            </w:r>
            <w:r>
              <w:t xml:space="preserve">. 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w:t>
            </w:r>
            <w:r>
              <w:rPr>
                <w:b/>
                <w:i/>
              </w:rPr>
              <w:t>löner,</w:t>
            </w:r>
            <w:r>
              <w:t xml:space="preserve"> hälsa och säkerhet</w:t>
            </w:r>
            <w:r>
              <w:rPr>
                <w:b/>
                <w:i/>
              </w:rPr>
              <w:t>, demokrati i arbetslivet</w:t>
            </w:r>
            <w:r>
              <w: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w:t>
            </w:r>
          </w:p>
        </w:tc>
        <w:tc>
          <w:tcPr>
            <w:tcW w:w="4876" w:type="dxa"/>
            <w:tcBorders>
              <w:top w:val="nil"/>
              <w:left w:val="nil"/>
              <w:bottom w:val="nil"/>
              <w:right w:val="nil"/>
            </w:tcBorders>
          </w:tcPr>
          <w:p>
            <w:pPr>
              <w:pStyle w:val="Normal6a"/>
            </w:pPr>
            <w:r>
              <w:t>2.</w:t>
            </w:r>
            <w:r>
              <w:tab/>
            </w:r>
            <w:r>
              <w:t xml:space="preserve">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 Parlamentet </w:t>
            </w:r>
            <w:r>
              <w:rPr>
                <w:b/>
                <w:i/>
              </w:rPr>
              <w:t>välkomnar i detta avseende tillkännagivandet av en rättsakt om sysselsättning av god kvalitet, som ska ha som mål att säkerställa att praxis på sysselsättningsområdet håller jämna steg med utvecklingen i den moderna ekonomin.</w:t>
            </w:r>
            <w:r>
              <w:t xml:space="preserve"> </w:t>
            </w:r>
            <w:r>
              <w:rPr>
                <w:b/>
                <w:i/>
              </w:rPr>
              <w:t>Parlamentet</w:t>
            </w:r>
            <w:r>
              <w:t xml:space="preserve"> betonar att </w:t>
            </w:r>
            <w:r>
              <w:rPr>
                <w:b/>
                <w:i/>
              </w:rPr>
              <w:t>denna rättsakt tillsammans med</w:t>
            </w:r>
            <w:r>
              <w:t xml:space="preserve">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w:t>
            </w:r>
          </w:p>
        </w:tc>
        <w:tc>
          <w:tcPr>
            <w:tcW w:w="4876" w:type="dxa"/>
            <w:tcBorders>
              <w:top w:val="nil"/>
              <w:left w:val="nil"/>
              <w:bottom w:val="nil"/>
              <w:right w:val="nil"/>
            </w:tcBorders>
          </w:tcPr>
          <w:p>
            <w:pPr>
              <w:pStyle w:val="Normal6a"/>
            </w:pPr>
            <w:r>
              <w:t>2.</w:t>
            </w:r>
            <w:r>
              <w:tab/>
            </w:r>
            <w:r>
              <w:t xml:space="preserve">Europaparlamentet framhåller att effekterna av utfasningen av fossila bränslen på sysselsättningen inte bara leder till minskningar i sektorerna för fossila bränslen, utan också </w:t>
            </w:r>
            <w:r>
              <w:rPr>
                <w:b/>
                <w:i/>
              </w:rPr>
              <w:t>kommer att påverka alla yrken under de kommande årtiondena och därför</w:t>
            </w:r>
            <w:r>
              <w:t xml:space="preserve"> har en mer allmän inverkan när det gäller att omdefiniera arbetstillfällen och ställa om arbetsmarknaden. Parlamentet betonar att den kommande uppdateringen av handlingsplanen för den europeiska pelaren för sociala rättigheter och den nya färdplanen för sysselsättning av god kvalitet måste innehålla en uppsättning konkreta lagstiftningsåtgärder och andra åtgärder som märkbart förbättrar arbetstagarnas och egenföretagarnas arbetsvillkor</w:t>
            </w:r>
            <w:r>
              <w:rPr>
                <w:b/>
                <w:i/>
              </w:rPr>
              <w:t>, löner, demokratin i arbetslivet</w:t>
            </w:r>
            <w:r>
              <w:t xml:space="preserve">, hälsa och säkerhet, kollektivavtalstäckning samt utbildning och kompetens. Parlamentet betonar att sådana åtgärder också erbjuder en möjlighet att stödja unionens arbetsgivare, särskilt små och medelstora företag, att behålla och förbättra sin konkurrenskraft genom att i partnerskap med arbetstagarna tillhandahålla en tydlig ram som förutser och hanterar förändringar, och att investera i yrkesutbildning, kompetenshöjning och omskolning av arbetstagare för att hantera kompetens- och arbetskraftsbrist som hämmar produktiviteten och tillväxten </w:t>
            </w:r>
            <w:r>
              <w:rPr>
                <w:b/>
                <w:i/>
              </w:rPr>
              <w:t>och ökar fattigdomen bland förvärvsarbetande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betonar att digitalisering måste genomföras på ett människocentrerat sätt för att förhindra överdriven övervakning av arbetstagare och säkerställa rätten att inte vara uppkopplad samt rättvisa arbetstidsarrangemang.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Europaparlamentet uppmanar kommissionen att efter samråd med arbetsmarknadens parter föreslå ett direktiv för att säkerställa en rättvis omställning i arbetslivet och underlätta unionens omställning till en hållbar, klimatneutral och digital ekonomi.</w:t>
            </w:r>
            <w:r>
              <w:t xml:space="preserve"> </w:t>
            </w:r>
            <w:r>
              <w:rPr>
                <w:b/>
                <w:i/>
              </w:rPr>
              <w:t>Parlamentet anser att detta direktiv bör innehålla åtgärder för att bland annat säkerställa följande:</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En särskild ram för att förutse och hantera förändringar genom aktuell information till och samråd med arbetstagare och deras företrädare, social dialog och kollektivförhandlingar.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Individuell rätt till kostnadsfri utbildning för arbetstagare under arbetstid.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Inrättande av nationella strategier för en rättvis omställning.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Utveckling av program för företagsstöd och främjande av omställningsplaner på företagsnivå.</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En övervakningsstruktur som kan erbjuda strategisk framsyn.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Europaparlamentet uppmanar kommissionen att efter samråd med arbetsmarknadens parter föreslå ett direktiv för att säkerställa en rättvis omställning i arbetslivet och underlätta unionens omställning till en hållbar, klimatneutral och digital ekonomi.</w:t>
            </w:r>
            <w:r>
              <w:t xml:space="preserve"> </w:t>
            </w:r>
            <w:r>
              <w:rPr>
                <w:b/>
                <w:i/>
              </w:rPr>
              <w:t>Parlamentet anser att detta direktiv bör innehålla åtgärder för att bland annat säkerställa följande:</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En särskild ram för att förutse och hantera förändringar genom aktuell information till och samråd med arbetstagare och deras företrädare, social dialog och kollektivförhandlingar.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Individuell rätt till kostnadsfri utbildning för arbetstagare under arbetstid.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Inrättande av nationella strategier för en rättvis omställning.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Utveckling av program för företagsstöd och främjande av omställningsplaner på företagsnivå.</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En övervakningsstruktur som kan erbjuda strategisk framsyn.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uppmanar kommissionen att efter samråd med arbetsmarknadens parter </w:t>
            </w:r>
            <w:r>
              <w:rPr>
                <w:b/>
                <w:i/>
              </w:rPr>
              <w:t>föreslå ett direktiv för att säkerställa en rättvis omställning</w:t>
            </w:r>
            <w:r>
              <w:t xml:space="preserve"> i arbetslivet </w:t>
            </w:r>
            <w:r>
              <w:rPr>
                <w:b/>
                <w:i/>
              </w:rPr>
              <w:t>och underlätta unionens omställning till en hållbar, klimatneutral och digital ekonomi</w:t>
            </w:r>
            <w:r>
              <w:t xml:space="preserve">. Parlamentet anser att </w:t>
            </w:r>
            <w:r>
              <w:rPr>
                <w:b/>
                <w:i/>
              </w:rPr>
              <w:t>detta direktiv bör innehålla åtgärder</w:t>
            </w:r>
            <w:r>
              <w:t xml:space="preserve"> för att </w:t>
            </w:r>
            <w:r>
              <w:rPr>
                <w:b/>
                <w:i/>
              </w:rPr>
              <w:t>bland annat säkerställa följande:</w:t>
            </w:r>
          </w:p>
        </w:tc>
        <w:tc>
          <w:tcPr>
            <w:tcW w:w="4876" w:type="dxa"/>
            <w:tcBorders>
              <w:top w:val="nil"/>
              <w:left w:val="nil"/>
              <w:bottom w:val="nil"/>
              <w:right w:val="nil"/>
            </w:tcBorders>
          </w:tcPr>
          <w:p>
            <w:pPr>
              <w:pStyle w:val="Normal6a"/>
            </w:pPr>
            <w:r>
              <w:t>3.</w:t>
            </w:r>
            <w:r>
              <w:tab/>
            </w:r>
            <w:r>
              <w:t>Europaparlamentet uppmanar kommissionen att efter samråd med arbetsmarknadens parter </w:t>
            </w:r>
            <w:r>
              <w:rPr>
                <w:b/>
                <w:i/>
              </w:rPr>
              <w:t>genomföra kompletta ekonomiska och sociala konsekvensbedömningar av alla förslag om rättvisa omställningar</w:t>
            </w:r>
            <w:r>
              <w:t xml:space="preserve"> i arbetslivet. Parlamentet anser att </w:t>
            </w:r>
            <w:r>
              <w:rPr>
                <w:b/>
                <w:i/>
              </w:rPr>
              <w:t>ingen ytterligare administrativ börda bör åläggas industrin och skattebetalarna om det inte föreligger bevis</w:t>
            </w:r>
            <w:r>
              <w:t xml:space="preserve"> för att </w:t>
            </w:r>
            <w:r>
              <w:rPr>
                <w:b/>
                <w:i/>
              </w:rPr>
              <w:t>utfasningen av fossila bränslen och digitaliseringen kommer att medföra positiva förändringar för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uppmanar kommissionen att efter samråd med arbetsmarknadens parter </w:t>
            </w:r>
            <w:r>
              <w:rPr>
                <w:b/>
                <w:i/>
              </w:rPr>
              <w:t>föreslå ett direktiv</w:t>
            </w:r>
            <w:r>
              <w:t xml:space="preserve"> för att säkerställa en rättvis omställning i arbetslivet och underlätta unionens omställning till en hållbar, klimatneutral och digital ekonomi. Parlamentet anser att detta direktiv bör innehålla åtgärder för att bland annat säkerställa följande:</w:t>
            </w:r>
          </w:p>
        </w:tc>
        <w:tc>
          <w:tcPr>
            <w:tcW w:w="4876" w:type="dxa"/>
            <w:tcBorders>
              <w:top w:val="nil"/>
              <w:left w:val="nil"/>
              <w:bottom w:val="nil"/>
              <w:right w:val="nil"/>
            </w:tcBorders>
          </w:tcPr>
          <w:p>
            <w:pPr>
              <w:pStyle w:val="Normal6a"/>
            </w:pPr>
            <w:r>
              <w:t>3.</w:t>
            </w:r>
            <w:r>
              <w:tab/>
            </w:r>
            <w:r>
              <w:t xml:space="preserve">Europaparlamentet uppmanar kommissionen att efter </w:t>
            </w:r>
            <w:r>
              <w:rPr>
                <w:b/>
                <w:i/>
              </w:rPr>
              <w:t>en noggrann bedömning och</w:t>
            </w:r>
            <w:r>
              <w:t xml:space="preserve"> samråd med arbetsmarknadens parter </w:t>
            </w:r>
            <w:r>
              <w:rPr>
                <w:b/>
                <w:i/>
              </w:rPr>
              <w:t>och aktörer se över den befintliga lagstiftningen</w:t>
            </w:r>
            <w:r>
              <w:t xml:space="preserve"> för att säkerställa en rättvis omställning i arbetslivet och underlätta unionens omställning till en hållbar, klimatneutral och digital ekonomi. Parlamentet anser att detta direktiv bör innehålla åtgärder för att bland annat säkerställa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uppmanar kommissionen att efter samråd med arbetsmarknadens parter föreslå ett </w:t>
            </w:r>
            <w:r>
              <w:rPr>
                <w:b/>
                <w:i/>
              </w:rPr>
              <w:t>direktiv</w:t>
            </w:r>
            <w:r>
              <w:t xml:space="preserve"> för att säkerställa en rättvis omställning i arbetslivet och underlätta unionens omställning till en hållbar, klimatneutral och digital ekonomi. Parlamentet anser att detta </w:t>
            </w:r>
            <w:r>
              <w:rPr>
                <w:b/>
                <w:i/>
              </w:rPr>
              <w:t>direktiv</w:t>
            </w:r>
            <w:r>
              <w:t xml:space="preserve"> bör innehålla åtgärder för att bland annat säkerställa följande:</w:t>
            </w:r>
          </w:p>
        </w:tc>
        <w:tc>
          <w:tcPr>
            <w:tcW w:w="4876" w:type="dxa"/>
            <w:tcBorders>
              <w:top w:val="nil"/>
              <w:left w:val="nil"/>
              <w:bottom w:val="nil"/>
              <w:right w:val="nil"/>
            </w:tcBorders>
          </w:tcPr>
          <w:p>
            <w:pPr>
              <w:pStyle w:val="Normal6a"/>
            </w:pPr>
            <w:r>
              <w:t>3.</w:t>
            </w:r>
            <w:r>
              <w:tab/>
            </w:r>
            <w:r>
              <w:t xml:space="preserve">Europaparlamentet uppmanar kommissionen att efter samråd med arbetsmarknadens parter föreslå ett </w:t>
            </w:r>
            <w:r>
              <w:rPr>
                <w:b/>
                <w:i/>
              </w:rPr>
              <w:t>ramverk av åtgärder utan lagstiftningskaraktär</w:t>
            </w:r>
            <w:r>
              <w:t xml:space="preserve"> för att säkerställa en rättvis omställning i arbetslivet och underlätta unionens omställning till en hållbar, klimatneutral och digital ekonomi. Parlamentet anser att detta </w:t>
            </w:r>
            <w:r>
              <w:rPr>
                <w:b/>
                <w:i/>
              </w:rPr>
              <w:t>ramverk</w:t>
            </w:r>
            <w:r>
              <w:t xml:space="preserve"> bör innehålla åtgärder för att bland annat säkerställa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uppmanar kommissionen att efter samråd med arbetsmarknadens parter föreslå ett direktiv för att säkerställa en rättvis omställning i arbetslivet och underlätta unionens omställning till en hållbar, klimatneutral och digital ekonomi. Parlamentet anser att detta direktiv bör innehålla åtgärder för att bland annat säkerställa följande:</w:t>
            </w:r>
          </w:p>
        </w:tc>
        <w:tc>
          <w:tcPr>
            <w:tcW w:w="4876" w:type="dxa"/>
            <w:tcBorders>
              <w:top w:val="nil"/>
              <w:left w:val="nil"/>
              <w:bottom w:val="nil"/>
              <w:right w:val="nil"/>
            </w:tcBorders>
          </w:tcPr>
          <w:p>
            <w:pPr>
              <w:pStyle w:val="Normal6a"/>
            </w:pPr>
            <w:r>
              <w:t>3.</w:t>
            </w:r>
            <w:r>
              <w:tab/>
            </w:r>
            <w:r>
              <w:t xml:space="preserve">Europaparlamentet uppmanar </w:t>
            </w:r>
            <w:r>
              <w:rPr>
                <w:b/>
                <w:i/>
              </w:rPr>
              <w:t>på nytt</w:t>
            </w:r>
            <w:r>
              <w:t xml:space="preserve"> kommissionen att efter samråd med arbetsmarknadens parter </w:t>
            </w:r>
            <w:r>
              <w:rPr>
                <w:b/>
                <w:i/>
              </w:rPr>
              <w:t>utan dröjsmål</w:t>
            </w:r>
            <w:r>
              <w:t xml:space="preserve"> föreslå ett direktiv för att säkerställa en rättvis omställning i arbetslivet och underlätta unionens omställning till en hållbar, klimatneutral och digital ekonomi. Parlamentet anser att detta direktiv bör innehålla åtgärder för att bland annat säkerställa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uppmanar kommissionen att efter samråd med arbetsmarknadens parter föreslå ett direktiv för att säkerställa en rättvis omställning i arbetslivet och underlätta unionens omställning till en hållbar, klimatneutral och digital ekonomi. Parlamentet anser att detta direktiv bör innehålla åtgärder för att bland annat säkerställa följande:</w:t>
            </w:r>
          </w:p>
        </w:tc>
        <w:tc>
          <w:tcPr>
            <w:tcW w:w="4876" w:type="dxa"/>
            <w:tcBorders>
              <w:top w:val="nil"/>
              <w:left w:val="nil"/>
              <w:bottom w:val="nil"/>
              <w:right w:val="nil"/>
            </w:tcBorders>
          </w:tcPr>
          <w:p>
            <w:pPr>
              <w:pStyle w:val="Normal6a"/>
            </w:pPr>
            <w:r>
              <w:t>3.</w:t>
            </w:r>
            <w:r>
              <w:tab/>
            </w:r>
            <w:r>
              <w:t xml:space="preserve">Europaparlamentet uppmanar kommissionen att efter samråd med arbetsmarknadens parter föreslå ett direktiv för att säkerställa en rättvis omställning i arbetslivet och underlätta unionens omställning till en hållbar, klimatneutral och digital ekonomi. Parlamentet </w:t>
            </w:r>
            <w:r>
              <w:rPr>
                <w:b/>
                <w:i/>
              </w:rPr>
              <w:t>betonar att detta direktiv fullt ut måste respektera de nationella arbetsmarknadsparternas roller och deras oberoende.</w:t>
            </w:r>
            <w:r>
              <w:t xml:space="preserve"> </w:t>
            </w:r>
            <w:r>
              <w:rPr>
                <w:b/>
                <w:i/>
              </w:rPr>
              <w:t>Parlamentet</w:t>
            </w:r>
            <w:r>
              <w:t xml:space="preserve"> anser att detta direktiv bör innehålla åtgärder för att bland annat säkerställa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En särskild ram för att förutse och hantera förändringar genom aktuell information till och samråd med arbetstagare och deras företrädare, social dialog och kollektivförhandlingar.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En särskild ram för att förutse och hantera förändringar genom aktuell information till och samråd med arbetstagare och deras företrädare, social dialog och kollektivförhandlingar.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En särskild ram</w:t>
            </w:r>
            <w:r>
              <w:t xml:space="preserve"> för att förutse och hantera förändringar genom aktuell information till och samråd med arbetstagare och deras företrädare, social dialog och kollektivförhandlingar.</w:t>
            </w:r>
          </w:p>
        </w:tc>
        <w:tc>
          <w:tcPr>
            <w:tcW w:w="4876" w:type="dxa"/>
            <w:tcBorders>
              <w:top w:val="nil"/>
              <w:left w:val="nil"/>
              <w:bottom w:val="nil"/>
              <w:right w:val="nil"/>
            </w:tcBorders>
          </w:tcPr>
          <w:p>
            <w:pPr>
              <w:pStyle w:val="Normal6a"/>
            </w:pPr>
            <w:r>
              <w:t>a)</w:t>
            </w:r>
            <w:r>
              <w:tab/>
            </w:r>
            <w:r>
              <w:rPr>
                <w:b/>
                <w:i/>
              </w:rPr>
              <w:t>Riktlinjer</w:t>
            </w:r>
            <w:r>
              <w:t xml:space="preserve"> för att förutse och hantera förändringar genom aktuell information till och samråd med arbetstagare och deras företrädare, social dialog och kollektivförhandlingar.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En särskild ram för att förutse och hantera förändringar genom aktuell information till och samråd med arbetstagare och deras företrädare</w:t>
            </w:r>
            <w:r>
              <w:rPr>
                <w:b/>
                <w:i/>
              </w:rPr>
              <w:t>,</w:t>
            </w:r>
            <w:r>
              <w:t xml:space="preserve"> social dialog </w:t>
            </w:r>
            <w:r>
              <w:rPr>
                <w:b/>
                <w:i/>
              </w:rPr>
              <w:t>och</w:t>
            </w:r>
            <w:r>
              <w:t xml:space="preserve"> kollektivförhandlingar.</w:t>
            </w:r>
          </w:p>
        </w:tc>
        <w:tc>
          <w:tcPr>
            <w:tcW w:w="4876" w:type="dxa"/>
            <w:tcBorders>
              <w:top w:val="nil"/>
              <w:left w:val="nil"/>
              <w:bottom w:val="nil"/>
              <w:right w:val="nil"/>
            </w:tcBorders>
          </w:tcPr>
          <w:p>
            <w:pPr>
              <w:pStyle w:val="Normal6a"/>
            </w:pPr>
            <w:r>
              <w:t>a)</w:t>
            </w:r>
            <w:r>
              <w:tab/>
            </w:r>
            <w:r>
              <w:t xml:space="preserve">En särskild ram för att förutse och hantera förändringar genom aktuell information till och samråd med arbetstagare och deras företrädare </w:t>
            </w:r>
            <w:r>
              <w:rPr>
                <w:b/>
                <w:i/>
              </w:rPr>
              <w:t>och andra relevanta aktörer genom</w:t>
            </w:r>
            <w:r>
              <w:t xml:space="preserve"> social dialog</w:t>
            </w:r>
            <w:r>
              <w:rPr>
                <w:b/>
                <w:i/>
              </w:rPr>
              <w:t>,</w:t>
            </w:r>
            <w:r>
              <w:t xml:space="preserve"> kollektivförhandlingar </w:t>
            </w:r>
            <w:r>
              <w:rPr>
                <w:b/>
                <w:i/>
              </w:rPr>
              <w:t>samt gemensamt utformande och gemensam styrning av åtgärder och mekanismer för en rättvis omställning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En särskild ram för att förutse och hantera förändringar genom aktuell information till och samråd med arbetstagare och deras företrädare, social dialog och kollektivförhandlingar.</w:t>
            </w:r>
          </w:p>
        </w:tc>
        <w:tc>
          <w:tcPr>
            <w:tcW w:w="4876" w:type="dxa"/>
            <w:tcBorders>
              <w:top w:val="nil"/>
              <w:left w:val="nil"/>
              <w:bottom w:val="nil"/>
              <w:right w:val="nil"/>
            </w:tcBorders>
          </w:tcPr>
          <w:p>
            <w:pPr>
              <w:pStyle w:val="Normal6a"/>
            </w:pPr>
            <w:r>
              <w:t>a)</w:t>
            </w:r>
            <w:r>
              <w:tab/>
            </w:r>
            <w:r>
              <w:t xml:space="preserve">En särskild ram för att förutse och hantera förändringar genom </w:t>
            </w:r>
            <w:r>
              <w:rPr>
                <w:b/>
                <w:i/>
              </w:rPr>
              <w:t>obligatorisk och</w:t>
            </w:r>
            <w:r>
              <w:t xml:space="preserve"> aktuell information till och samråd med arbetstagare och deras företrädare, social dialog och kollektivförhandlingar </w:t>
            </w:r>
            <w:r>
              <w:rPr>
                <w:b/>
                <w:i/>
              </w:rPr>
              <w:t>på alla relevanta nivåer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Individuell rätt till kostnadsfri utbildning för arbetstagare under arbetstid.</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Individuell rätt till kostnadsfri utbildning för arbetstagare under arbetstid.</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Individuell rätt till </w:t>
            </w:r>
            <w:r>
              <w:rPr>
                <w:b/>
                <w:i/>
              </w:rPr>
              <w:t>kostnadsfri</w:t>
            </w:r>
            <w:r>
              <w:t xml:space="preserve"> utbildning för arbetstagare </w:t>
            </w:r>
            <w:r>
              <w:rPr>
                <w:b/>
                <w:i/>
              </w:rPr>
              <w:t>under arbetstid</w:t>
            </w:r>
            <w:r>
              <w:t>.</w:t>
            </w:r>
          </w:p>
        </w:tc>
        <w:tc>
          <w:tcPr>
            <w:tcW w:w="4876" w:type="dxa"/>
            <w:tcBorders>
              <w:top w:val="nil"/>
              <w:left w:val="nil"/>
              <w:bottom w:val="nil"/>
              <w:right w:val="nil"/>
            </w:tcBorders>
          </w:tcPr>
          <w:p>
            <w:pPr>
              <w:pStyle w:val="Normal6a"/>
            </w:pPr>
            <w:r>
              <w:t>b)</w:t>
            </w:r>
            <w:r>
              <w:tab/>
            </w:r>
            <w:r>
              <w:t>Individuell rätt till utbildning för arbetstagare.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Individuell rätt till </w:t>
            </w:r>
            <w:r>
              <w:rPr>
                <w:b/>
                <w:i/>
              </w:rPr>
              <w:t>kostnadsfri</w:t>
            </w:r>
            <w:r>
              <w:t xml:space="preserve"> utbildning för arbetstagare under arbetstid.</w:t>
            </w:r>
          </w:p>
        </w:tc>
        <w:tc>
          <w:tcPr>
            <w:tcW w:w="4876" w:type="dxa"/>
            <w:tcBorders>
              <w:top w:val="nil"/>
              <w:left w:val="nil"/>
              <w:bottom w:val="nil"/>
              <w:right w:val="nil"/>
            </w:tcBorders>
          </w:tcPr>
          <w:p>
            <w:pPr>
              <w:pStyle w:val="Normal6a"/>
            </w:pPr>
            <w:r>
              <w:t>b)</w:t>
            </w:r>
            <w:r>
              <w:tab/>
            </w:r>
            <w:r>
              <w:t>Individuell rätt till utbildning för arbetstagare under arbetstid.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Individuell</w:t>
            </w:r>
            <w:r>
              <w:t xml:space="preserve"> rätt till kostnadsfri </w:t>
            </w:r>
            <w:r>
              <w:rPr>
                <w:b/>
                <w:i/>
              </w:rPr>
              <w:t>utbildning</w:t>
            </w:r>
            <w:r>
              <w:t xml:space="preserve"> för arbetstagare under arbetstid.</w:t>
            </w:r>
          </w:p>
        </w:tc>
        <w:tc>
          <w:tcPr>
            <w:tcW w:w="4876" w:type="dxa"/>
            <w:tcBorders>
              <w:top w:val="nil"/>
              <w:left w:val="nil"/>
              <w:bottom w:val="nil"/>
              <w:right w:val="nil"/>
            </w:tcBorders>
          </w:tcPr>
          <w:p>
            <w:pPr>
              <w:pStyle w:val="Normal6a"/>
            </w:pPr>
            <w:r>
              <w:t>b)</w:t>
            </w:r>
            <w:r>
              <w:tab/>
            </w:r>
            <w:r>
              <w:rPr>
                <w:b/>
                <w:i/>
              </w:rPr>
              <w:t>Allmän, lagstadgad</w:t>
            </w:r>
            <w:r>
              <w:t xml:space="preserve"> rätt till kostnadsfri </w:t>
            </w:r>
            <w:r>
              <w:rPr>
                <w:b/>
                <w:i/>
              </w:rPr>
              <w:t>kvalitetsutbildning</w:t>
            </w:r>
            <w:r>
              <w:t xml:space="preserve"> för arbetstagare under arbetstid.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Individuell rätt till kostnadsfri utbildning </w:t>
            </w:r>
            <w:r>
              <w:rPr>
                <w:b/>
                <w:i/>
              </w:rPr>
              <w:t>för</w:t>
            </w:r>
            <w:r>
              <w:t xml:space="preserve"> arbetstagare under arbetstid.</w:t>
            </w:r>
          </w:p>
        </w:tc>
        <w:tc>
          <w:tcPr>
            <w:tcW w:w="4876" w:type="dxa"/>
            <w:tcBorders>
              <w:top w:val="nil"/>
              <w:left w:val="nil"/>
              <w:bottom w:val="nil"/>
              <w:right w:val="nil"/>
            </w:tcBorders>
          </w:tcPr>
          <w:p>
            <w:pPr>
              <w:pStyle w:val="Normal6a"/>
            </w:pPr>
            <w:r>
              <w:t>b)</w:t>
            </w:r>
            <w:r>
              <w:tab/>
            </w:r>
            <w:r>
              <w:t xml:space="preserve">Individuell rätt till kostnadsfri utbildning </w:t>
            </w:r>
            <w:r>
              <w:rPr>
                <w:b/>
                <w:i/>
              </w:rPr>
              <w:t>och livslångt lärande för alla</w:t>
            </w:r>
            <w:r>
              <w:t xml:space="preserve"> arbetstagare under arbetstid.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Individuell rätt till kostnadsfri utbildning för arbetstagare under arbetstid.</w:t>
            </w:r>
          </w:p>
        </w:tc>
        <w:tc>
          <w:tcPr>
            <w:tcW w:w="4876" w:type="dxa"/>
            <w:tcBorders>
              <w:top w:val="nil"/>
              <w:left w:val="nil"/>
              <w:bottom w:val="nil"/>
              <w:right w:val="nil"/>
            </w:tcBorders>
          </w:tcPr>
          <w:p>
            <w:pPr>
              <w:pStyle w:val="Normal6a"/>
            </w:pPr>
            <w:r>
              <w:t>b)</w:t>
            </w:r>
            <w:r>
              <w:tab/>
            </w:r>
            <w:r>
              <w:t>Individuell rätt till kostnadsfri</w:t>
            </w:r>
            <w:r>
              <w:rPr>
                <w:b/>
                <w:i/>
              </w:rPr>
              <w:t>,</w:t>
            </w:r>
            <w:r>
              <w:t xml:space="preserve"> utbildning </w:t>
            </w:r>
            <w:r>
              <w:rPr>
                <w:b/>
                <w:i/>
              </w:rPr>
              <w:t>av hög kvalitet, som man väljer själv,</w:t>
            </w:r>
            <w:r>
              <w:t xml:space="preserve"> för arbetstagare under arbetstid </w:t>
            </w:r>
            <w:r>
              <w:rPr>
                <w:b/>
                <w:i/>
              </w:rPr>
              <w:t>och betald studieledighet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Individuell rätt till kostnadsfri utbildning för arbetstagare under arbetstid.</w:t>
            </w:r>
          </w:p>
        </w:tc>
        <w:tc>
          <w:tcPr>
            <w:tcW w:w="4876" w:type="dxa"/>
            <w:tcBorders>
              <w:top w:val="nil"/>
              <w:left w:val="nil"/>
              <w:bottom w:val="nil"/>
              <w:right w:val="nil"/>
            </w:tcBorders>
          </w:tcPr>
          <w:p>
            <w:pPr>
              <w:pStyle w:val="Normal6a"/>
            </w:pPr>
            <w:r>
              <w:t>b)</w:t>
            </w:r>
            <w:r>
              <w:tab/>
            </w:r>
            <w:r>
              <w:rPr>
                <w:b/>
                <w:i/>
              </w:rPr>
              <w:t>Garanterad</w:t>
            </w:r>
            <w:r>
              <w:t xml:space="preserve"> individuell rätt till kostnadsfri utbildning för arbetstagare under arbetstid.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Individuell rätt till en rättvis omställning:</w:t>
            </w:r>
            <w:r>
              <w:t xml:space="preserve"> </w:t>
            </w:r>
            <w:r>
              <w:rPr>
                <w:b/>
                <w:i/>
              </w:rPr>
              <w:t>för arbetstagare, rätten till rättvisa och anständiga arbetsvillkor och till de färdigheter och den utbildning som krävs för omställningar;</w:t>
            </w:r>
            <w:r>
              <w:t xml:space="preserve"> </w:t>
            </w:r>
            <w:r>
              <w:rPr>
                <w:b/>
                <w:i/>
              </w:rPr>
              <w:t>för alla personer som påverkas av den dubbla omställningen och de därmed sammanhängande omstruktureringarna, rätten att få tillgång till sysselsättning på rättvisa och anständiga villkor och rätten att stanna där man är stadigvarande bosatt.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Individuell rätt för arbetssökande till utbildning av hög kvalitet som man väljer själv.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Fastställa en kollektiv rättighet till en rättvis omställning:</w:t>
            </w:r>
            <w:r>
              <w:t xml:space="preserve"> </w:t>
            </w:r>
            <w:r>
              <w:rPr>
                <w:b/>
                <w:i/>
              </w:rPr>
              <w:t>medlemsstaterna ska säkerställa att inget territorium och inget samhälle lämnas utanför;</w:t>
            </w:r>
            <w:r>
              <w:t xml:space="preserve"> </w:t>
            </w:r>
            <w:r>
              <w:rPr>
                <w:b/>
                <w:i/>
              </w:rPr>
              <w:t>detta innebär en rätt att leva i en hälsosam miljö, dra nytta av sysselsättningsmöjligheter inom olika sektorer samt tillgång till sociala 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Individuell rätt till övergång mellan arbeten, som ger anställda rätt att behålla sitt arbete, byta till ett lämpligt jobb internt eller till utbildning eller vidareutbildning av hög kvalitet, som de själva väljer.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Inrättande av nationella strategier för en rättvis omställning.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Inrättande av nationella strategier för en rättvis omställning.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Inrättande av nationella strategier för en rättvis omställning.</w:t>
            </w:r>
          </w:p>
        </w:tc>
        <w:tc>
          <w:tcPr>
            <w:tcW w:w="4876" w:type="dxa"/>
            <w:tcBorders>
              <w:top w:val="nil"/>
              <w:left w:val="nil"/>
              <w:bottom w:val="nil"/>
              <w:right w:val="nil"/>
            </w:tcBorders>
          </w:tcPr>
          <w:p>
            <w:pPr>
              <w:pStyle w:val="Normal6a"/>
            </w:pPr>
            <w:r>
              <w:t>c)</w:t>
            </w:r>
            <w:r>
              <w:tab/>
            </w:r>
            <w:r>
              <w:t xml:space="preserve">Inrättande av nationella strategier för en rättvis omställning </w:t>
            </w:r>
            <w:r>
              <w:rPr>
                <w:b/>
                <w:i/>
              </w:rPr>
              <w:t>som inbegriper regionala och sektoriella planer och som utformas tillsammans med arbetsmarknadens parter och berörda parter, såsom lokalsamhällen och urfolk</w:t>
            </w:r>
            <w:r>
              <w:t xml:space="preserve">. </w:t>
            </w:r>
            <w:r>
              <w:rPr>
                <w:b/>
                <w:i/>
              </w:rPr>
              <w:t>Strategierna bör omfatta sektorsvisa och regionala planer för färdigheter, som inbegriper kartläggning av färdigheter och föregripande.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Inrättande av nationella strategier för en rättvis omställning.</w:t>
            </w:r>
          </w:p>
        </w:tc>
        <w:tc>
          <w:tcPr>
            <w:tcW w:w="4876" w:type="dxa"/>
            <w:tcBorders>
              <w:top w:val="nil"/>
              <w:left w:val="nil"/>
              <w:bottom w:val="nil"/>
              <w:right w:val="nil"/>
            </w:tcBorders>
          </w:tcPr>
          <w:p>
            <w:pPr>
              <w:pStyle w:val="Normal6a"/>
            </w:pPr>
            <w:r>
              <w:t>c)</w:t>
            </w:r>
            <w:r>
              <w:tab/>
            </w:r>
            <w:r>
              <w:t xml:space="preserve">Inrättande av </w:t>
            </w:r>
            <w:r>
              <w:rPr>
                <w:b/>
                <w:i/>
              </w:rPr>
              <w:t>obligatoriska</w:t>
            </w:r>
            <w:r>
              <w:t xml:space="preserve"> nationella </w:t>
            </w:r>
            <w:r>
              <w:rPr>
                <w:b/>
                <w:i/>
              </w:rPr>
              <w:t>och, när så är lämpligt, regionala</w:t>
            </w:r>
            <w:r>
              <w:t xml:space="preserve"> strategier för en rättvis omställning</w:t>
            </w:r>
            <w:r>
              <w:rPr>
                <w:b/>
                <w:i/>
              </w:rPr>
              <w:t>, som ska utarbetas och genomföras med deltagande av arbetsmarknadens parter och kollektivförhandlingsstrukturer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Adekvata system för socialt skydd.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Utveckling av program för företagsstöd och främjande av omställningsplaner på företagsnivå.</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Utveckling av program för företagsstöd </w:t>
            </w:r>
            <w:r>
              <w:rPr>
                <w:b/>
                <w:i/>
              </w:rPr>
              <w:t>och främjande av omställningsplaner på företagsnivå</w:t>
            </w:r>
            <w:r>
              <w:t>.</w:t>
            </w:r>
          </w:p>
        </w:tc>
        <w:tc>
          <w:tcPr>
            <w:tcW w:w="4876" w:type="dxa"/>
            <w:tcBorders>
              <w:top w:val="nil"/>
              <w:left w:val="nil"/>
              <w:bottom w:val="nil"/>
              <w:right w:val="nil"/>
            </w:tcBorders>
          </w:tcPr>
          <w:p>
            <w:pPr>
              <w:pStyle w:val="Normal6a"/>
            </w:pPr>
            <w:r>
              <w:t>d)</w:t>
            </w:r>
            <w:r>
              <w:tab/>
            </w:r>
            <w:r>
              <w:t>Utveckling av program för företagsstöd</w:t>
            </w:r>
            <w:r>
              <w:rPr>
                <w:b/>
                <w:i/>
              </w:rPr>
              <w:t>, riktade i synnerhet till små och medelstora företag, strikt förbundna med sociala villkor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Utarbetande och genomförande av obligatoriska omställningsplaner för alla företag, som står i proportion till företagets storlek och typ, på grundval av en meningsfull och effektiv social dialog.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En övervakningsstruktur som kan erbjuda strategisk framsyn.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En övervakningsstruktur som kan erbjuda strategisk framsyn.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Skydd av arbetstagarnas psykiska hälsa och psykosociala välbefinnande under omställningar, bland annat genom riskbedömningar av arbetsplatsen och stödtjänster.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Gemensamma miniminormer för arbetslöshetsförsäkringar.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w:t>
            </w:r>
            <w:r>
              <w:rPr>
                <w:b/>
                <w:i/>
              </w:rPr>
              <w:t>Parlamentet betonar att planer måste utarbetas inom ramen för den sociala dialogen, med full respekt för rätten till information och samråd.</w:t>
            </w:r>
            <w:r>
              <w:t xml:space="preserve"> </w:t>
            </w:r>
            <w:r>
              <w:rPr>
                <w:b/>
                <w:i/>
              </w:rPr>
              <w:t>Parlamentet efterlyser i detta avseende en översyn av den rättsliga ramen för information och samråd för att säkerställa att den är ändamålsenlig i förhållande till den dubbla omställningen.</w:t>
            </w:r>
            <w:r>
              <w:t xml:space="preserve"> </w:t>
            </w:r>
            <w:r>
              <w:rPr>
                <w:b/>
                <w:i/>
              </w:rPr>
              <w:t>Parlamentet betonar behovet av att ge företag incitament att upprätta egna omställningsplaner.</w:t>
            </w:r>
          </w:p>
        </w:tc>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w:t>
            </w:r>
            <w:r>
              <w:rPr>
                <w:b/>
                <w:i/>
              </w:rPr>
              <w:t>och leda till att det skapas arbetstillfällen</w:t>
            </w:r>
            <w:r>
              <w:t>, bygga upp långvarig motståndskraft i företagen och på bästa sätt utnyttja tillgängliga resurser.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w:t>
            </w:r>
            <w:r>
              <w:rPr>
                <w:b/>
                <w:i/>
              </w:rPr>
              <w:t>navigera i den gröna omställningen</w:t>
            </w:r>
            <w:r>
              <w:t xml:space="preserve">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w:t>
            </w:r>
            <w:r>
              <w:rPr>
                <w:b/>
                <w:i/>
              </w:rPr>
              <w:t>Parlamentet betonar att planer måste utarbetas inom ramen för den sociala dialogen, med full respekt för rätten till information och samråd.</w:t>
            </w:r>
            <w:r>
              <w:t xml:space="preserve"> </w:t>
            </w:r>
            <w:r>
              <w:rPr>
                <w:b/>
                <w:i/>
              </w:rPr>
              <w:t>Parlamentet efterlyser i detta avseende en översyn av den rättsliga ramen för information och samråd för att säkerställa att den är ändamålsenlig i förhållande till den dubbla omställningen.</w:t>
            </w:r>
            <w:r>
              <w:t xml:space="preserve"> </w:t>
            </w:r>
            <w:r>
              <w:rPr>
                <w:b/>
                <w:i/>
              </w:rPr>
              <w:t>Parlamentet betonar behovet av att ge företag incitament att upprätta egna omställningsplaner.</w:t>
            </w:r>
          </w:p>
        </w:tc>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w:t>
            </w:r>
            <w:r>
              <w:rPr>
                <w:b/>
                <w:i/>
              </w:rPr>
              <w:t>anpassa sig till nya begränsningar</w:t>
            </w:r>
            <w:r>
              <w:t xml:space="preserve"> och på ett effektivt sätt hantera de ekonomiska utmaningar som följer av negativa geopolitiska händelser</w:t>
            </w:r>
            <w:r>
              <w:rPr>
                <w:b/>
                <w:i/>
              </w:rPr>
              <w:t>.</w:t>
            </w:r>
            <w:r>
              <w:t xml:space="preserve"> </w:t>
            </w:r>
            <w:r>
              <w:rPr>
                <w:b/>
                <w:i/>
              </w:rPr>
              <w:t>Dessa föregripande insatser ska beslutas direkt av företag och stater, inte av någon överstatlig organisation</w:t>
            </w:r>
            <w:r>
              <w:t>. Parlamentet betonar att omställningsplanering kan förhindra uppsägningar proaktivt, bygga upp långvarig motståndskraft i företagen och på bästa sätt utnyttja tillgängliga resurser.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Gheorghe Falcă, Romana Tomc,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Parlamentet betonar att planer måste utarbetas inom ramen för den sociala dialogen, med full respekt för rätten till information och samråd. </w:t>
            </w:r>
            <w:r>
              <w:rPr>
                <w:b/>
                <w:i/>
              </w:rPr>
              <w:t>Parlamentet efterlyser i detta avseende en översyn av den rättsliga ramen för information och samråd för att säkerställa att den är ändamålsenlig i förhållande till den dubbla omställningen.</w:t>
            </w:r>
            <w:r>
              <w:t xml:space="preserve"> </w:t>
            </w:r>
            <w:r>
              <w:rPr>
                <w:b/>
                <w:i/>
              </w:rPr>
              <w:t>Parlamentet betonar behovet av att ge företag incitament att upprätta egna omställningsplaner.</w:t>
            </w:r>
          </w:p>
        </w:tc>
        <w:tc>
          <w:tcPr>
            <w:tcW w:w="4876" w:type="dxa"/>
            <w:tcBorders>
              <w:top w:val="nil"/>
              <w:left w:val="nil"/>
              <w:bottom w:val="nil"/>
              <w:right w:val="nil"/>
            </w:tcBorders>
          </w:tcPr>
          <w:p>
            <w:pPr>
              <w:pStyle w:val="Normal6a"/>
            </w:pPr>
            <w:r>
              <w:t>4.</w:t>
            </w:r>
            <w:r>
              <w:tab/>
            </w:r>
            <w:r>
              <w:t>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Parlamentet betonar att planer måste utarbetas inom ramen för den sociala dialogen, med full respekt för rätten till information och samråd.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Parlamentet betonar att planer måste utarbetas inom ramen för den sociala dialogen, med full respekt för rätten till information och samråd. Parlamentet </w:t>
            </w:r>
            <w:r>
              <w:rPr>
                <w:b/>
                <w:i/>
              </w:rPr>
              <w:t>efterlyser i detta avseende en översyn av den rättsliga ramen för information och samråd för att säkerställa att den är ändamålsenlig i förhållande till den dubbla omställningen.</w:t>
            </w:r>
            <w:r>
              <w:t xml:space="preserve"> </w:t>
            </w:r>
            <w:r>
              <w:rPr>
                <w:b/>
                <w:i/>
              </w:rPr>
              <w:t>Parlamentet</w:t>
            </w:r>
            <w:r>
              <w:t xml:space="preserve"> betonar behovet av att ge företag incitament att upprätta egna omställningsplaner.</w:t>
            </w:r>
          </w:p>
        </w:tc>
        <w:tc>
          <w:tcPr>
            <w:tcW w:w="4876" w:type="dxa"/>
            <w:tcBorders>
              <w:top w:val="nil"/>
              <w:left w:val="nil"/>
              <w:bottom w:val="nil"/>
              <w:right w:val="nil"/>
            </w:tcBorders>
          </w:tcPr>
          <w:p>
            <w:pPr>
              <w:pStyle w:val="Normal6a"/>
            </w:pPr>
            <w:r>
              <w:t>4.</w:t>
            </w:r>
            <w:r>
              <w:tab/>
            </w:r>
            <w:r>
              <w:t>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Parlamentet betonar att planer måste utarbetas inom ramen för den sociala dialogen, med full respekt för rätten till information och samråd. Parlamentet betonar behovet av att ge företag incitament att upprätta egna omställningsplaner.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Parlamentet betonar att planer måste utarbetas inom ramen för den sociala dialogen, med full respekt för rätten till information och samråd. Parlamentet efterlyser </w:t>
            </w:r>
            <w:r>
              <w:rPr>
                <w:b/>
                <w:i/>
              </w:rPr>
              <w:t>i detta avseende</w:t>
            </w:r>
            <w:r>
              <w:t xml:space="preserve"> en översyn av den rättsliga ramen för information och samråd </w:t>
            </w:r>
            <w:r>
              <w:rPr>
                <w:b/>
                <w:i/>
              </w:rPr>
              <w:t>för att</w:t>
            </w:r>
            <w:r>
              <w:t xml:space="preserve"> säkerställa att den är ändamålsenlig i förhållande till den dubbla omställningen. Parlamentet betonar behovet av att </w:t>
            </w:r>
            <w:r>
              <w:rPr>
                <w:b/>
                <w:i/>
              </w:rPr>
              <w:t>ge</w:t>
            </w:r>
            <w:r>
              <w:t xml:space="preserve"> företag </w:t>
            </w:r>
            <w:r>
              <w:rPr>
                <w:b/>
                <w:i/>
              </w:rPr>
              <w:t>incitament att upprätta egna</w:t>
            </w:r>
            <w:r>
              <w:t xml:space="preserve"> omställningsplaner.</w:t>
            </w:r>
          </w:p>
        </w:tc>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w:t>
            </w:r>
            <w:r>
              <w:rPr>
                <w:b/>
                <w:i/>
              </w:rPr>
              <w:t>och vända dessa till möjligheter</w:t>
            </w:r>
            <w:r>
              <w:t xml:space="preserve">. Parlamentet betonar att omställningsplanering kan förhindra uppsägningar proaktivt, bygga upp långvarig motståndskraft i företagen och på bästa sätt utnyttja tillgängliga resurser. Parlamentet betonar att planer måste utarbetas inom ramen för den sociala dialogen </w:t>
            </w:r>
            <w:r>
              <w:rPr>
                <w:b/>
                <w:i/>
              </w:rPr>
              <w:t>och kollektivförhandlingar</w:t>
            </w:r>
            <w:r>
              <w:t xml:space="preserve">, med full respekt för rätten till information och samråd </w:t>
            </w:r>
            <w:r>
              <w:rPr>
                <w:b/>
                <w:i/>
              </w:rPr>
              <w:t>på medlemsstatsnivå, och för att säkerställa att arbetstagare och deras företrädare i god tid och på ett effektivt sätt informeras och rådfrågas om omställningsprocesser i sina företag.</w:t>
            </w:r>
            <w:r>
              <w:t xml:space="preserve"> </w:t>
            </w:r>
            <w:r>
              <w:rPr>
                <w:b/>
                <w:i/>
              </w:rPr>
              <w:t>Parlamentet betonar att uppsägningar i samband med en omställning endast kan vara den sista utvägen efter det att alla alternativ har uttömts.</w:t>
            </w:r>
            <w:r>
              <w:t xml:space="preserve"> </w:t>
            </w:r>
            <w:r>
              <w:rPr>
                <w:b/>
                <w:i/>
              </w:rPr>
              <w:t>Parlamentet uppmanar i detta avseende medlemsstaterna att möjliggöra en social dialog på relevanta nivåer om övergångar mellan arbeten, särskilt för yrken som riskerar att försvinna eller minska avsevärt.</w:t>
            </w:r>
            <w:r>
              <w:t xml:space="preserve"> </w:t>
            </w:r>
            <w:r>
              <w:rPr>
                <w:b/>
                <w:i/>
              </w:rPr>
              <w:t>Parlamentet uppmanar kommissionen att inrätta en ny SURE 2.0-mekanism, som bör fungera som ett finansiellt instrument som stabiliserar de offentliga utgifterna för anställningsskydd, jobbskapande och processer för en rättvis omställning</w:t>
            </w:r>
            <w:r>
              <w:t>. Parlamentet efterlyser en översyn av den rättsliga ramen för information och samråd</w:t>
            </w:r>
            <w:r>
              <w:rPr>
                <w:b/>
                <w:i/>
              </w:rPr>
              <w:t>, med syftet att stärka och genomföra den och</w:t>
            </w:r>
            <w:r>
              <w:t xml:space="preserve"> säkerställa att den är ändamålsenlig i förhållande till den dubbla omställningen. Parlamentet </w:t>
            </w:r>
            <w:r>
              <w:rPr>
                <w:b/>
                <w:i/>
              </w:rPr>
              <w:t>uppmanar medlemsstaterna att även utveckla system för tidig varning, som ska vara tillgängliga för arbetsmarknadens parter, för att rusta dem att bättre kunna upptäcka och reagera på kommande förändringar i företagens verksamhet, och att fastställa särskilda bestämmelser om verktyg för tidig varning för stora företag och grupper, med beaktande av deras särdrag.</w:t>
            </w:r>
            <w:r>
              <w:t xml:space="preserve"> </w:t>
            </w:r>
            <w:r>
              <w:rPr>
                <w:b/>
                <w:i/>
              </w:rPr>
              <w:t>Parlamentet</w:t>
            </w:r>
            <w:r>
              <w:t xml:space="preserve"> betonar behovet av att företag </w:t>
            </w:r>
            <w:r>
              <w:rPr>
                <w:b/>
                <w:i/>
              </w:rPr>
              <w:t>upprättar sina</w:t>
            </w:r>
            <w:r>
              <w:t xml:space="preserve"> omställningsplaner </w:t>
            </w:r>
            <w:r>
              <w:rPr>
                <w:b/>
                <w:i/>
              </w:rPr>
              <w:t>genom social dialog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Parlamentet betonar att planer måste utarbetas inom ramen för </w:t>
            </w:r>
            <w:r>
              <w:rPr>
                <w:b/>
                <w:i/>
              </w:rPr>
              <w:t>den sociala dialogen</w:t>
            </w:r>
            <w:r>
              <w:t xml:space="preserve">, med full respekt för rätten till information och samråd. Parlamentet efterlyser i detta avseende en översyn av den rättsliga ramen för information och samråd </w:t>
            </w:r>
            <w:r>
              <w:rPr>
                <w:b/>
                <w:i/>
              </w:rPr>
              <w:t>för att</w:t>
            </w:r>
            <w:r>
              <w:t xml:space="preserve"> säkerställa att den är ändamålsenlig i förhållande till den dubbla omställningen. Parlamentet </w:t>
            </w:r>
            <w:r>
              <w:rPr>
                <w:b/>
                <w:i/>
              </w:rPr>
              <w:t>betonar behovet av att ge företag incitament att upprätta egna</w:t>
            </w:r>
            <w:r>
              <w:t xml:space="preserve"> omställningsplaner.</w:t>
            </w:r>
          </w:p>
        </w:tc>
        <w:tc>
          <w:tcPr>
            <w:tcW w:w="4876" w:type="dxa"/>
            <w:tcBorders>
              <w:top w:val="nil"/>
              <w:left w:val="nil"/>
              <w:bottom w:val="nil"/>
              <w:right w:val="nil"/>
            </w:tcBorders>
          </w:tcPr>
          <w:p>
            <w:pPr>
              <w:pStyle w:val="Normal6a"/>
            </w:pPr>
            <w:r>
              <w:t>4.</w:t>
            </w:r>
            <w:r>
              <w:tab/>
            </w:r>
            <w:r>
              <w:t>Europaparlamentet framhåller att det är mycket viktigt att kunna förutse och hantera förändringar för att både arbetsgivare och arbetstagare</w:t>
            </w:r>
            <w:r>
              <w:rPr>
                <w:b/>
                <w:i/>
              </w:rPr>
              <w:t>, regionala och lokala myndigheter och lokalsamhällen</w:t>
            </w:r>
            <w:r>
              <w:t xml:space="preserve"> ska lyckas navigera i den gröna </w:t>
            </w:r>
            <w:r>
              <w:rPr>
                <w:b/>
                <w:i/>
              </w:rPr>
              <w:t>och den digitala</w:t>
            </w:r>
            <w:r>
              <w:t xml:space="preserve">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Parlamentet betonar att planer måste utarbetas inom ramen för </w:t>
            </w:r>
            <w:r>
              <w:rPr>
                <w:b/>
                <w:i/>
              </w:rPr>
              <w:t>breda partnerskap, social dialog och kollektivförhandlingar</w:t>
            </w:r>
            <w:r>
              <w:t xml:space="preserve">, med full respekt för rätten till information och samråd </w:t>
            </w:r>
            <w:r>
              <w:rPr>
                <w:b/>
                <w:i/>
              </w:rPr>
              <w:t>på medlemsstatsnivå och för att säkerställa att arbetstagare och deras företrädare informeras och rådfrågas om omställningsprocesser i sina företag i god tid och på ett effektivt sätt</w:t>
            </w:r>
            <w:r>
              <w:t xml:space="preserve">. Parlamentet efterlyser i detta avseende en översyn av den rättsliga ramen för information och samråd </w:t>
            </w:r>
            <w:r>
              <w:rPr>
                <w:b/>
                <w:i/>
              </w:rPr>
              <w:t>i syfte att stärka och genomföra den och</w:t>
            </w:r>
            <w:r>
              <w:t xml:space="preserve"> säkerställa att den är ändamålsenlig i förhållande till den dubbla omställningen. Parlamentet </w:t>
            </w:r>
            <w:r>
              <w:rPr>
                <w:b/>
                <w:i/>
              </w:rPr>
              <w:t>understryker dock att det i ett eventuellt EU-direktiv om en rättvis omställning bör fastställas specifika bestämmelser om information till, samråd med och deltagande av arbetstagarrepresentanter i</w:t>
            </w:r>
            <w:r>
              <w:t xml:space="preserve"> omställningsplaner.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w:t>
            </w:r>
            <w:r>
              <w:rPr>
                <w:b/>
                <w:i/>
              </w:rPr>
              <w:t>kan</w:t>
            </w:r>
            <w:r>
              <w:t xml:space="preserve"> förhindra uppsägningar </w:t>
            </w:r>
            <w:r>
              <w:rPr>
                <w:b/>
                <w:i/>
              </w:rPr>
              <w:t>proaktivt</w:t>
            </w:r>
            <w:r>
              <w:t>, bygga upp långvarig motståndskraft i företagen och på bästa sätt utnyttja tillgängliga resurser. Parlamentet betonar att planer måste utarbetas inom ramen för den sociala dialogen, med full respekt för rätten till information och samråd. Parlamentet efterlyser i detta avseende en översyn av den rättsliga ramen för information och samråd för att säkerställa att den är ändamålsenlig i förhållande till den dubbla omställningen. Parlamentet betonar behovet av att ge företag incitament att upprätta egna omställningsplaner.</w:t>
            </w:r>
          </w:p>
        </w:tc>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w:t>
            </w:r>
            <w:r>
              <w:rPr>
                <w:b/>
                <w:i/>
              </w:rPr>
              <w:t>måste</w:t>
            </w:r>
            <w:r>
              <w:t xml:space="preserve"> förhindra uppsägningar, bygga upp långvarig motståndskraft i företagen och på bästa sätt utnyttja tillgängliga resurser. Parlamentet betonar att planer måste utarbetas inom ramen för den sociala dialogen, med full respekt för rätten till information och samråd. Parlamentet efterlyser i detta avseende en översyn av den rättsliga ramen för information och samråd för att säkerställa att den är ändamålsenlig i förhållande till den dubbla omställningen. Parlamentet betonar behovet av att ge företag incitament att upprätta egna omställningsplaner.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Parlamentet betonar att planer måste utarbetas inom ramen för den sociala dialogen, med full respekt för rätten till information och samråd. Parlamentet efterlyser i detta avseende en översyn av den rättsliga ramen för information och samråd för att säkerställa att den är ändamålsenlig i förhållande till den dubbla omställningen. Parlamentet betonar behovet av att ge företag incitament att upprätta egna omställningsplaner.</w:t>
            </w:r>
          </w:p>
        </w:tc>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Parlamentet betonar att planer måste utarbetas inom ramen för den sociala dialogen, med full respekt för rätten till information och samråd. Parlamentet efterlyser i detta avseende en översyn av den rättsliga ramen för information och samråd för att säkerställa att den är ändamålsenlig i förhållande till den dubbla omställningen. Parlamentet betonar behovet av att ge företag incitament att upprätta egna omställningsplaner. </w:t>
            </w:r>
            <w:r>
              <w:rPr>
                <w:b/>
                <w:i/>
              </w:rPr>
              <w:t>Parlamentet betonar att berörda parter och det civila samhället måste involveras redan i de tidigaste skedena av omställningsplaneringen för att säkerställa ett meningsfullt deltagande snarare än samråd i ett sent skede.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Parlamentet betonar att planer måste utarbetas inom ramen för den sociala dialogen, med full respekt för rätten till information och samråd. Parlamentet efterlyser i detta avseende en översyn av den rättsliga ramen för information och samråd för att säkerställa att den är ändamålsenlig i förhållande till den dubbla omställningen. Parlamentet betonar behovet av att ge företag incitament att upprätta egna omställningsplaner.</w:t>
            </w:r>
          </w:p>
        </w:tc>
        <w:tc>
          <w:tcPr>
            <w:tcW w:w="4876" w:type="dxa"/>
            <w:tcBorders>
              <w:top w:val="nil"/>
              <w:left w:val="nil"/>
              <w:bottom w:val="nil"/>
              <w:right w:val="nil"/>
            </w:tcBorders>
          </w:tcPr>
          <w:p>
            <w:pPr>
              <w:pStyle w:val="Normal6a"/>
            </w:pPr>
            <w:r>
              <w:t>4.</w:t>
            </w:r>
            <w:r>
              <w:tab/>
            </w:r>
            <w:r>
              <w:t xml:space="preserve">Europaparlamentet framhåller att det är mycket viktigt att kunna förutse och hantera förändringar för att både arbetsgivare och arbetstagare ska lyckas navigera i den gröna omställningen och på ett effektivt sätt hantera de ekonomiska utmaningar som följer av negativa geopolitiska händelser. Parlamentet betonar att omställningsplanering kan förhindra uppsägningar proaktivt, bygga upp långvarig motståndskraft i företagen och på bästa sätt utnyttja tillgängliga resurser. Parlamentet betonar att planer måste utarbetas inom ramen för den sociala dialogen, med full respekt för rätten till information och samråd. Parlamentet efterlyser i detta avseende en översyn av den </w:t>
            </w:r>
            <w:r>
              <w:rPr>
                <w:b/>
                <w:i/>
              </w:rPr>
              <w:t>befintliga</w:t>
            </w:r>
            <w:r>
              <w:t xml:space="preserve"> rättsliga ramen för information och samråd</w:t>
            </w:r>
            <w:r>
              <w:rPr>
                <w:b/>
                <w:i/>
              </w:rPr>
              <w:t>, med syftet att förenkla och effektivisera snarare än att utöka den,</w:t>
            </w:r>
            <w:r>
              <w:t xml:space="preserve"> för att säkerställa att den är ändamålsenlig i förhållande till den dubbla omställningen. Parlamentet betonar behovet av att ge företag incitament att upprätta egna omställningsplaner.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betonar att planer måste utarbetas inom ramen för den sociala dialogen och kollektivförhandlingar, med full respekt för rätten till information och samråd på medlemsstatsnivå, och för att säkerställa att arbetstagare och deras företrädare i god tid och på ett effektivt sätt informeras och rådfrågas och deltar i beslut om omställningsprocesser i sina företag.</w:t>
            </w:r>
            <w:r>
              <w:t xml:space="preserve"> </w:t>
            </w:r>
            <w:r>
              <w:rPr>
                <w:b/>
                <w:i/>
              </w:rPr>
              <w:t>Parlamentet efterlyser i detta avseende en översyn av den rättsliga ramen om information och samråd, för att stärka och genomföra den och säkerställa att den är ändamålsenlig i förhållande till den dubbla omställningen</w:t>
            </w:r>
            <w:r>
              <w:t xml:space="preserve"> </w:t>
            </w:r>
            <w:r>
              <w:rPr>
                <w:b/>
                <w:i/>
              </w:rPr>
              <w:t>I ett eventuellt EU-direktiv om en rättvis omställning bör man fastställa specifika bestämmelser om information till, samråd med och deltagande av arbetstagarrepresentanter i omställningsplaner.</w:t>
            </w:r>
            <w:r>
              <w:t xml:space="preserve"> </w:t>
            </w:r>
            <w:r>
              <w:rPr>
                <w:b/>
                <w:i/>
              </w:rPr>
              <w:t>Parlamentet betonar behovet av att företag upprättar sina omställningsplaner genom social dialog.</w:t>
            </w:r>
            <w:r>
              <w:t xml:space="preserve"> </w:t>
            </w:r>
            <w:r>
              <w:rPr>
                <w:b/>
                <w:i/>
              </w:rPr>
              <w:t>Parlamentet betonar att arbetstagare och deras fackliga organisationer ska ha rätt att inte bara informeras och rådfrågas, utan också att delta i utformningen, genomförandet och övervakningen av planerna för en rättvis omställning, och att lokalsamhällen, organisationer i det civila samhället och företrädare för utsatta grupper också ska involveras.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betonar att innovatörer, forskare, arbetsgivare och arbetstagare på ett effektivt sätt måste kunna hantera och framgångsrikt navigera i de ekonomiska utmaningar som uppstår till följd av negativa geopolitiska händelser och brist på resurser och energi.</w:t>
            </w:r>
            <w:r>
              <w:t xml:space="preserve"> </w:t>
            </w:r>
            <w:r>
              <w:rPr>
                <w:b/>
                <w:i/>
              </w:rPr>
              <w:t>Parlamentet betonar att en proaktiv och forskningsbaserad planering, som tar hänsyn till ekonomiska utsikter, kan bidra till att förhindra uppsägningar, stärka företagens långsiktiga resiliens och säkerställa en optimal och hållbar användning av de resurser som står till buds.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Europaparlamentet anser att företag som planerar miljömotiverade omstruktureringar i samråd med arbetstagarna och deras företrädare ska anta och regelbundet uppdatera planer för en rättvis omställning.</w:t>
            </w:r>
            <w:r>
              <w:t xml:space="preserve"> </w:t>
            </w:r>
            <w:r>
              <w:rPr>
                <w:b/>
                <w:i/>
              </w:rPr>
              <w:t>Sådana planer ska föregripa, förebygga och mildra den negativa inverkan på sysselsättning, kompetens, arbetsvillkor och lokalsamhällen.</w:t>
            </w:r>
            <w:r>
              <w:t xml:space="preserve"> </w:t>
            </w:r>
            <w:r>
              <w:rPr>
                <w:b/>
                <w:i/>
              </w:rPr>
              <w:t>I planerna ska man också ta hänsyn till hur omstruktureringsplaner och omställningsåtgärder påverkar företagets hela verksamhetskedja samt bedöma och genomföra åtgärder för att säkerställa en rättvis omställning på alla de områden som påverkas.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betonar att </w:t>
            </w:r>
            <w:r>
              <w:rPr>
                <w:b/>
                <w:i/>
              </w:rPr>
              <w:t>det enda sättet att meningsfullt minska</w:t>
            </w:r>
            <w:r>
              <w:t xml:space="preserve"> bristen på kvalificerad arbetskraft </w:t>
            </w:r>
            <w:r>
              <w:rPr>
                <w:b/>
                <w:i/>
              </w:rPr>
              <w:t>är</w:t>
            </w:r>
            <w:r>
              <w:t xml:space="preserve"> att ta itu med tillgången och tillgängligheten till utbildningsmöjligheter. Parlamentet </w:t>
            </w:r>
            <w:r>
              <w:rPr>
                <w:b/>
                <w:i/>
              </w:rPr>
              <w:t>framhåller att kursschema, familjeansvar och kostnader är de största hindren för arbetstagare som är villiga att delta i vidareutbildning</w:t>
            </w:r>
            <w:r>
              <w:rPr>
                <w:b/>
                <w:i/>
                <w:vertAlign w:val="superscript"/>
              </w:rPr>
              <w:t>7</w:t>
            </w:r>
            <w:r>
              <w:rPr>
                <w:b/>
                <w:i/>
              </w:rPr>
              <w:t>.</w:t>
            </w:r>
            <w:r>
              <w:t xml:space="preserve"> </w:t>
            </w:r>
            <w:r>
              <w:rPr>
                <w:b/>
                <w:i/>
              </w:rPr>
              <w:t>Parlamentet är fast övertygat om att en individuell rätt för arbetstagare till kostnadsfri utbildning under arbetstid kan övervinna dessa hinder för arbetstagarna och ge arbetsgivarna ett förutsägbart och stabilt utbud av</w:t>
            </w:r>
            <w:r>
              <w:t xml:space="preserve"> kvalificerade arbetstagare.</w:t>
            </w:r>
          </w:p>
        </w:tc>
        <w:tc>
          <w:tcPr>
            <w:tcW w:w="4876" w:type="dxa"/>
            <w:tcBorders>
              <w:top w:val="nil"/>
              <w:left w:val="nil"/>
              <w:bottom w:val="nil"/>
              <w:right w:val="nil"/>
            </w:tcBorders>
          </w:tcPr>
          <w:p>
            <w:pPr>
              <w:pStyle w:val="Normal6a"/>
            </w:pPr>
            <w:r>
              <w:t>5.</w:t>
            </w:r>
            <w:r>
              <w:tab/>
            </w:r>
            <w:r>
              <w:t xml:space="preserve">Europaparlamentet betonar att bristen på kvalificerad arbetskraft </w:t>
            </w:r>
            <w:r>
              <w:rPr>
                <w:b/>
                <w:i/>
              </w:rPr>
              <w:t>delvis kan minskas genom</w:t>
            </w:r>
            <w:r>
              <w:t xml:space="preserve"> att ta itu med tillgången och tillgängligheten till utbildningsmöjligheter </w:t>
            </w:r>
            <w:r>
              <w:rPr>
                <w:b/>
                <w:i/>
              </w:rPr>
              <w:t>för EU-medborgare på medlemsstatsnivå</w:t>
            </w:r>
            <w:r>
              <w:t xml:space="preserve">. Parlamentet </w:t>
            </w:r>
            <w:r>
              <w:rPr>
                <w:b/>
                <w:i/>
              </w:rPr>
              <w:t>påpekar att det hur som helst krävs en proaktiv politik inriktad på att höja födelsetalen i EU för att på lång sikt åtgärda bristen på såväl</w:t>
            </w:r>
            <w:r>
              <w:t xml:space="preserve"> kvalificerade </w:t>
            </w:r>
            <w:r>
              <w:rPr>
                <w:b/>
                <w:i/>
              </w:rPr>
              <w:t>som okvalificerade</w:t>
            </w:r>
            <w:r>
              <w:t xml:space="preserve"> arbetstagare.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Europeiska kommissionens, s.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betonar att det enda sättet att meningsfullt minska bristen på kvalificerad arbetskraft är att ta itu med tillgången och tillgängligheten till utbildningsmöjligheter. Parlamentet framhåller att kursschema, familjeansvar och kostnader är de största hindren för arbetstagare som är villiga att delta i vidareutbildning</w:t>
            </w:r>
            <w:r>
              <w:rPr>
                <w:vertAlign w:val="superscript"/>
              </w:rPr>
              <w:t>7</w:t>
            </w:r>
            <w:r>
              <w:t xml:space="preserve">. </w:t>
            </w:r>
            <w:r>
              <w:rPr>
                <w:b/>
                <w:i/>
              </w:rPr>
              <w:t>Parlamentet är fast övertygat om att en individuell rätt för arbetstagare till kostnadsfri utbildning under arbetstid kan övervinna dessa hinder för arbetstagarna och ge arbetsgivarna ett förutsägbart och stabilt utbud av kvalificerade arbetstagare.</w:t>
            </w:r>
          </w:p>
        </w:tc>
        <w:tc>
          <w:tcPr>
            <w:tcW w:w="4876" w:type="dxa"/>
            <w:tcBorders>
              <w:top w:val="nil"/>
              <w:left w:val="nil"/>
              <w:bottom w:val="nil"/>
              <w:right w:val="nil"/>
            </w:tcBorders>
          </w:tcPr>
          <w:p>
            <w:pPr>
              <w:pStyle w:val="Normal6a"/>
            </w:pPr>
            <w:r>
              <w:t>5.</w:t>
            </w:r>
            <w:r>
              <w:tab/>
            </w:r>
            <w:r>
              <w:t xml:space="preserve">Europaparlamentet betonar att det enda sättet att meningsfullt minska bristen på kvalificerad arbetskraft är att ta itu med tillgången och tillgängligheten till </w:t>
            </w:r>
            <w:r>
              <w:rPr>
                <w:b/>
                <w:i/>
              </w:rPr>
              <w:t>medborgare i medlemsstaterna som är villiga att arbeta och utnyttjar</w:t>
            </w:r>
            <w:r>
              <w:t xml:space="preserve"> utbildningsmöjligheter. Parlamentet framhåller att kursschema, familjeansvar och kostnader är de största hindren för arbetstagare som är villiga att delta i vidareutbildning</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Europeiska kommissionens, s.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Europeiska kommissionens, s.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betonar att det enda sättet att meningsfullt minska bristen på kvalificerad arbetskraft är att ta itu med tillgången och tillgängligheten till utbildningsmöjligheter. Parlamentet framhåller att kursschema, familjeansvar och kostnader är de största hindren för arbetstagare som är villiga att delta i vidareutbildning</w:t>
            </w:r>
            <w:r>
              <w:rPr>
                <w:b/>
                <w:i/>
                <w:vertAlign w:val="superscript"/>
              </w:rPr>
              <w:t>7</w:t>
            </w:r>
            <w:r>
              <w:t xml:space="preserve">. </w:t>
            </w:r>
            <w:r>
              <w:rPr>
                <w:b/>
                <w:i/>
              </w:rPr>
              <w:t>Parlamentet är fast övertygat om att en individuell rätt för arbetstagare till kostnadsfri utbildning under arbetstid kan övervinna dessa hinder för arbetstagarna och ge arbetsgivarna ett förutsägbart och stabilt utbud av kvalificerade arbetstagare.</w:t>
            </w:r>
          </w:p>
        </w:tc>
        <w:tc>
          <w:tcPr>
            <w:tcW w:w="4876" w:type="dxa"/>
            <w:tcBorders>
              <w:top w:val="nil"/>
              <w:left w:val="nil"/>
              <w:bottom w:val="nil"/>
              <w:right w:val="nil"/>
            </w:tcBorders>
          </w:tcPr>
          <w:p>
            <w:pPr>
              <w:pStyle w:val="Normal6a"/>
            </w:pPr>
            <w:r>
              <w:t>5.</w:t>
            </w:r>
            <w:r>
              <w:tab/>
            </w:r>
            <w:r>
              <w:t>Europaparlamentet betonar att det enda sättet att meningsfullt minska bristen på kvalificerad arbetskraft är att ta itu med tillgången och tillgängligheten till utbildningsmöjligheter. Parlamentet framhåller att kursschema, familjeansvar och kostnader är de största hindren för arbetstagare som är villiga att delta i vidareutbildning.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Europeiska kommissionens, s.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betonar att det enda sättet att meningsfullt minska bristen på kvalificerad arbetskraft är att ta itu med tillgången och tillgängligheten till utbildningsmöjligheter. Parlamentet framhåller att kursschema, familjeansvar och kostnader är de största hindren för arbetstagare som är villiga att delta i vidareutbildning</w:t>
            </w:r>
            <w:r>
              <w:rPr>
                <w:vertAlign w:val="superscript"/>
              </w:rPr>
              <w:t>7</w:t>
            </w:r>
            <w:r>
              <w:t xml:space="preserve">. Parlamentet är fast övertygat om att en individuell rätt </w:t>
            </w:r>
            <w:r>
              <w:rPr>
                <w:b/>
                <w:i/>
              </w:rPr>
              <w:t>för arbetstagare till kostnadsfri</w:t>
            </w:r>
            <w:r>
              <w:t xml:space="preserve"> utbildning </w:t>
            </w:r>
            <w:r>
              <w:rPr>
                <w:b/>
                <w:i/>
              </w:rPr>
              <w:t>under arbetstid</w:t>
            </w:r>
            <w:r>
              <w:t xml:space="preserve"> kan övervinna dessa hinder för arbetstagarna och ge arbetsgivarna ett förutsägbart och stabilt utbud av kvalificerade arbetstagare.</w:t>
            </w:r>
          </w:p>
        </w:tc>
        <w:tc>
          <w:tcPr>
            <w:tcW w:w="4876" w:type="dxa"/>
            <w:tcBorders>
              <w:top w:val="nil"/>
              <w:left w:val="nil"/>
              <w:bottom w:val="nil"/>
              <w:right w:val="nil"/>
            </w:tcBorders>
          </w:tcPr>
          <w:p>
            <w:pPr>
              <w:pStyle w:val="Normal6a"/>
            </w:pPr>
            <w:r>
              <w:t>5.</w:t>
            </w:r>
            <w:r>
              <w:tab/>
            </w:r>
            <w:r>
              <w:t>Europaparlamentet betonar att det enda sättet att meningsfullt minska bristen på kvalificerad arbetskraft är att ta itu med tillgången och tillgängligheten till utbildningsmöjligheter. Parlamentet framhåller att kursschema, familjeansvar och kostnader är de största hindren för arbetstagare som är villiga att delta i vidareutbildning</w:t>
            </w:r>
            <w:r>
              <w:rPr>
                <w:vertAlign w:val="superscript"/>
              </w:rPr>
              <w:t>7</w:t>
            </w:r>
            <w:r>
              <w:t xml:space="preserve">. Parlamentet är fast övertygat om att en individuell rätt </w:t>
            </w:r>
            <w:r>
              <w:rPr>
                <w:b/>
                <w:i/>
              </w:rPr>
              <w:t>till</w:t>
            </w:r>
            <w:r>
              <w:t xml:space="preserve"> utbildning kan övervinna dessa hinder för arbetstagarna och ge arbetsgivarna ett förutsägbart och stabilt utbud av kvalificerade arbetstagare.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Europeiska kommissionens, s.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Europeiska kommissionens, s.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betonar att det enda sättet att meningsfullt minska bristen på kvalificerad arbetskraft är att ta itu med tillgången och tillgängligheten till utbildningsmöjligheter. Parlamentet framhåller att kursschema, familjeansvar och kostnader är de största hindren för arbetstagare som är villiga att delta i vidareutbildning</w:t>
            </w:r>
            <w:r>
              <w:rPr>
                <w:vertAlign w:val="superscript"/>
              </w:rPr>
              <w:t>7</w:t>
            </w:r>
            <w:r>
              <w:t xml:space="preserve">. Parlamentet är fast övertygat om att en individuell rätt för arbetstagare till </w:t>
            </w:r>
            <w:r>
              <w:rPr>
                <w:b/>
                <w:i/>
              </w:rPr>
              <w:t>kostnadsfri</w:t>
            </w:r>
            <w:r>
              <w:t xml:space="preserve"> utbildning under arbetstid kan övervinna dessa hinder för arbetstagarna och ge arbetsgivarna ett förutsägbart och stabilt utbud av kvalificerade arbetstagare.</w:t>
            </w:r>
          </w:p>
        </w:tc>
        <w:tc>
          <w:tcPr>
            <w:tcW w:w="4876" w:type="dxa"/>
            <w:tcBorders>
              <w:top w:val="nil"/>
              <w:left w:val="nil"/>
              <w:bottom w:val="nil"/>
              <w:right w:val="nil"/>
            </w:tcBorders>
          </w:tcPr>
          <w:p>
            <w:pPr>
              <w:pStyle w:val="Normal6a"/>
            </w:pPr>
            <w:r>
              <w:t>5.</w:t>
            </w:r>
            <w:r>
              <w:tab/>
            </w:r>
            <w:r>
              <w:t>Europaparlamentet betonar att det enda sättet att meningsfullt minska bristen på kvalificerad arbetskraft är att ta itu med tillgången och tillgängligheten till utbildningsmöjligheter. Parlamentet framhåller att kursschema, familjeansvar och kostnader är de största hindren för arbetstagare som är villiga att delta i vidareutbildning</w:t>
            </w:r>
            <w:r>
              <w:rPr>
                <w:vertAlign w:val="superscript"/>
              </w:rPr>
              <w:t>7</w:t>
            </w:r>
            <w:r>
              <w:t>. Parlamentet är fast övertygat om att en individuell rätt för arbetstagare till utbildning under arbetstid kan övervinna dessa hinder för arbetstagarna och ge arbetsgivarna ett förutsägbart och stabilt utbud av kvalificerade arbetstagare.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Europeiska kommissionens, s.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Europeiska kommissionens, s.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betonar att det </w:t>
            </w:r>
            <w:r>
              <w:rPr>
                <w:b/>
                <w:i/>
              </w:rPr>
              <w:t>enda sättet att</w:t>
            </w:r>
            <w:r>
              <w:t xml:space="preserve"> meningsfullt minska bristen på kvalificerad arbetskraft </w:t>
            </w:r>
            <w:r>
              <w:rPr>
                <w:b/>
                <w:i/>
              </w:rPr>
              <w:t>är</w:t>
            </w:r>
            <w:r>
              <w:t xml:space="preserve"> att ta itu med tillgången och tillgängligheten till utbildningsmöjligheter. Parlamentet framhåller att kursschema, familjeansvar och kostnader är de största hindren för arbetstagare som är villiga att delta i vidareutbildning</w:t>
            </w:r>
            <w:r>
              <w:rPr>
                <w:b/>
                <w:i/>
                <w:vertAlign w:val="superscript"/>
              </w:rPr>
              <w:t>7</w:t>
            </w:r>
            <w:r>
              <w:t>. Parlamentet är fast övertygat om att en individuell rätt för arbetstagare till kostnadsfri utbildning under arbetstid kan övervinna dessa hinder för arbetstagarna och ge arbetsgivarna ett förutsägbart och stabilt utbud av kvalificerade arbetstagare.</w:t>
            </w:r>
          </w:p>
        </w:tc>
        <w:tc>
          <w:tcPr>
            <w:tcW w:w="4876" w:type="dxa"/>
            <w:tcBorders>
              <w:top w:val="nil"/>
              <w:left w:val="nil"/>
              <w:bottom w:val="nil"/>
              <w:right w:val="nil"/>
            </w:tcBorders>
          </w:tcPr>
          <w:p>
            <w:pPr>
              <w:pStyle w:val="Normal6a"/>
            </w:pPr>
            <w:r>
              <w:t>5.</w:t>
            </w:r>
            <w:r>
              <w:tab/>
            </w:r>
            <w:r>
              <w:t>Europaparlamentet betonar att det </w:t>
            </w:r>
            <w:r>
              <w:rPr>
                <w:b/>
                <w:i/>
              </w:rPr>
              <w:t>går att på ett</w:t>
            </w:r>
            <w:r>
              <w:t xml:space="preserve"> meningsfullt </w:t>
            </w:r>
            <w:r>
              <w:rPr>
                <w:b/>
                <w:i/>
              </w:rPr>
              <w:t>sätt</w:t>
            </w:r>
            <w:r>
              <w:t xml:space="preserve"> minska bristen på kvalificerad arbetskraft </w:t>
            </w:r>
            <w:r>
              <w:rPr>
                <w:b/>
                <w:i/>
              </w:rPr>
              <w:t>genom</w:t>
            </w:r>
            <w:r>
              <w:t xml:space="preserve"> att ta itu med tillgången och tillgängligheten till </w:t>
            </w:r>
            <w:r>
              <w:rPr>
                <w:b/>
                <w:i/>
              </w:rPr>
              <w:t>utbildning, omskolning och</w:t>
            </w:r>
            <w:r>
              <w:t xml:space="preserve"> utbildningsmöjligheter. Parlamentet framhåller att kursschema, familjeansvar och kostnader är de största hindren för arbetstagare som är villiga att delta i vidareutbildning</w:t>
            </w:r>
            <w:r>
              <w:rPr>
                <w:b/>
                <w:i/>
              </w:rPr>
              <w:t>[1].</w:t>
            </w:r>
            <w:r>
              <w:t xml:space="preserve"> </w:t>
            </w:r>
            <w:r>
              <w:rPr>
                <w:b/>
                <w:i/>
              </w:rPr>
              <w:t>Parlamentet påminner om att det i Europaparlamentets och rådets direktiv (EU) 2019/1152 av den 20 juni 2019 om tydliga och förutsägbara arbetsvillkor i Europeiska unionen</w:t>
            </w:r>
            <w:r>
              <w:rPr>
                <w:b/>
                <w:i/>
                <w:vertAlign w:val="superscript"/>
              </w:rPr>
              <w:t>1a</w:t>
            </w:r>
            <w:r>
              <w:t xml:space="preserve"> </w:t>
            </w:r>
            <w:r>
              <w:rPr>
                <w:b/>
                <w:i/>
              </w:rPr>
              <w:t>redan har fastställts att obligatorisk utbildning ska tillhandahållas kostnadsfritt samt räknas som och ske under arbetstid.</w:t>
            </w:r>
            <w:r>
              <w:t xml:space="preserve"> </w:t>
            </w:r>
            <w:r>
              <w:rPr>
                <w:b/>
                <w:i/>
              </w:rPr>
              <w:t>Parlamentet betonar dock att införlivandet och verkställandet av dessa bestämmelser fortfarande är svagt och ojämnt i medlemsstaterna, vilket understryker det akuta behovet av ett specifikt och bindande ramverk för unionen</w:t>
            </w:r>
            <w:r>
              <w:t xml:space="preserve">. Parlamentet är fast övertygat om att en individuell rätt för </w:t>
            </w:r>
            <w:r>
              <w:rPr>
                <w:b/>
                <w:i/>
              </w:rPr>
              <w:t>alla</w:t>
            </w:r>
            <w:r>
              <w:t xml:space="preserve"> arbetstagare till kostnadsfri utbildning </w:t>
            </w:r>
            <w:r>
              <w:rPr>
                <w:b/>
                <w:i/>
              </w:rPr>
              <w:t>och livslångt lärande</w:t>
            </w:r>
            <w:r>
              <w:t xml:space="preserve"> under arbetstid kan övervinna dessa hinder för arbetstagarna och </w:t>
            </w:r>
            <w:r>
              <w:rPr>
                <w:b/>
                <w:i/>
              </w:rPr>
              <w:t>med hjälp av kompetensutveckling och omskolning av god kvalitet, personalutbildning och stöd för karriärutveckling</w:t>
            </w:r>
            <w:r>
              <w:t xml:space="preserve"> ge arbetsgivarna ett förutsägbart och stabilt utbud av kvalificerade arbetstagare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EUT L 186, 1.7.2019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Europeiska kommissionens, s.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betonar att det </w:t>
            </w:r>
            <w:r>
              <w:rPr>
                <w:b/>
                <w:i/>
              </w:rPr>
              <w:t>enda sättet att</w:t>
            </w:r>
            <w:r>
              <w:t xml:space="preserve"> meningsfullt minska bristen på kvalificerad arbetskraft </w:t>
            </w:r>
            <w:r>
              <w:rPr>
                <w:b/>
                <w:i/>
              </w:rPr>
              <w:t>är</w:t>
            </w:r>
            <w:r>
              <w:t xml:space="preserve"> att ta itu med tillgången och tillgängligheten till utbildningsmöjligheter. Parlamentet framhåller att kursschema, familjeansvar och kostnader är de största hindren för arbetstagare som är villiga att delta i vidareutbildning</w:t>
            </w:r>
            <w:r>
              <w:rPr>
                <w:vertAlign w:val="superscript"/>
              </w:rPr>
              <w:t>7</w:t>
            </w:r>
            <w:r>
              <w:t>. Parlamentet är fast övertygat om att en individuell rätt för arbetstagare till kostnadsfri utbildning under arbetstid kan övervinna dessa hinder för arbetstagarna och ge arbetsgivarna ett förutsägbart och stabilt utbud av kvalificerade arbetstagare.</w:t>
            </w:r>
          </w:p>
        </w:tc>
        <w:tc>
          <w:tcPr>
            <w:tcW w:w="4876" w:type="dxa"/>
            <w:tcBorders>
              <w:top w:val="nil"/>
              <w:left w:val="nil"/>
              <w:bottom w:val="nil"/>
              <w:right w:val="nil"/>
            </w:tcBorders>
          </w:tcPr>
          <w:p>
            <w:pPr>
              <w:pStyle w:val="Normal6a"/>
            </w:pPr>
            <w:r>
              <w:t>5.</w:t>
            </w:r>
            <w:r>
              <w:tab/>
            </w:r>
            <w:r>
              <w:t xml:space="preserve">Europaparlamentet betonar att det </w:t>
            </w:r>
            <w:r>
              <w:rPr>
                <w:b/>
                <w:i/>
              </w:rPr>
              <w:t>går att på ett</w:t>
            </w:r>
            <w:r>
              <w:t xml:space="preserve"> meningsfullt </w:t>
            </w:r>
            <w:r>
              <w:rPr>
                <w:b/>
                <w:i/>
              </w:rPr>
              <w:t>sätt</w:t>
            </w:r>
            <w:r>
              <w:t xml:space="preserve"> minska bristen på kvalificerad arbetskraft </w:t>
            </w:r>
            <w:r>
              <w:rPr>
                <w:b/>
                <w:i/>
              </w:rPr>
              <w:t>genom</w:t>
            </w:r>
            <w:r>
              <w:t xml:space="preserve"> att ta itu med tillgången och tillgängligheten till utbildningsmöjligheter </w:t>
            </w:r>
            <w:r>
              <w:rPr>
                <w:b/>
                <w:i/>
              </w:rPr>
              <w:t>samt förbättra arbetsvillkoren och tillhandahålla tillräckliga löner som möjliggör en godtagbar tillvaro</w:t>
            </w:r>
            <w:r>
              <w:t>. Parlamentet framhåller att kursschema, familjeansvar och kostnader är de största hindren för arbetstagare som är villiga att delta i vidareutbildning</w:t>
            </w:r>
            <w:r>
              <w:rPr>
                <w:vertAlign w:val="superscript"/>
              </w:rPr>
              <w:t>7</w:t>
            </w:r>
            <w:r>
              <w:t xml:space="preserve">. Parlamentet är fast övertygat om att en </w:t>
            </w:r>
            <w:r>
              <w:rPr>
                <w:b/>
                <w:i/>
              </w:rPr>
              <w:t>garanterad</w:t>
            </w:r>
            <w:r>
              <w:t xml:space="preserve"> individuell rätt för arbetstagare till kostnadsfri utbildning under arbetstid kan övervinna dessa hinder för arbetstagarna och ge arbetsgivarna ett förutsägbart och stabilt utbud av kvalificerade arbetstagare. </w:t>
            </w:r>
            <w:r>
              <w:rPr>
                <w:b/>
                <w:i/>
              </w:rPr>
              <w:t>Parlamentet betonar att den rättvisa omställningen bör integreras med ett intersektionellt förhållningssätt i lagstiftningen och politiken i unionen och medlemsstaterna, med särskild uppmärksamhet på inkludering av unga, äldre, lågutbildade, kvinnliga arbetstagare och arbetstagare med funktionsnedsättning i utbildningsprogram.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Europeiska kommissionens, s.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Europeiska kommissionens, s.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understryker behovet av att på ett meningsfullt sätt involvera ungdomar i utformningen, genomförandet och övervakningen av de politiska åtgärder som rör den rättvisa omställningen.</w:t>
            </w:r>
            <w:r>
              <w:t xml:space="preserve"> </w:t>
            </w:r>
            <w:r>
              <w:rPr>
                <w:b/>
                <w:i/>
              </w:rPr>
              <w:t>Parlamentet efterlyser ökade ansträngningar för att genomföra ungdomsgarantin och att man ser till att medlemsstaterna ökar andelen öronmärkta medel och anslår minst 15 % av sina ESF+-medel till riktade åtgärder och strukturreformer som stöder ungdomssysselsättning av hög kvalitet och yrkesutbildning (särskilt genom avlönade praktikplatser och lärlingsutbildningar av hög kvalitet) och som underlättar övergången från skola till arbete, återintegrering i utbildning och vuxenutbildning.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betonar vikten av att hjälpa arbetstagare att stärka sina transformativa färdigheter, såsom kritiskt tänkande, framsyn, kreativitet och politisk makt, eftersom dessa färdigheter utmanar befintlig praxis och genererar helt nya lösningar och värden som krävs för den gröna och den digitala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betonar att arbetsplatsomställningar och omstruktureringar under den dubbla omställningen kan leda till psykosocial belastning, såsom stress, osäkerhet, och till att arbetstillfällen riskerar att gå förlorade.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Europaparlamentet anser att det är avgörande att man främjar de europeiska industriföretagens ekonomiska bärkraft och, i värsta fall, förhindrar nedläggningar och påtvingade uppsägningar.</w:t>
            </w:r>
            <w:r>
              <w:t xml:space="preserve"> </w:t>
            </w:r>
            <w:r>
              <w:rPr>
                <w:b/>
                <w:i/>
              </w:rPr>
              <w:t>Parlamentet betonar vikten av att stödja företag, särskilt små och medelstora företag, för att förhindra påtvingade uppsägningar, såsom tillfälliga stödprogram för att skydda sysselsättningen under övergångar och undvika förlust av strategisk industriell kapacitet och kvalificerad arbetskraft.</w:t>
            </w:r>
            <w:r>
              <w:t xml:space="preserve"> </w:t>
            </w:r>
            <w:r>
              <w:rPr>
                <w:b/>
                <w:i/>
              </w:rPr>
              <w:t>Parlamentet konstaterar att om en övergång från ett arbete till ett annat är nödvändig är det mycket viktigt att behålla arbetstagarna i samma sektor och region, och att de måste ges tillräcklig tid att ställa om utan några personliga ekonomiska förluster.</w:t>
            </w:r>
            <w:r>
              <w:t xml:space="preserve"> </w:t>
            </w:r>
            <w:r>
              <w:rPr>
                <w:b/>
                <w:i/>
              </w:rPr>
              <w:t>Parlamentet kräver ett starkare skydd mot orättvisa uppsägningar och begär att arbetstagare som påverkas av omstruktureringar garanteras lämplig ersättning, möjligheter till omskolning och stöd för att få ett annat 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Europaparlamentet efterfrågar att program för stöd till psykisk hälsa, såsom rådgivning och stresshantering, och system för balans mellan arbete och privatliv, ska integreras i omställningsplaner på företagsnivå.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betonar att medlemsstaterna måste stödja företag och arbetstagare genom att fastställa övergripande strategier och politiska åtgärder för en rättvis omställning på nationell nivå. Parlamentet betonar att sådana nationella strategier bör identifiera hur omställningen påverkar enskilda sektorer och arbetstagare och fastställa en omfattande och övergripande uppsättning åtgärder för att mildra effekterna.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p>
        </w:tc>
        <w:tc>
          <w:tcPr>
            <w:tcW w:w="4876" w:type="dxa"/>
            <w:tcBorders>
              <w:top w:val="nil"/>
              <w:left w:val="nil"/>
              <w:bottom w:val="nil"/>
              <w:right w:val="nil"/>
            </w:tcBorders>
          </w:tcPr>
          <w:p>
            <w:pPr>
              <w:pStyle w:val="Normal6a"/>
            </w:pPr>
            <w:r>
              <w:t>6</w:t>
            </w:r>
            <w:r>
              <w:rPr>
                <w:b/>
                <w:i/>
              </w:rPr>
              <w:t>.</w:t>
            </w:r>
            <w:r>
              <w:tab/>
            </w:r>
            <w:r>
              <w:rPr>
                <w:b/>
                <w:i/>
              </w:rPr>
              <w:t>Europaparlamentet uppmanar medlemsstaterna att prioritera renovering av bostäder som utnyttjas av hushåll som riskerar energifattigdom, vilket skulle ge både klimatfördelar och kostnadsbesparingar för utsatta familjer, samtidigt som lokala arbetstillfällen skapas</w:t>
            </w:r>
            <w:r>
              <w:t>. Europaparlamentet betonar att medlemsstaterna måste stödja företag och arbetstagare genom att fastställa övergripande strategier och politiska åtgärder för en rättvis omställning på nationell nivå. Parlamentet betonar att sådana nationella strategier bör identifiera hur omställningen påverkar enskilda sektorer och arbetstagare och fastställa en omfattande och övergripande uppsättning åtgärder för att mildra effekterna.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betonar att </w:t>
            </w:r>
            <w:r>
              <w:rPr>
                <w:b/>
                <w:i/>
              </w:rPr>
              <w:t>medlemsstaterna måste</w:t>
            </w:r>
            <w:r>
              <w:t xml:space="preserve"> stödja företag och arbetstagare genom att </w:t>
            </w:r>
            <w:r>
              <w:rPr>
                <w:b/>
                <w:i/>
              </w:rPr>
              <w:t>fastställa övergripande strategier och politiska åtgärder för en rättvis omställning på nationell nivå</w:t>
            </w:r>
            <w:r>
              <w:t>. Parlamentet betonar att sådana nationella strategier bör identifiera hur omställningen påverkar enskilda sektorer och arbetstagare och fastställa en omfattande och övergripande uppsättning åtgärder för att mildra effekterna.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p>
        </w:tc>
        <w:tc>
          <w:tcPr>
            <w:tcW w:w="4876" w:type="dxa"/>
            <w:tcBorders>
              <w:top w:val="nil"/>
              <w:left w:val="nil"/>
              <w:bottom w:val="nil"/>
              <w:right w:val="nil"/>
            </w:tcBorders>
          </w:tcPr>
          <w:p>
            <w:pPr>
              <w:pStyle w:val="Normal6a"/>
            </w:pPr>
            <w:r>
              <w:t>6.</w:t>
            </w:r>
            <w:r>
              <w:tab/>
            </w:r>
            <w:r>
              <w:t xml:space="preserve">Europaparlamentet betonar </w:t>
            </w:r>
            <w:r>
              <w:rPr>
                <w:b/>
                <w:i/>
              </w:rPr>
              <w:t>medlemsstaternas och regionernas primära roll när det gäller</w:t>
            </w:r>
            <w:r>
              <w:t xml:space="preserve"> att stödja företag och arbetstagare genom att </w:t>
            </w:r>
            <w:r>
              <w:rPr>
                <w:b/>
                <w:i/>
              </w:rPr>
              <w:t>utveckla omställningsstrategier som är anpassade till deras lokala förhållanden</w:t>
            </w:r>
            <w:r>
              <w:t>. Parlamentet betonar att sådana nationella strategier bör identifiera hur omställningen påverkar enskilda sektorer och arbetstagare och fastställa en omfattande och övergripande uppsättning åtgärder för att mildra effekterna.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betonar att medlemsstaterna </w:t>
            </w:r>
            <w:r>
              <w:rPr>
                <w:b/>
                <w:i/>
              </w:rPr>
              <w:t>måste</w:t>
            </w:r>
            <w:r>
              <w:t xml:space="preserve"> stödja företag och arbetstagare genom att fastställa övergripande strategier och politiska åtgärder för en rättvis omställning på nationell nivå. Parlamentet betonar att sådana nationella strategier bör identifiera hur omställningen påverkar enskilda sektorer och arbetstagare och fastställa en omfattande och övergripande uppsättning åtgärder för att mildra effekterna. Parlamentet understryker vikten av att utveckla en långsiktig vision och strategi för en ekonomisk omställning på lokal nivå genom att involvera offentliga och privata aktörer </w:t>
            </w:r>
            <w:r>
              <w:rPr>
                <w:b/>
                <w:i/>
              </w:rPr>
              <w:t>och</w:t>
            </w:r>
            <w:r>
              <w:t xml:space="preserve"> det civila samhället. Parlamentet betonar att det behövs direkta investeringar i innovation och ökad regional attraktionskraft genom </w:t>
            </w:r>
            <w:r>
              <w:rPr>
                <w:b/>
                <w:i/>
              </w:rPr>
              <w:t>uppgraderade</w:t>
            </w:r>
            <w:r>
              <w:t xml:space="preserve"> infrastrukturer, offentliga tjänster och faciliteter för att behålla arbetstagare och skapa arbetstillfällen av hög kvalitet.</w:t>
            </w:r>
          </w:p>
        </w:tc>
        <w:tc>
          <w:tcPr>
            <w:tcW w:w="4876" w:type="dxa"/>
            <w:tcBorders>
              <w:top w:val="nil"/>
              <w:left w:val="nil"/>
              <w:bottom w:val="nil"/>
              <w:right w:val="nil"/>
            </w:tcBorders>
          </w:tcPr>
          <w:p>
            <w:pPr>
              <w:pStyle w:val="Normal6a"/>
            </w:pPr>
            <w:r>
              <w:t>6.</w:t>
            </w:r>
            <w:r>
              <w:tab/>
            </w:r>
            <w:r>
              <w:t xml:space="preserve">Europaparlamentet betonar att medlemsstaterna </w:t>
            </w:r>
            <w:r>
              <w:rPr>
                <w:b/>
                <w:i/>
              </w:rPr>
              <w:t>är ålagda att</w:t>
            </w:r>
            <w:r>
              <w:t xml:space="preserve"> stödja företag och arbetstagare genom att fastställa övergripande strategier och politiska åtgärder för en rättvis omställning på nationell </w:t>
            </w:r>
            <w:r>
              <w:rPr>
                <w:b/>
                <w:i/>
              </w:rPr>
              <w:t>och regional</w:t>
            </w:r>
            <w:r>
              <w:t xml:space="preserve"> nivå. Parlamentet betonar att sådana nationella strategier bör identifiera hur omställningen påverkar enskilda sektorer</w:t>
            </w:r>
            <w:r>
              <w:rPr>
                <w:b/>
                <w:i/>
              </w:rPr>
              <w:t>, regioner</w:t>
            </w:r>
            <w:r>
              <w:t xml:space="preserve"> och arbetstagare och fastställa en omfattande och övergripande uppsättning åtgärder för att mildra effekterna. Parlamentet understryker vikten av att utveckla en långsiktig vision och strategi för en ekonomisk omställning på lokal nivå genom att involvera offentliga och privata aktörer</w:t>
            </w:r>
            <w:r>
              <w:rPr>
                <w:b/>
                <w:i/>
              </w:rPr>
              <w:t>,</w:t>
            </w:r>
            <w:r>
              <w:t xml:space="preserve"> det civila samhället </w:t>
            </w:r>
            <w:r>
              <w:rPr>
                <w:b/>
                <w:i/>
              </w:rPr>
              <w:t>och den sociala ekonomin</w:t>
            </w:r>
            <w:r>
              <w:t xml:space="preserve">. Parlamentet betonar att det behövs direkta investeringar i innovation och ökad regional attraktionskraft genom </w:t>
            </w:r>
            <w:r>
              <w:rPr>
                <w:b/>
                <w:i/>
              </w:rPr>
              <w:t>att uppgradera och erbjuda högkvalitativa, överkomliga och tillgängliga</w:t>
            </w:r>
            <w:r>
              <w:t xml:space="preserve"> infrastrukturer, offentliga tjänster och faciliteter för att behålla arbetstagare och skapa arbetstillfällen av hög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betonar att medlemsstaterna måste stödja företag och arbetstagare genom att fastställa övergripande strategier och politiska åtgärder för en rättvis omställning på nationell nivå. Parlamentet betonar att sådana nationella strategier bör identifiera hur omställningen påverkar enskilda sektorer och arbetstagare </w:t>
            </w:r>
            <w:r>
              <w:rPr>
                <w:b/>
                <w:i/>
              </w:rPr>
              <w:t>och fastställa en omfattande och övergripande uppsättning åtgärder för att mildra effekterna</w:t>
            </w:r>
            <w:r>
              <w:t>.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p>
        </w:tc>
        <w:tc>
          <w:tcPr>
            <w:tcW w:w="4876" w:type="dxa"/>
            <w:tcBorders>
              <w:top w:val="nil"/>
              <w:left w:val="nil"/>
              <w:bottom w:val="nil"/>
              <w:right w:val="nil"/>
            </w:tcBorders>
          </w:tcPr>
          <w:p>
            <w:pPr>
              <w:pStyle w:val="Normal6a"/>
            </w:pPr>
            <w:r>
              <w:t>6.</w:t>
            </w:r>
            <w:r>
              <w:tab/>
            </w:r>
            <w:r>
              <w:t>Europaparlamentet betonar att medlemsstaterna måste stödja företag och arbetstagare genom att fastställa övergripande strategier och politiska åtgärder för en rättvis omställning på nationell nivå. parlamentet betonar att sådana nationella strategier bör identifiera hur omställningen påverkar enskilda sektorer och arbetstagare.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betonar att medlemsstaterna måste stödja företag och arbetstagare genom att fastställa övergripande strategier och politiska åtgärder för en rättvis omställning på nationell nivå. Parlamentet betonar att sådana nationella strategier bör identifiera hur omställningen påverkar </w:t>
            </w:r>
            <w:r>
              <w:rPr>
                <w:b/>
                <w:i/>
              </w:rPr>
              <w:t>enskilda</w:t>
            </w:r>
            <w:r>
              <w:t xml:space="preserve"> sektorer </w:t>
            </w:r>
            <w:r>
              <w:rPr>
                <w:b/>
                <w:i/>
              </w:rPr>
              <w:t>och</w:t>
            </w:r>
            <w:r>
              <w:t xml:space="preserve"> arbetstagare och fastställa en omfattande och övergripande uppsättning åtgärder för att mildra effekterna.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p>
        </w:tc>
        <w:tc>
          <w:tcPr>
            <w:tcW w:w="4876" w:type="dxa"/>
            <w:tcBorders>
              <w:top w:val="nil"/>
              <w:left w:val="nil"/>
              <w:bottom w:val="nil"/>
              <w:right w:val="nil"/>
            </w:tcBorders>
          </w:tcPr>
          <w:p>
            <w:pPr>
              <w:pStyle w:val="Normal6a"/>
            </w:pPr>
            <w:r>
              <w:t>6.</w:t>
            </w:r>
            <w:r>
              <w:tab/>
            </w:r>
            <w:r>
              <w:t xml:space="preserve">Europaparlamentet betonar att medlemsstaterna måste stödja företag och arbetstagare genom att fastställa övergripande strategier och politiska åtgärder för en rättvis omställning på nationell nivå. Parlamentet betonar att sådana nationella strategier bör identifiera hur omställningen påverkar </w:t>
            </w:r>
            <w:r>
              <w:rPr>
                <w:b/>
                <w:i/>
              </w:rPr>
              <w:t>specifika</w:t>
            </w:r>
            <w:r>
              <w:t xml:space="preserve"> sektorer</w:t>
            </w:r>
            <w:r>
              <w:rPr>
                <w:b/>
                <w:i/>
              </w:rPr>
              <w:t>, arbetskraften som helhet och enskilda</w:t>
            </w:r>
            <w:r>
              <w:t xml:space="preserve"> arbetstagare och fastställa en omfattande och övergripande uppsättning åtgärder för att mildra effekterna. Parlamentet understryker vikten av att utveckla en långsiktig vision och strategi för en ekonomisk omställning på lokal </w:t>
            </w:r>
            <w:r>
              <w:rPr>
                <w:b/>
                <w:i/>
              </w:rPr>
              <w:t>och regional</w:t>
            </w:r>
            <w:r>
              <w:t xml:space="preserve">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betonar att medlemsstaterna måste stödja företag och arbetstagare genom att fastställa övergripande strategier och politiska åtgärder för en rättvis omställning på nationell nivå. Parlamentet betonar att sådana nationella strategier bör identifiera hur omställningen påverkar enskilda sektorer och arbetstagare och fastställa en omfattande och övergripande uppsättning åtgärder för att mildra effekterna.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p>
        </w:tc>
        <w:tc>
          <w:tcPr>
            <w:tcW w:w="4876" w:type="dxa"/>
            <w:tcBorders>
              <w:top w:val="nil"/>
              <w:left w:val="nil"/>
              <w:bottom w:val="nil"/>
              <w:right w:val="nil"/>
            </w:tcBorders>
          </w:tcPr>
          <w:p>
            <w:pPr>
              <w:pStyle w:val="Normal6a"/>
            </w:pPr>
            <w:r>
              <w:t>6.</w:t>
            </w:r>
            <w:r>
              <w:tab/>
            </w:r>
            <w:r>
              <w:t xml:space="preserve">Europaparlamentet betonar att medlemsstaterna måste stödja företag och arbetstagare genom att fastställa övergripande strategier och politiska åtgärder för en rättvis omställning på nationell nivå. Parlamentet betonar att sådana nationella strategier bör identifiera hur omställningen påverkar enskilda sektorer och arbetstagare och fastställa en omfattande och övergripande uppsättning åtgärder för att mildra effekterna </w:t>
            </w:r>
            <w:r>
              <w:rPr>
                <w:b/>
                <w:i/>
              </w:rPr>
              <w:t>inte bara för enskilda företag utan också på en större skala</w:t>
            </w:r>
            <w:r>
              <w:t>.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betonar att medlemsstaterna måste stödja företag och arbetstagare genom att fastställa övergripande strategier och politiska åtgärder för en rättvis omställning på nationell nivå. Parlamentet betonar att sådana nationella strategier bör identifiera hur omställningen påverkar enskilda sektorer och arbetstagare och fastställa en omfattande och övergripande uppsättning åtgärder för att mildra effekterna.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p>
        </w:tc>
        <w:tc>
          <w:tcPr>
            <w:tcW w:w="4876" w:type="dxa"/>
            <w:tcBorders>
              <w:top w:val="nil"/>
              <w:left w:val="nil"/>
              <w:bottom w:val="nil"/>
              <w:right w:val="nil"/>
            </w:tcBorders>
          </w:tcPr>
          <w:p>
            <w:pPr>
              <w:pStyle w:val="Normal6a"/>
            </w:pPr>
            <w:r>
              <w:t>6.</w:t>
            </w:r>
            <w:r>
              <w:tab/>
            </w:r>
            <w:r>
              <w:t>Europaparlamentet betonar att medlemsstaterna måste stödja företag och arbetstagare genom att fastställa övergripande strategier och politiska åtgärder för en rättvis omställning på nationell nivå. Parlamentet betonar att sådana nationella strategier bör identifiera hur omställningen påverkar enskilda sektorer och arbetstagare och fastställa en omfattande och övergripande uppsättning åtgärder för att mildra effekterna.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regional attraktionskraft genom uppgraderade infrastrukturer, offentliga tjänster och faciliteter för att behålla arbetstagare och skapa arbetstillfällen av hög kvalitet</w:t>
            </w:r>
            <w:r>
              <w:rPr>
                <w:b/>
                <w:i/>
              </w:rPr>
              <w:t>, med uttryckliga föreskrifter om tillräcklig offentlig finansiering av infrastruktur för hälso- och sjukvård, utbildning, transport och subventionerat boende som en grundläggande drivkraft för lokal utveckling</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w:t>
            </w:r>
            <w:r>
              <w:rPr>
                <w:b/>
                <w:i/>
              </w:rPr>
              <w:t>betonar att</w:t>
            </w:r>
            <w:r>
              <w:t xml:space="preserve"> medlemsstaterna </w:t>
            </w:r>
            <w:r>
              <w:rPr>
                <w:b/>
                <w:i/>
              </w:rPr>
              <w:t>måste</w:t>
            </w:r>
            <w:r>
              <w:t xml:space="preserve"> stödja företag och arbetstagare genom att fastställa övergripande strategier och politiska åtgärder för en </w:t>
            </w:r>
            <w:r>
              <w:rPr>
                <w:b/>
                <w:i/>
              </w:rPr>
              <w:t>rättvis</w:t>
            </w:r>
            <w:r>
              <w:t xml:space="preserve"> omställning på nationell nivå</w:t>
            </w:r>
            <w:r>
              <w:rPr>
                <w:b/>
                <w:i/>
              </w:rPr>
              <w:t>.</w:t>
            </w:r>
            <w:r>
              <w:t xml:space="preserve"> </w:t>
            </w:r>
            <w:r>
              <w:rPr>
                <w:b/>
                <w:i/>
              </w:rPr>
              <w:t>Parlamentet betonar att sådana nationella strategier bör identifiera hur omställningen påverkar enskilda sektorer och arbetstagare och fastställa en omfattande och övergripande uppsättning åtgärder för att mildra effekterna</w:t>
            </w:r>
            <w:r>
              <w:t xml:space="preserve">.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w:t>
            </w:r>
            <w:r>
              <w:rPr>
                <w:b/>
                <w:i/>
              </w:rPr>
              <w:t>regional</w:t>
            </w:r>
            <w:r>
              <w:t xml:space="preserve"> attraktionskraft genom uppgraderade infrastrukturer, offentliga tjänster och faciliteter för att behålla arbetstagare och skapa arbetstillfällen av hög kvalitet.</w:t>
            </w:r>
          </w:p>
        </w:tc>
        <w:tc>
          <w:tcPr>
            <w:tcW w:w="4876" w:type="dxa"/>
            <w:tcBorders>
              <w:top w:val="nil"/>
              <w:left w:val="nil"/>
              <w:bottom w:val="nil"/>
              <w:right w:val="nil"/>
            </w:tcBorders>
          </w:tcPr>
          <w:p>
            <w:pPr>
              <w:pStyle w:val="Normal6a"/>
            </w:pPr>
            <w:r>
              <w:t>6.</w:t>
            </w:r>
            <w:r>
              <w:tab/>
            </w:r>
            <w:r>
              <w:t xml:space="preserve">Europaparlamentet </w:t>
            </w:r>
            <w:r>
              <w:rPr>
                <w:b/>
                <w:i/>
              </w:rPr>
              <w:t>rekommenderar</w:t>
            </w:r>
            <w:r>
              <w:t xml:space="preserve"> medlemsstaterna </w:t>
            </w:r>
            <w:r>
              <w:rPr>
                <w:b/>
                <w:i/>
              </w:rPr>
              <w:t>att</w:t>
            </w:r>
            <w:r>
              <w:t> stödja företag och arbetstagare genom att fastställa övergripande strategier och politiska åtgärder för en omställning på nationell nivå. Parlamentet understryker vikten av att utveckla en långsiktig vision och strategi för en ekonomisk omställning på lokal nivå genom att involvera offentliga och privata aktörer och det civila samhället. Parlamentet betonar att det behövs direkta investeringar i innovation och ökad attraktionskraft genom uppgraderade infrastrukturer, offentliga tjänster och faciliteter för att behålla arbetstagare och skapa arbetstillfällen av hög kvalitet.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betonar att arbetskraftens rörlighet och den regionala ekonomiska omvandlingen är nära kopplade till överkomliga bostäder av god kvalitet.</w:t>
            </w:r>
            <w:r>
              <w:t xml:space="preserve"> </w:t>
            </w:r>
            <w:r>
              <w:rPr>
                <w:b/>
                <w:i/>
              </w:rPr>
              <w:t>Parlamentet efterlyser målinriktade subventionerade bostäder och utveckling av samhällstjänster i avfolknings- och industriomställningsområden.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Europaparlamentet betonar att ungdomar och förstagångsarbetssökande är sårbara under omställningar.</w:t>
            </w:r>
            <w:r>
              <w:t xml:space="preserve"> </w:t>
            </w:r>
            <w:r>
              <w:rPr>
                <w:b/>
                <w:i/>
              </w:rPr>
              <w:t>Parlamentet efterlyser stöd till yrkesutbildning, lärlingsutbildning och entreprenörskap inom ramen för nationella strategier för en rättvis omställning.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Europaparlamentet efterlyser särskilda landsbygdsutvecklingsåtgärder för att säkerställa att randområden och avfolkningsregioner gynnas lika mycket av medel för en rättvis omställning och skapande av arbetstillfällen.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Europaparlamentet betonar att nationella strategier för en rättvis omställning måste innehålla åtgärder för att förhindra kompetensflykt i regioner som genomgår industriell tillbakagång, genom att skapa incitament för kvalificerade arbetstagare att stanna kvar och ungdomar att återvända.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påminner om att det främst är små och medelstora företag som skapar varaktig lokal sysselsättning. Parlamentet betonar behovet av att underlätta </w:t>
            </w:r>
            <w:r>
              <w:rPr>
                <w:b/>
                <w:i/>
              </w:rPr>
              <w:t>tillgång till omställningsfinansiering</w:t>
            </w:r>
            <w:r>
              <w:t xml:space="preserve"> för små och medelstora företag, bland annat genom att möjliggöra klusterbildning för tillgång till medel </w:t>
            </w:r>
            <w:r>
              <w:rPr>
                <w:b/>
                <w:i/>
              </w:rPr>
              <w:t>och tekniskt stöd vid projektutformning och efterlevnad</w:t>
            </w:r>
            <w:r>
              <w:t xml:space="preserve">. </w:t>
            </w:r>
            <w:r>
              <w:rPr>
                <w:b/>
                <w:i/>
              </w:rPr>
              <w:t>Parlamentet uppmanar medlemsstaterna och de regionala myndigheterna att inrätta och stärka program för företagsstöd i de drabbade regionerna för att hjälpa uppstartsföretag samt små och medelstora företag att växa och lyckas.</w:t>
            </w:r>
            <w:r>
              <w:t xml:space="preserve"> </w:t>
            </w:r>
            <w:r>
              <w:rPr>
                <w:b/>
                <w:i/>
              </w:rPr>
              <w:t>Parlamentet betonar att investeringsincitament kan bidra till att locka företag till utsatta regioner.</w:t>
            </w:r>
          </w:p>
        </w:tc>
        <w:tc>
          <w:tcPr>
            <w:tcW w:w="4876" w:type="dxa"/>
            <w:tcBorders>
              <w:top w:val="nil"/>
              <w:left w:val="nil"/>
              <w:bottom w:val="nil"/>
              <w:right w:val="nil"/>
            </w:tcBorders>
          </w:tcPr>
          <w:p>
            <w:pPr>
              <w:pStyle w:val="Normal6a"/>
            </w:pPr>
            <w:r>
              <w:t>7.</w:t>
            </w:r>
            <w:r>
              <w:tab/>
            </w:r>
            <w:r>
              <w:t xml:space="preserve">Europaparlamentet påminner om att det främst är små och medelstora företag som skapar varaktig lokal sysselsättning. Parlamentet betonar behovet av att underlätta </w:t>
            </w:r>
            <w:r>
              <w:rPr>
                <w:b/>
                <w:i/>
              </w:rPr>
              <w:t>tillgången till befintlig finansiering</w:t>
            </w:r>
            <w:r>
              <w:t xml:space="preserve"> för små och medelstora företag, bland annat genom att möjliggöra klusterbildning för tillgång till medel.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påminner om att det främst är små och medelstora företag som skapar varaktig lokal sysselsättning. Parlamentet betonar behovet av att underlätta tillgång till omställningsfinansiering för små och medelstora företag, bland annat genom att möjliggöra klusterbildning för tillgång till medel och tekniskt stöd vid projektutformning och efterlevnad. Parlamentet uppmanar medlemsstaterna och de regionala myndigheterna att inrätta och stärka program för företagsstöd i de drabbade regionerna för att hjälpa uppstartsföretag samt små och medelstora företag att växa och lyckas. </w:t>
            </w:r>
            <w:r>
              <w:rPr>
                <w:b/>
                <w:i/>
              </w:rPr>
              <w:t>Parlamentet betonar att investeringsincitament kan bidra till att locka företag till utsatta regioner.</w:t>
            </w:r>
          </w:p>
        </w:tc>
        <w:tc>
          <w:tcPr>
            <w:tcW w:w="4876" w:type="dxa"/>
            <w:tcBorders>
              <w:top w:val="nil"/>
              <w:left w:val="nil"/>
              <w:bottom w:val="nil"/>
              <w:right w:val="nil"/>
            </w:tcBorders>
          </w:tcPr>
          <w:p>
            <w:pPr>
              <w:pStyle w:val="Normal6a"/>
            </w:pPr>
            <w:r>
              <w:t>7.</w:t>
            </w:r>
            <w:r>
              <w:tab/>
            </w:r>
            <w:r>
              <w:t xml:space="preserve">Europaparlamentet påminner om att det främst är små och medelstora företag </w:t>
            </w:r>
            <w:r>
              <w:rPr>
                <w:b/>
                <w:i/>
              </w:rPr>
              <w:t>och kooperativ</w:t>
            </w:r>
            <w:r>
              <w:t xml:space="preserve"> som skapar varaktig lokal sysselsättning. Parlamentet betonar behovet av att underlätta tillgång till omställningsfinansiering för små och medelstora företag, bland annat genom att möjliggöra klusterbildning för tillgång till medel och tekniskt stöd vid projektutformning och efterlevnad. Parlamentet uppmanar medlemsstaterna och de regionala myndigheterna att inrätta och stärka program för företagsstöd </w:t>
            </w:r>
            <w:r>
              <w:rPr>
                <w:b/>
                <w:i/>
              </w:rPr>
              <w:t>med strikta villkor</w:t>
            </w:r>
            <w:r>
              <w:t xml:space="preserve"> i de drabbade regionerna för att hjälpa uppstartsföretag samt små och medelstora företag att växa och lyckas.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påminner om att det främst är små och medelstora företag som skapar varaktig lokal sysselsättning. Parlamentet betonar behovet av att underlätta tillgång till omställningsfinansiering för små och medelstora företag, bland annat genom att möjliggöra klusterbildning för tillgång till medel och tekniskt stöd vid projektutformning och efterlevnad. Parlamentet uppmanar medlemsstaterna och de regionala myndigheterna att inrätta och stärka program för företagsstöd i de drabbade regionerna för att hjälpa uppstartsföretag samt små och medelstora företag att växa och lyckas. Parlamentet betonar att investeringsincitament kan bidra till att locka företag till utsatta regioner.</w:t>
            </w:r>
          </w:p>
        </w:tc>
        <w:tc>
          <w:tcPr>
            <w:tcW w:w="4876" w:type="dxa"/>
            <w:tcBorders>
              <w:top w:val="nil"/>
              <w:left w:val="nil"/>
              <w:bottom w:val="nil"/>
              <w:right w:val="nil"/>
            </w:tcBorders>
          </w:tcPr>
          <w:p>
            <w:pPr>
              <w:pStyle w:val="Normal6a"/>
            </w:pPr>
            <w:r>
              <w:t>7.</w:t>
            </w:r>
            <w:r>
              <w:tab/>
            </w:r>
            <w:r>
              <w:t xml:space="preserve">Europaparlamentet påminner om att det främst är små och medelstora företag som skapar varaktig lokal sysselsättning. Parlamentet betonar behovet av att underlätta tillgång till omställningsfinansiering för små och medelstora företag, bland annat genom att möjliggöra klusterbildning för tillgång till medel och tekniskt stöd vid projektutformning och efterlevnad. Parlamentet uppmanar medlemsstaterna och de regionala myndigheterna att inrätta och stärka program för företagsstöd i de drabbade regionerna för att hjälpa uppstartsföretag samt små och medelstora företag att växa och lyckas. Parlamentet betonar att investeringsincitament kan bidra till att locka företag till utsatta regioner. </w:t>
            </w:r>
            <w:r>
              <w:rPr>
                <w:b/>
                <w:i/>
              </w:rPr>
              <w:t>Allt stöd bör omfattas av tydliga stödberättigande- och integritetssäkerhetsmekanismer för att säkerställa att verksamheter bevisligen bidrar till målen om klimatneutralitet och en rättvis omställning, i överensstämmelse med EU-taxonomin och principen om att inte orsaka betydande skada och med godkända territoriella planer för en rättvis omställning.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påminner om att det främst är små och medelstora företag som skapar varaktig lokal sysselsättning. Parlamentet betonar behovet av att underlätta tillgång till omställningsfinansiering för små och medelstora företag, bland annat genom att möjliggöra klusterbildning för tillgång till medel och tekniskt stöd vid projektutformning och efterlevnad. Parlamentet uppmanar medlemsstaterna och de regionala myndigheterna att inrätta och stärka program för företagsstöd i de drabbade regionerna för att hjälpa uppstartsföretag samt små och medelstora företag att växa och lyckas. Parlamentet betonar att investeringsincitament kan bidra till att locka företag till utsatta regioner.</w:t>
            </w:r>
          </w:p>
        </w:tc>
        <w:tc>
          <w:tcPr>
            <w:tcW w:w="4876" w:type="dxa"/>
            <w:tcBorders>
              <w:top w:val="nil"/>
              <w:left w:val="nil"/>
              <w:bottom w:val="nil"/>
              <w:right w:val="nil"/>
            </w:tcBorders>
          </w:tcPr>
          <w:p>
            <w:pPr>
              <w:pStyle w:val="Normal6a"/>
            </w:pPr>
            <w:r>
              <w:t>7.</w:t>
            </w:r>
            <w:r>
              <w:tab/>
            </w:r>
            <w:r>
              <w:t>Europaparlamentet påminner om att det främst är små och medelstora företag som skapar varaktig lokal sysselsättning</w:t>
            </w:r>
            <w:r>
              <w:rPr>
                <w:b/>
                <w:i/>
              </w:rPr>
              <w:t>.</w:t>
            </w:r>
            <w:r>
              <w:t xml:space="preserve"> </w:t>
            </w:r>
            <w:r>
              <w:rPr>
                <w:b/>
                <w:i/>
              </w:rPr>
              <w:t>Europaparlamentet uppmanar medlemsstaterna att prioritera lokala små och medelstora företags och hantverkares deltagande i renoveringsprogram för att säkerställa stöd till regionala ekonomier och långsiktiga arbetstillfällen</w:t>
            </w:r>
            <w:r>
              <w:t>. Parlamentet betonar behovet av att underlätta tillgång till omställningsfinansiering för små och medelstora företag, bland annat genom att möjliggöra klusterbildning för tillgång till medel och tekniskt stöd vid projektutformning och efterlevnad. Parlamentet uppmanar medlemsstaterna och de regionala myndigheterna att inrätta och stärka program för företagsstöd i de drabbade regionerna för att hjälpa uppstartsföretag samt små och medelstora företag att växa och lyckas. Parlamentet betonar att investeringsincitament kan bidra till att locka företag till utsatta regioner.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påminner om att det främst är små och medelstora företag som skapar varaktig lokal sysselsättning. Parlamentet betonar behovet av att underlätta tillgång till omställningsfinansiering för små och medelstora företag, bland annat genom att möjliggöra klusterbildning för tillgång till medel och tekniskt stöd vid projektutformning och efterlevnad. Parlamentet uppmanar medlemsstaterna och de regionala myndigheterna att inrätta och stärka program för företagsstöd i de drabbade regionerna för att hjälpa uppstartsföretag samt små och medelstora företag att växa och lyckas. Parlamentet betonar att investeringsincitament kan bidra till att locka företag till utsatta regioner.</w:t>
            </w:r>
          </w:p>
        </w:tc>
        <w:tc>
          <w:tcPr>
            <w:tcW w:w="4876" w:type="dxa"/>
            <w:tcBorders>
              <w:top w:val="nil"/>
              <w:left w:val="nil"/>
              <w:bottom w:val="nil"/>
              <w:right w:val="nil"/>
            </w:tcBorders>
          </w:tcPr>
          <w:p>
            <w:pPr>
              <w:pStyle w:val="Normal6a"/>
            </w:pPr>
            <w:r>
              <w:t>7.</w:t>
            </w:r>
            <w:r>
              <w:tab/>
            </w:r>
            <w:r>
              <w:t>Europaparlamentet påminner om att det främst är små och medelstora företag som skapar varaktig lokal sysselsättning. Parlamentet betonar behovet av att underlätta tillgång till omställningsfinansiering för små och medelstora företag, bland annat genom att möjliggöra klusterbildning för tillgång till medel och tekniskt stöd vid projektutformning och efterlevnad</w:t>
            </w:r>
            <w:r>
              <w:rPr>
                <w:b/>
                <w:i/>
              </w:rPr>
              <w:t>, och även undantag från komplexa eller kostnadsintensiva rapporteringsskyldigheter, genom förenklade rapporteringsformat (klusterrapportering för flera små och medelstora företag)</w:t>
            </w:r>
            <w:r>
              <w:t>. Parlamentet uppmanar medlemsstaterna och de regionala myndigheterna att inrätta och stärka program för företagsstöd i de drabbade regionerna för att hjälpa uppstartsföretag samt små och medelstora företag att växa och lyckas. Parlamentet betonar att investeringsincitament kan bidra till att locka företag till utsatta regioner.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uppmanar kommissionen att vidta en rad åtgärder, som nästan inte kostar något alls, för att utrusta små och medelstora företag med en lämplig verktygslåda för den inre marknaden och de internationella marknaderna och stärka deras konkurrenskraft, såsom bland annat förenklade tullförfaranden och importfrämjande åtgärder som är anpassade till små och medelstora företags behov liksom undantag från handelspolitiska skyddsåtgärder för import av små volymer.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betonar att den sociala ekonomin, särskilt sociala företag för arbetsmarknadsintegration, spelar en avgörande roll för att säkerställa inkluderande och rättvisa omställningar.</w:t>
            </w:r>
            <w:r>
              <w:t xml:space="preserve"> </w:t>
            </w:r>
            <w:r>
              <w:rPr>
                <w:b/>
                <w:i/>
              </w:rPr>
              <w:t>Parlamentet betonar behovet av stöd när det gäller tillgång till finansiering, kapacitetsuppbyggnad och tekniskt bistånd.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betonar behovet av att hjälpa företag, särskilt små och medelstora, att ta itu med kompetensbristen i unionen och att främja omskolning och kompetenshöjning för att hjälpa människor att få rätt kompetens för arbetstillfällen av hög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anser att investeringar i vård- och omsorgsekonomin (äldreomsorg, barnomsorg, hembaserad vård) kan ge hållbar lokal sysselsättning.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Europaparlamentet uppmanar kommissionen och medlemsstaterna att införa miljömässiga och sociala grundvillkor, utvecklade tillsammans med arbetsmarknadens parter, när offentliga medel beviljas privata företag, bland annat genom rättsligt bindande garantier för att behålla arbetstillfällen i Europa, säkerställa att offentliga investeringar genererar gemensam och hållbar avkastning och att de stödmottagande företagen deltar i en social dialog, tillhandahåller lärlingsutbildningar och praktiktjänstgöringar av hög kvalitet, erbjuder utbildning för arbetstagare och skapar kvalitetsjobb.</w:t>
            </w:r>
            <w:r>
              <w:t xml:space="preserve"> </w:t>
            </w:r>
            <w:r>
              <w:rPr>
                <w:b/>
                <w:i/>
              </w:rPr>
              <w:t>Parlamentet begär dessutom att företag som inte respekterar sådana villkor eller väljer att flytta utanför Europa ska vara tvungna att återbetala alla offentliga medel som de har mottagit.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Europaparlamentet uppmanar kommissionen att säkerställa att en särskilt öronmärkt budget avsätts uteslutande för små och medelstora företag inom ramen för den framtida finansieringen av en rättvis omställning.</w:t>
            </w:r>
            <w:r>
              <w:t xml:space="preserve"> </w:t>
            </w:r>
            <w:r>
              <w:rPr>
                <w:b/>
                <w:i/>
              </w:rPr>
              <w:t>Parlamentet uppmanar vidare kommissionen att hålla reda på små och medelstora företags deltagande i program för en rättvis omställning.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Europaparlamentet understryker att omsorgsarbete, som ofta utförs av kvinnor, måste erkännas som högkvalitativa arbeten med anständiga löner, socialt skydd och karriärvägar.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Europaparlamentet betonar vikten av att säkerställa att europeiska och nationella medel används för att underlätta övergången till en klimatneutral ekonomi, inbegripet genom att främja social dialog och kollektivavtal.</w:t>
            </w:r>
            <w:r>
              <w:t xml:space="preserve"> </w:t>
            </w:r>
            <w:r>
              <w:rPr>
                <w:b/>
                <w:i/>
              </w:rPr>
              <w:t>Parlamentet anser vidare att inget ekonomiskt stöd från EU bör gå till företag som inte uppfyller gällande arbets- och anställningsvillkor och/eller arbetsgivarens skyldigheter som följer av EU:s eller nationell arbetsrätt eller relevanta kollektivavtal.</w:t>
            </w:r>
            <w:r>
              <w:t xml:space="preserve"> </w:t>
            </w:r>
            <w:r>
              <w:rPr>
                <w:b/>
                <w:i/>
              </w:rPr>
              <w:t>Parlamentet kräver att EU-finansiering och statligt stöd från medlemsstaterna ska anpassas till en europeisk industripolitik i syfte att erbjuda högkvalitativa arbetstillfällen, främja kollektivavtal, respektera arbetstagarrättigheter och arbetsnormer i EU, förbättra de europeiska företagens konkurrenskraft och säkerställa bättre arbetsvillkor.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Europaparlamentet påminner om att FRO trots sina omvälvande ambitioner har ställts inför stora utmaningar när det gäller att uppnå sina mål, särskilt när det gäller att säkerställa rättvisa resultat och ge tillgång till fonden för små och medelstora företag</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Rättvis omställning i arbetslivet, EPRS, september 2025 https://www.europarl.europa.eu/RegData/etudes/BRIE/2025/774668/EPRS_BRI (2025) 774668_EN.pdf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Europaparlamentet efterlyser förenklad tillgång till Fonden för en rättvis omställning för små och medelstora företag genom att tillhandahålla tekniskt stöd och minska de administrativa bördorna.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Europaparlamentet konstaterar att det saknas exakta uppgifter om hur många arbetstillfällen som gått förlorade, skapats eller påverkats av den dubbla omställningen.</w:t>
            </w:r>
            <w:r>
              <w:t xml:space="preserve"> </w:t>
            </w:r>
            <w:r>
              <w:rPr>
                <w:b/>
                <w:i/>
              </w:rPr>
              <w:t>Parlamentet understryker vikten av att förutse förändringar på arbetsmarknaden och trender i kompetensbehov för att sätta in effektiva politiska insatser.</w:t>
            </w:r>
            <w:r>
              <w:t xml:space="preserve"> </w:t>
            </w:r>
            <w:r>
              <w:rPr>
                <w:b/>
                <w:i/>
              </w:rPr>
              <w:t>Parlamentet efterlyser inrättandet av ett fullfjädrat EU-observationsorgan för en rättvis omställning med uppgift att samla in relevanta uppgifter och analysera omställningspolitikens effekter.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w:t>
            </w:r>
            <w:r>
              <w:rPr>
                <w:b/>
                <w:i/>
              </w:rPr>
              <w:t>Parlamentet efterlyser inrättandet av ett fullfjädrat EU-observationsorgan för en rättvis omställning med uppgift att samla in relevanta uppgifter och analysera omställningspolitikens effekter.</w:t>
            </w:r>
          </w:p>
        </w:tc>
        <w:tc>
          <w:tcPr>
            <w:tcW w:w="4876" w:type="dxa"/>
            <w:tcBorders>
              <w:top w:val="nil"/>
              <w:left w:val="nil"/>
              <w:bottom w:val="nil"/>
              <w:right w:val="nil"/>
            </w:tcBorders>
          </w:tcPr>
          <w:p>
            <w:pPr>
              <w:pStyle w:val="Normal6a"/>
            </w:pPr>
            <w:r>
              <w:t>8.</w:t>
            </w:r>
            <w:r>
              <w:tab/>
            </w:r>
            <w:r>
              <w:t>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efterlyser </w:t>
            </w:r>
            <w:r>
              <w:rPr>
                <w:b/>
                <w:i/>
              </w:rPr>
              <w:t>inrättandet av ett fullfjädrat EU-observationsorgan för en rättvis omställning med uppgift att samla in relevanta</w:t>
            </w:r>
            <w:r>
              <w:t xml:space="preserve"> uppgifter </w:t>
            </w:r>
            <w:r>
              <w:rPr>
                <w:b/>
                <w:i/>
              </w:rPr>
              <w:t>och analysera omställningspolitikens effekter</w:t>
            </w:r>
            <w:r>
              <w:t>.</w:t>
            </w:r>
          </w:p>
        </w:tc>
        <w:tc>
          <w:tcPr>
            <w:tcW w:w="4876" w:type="dxa"/>
            <w:tcBorders>
              <w:top w:val="nil"/>
              <w:left w:val="nil"/>
              <w:bottom w:val="nil"/>
              <w:right w:val="nil"/>
            </w:tcBorders>
          </w:tcPr>
          <w:p>
            <w:pPr>
              <w:pStyle w:val="Normal6a"/>
            </w:pPr>
            <w:r>
              <w:t>8.</w:t>
            </w:r>
            <w:r>
              <w:tab/>
            </w:r>
            <w:r>
              <w:t xml:space="preserve">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efterlyser </w:t>
            </w:r>
            <w:r>
              <w:rPr>
                <w:b/>
                <w:i/>
              </w:rPr>
              <w:t>att sådana strategiska</w:t>
            </w:r>
            <w:r>
              <w:t xml:space="preserve"> uppgifter </w:t>
            </w:r>
            <w:r>
              <w:rPr>
                <w:b/>
                <w:i/>
              </w:rPr>
              <w:t>tas fram av en befintlig unionsinstitution eller ett befintligt unionsorgan med löpande anslag, utan att öka kostnaderna eller budgeten för detta ändamål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w:t>
            </w:r>
            <w:r>
              <w:rPr>
                <w:b/>
                <w:i/>
              </w:rPr>
              <w:t>efterlyser inrättandet av ett fullfjädrat EU-observationsorgan för en rättvis omställning med uppgift</w:t>
            </w:r>
            <w:r>
              <w:t xml:space="preserve"> att samla in relevanta uppgifter och analysera omställningspolitikens effekter.</w:t>
            </w:r>
          </w:p>
        </w:tc>
        <w:tc>
          <w:tcPr>
            <w:tcW w:w="4876" w:type="dxa"/>
            <w:tcBorders>
              <w:top w:val="nil"/>
              <w:left w:val="nil"/>
              <w:bottom w:val="nil"/>
              <w:right w:val="nil"/>
            </w:tcBorders>
          </w:tcPr>
          <w:p>
            <w:pPr>
              <w:pStyle w:val="Normal6a"/>
            </w:pPr>
            <w:r>
              <w:t>8.</w:t>
            </w:r>
            <w:r>
              <w:tab/>
            </w:r>
            <w:r>
              <w:t xml:space="preserve">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w:t>
            </w:r>
            <w:r>
              <w:rPr>
                <w:b/>
                <w:i/>
              </w:rPr>
              <w:t>uppmanar de redan inrättade byråerna och organen</w:t>
            </w:r>
            <w:r>
              <w:t xml:space="preserve"> att samla in relevanta uppgifter och analysera omställningspolitikens effekter.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efterlyser inrättandet av ett fullfjädrat EU-observationsorgan för en rättvis omställning </w:t>
            </w:r>
            <w:r>
              <w:rPr>
                <w:b/>
                <w:i/>
              </w:rPr>
              <w:t>med uppgift</w:t>
            </w:r>
            <w:r>
              <w:t xml:space="preserve"> att samla in relevanta </w:t>
            </w:r>
            <w:r>
              <w:rPr>
                <w:b/>
                <w:i/>
              </w:rPr>
              <w:t>uppgifter och</w:t>
            </w:r>
            <w:r>
              <w:t xml:space="preserve"> analysera omställningspolitikens effekter.</w:t>
            </w:r>
          </w:p>
        </w:tc>
        <w:tc>
          <w:tcPr>
            <w:tcW w:w="4876" w:type="dxa"/>
            <w:tcBorders>
              <w:top w:val="nil"/>
              <w:left w:val="nil"/>
              <w:bottom w:val="nil"/>
              <w:right w:val="nil"/>
            </w:tcBorders>
          </w:tcPr>
          <w:p>
            <w:pPr>
              <w:pStyle w:val="Normal6a"/>
            </w:pPr>
            <w:r>
              <w:t>8.</w:t>
            </w:r>
            <w:r>
              <w:tab/>
            </w:r>
            <w:r>
              <w:t>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efterlyser inrättandet av ett fullfjädrat EU-observationsorgan för en rättvis omställning</w:t>
            </w:r>
            <w:r>
              <w:rPr>
                <w:b/>
                <w:i/>
              </w:rPr>
              <w:t>, på grundval av transparent och inkluderande styrning, inbegripet företrädare för europeiska arbetsmarknadsparter, det civila samhället och miljöaktörer, för</w:t>
            </w:r>
            <w:r>
              <w:t xml:space="preserve"> att samla in relevanta</w:t>
            </w:r>
            <w:r>
              <w:rPr>
                <w:b/>
                <w:i/>
              </w:rPr>
              <w:t>, uppdelade data,</w:t>
            </w:r>
            <w:r>
              <w:t xml:space="preserve"> analysera omställningspolitikens effekter </w:t>
            </w:r>
            <w:r>
              <w:rPr>
                <w:b/>
                <w:i/>
              </w:rPr>
              <w:t>och tillhandahålla detaljerad och regelbunden rapportering</w:t>
            </w:r>
            <w:r>
              <w:t xml:space="preserve">. </w:t>
            </w:r>
            <w:r>
              <w:rPr>
                <w:b/>
                <w:i/>
              </w:rPr>
              <w:t>Parlamentet betonar behovet av att identifiera, utbyta och främja bästa praxis.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efterlyser inrättandet av ett fullfjädrat EU-observationsorgan för en rättvis omställning med uppgift att samla in relevanta uppgifter och analysera omställningspolitikens effekter.</w:t>
            </w:r>
          </w:p>
        </w:tc>
        <w:tc>
          <w:tcPr>
            <w:tcW w:w="4876" w:type="dxa"/>
            <w:tcBorders>
              <w:top w:val="nil"/>
              <w:left w:val="nil"/>
              <w:bottom w:val="nil"/>
              <w:right w:val="nil"/>
            </w:tcBorders>
          </w:tcPr>
          <w:p>
            <w:pPr>
              <w:pStyle w:val="Normal6a"/>
            </w:pPr>
            <w:r>
              <w:t>8.</w:t>
            </w:r>
            <w:r>
              <w:tab/>
            </w:r>
            <w:r>
              <w:t xml:space="preserve">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efterlyser inrättandet av ett fullfjädrat EU-observationsorgan för en rättvis omställning med uppgift att samla in relevanta uppgifter och analysera omställningspolitikens effekter. </w:t>
            </w:r>
            <w:r>
              <w:rPr>
                <w:b/>
                <w:i/>
              </w:rPr>
              <w:t>Parlamentet uppmanar kommissionen och medlemsstaterna att grundligt och systematiskt kartlägga det nuvarande kompetensgapet på regional nivå samt att förutse den framtida efterfrågan på kompetens.</w:t>
            </w:r>
            <w:r>
              <w:t xml:space="preserve"> </w:t>
            </w:r>
            <w:r>
              <w:rPr>
                <w:b/>
                <w:i/>
              </w:rPr>
              <w:t>Parlamentet betonar att en sådan kartläggning bör inbegripa konsekvensbedömningar och leda till sektorsspecifika och territoriella åtgärder för att gynna den gröna omställningens potential i alla regioner.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efterlyser inrättandet av ett fullfjädrat EU-observationsorgan för en rättvis omställning med uppgift att samla in relevanta uppgifter och analysera omställningspolitikens effekter.</w:t>
            </w:r>
          </w:p>
        </w:tc>
        <w:tc>
          <w:tcPr>
            <w:tcW w:w="4876" w:type="dxa"/>
            <w:tcBorders>
              <w:top w:val="nil"/>
              <w:left w:val="nil"/>
              <w:bottom w:val="nil"/>
              <w:right w:val="nil"/>
            </w:tcBorders>
          </w:tcPr>
          <w:p>
            <w:pPr>
              <w:pStyle w:val="Normal6a"/>
            </w:pPr>
            <w:r>
              <w:t>8</w:t>
            </w:r>
            <w:r>
              <w:rPr>
                <w:b/>
                <w:i/>
              </w:rPr>
              <w:t>.</w:t>
            </w:r>
            <w:r>
              <w:tab/>
            </w:r>
            <w:r>
              <w:rPr>
                <w:b/>
                <w:i/>
              </w:rPr>
              <w:t>Europaparlamentet betonar att indikatorer för energifattigdom systematiskt bör integreras i övervakningsstrukturerna för en rättvis omställning så att det kan säkerställas att finansiering och sysselsättningsskapande åtgärder främst gynnar utsatta hushåll</w:t>
            </w:r>
            <w:r>
              <w:t>. 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efterlyser inrättandet av ett fullfjädrat EU-observationsorgan för en rättvis omställning med uppgift att samla in relevanta uppgifter och analysera omställningspolitikens effekter.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efterlyser inrättandet av ett fullfjädrat EU-observationsorgan för en rättvis omställning med uppgift att samla in relevanta uppgifter och analysera omställningspolitikens effekter.</w:t>
            </w:r>
          </w:p>
        </w:tc>
        <w:tc>
          <w:tcPr>
            <w:tcW w:w="4876" w:type="dxa"/>
            <w:tcBorders>
              <w:top w:val="nil"/>
              <w:left w:val="nil"/>
              <w:bottom w:val="nil"/>
              <w:right w:val="nil"/>
            </w:tcBorders>
          </w:tcPr>
          <w:p>
            <w:pPr>
              <w:pStyle w:val="Normal6a"/>
            </w:pPr>
            <w:r>
              <w:t>8.</w:t>
            </w:r>
            <w:r>
              <w:tab/>
            </w:r>
            <w:r>
              <w:t xml:space="preserve">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efterlyser inrättandet av ett fullfjädrat EU-observationsorgan för en rättvis omställning med uppgift att samla in relevanta uppgifter och analysera omställningspolitikens effekter. </w:t>
            </w:r>
            <w:r>
              <w:rPr>
                <w:b/>
                <w:i/>
              </w:rPr>
              <w:t>Parlamentet uppmanar EU:s observationsgrupp för rättvis omställning att även övervaka bostäder, psykisk hälsa och socialt välbefinnande, utöver utvecklingen på arbetsmarknaden.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Parlamentet efterlyser inrättandet av ett fullfjädrat EU-observationsorgan för en rättvis omställning med uppgift att samla in relevanta uppgifter och analysera omställningspolitikens effekter.</w:t>
            </w:r>
          </w:p>
        </w:tc>
        <w:tc>
          <w:tcPr>
            <w:tcW w:w="4876" w:type="dxa"/>
            <w:tcBorders>
              <w:top w:val="nil"/>
              <w:left w:val="nil"/>
              <w:bottom w:val="nil"/>
              <w:right w:val="nil"/>
            </w:tcBorders>
          </w:tcPr>
          <w:p>
            <w:pPr>
              <w:pStyle w:val="Normal6a"/>
            </w:pPr>
            <w:r>
              <w:t>8.</w:t>
            </w:r>
            <w:r>
              <w:tab/>
            </w:r>
            <w:r>
              <w:t xml:space="preserve">Europaparlamentet konstaterar att det saknas exakta uppgifter om hur många arbetstillfällen som gått förlorade, skapats eller påverkats av den dubbla omställningen. Parlamentet understryker vikten av att förutse förändringar på arbetsmarknaden och trender i kompetensbehov för att sätta in effektiva politiska insatser </w:t>
            </w:r>
            <w:r>
              <w:rPr>
                <w:b/>
                <w:i/>
              </w:rPr>
              <w:t>i rätt tid</w:t>
            </w:r>
            <w:r>
              <w:t xml:space="preserve">. Parlamentet efterlyser inrättandet av ett fullfjädrat EU-observationsorgan för en rättvis omställning med uppgift att samla in relevanta uppgifter och analysera omställningspolitikens effekter. </w:t>
            </w:r>
            <w:r>
              <w:rPr>
                <w:b/>
                <w:i/>
              </w:rPr>
              <w:t>Parlamentet uppmanar kommissionen att klargöra vilken EU-byrå som kommer att övervaka de specifika uppgifterna om den digitala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påminner om den särskilda potential som den sociala ekonomin, kooperativ, ömsesidiga bolag, föreningar, offentliga och/eller halvoffentliga företag har när det gäller att skapa hållbara arbetstillfällen i en rättvis och inkluderande arbetsmiljö, samtidigt som principerna om ekologisk produktion och hållbar lokal/regional utveckling respekteras.</w:t>
            </w:r>
            <w:r>
              <w:t xml:space="preserve"> </w:t>
            </w:r>
            <w:r>
              <w:rPr>
                <w:b/>
                <w:i/>
              </w:rPr>
              <w:t>Parlamentet betonar potentialen hos ekonomisk-sociala innovationer för ytterligare utveckling av den lokala och regionala ekonomin, som erbjuder möjligheter att begränsa vissa effekter av en annars socialt rättvis och miljömässigt givande omställning.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uppmuntrar till renoveringsprogram på lokal nivå som omfattar bostadsområden eller byar, minskar kostnaderna, stärker sammanhållningen och påskyndar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Europaparlamentet begär att det föreslagna direktivet åtföljs av en uppdaterad fond för en rättvis omställning för programperioden efter 2027, för att säkerställa att den fungerar inom ramen för delad förvaltning och principer om partnerskap med en ökad budget.</w:t>
            </w:r>
            <w:r>
              <w:t xml:space="preserve"> </w:t>
            </w:r>
            <w:r>
              <w:rPr>
                <w:b/>
                <w:i/>
              </w:rPr>
              <w:t>Parlamentet betonar att den nya fonden bör stödja arbetsgivare när det gäller att ge arbetstagarna rätt till utbildning samt att införa omställningsplaner på företagsnivå.</w:t>
            </w:r>
            <w:r>
              <w:t xml:space="preserve"> </w:t>
            </w:r>
            <w:r>
              <w:rPr>
                <w:b/>
                <w:i/>
              </w:rPr>
              <w:t>Parlamentet efterlyser övergångsfinansiering som omfattar sociala villkor för att stödja inkludering.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Europaparlamentet begär att det föreslagna direktivet åtföljs av en uppdaterad fond för en rättvis omställning för programperioden efter 2027, för att säkerställa att den fungerar inom ramen för delad förvaltning och principer om partnerskap med en ökad budget.</w:t>
            </w:r>
            <w:r>
              <w:t xml:space="preserve"> </w:t>
            </w:r>
            <w:r>
              <w:rPr>
                <w:b/>
                <w:i/>
              </w:rPr>
              <w:t>Parlamentet betonar att den nya fonden bör stödja arbetsgivare när det gäller att ge arbetstagarna rätt till utbildning samt att införa omställningsplaner på företagsnivå.</w:t>
            </w:r>
            <w:r>
              <w:t xml:space="preserve"> </w:t>
            </w:r>
            <w:r>
              <w:rPr>
                <w:b/>
                <w:i/>
              </w:rPr>
              <w:t>Parlamentet efterlyser övergångsfinansiering som omfattar sociala villkor för att stödja inkludering.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Europaparlamentet begär att det föreslagna direktivet åtföljs av en uppdaterad fond för en rättvis omställning för programperioden efter 2027, för att säkerställa att den fungerar inom ramen för delad förvaltning och principer om partnerskap med en ökad budget.</w:t>
            </w:r>
            <w:r>
              <w:t xml:space="preserve"> </w:t>
            </w:r>
            <w:r>
              <w:rPr>
                <w:b/>
                <w:i/>
              </w:rPr>
              <w:t>Parlamentet betonar att den nya fonden bör stödja arbetsgivare när det gäller att ge arbetstagarna rätt till utbildning samt att införa omställningsplaner på företagsnivå.</w:t>
            </w:r>
            <w:r>
              <w:t xml:space="preserve"> </w:t>
            </w:r>
            <w:r>
              <w:rPr>
                <w:b/>
                <w:i/>
              </w:rPr>
              <w:t>Parlamentet efterlyser övergångsfinansiering som omfattar sociala villkor för att stödja inkludering.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w:t>
            </w:r>
            <w:r>
              <w:rPr>
                <w:b/>
                <w:i/>
              </w:rPr>
              <w:t>begär att det föreslagna direktivet åtföljs av</w:t>
            </w:r>
            <w:r>
              <w:t xml:space="preserve"> en uppdaterad fond för en rättvis omställning för programperioden efter 2027, </w:t>
            </w:r>
            <w:r>
              <w:rPr>
                <w:b/>
                <w:i/>
              </w:rPr>
              <w:t>för att säkerställa att den fungerar inom ramen för delad förvaltning och principer om partnerskap med en ökad budget</w:t>
            </w:r>
            <w:r>
              <w:t xml:space="preserve">. Parlamentet betonar att den nya fonden bör stödja arbetsgivare när det gäller att ge arbetstagarna rätt till utbildning samt att införa omställningsplaner på företagsnivå. </w:t>
            </w:r>
            <w:r>
              <w:rPr>
                <w:b/>
                <w:i/>
              </w:rPr>
              <w:t>Parlamentet efterlyser övergångsfinansiering som omfattar sociala villkor för att stödja inkludering.</w:t>
            </w:r>
          </w:p>
        </w:tc>
        <w:tc>
          <w:tcPr>
            <w:tcW w:w="4876" w:type="dxa"/>
            <w:tcBorders>
              <w:top w:val="nil"/>
              <w:left w:val="nil"/>
              <w:bottom w:val="nil"/>
              <w:right w:val="nil"/>
            </w:tcBorders>
          </w:tcPr>
          <w:p>
            <w:pPr>
              <w:pStyle w:val="Normal6a"/>
            </w:pPr>
            <w:r>
              <w:t>9.</w:t>
            </w:r>
            <w:r>
              <w:tab/>
            </w:r>
            <w:r>
              <w:t xml:space="preserve">Europaparlamentet </w:t>
            </w:r>
            <w:r>
              <w:rPr>
                <w:b/>
                <w:i/>
              </w:rPr>
              <w:t>efterlyser</w:t>
            </w:r>
            <w:r>
              <w:t xml:space="preserve"> en uppdaterad fond för en rättvis omställning för programperioden efter 2027, </w:t>
            </w:r>
            <w:r>
              <w:rPr>
                <w:b/>
                <w:i/>
              </w:rPr>
              <w:t>som säkerställer att medlen används effektivt och inriktas på projekt med tydliga ekonomiska fördelar</w:t>
            </w:r>
            <w:r>
              <w:t>. Parlamentet betonar att den nya fonden bör stödja arbetsgivare när det gäller att ge arbetstagarna rätt till utbildning samt att införa omställningsplaner på företagsnivå.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begär att det föreslagna direktivet åtföljs av en uppdaterad fond för en rättvis omställning för programperioden efter 2027, för att säkerställa att den fungerar inom ramen för delad förvaltning och principer om partnerskap </w:t>
            </w:r>
            <w:r>
              <w:rPr>
                <w:b/>
                <w:i/>
              </w:rPr>
              <w:t>med en ökad budget</w:t>
            </w:r>
            <w:r>
              <w:t>. Parlamentet betonar att den nya fonden bör stödja arbetsgivare när det gäller att ge arbetstagarna rätt till utbildning samt att införa omställningsplaner på företagsnivå. Parlamentet efterlyser övergångsfinansiering som omfattar sociala villkor för att stödja inkludering.</w:t>
            </w:r>
          </w:p>
        </w:tc>
        <w:tc>
          <w:tcPr>
            <w:tcW w:w="4876" w:type="dxa"/>
            <w:tcBorders>
              <w:top w:val="nil"/>
              <w:left w:val="nil"/>
              <w:bottom w:val="nil"/>
              <w:right w:val="nil"/>
            </w:tcBorders>
          </w:tcPr>
          <w:p>
            <w:pPr>
              <w:pStyle w:val="Normal6a"/>
            </w:pPr>
            <w:r>
              <w:t>9.</w:t>
            </w:r>
            <w:r>
              <w:tab/>
            </w:r>
            <w:r>
              <w:t>Europaparlamentet begär att det föreslagna direktivet åtföljs av en uppdaterad fond för en rättvis omställning för programperioden efter 2027, för att säkerställa att den fungerar inom ramen för delad förvaltning och principer om partnerskap. Parlamentet betonar att den nya fonden bör stödja arbetsgivare när det gäller att ge arbetstagarna rätt till utbildning samt att införa omställningsplaner på företagsnivå. Parlamentet efterlyser övergångsfinansiering som omfattar sociala villkor för att stödja inkludering.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begär att det föreslagna direktivet åtföljs av en </w:t>
            </w:r>
            <w:r>
              <w:rPr>
                <w:b/>
                <w:i/>
              </w:rPr>
              <w:t>uppdaterad</w:t>
            </w:r>
            <w:r>
              <w:t xml:space="preserve"> fond för en rättvis omställning för programperioden efter 2027, för att säkerställa att den fungerar inom ramen för delad förvaltning och principer om partnerskap med en ökad budget. Parlamentet betonar att </w:t>
            </w:r>
            <w:r>
              <w:rPr>
                <w:b/>
                <w:i/>
              </w:rPr>
              <w:t>den nya fonden bör stödja</w:t>
            </w:r>
            <w:r>
              <w:t xml:space="preserve"> arbetsgivare när det gäller att ge arbetstagarna rätt till utbildning samt att införa omställningsplaner på företagsnivå. Parlamentet efterlyser övergångsfinansiering som omfattar sociala villkor för att stödja inkludering.</w:t>
            </w:r>
          </w:p>
        </w:tc>
        <w:tc>
          <w:tcPr>
            <w:tcW w:w="4876" w:type="dxa"/>
            <w:tcBorders>
              <w:top w:val="nil"/>
              <w:left w:val="nil"/>
              <w:bottom w:val="nil"/>
              <w:right w:val="nil"/>
            </w:tcBorders>
          </w:tcPr>
          <w:p>
            <w:pPr>
              <w:pStyle w:val="Normal6a"/>
            </w:pPr>
            <w:r>
              <w:t>9.</w:t>
            </w:r>
            <w:r>
              <w:tab/>
            </w:r>
            <w:r>
              <w:t xml:space="preserve">Europaparlamentet </w:t>
            </w:r>
            <w:r>
              <w:rPr>
                <w:b/>
                <w:i/>
              </w:rPr>
              <w:t>är bekymrat över att kommissionen inte har föreslagit någon fristående Fond för en rättvis omställning (FRO) i sina senaste förslag om den framtida fleråriga budgetramen.</w:t>
            </w:r>
            <w:r>
              <w:t xml:space="preserve"> </w:t>
            </w:r>
            <w:r>
              <w:rPr>
                <w:b/>
                <w:i/>
              </w:rPr>
              <w:t>Parlamentet</w:t>
            </w:r>
            <w:r>
              <w:t xml:space="preserve"> begär </w:t>
            </w:r>
            <w:r>
              <w:rPr>
                <w:b/>
                <w:i/>
              </w:rPr>
              <w:t>därför</w:t>
            </w:r>
            <w:r>
              <w:t xml:space="preserve"> att det föreslagna direktivet åtföljs av en </w:t>
            </w:r>
            <w:r>
              <w:rPr>
                <w:b/>
                <w:i/>
              </w:rPr>
              <w:t>bredare och större</w:t>
            </w:r>
            <w:r>
              <w:t xml:space="preserve"> fond för en rättvis omställning för programperioden efter 2027, för att säkerställa att den fungerar inom ramen för delad förvaltning och principer om partnerskap</w:t>
            </w:r>
            <w:r>
              <w:rPr>
                <w:b/>
                <w:i/>
              </w:rPr>
              <w:t>, inom ramen för en sammanhållningspolitik</w:t>
            </w:r>
            <w:r>
              <w:t xml:space="preserve"> med en ökad budget. Parlamentet betonar att </w:t>
            </w:r>
            <w:r>
              <w:rPr>
                <w:b/>
                <w:i/>
              </w:rPr>
              <w:t>denna nya fond bör ge stöd till samhällen att ställa om och möjliggöra en insatskapacitet som står i proportion till omfattningen av de socioekonomiska, sysselsättningsrelaterade, demografiska och miljömässiga konsekvenserna av omställningen till EU:s energimål för 2030 samt till</w:t>
            </w:r>
            <w:r>
              <w:t xml:space="preserve"> arbetsgivare när det gäller att ge arbetstagarna rätt till utbildning samt att införa omställningsplaner på företagsnivå. Parlamentet efterlyser övergångsfinansiering som omfattar sociala villkor för att stödja inkludering. </w:t>
            </w:r>
            <w:r>
              <w:rPr>
                <w:b/>
                <w:i/>
              </w:rPr>
              <w:t>Parlamentet betonar att denna fond bör ha ett eget förutsägbart budgetanslag så att man kan säkerställa dess autonomi i relation till extraordinära krishanteringsinstrument, såsom NextGenerationEU.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begär att det föreslagna direktivet åtföljs av en uppdaterad fond för en rättvis omställning för programperioden efter 2027, för att säkerställa att den fungerar inom ramen för delad förvaltning och principer om partnerskap med en ökad budget. Parlamentet betonar att den nya fonden bör stödja arbetsgivare när det gäller att ge arbetstagarna rätt till utbildning samt att införa omställningsplaner på företagsnivå. Parlamentet efterlyser övergångsfinansiering som omfattar sociala villkor för att stödja inkludering.</w:t>
            </w:r>
          </w:p>
        </w:tc>
        <w:tc>
          <w:tcPr>
            <w:tcW w:w="4876" w:type="dxa"/>
            <w:tcBorders>
              <w:top w:val="nil"/>
              <w:left w:val="nil"/>
              <w:bottom w:val="nil"/>
              <w:right w:val="nil"/>
            </w:tcBorders>
          </w:tcPr>
          <w:p>
            <w:pPr>
              <w:pStyle w:val="Normal6a"/>
            </w:pPr>
            <w:r>
              <w:t>9</w:t>
            </w:r>
            <w:r>
              <w:rPr>
                <w:b/>
                <w:i/>
              </w:rPr>
              <w:t>.</w:t>
            </w:r>
            <w:r>
              <w:tab/>
            </w:r>
            <w:r>
              <w:rPr>
                <w:b/>
                <w:i/>
              </w:rPr>
              <w:t>Europaparlamentet beklagar att förslaget till flerårig budgetram 2028–2034 inte innehåller något fristående instrument för att hantera en rättvis omställning.</w:t>
            </w:r>
            <w:r>
              <w:t xml:space="preserve"> </w:t>
            </w:r>
            <w:r>
              <w:rPr>
                <w:b/>
                <w:i/>
              </w:rPr>
              <w:t>Parlamentet betonar att särskild finansiering fortfarande behövs för att stödja de drabbade regionerna i hanteringen av de utmaningar som följer av den gröna omställningen</w:t>
            </w:r>
            <w:r>
              <w:t xml:space="preserve">. Europaparlamentet begär </w:t>
            </w:r>
            <w:r>
              <w:rPr>
                <w:b/>
                <w:i/>
              </w:rPr>
              <w:t>i detta sammanhang</w:t>
            </w:r>
            <w:r>
              <w:t xml:space="preserve"> att det föreslagna direktivet åtföljs av en uppdaterad fond för en rättvis omställning för programperioden efter 2027, för att säkerställa att den fungerar inom ramen för delad förvaltning och principer om partnerskap med en ökad budget. Parlamentet betonar att den nya fonden bör stödja arbetsgivare när det gäller att ge arbetstagarna rätt till utbildning samt att införa omställningsplaner på företagsnivå. Parlamentet efterlyser övergångsfinansiering som omfattar sociala villkor för att stödja inkludering.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begär att det föreslagna direktivet åtföljs av en uppdaterad fond för en rättvis omställning för programperioden efter 2027, för att säkerställa att den fungerar inom ramen för delad förvaltning och principer om partnerskap med en ökad budget. Parlamentet betonar att den nya fonden bör stödja arbetsgivare när det gäller att ge arbetstagarna rätt till utbildning samt att införa omställningsplaner på företagsnivå. Parlamentet efterlyser övergångsfinansiering som omfattar sociala villkor för att stödja inkludering.</w:t>
            </w:r>
          </w:p>
        </w:tc>
        <w:tc>
          <w:tcPr>
            <w:tcW w:w="4876" w:type="dxa"/>
            <w:tcBorders>
              <w:top w:val="nil"/>
              <w:left w:val="nil"/>
              <w:bottom w:val="nil"/>
              <w:right w:val="nil"/>
            </w:tcBorders>
          </w:tcPr>
          <w:p>
            <w:pPr>
              <w:pStyle w:val="Normal6a"/>
            </w:pPr>
            <w:r>
              <w:t>9.</w:t>
            </w:r>
            <w:r>
              <w:tab/>
            </w:r>
            <w:r>
              <w:t xml:space="preserve">Europaparlamentet begär att det föreslagna direktivet åtföljs av en uppdaterad fond för en rättvis omställning för programperioden efter 2027, för att säkerställa att den fungerar inom ramen för delad förvaltning och principer om partnerskap med en ökad budget. Parlamentet betonar att den nya fonden bör stödja arbetsgivare när det gäller att ge arbetstagarna rätt till utbildning samt att införa omställningsplaner på företagsnivå. Parlamentet efterlyser övergångsfinansiering som omfattar sociala villkor för att stödja inkludering. </w:t>
            </w:r>
            <w:r>
              <w:rPr>
                <w:b/>
                <w:i/>
              </w:rPr>
              <w:t>Parlamentet betonar att utbildning bör vara av god kvalitet, vara anpassad till arbetsmarknadens behov och leda till kvalifikationer som godkänts genom transparenta och tydliga certifieringssystem som möjliggör ömsesidigt erkännande mellan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begär att det föreslagna direktivet åtföljs av en uppdaterad fond för en rättvis omställning för programperioden efter 2027, för att säkerställa att den fungerar inom ramen för delad förvaltning och principer om partnerskap med en ökad budget. Parlamentet betonar att den nya fonden bör stödja arbetsgivare när det gäller att ge arbetstagarna rätt till utbildning samt att införa omställningsplaner på företagsnivå. Parlamentet efterlyser övergångsfinansiering som omfattar sociala villkor för att stödja inkludering.</w:t>
            </w:r>
          </w:p>
        </w:tc>
        <w:tc>
          <w:tcPr>
            <w:tcW w:w="4876" w:type="dxa"/>
            <w:tcBorders>
              <w:top w:val="nil"/>
              <w:left w:val="nil"/>
              <w:bottom w:val="nil"/>
              <w:right w:val="nil"/>
            </w:tcBorders>
          </w:tcPr>
          <w:p>
            <w:pPr>
              <w:pStyle w:val="Normal6a"/>
            </w:pPr>
            <w:r>
              <w:t>9</w:t>
            </w:r>
            <w:r>
              <w:rPr>
                <w:b/>
                <w:i/>
              </w:rPr>
              <w:t>.</w:t>
            </w:r>
            <w:r>
              <w:tab/>
            </w:r>
            <w:r>
              <w:rPr>
                <w:b/>
                <w:i/>
              </w:rPr>
              <w:t>Europaparlamentet beklagar att kommissionen inte har föreslagit någon fristående Fond för en rättvis omställning i sina senaste förslag om den framtida fleråriga budgetramen (MFF) för 2028-2034</w:t>
            </w:r>
            <w:r>
              <w:t>. Europaparlamentet begär att det föreslagna direktivet åtföljs av en uppdaterad fond för en rättvis omställning för programperioden efter 2027, för att säkerställa att den fungerar inom ramen för delad förvaltning och principer om partnerskap med en ökad budget. Parlamentet betonar att den nya fonden bör stödja arbetsgivare när det gäller att ge arbetstagarna rätt till utbildning samt att införa omställningsplaner på företagsnivå. Parlamentet efterlyser övergångsfinansiering som omfattar sociala villkor för att stödja inkludering.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begär att det föreslagna direktivet åtföljs av en uppdaterad fond för en rättvis omställning för programperioden efter 2027, för att säkerställa att den fungerar inom ramen för delad förvaltning och principer om partnerskap med en ökad budget. Parlamentet betonar att den nya fonden bör stödja arbetsgivare när det gäller att ge arbetstagarna rätt till utbildning samt att införa omställningsplaner på företagsnivå. Parlamentet efterlyser övergångsfinansiering som omfattar sociala villkor för att stödja inkludering.</w:t>
            </w:r>
          </w:p>
        </w:tc>
        <w:tc>
          <w:tcPr>
            <w:tcW w:w="4876" w:type="dxa"/>
            <w:tcBorders>
              <w:top w:val="nil"/>
              <w:left w:val="nil"/>
              <w:bottom w:val="nil"/>
              <w:right w:val="nil"/>
            </w:tcBorders>
          </w:tcPr>
          <w:p>
            <w:pPr>
              <w:pStyle w:val="Normal6a"/>
            </w:pPr>
            <w:r>
              <w:t>9.</w:t>
            </w:r>
            <w:r>
              <w:tab/>
            </w:r>
            <w:r>
              <w:t xml:space="preserve">Europaparlamentet begär att det föreslagna direktivet åtföljs av en uppdaterad fond för en rättvis omställning för programperioden efter 2027, för att säkerställa att den fungerar inom ramen för delad förvaltning och principer om partnerskap med en ökad budget. Parlamentet betonar att den nya fonden bör stödja arbetsgivare när det gäller att ge arbetstagarna rätt till utbildning samt att införa omställningsplaner på företagsnivå. Parlamentet efterlyser övergångsfinansiering som omfattar sociala villkor för att stödja inkludering </w:t>
            </w:r>
            <w:r>
              <w:rPr>
                <w:b/>
                <w:i/>
              </w:rPr>
              <w:t>med efterlevnad av kollektivavtal, respekt för arbetstagares rättigheter, lika lön oavsett kön och icke-diskriminering som villkor</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beklagar att kommissionen inte har föreslagit någon fristående Fond för en rättvis omställning (FRO) i sina senaste förslag om den framtida fleråriga budgetramen (MFF).</w:t>
            </w:r>
            <w:r>
              <w:t xml:space="preserve"> </w:t>
            </w:r>
            <w:r>
              <w:rPr>
                <w:b/>
                <w:i/>
              </w:rPr>
              <w:t>Parlamentet begär därför att FRO ska drivas vidare som FRO II, för programperioden efter 2027, för att tillhandahålla hushåll och samhällen direkt stöd i omställningen och för att möjliggöra en insatskapacitet som står i proportion till omfattningen på de socioekonomiska, sysselsättningsrelaterade, demografiska och miljömässiga effekterna av omställningen i riktning mot unionens energimål för 2030.</w:t>
            </w:r>
            <w:r>
              <w:t xml:space="preserve"> </w:t>
            </w:r>
            <w:r>
              <w:rPr>
                <w:b/>
                <w:i/>
              </w:rPr>
              <w:t>Parlamentet betonar att den nya fonden bör verka i enlighet med principerna om delad förvaltning och partnerskap, inom ramen för sammanhållningspolitiken, och betonar att den bör ha ett eget förutsägbart budgetanslag som säkerställer dess autonomi i relation till extraordinära krishanteringsinstrument, såsom NextGenerationEU.</w:t>
            </w:r>
            <w:r>
              <w:t xml:space="preserve"> </w:t>
            </w:r>
            <w:r>
              <w:rPr>
                <w:b/>
                <w:i/>
              </w:rPr>
              <w:t>Fonden ska drivas enligt principerna om delad förvaltning och partnerskap, med en ökad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välkomnar Cedefops policydokument om att bygga upp en europeisk kvalifikationskarta</w:t>
            </w:r>
            <w:r>
              <w:rPr>
                <w:b/>
                <w:i/>
                <w:vertAlign w:val="superscript"/>
              </w:rPr>
              <w:t>1a</w:t>
            </w:r>
            <w:r>
              <w:rPr>
                <w:b/>
                <w:i/>
              </w:rPr>
              <w:t>, som ökar tydligheten, jämförbarheten och överförbarheten av kvalifikationer i hela Europa.</w:t>
            </w:r>
            <w:r>
              <w:t xml:space="preserve"> </w:t>
            </w:r>
            <w:r>
              <w:rPr>
                <w:b/>
                <w:i/>
              </w:rPr>
              <w:t>Parlamentet betonar att en sådan karta måste vara något mer än en akademisk exercis och fungera som ett praktiskt verktyg för konkurrenskraft, arbetsmarknadsrelevans och rörlighet.</w:t>
            </w:r>
            <w:r>
              <w:t xml:space="preserve"> </w:t>
            </w:r>
            <w:r>
              <w:rPr>
                <w:b/>
                <w:i/>
              </w:rPr>
              <w:t>Parlamentet uppmanar kommissionen och medlemsstaterna att se till att den europeiska referensramen för kvalifikationer är nära kopplad till ekonomiska behov, industripolitik och investeringar i kompetens, för att hjälpa entreprenörer, små och medelstora företag och andra företag att få tillgång till en arbetskraft som har både teknisk och övergripande kompetens.</w:t>
            </w:r>
            <w:r>
              <w:t xml:space="preserve"> </w:t>
            </w:r>
            <w:r>
              <w:rPr>
                <w:b/>
                <w:i/>
              </w:rPr>
              <w:t>Parlamentet understryker att denna strategi är avgörande för att matcha utbud av kompetens med efterfrågan, för att främja tillväxt och innovation.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https://www.cedefop.europa.eu/files/9191_en.pdf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betonar att direkta offentliga och privata investeringar i ren infrastruktur, projekt för förnybar energi och verksamhet inom den cirkulära ekonomin är nödvändiga för att blåsa nytt liv i lokala ekonomier och bidra till att skapa arbetstillfällen.</w:t>
            </w:r>
            <w:r>
              <w:t xml:space="preserve"> </w:t>
            </w:r>
            <w:r>
              <w:rPr>
                <w:b/>
                <w:i/>
              </w:rPr>
              <w:t>Parlamentet betonar behovet av att utnyttja regionala tillgångar genom att investera i sektorer där regionerna redan har styrkor eller komparativa fördelar.</w:t>
            </w:r>
            <w:r>
              <w:t xml:space="preserve"> </w:t>
            </w:r>
            <w:r>
              <w:rPr>
                <w:b/>
                <w:i/>
              </w:rPr>
              <w:t>Parlamentet anser att regional specialisering kan utgöra grunden för gröna industrikluster.</w:t>
            </w:r>
            <w:r>
              <w:t xml:space="preserve"> </w:t>
            </w:r>
            <w:r>
              <w:rPr>
                <w:b/>
                <w:i/>
              </w:rPr>
              <w:t>Parlamentet betonar att stöd till forskning och innovation och främjande av samarbete mellan universitet och företag kan driva på nya hållbara affärsmodeller.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efterlyser en genomförbarhetsstudie för programperioden efter 2027 för att bedöma om, och i vilken utsträckning, de nuvarande fonderna drivs på grundval av övergripande strategier för migration, energipolitik, forskning och europeisk innovation, och för att stödja inrättandet av nationella strategier för en rättvis omställning med särskilt fokus på att utveckla en långsiktig vision och konkreta utsikter för lokala ekonomier och arbetstagare i alla berörda regioner.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Andrzej Buła, Gheorghe Falcă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betonar vikten av att utveckla digitala färdigheter för arbetstagare på både grundläggande och avancerade nivåer.</w:t>
            </w:r>
            <w:r>
              <w:t xml:space="preserve"> </w:t>
            </w:r>
            <w:r>
              <w:rPr>
                <w:b/>
                <w:i/>
              </w:rPr>
              <w:t>Parlamentet understryker behovet av att ge medborgarna grundläggande digital kompetens, datamedvetenhet och säker användning av onlineverktyg för att förbli anställbara och anpassningsbara, samtidigt som man främjar mer avancerad kompetens.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Europaparlamentet betonar att effektiv utbildning är beroende av tillgången till lärare och utbildare med aktuell kunskap om hållbar och grön ekonomi, energieffektivitet samt grön och digital teknik.</w:t>
            </w:r>
            <w:r>
              <w:t xml:space="preserve"> </w:t>
            </w:r>
            <w:r>
              <w:rPr>
                <w:b/>
                <w:i/>
              </w:rPr>
              <w:t>Parlamentet framhåller att deras roll är avgörande för att främja rätt kompetens för både yngre och äldre generationer av arbetstagare och lämplig omskolning och kompetenshöjning för de personer som påverkas av den gröna omställningen.</w:t>
            </w:r>
            <w:r>
              <w:t xml:space="preserve"> </w:t>
            </w:r>
            <w:r>
              <w:rPr>
                <w:b/>
                <w:i/>
              </w:rPr>
              <w:t>Parlamentet understryker att utbildning av sådana lärare och utbildare därför bör ha högsta prioritet i alla strategier för kompetensinsatser på europeisk, nationell, regional och lokal 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Europaparlamentet uppmanar medlemsstaterna att garantera hållbar finansiering av åtgärder för en rättvis omställning genom nationella fonder för en rättvis omställning, på grundval av offentliga medel, arbetsgivaravgifter och EU-medel.</w:t>
            </w:r>
            <w:r>
              <w:t xml:space="preserve"> </w:t>
            </w:r>
            <w:r>
              <w:rPr>
                <w:b/>
                <w:i/>
              </w:rPr>
              <w:t>Arbetsgivarna ska bidra med en skälig andel av kostnaderna för utbildning och omplacering.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Europaparlamentet betonar att en konsekvent och integrerad policymix är nödvändig för att uppnå målen för en rättvis omställning.</w:t>
            </w:r>
            <w:r>
              <w:t xml:space="preserve"> </w:t>
            </w:r>
            <w:r>
              <w:rPr>
                <w:b/>
                <w:i/>
              </w:rPr>
              <w:t>Parlamentet efterlyser integrering av målen för inkludering, socialt skydd och kompetens i alla EU:s klimat- och industriåtgärder.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Europaparlamentet betonar att utbildningsinstitutioner måste göra sina utbildningar mer relevanta i förhållande till behoven på den konkurrensinriktade arbetsmarknaden och ge inlärare, utbildare och lärare relevanta kunskaper och färdigheter så att de kan fungera som aktiva aktörer för förändring i en rättvis omställning mot miljömässigt hållbara ekonomier och ett samhälle för 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Europaparlamentet betonar vikten av grundläggande och kognitiva färdigheter och framtagande av nödvändiga instrument för att uppmuntra medborgarna att även beakta sin personliga utveckling och mognadsprocess med dessa färdigheter, såsom kreativt tänkande, motståndskraft, flexibilitet och agilitet, motivation och självkännedom, nyfikenhet och livslångt lärande – som ett erkännande av vikten av arbetstagarnas förmåga att anpassa sig till arbetsplatser i omvandling och av självförmåga och samarbete med andra team.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Europaparlamentet betonar att uppbyggnaden av en stark administrativ och teknisk kapacitet på nationell, regional och lokal nivå är avgörande för en effektiv användning av EU-medel.</w:t>
            </w:r>
            <w:r>
              <w:t xml:space="preserve"> </w:t>
            </w:r>
            <w:r>
              <w:rPr>
                <w:b/>
                <w:i/>
              </w:rPr>
              <w:t>Parlamentet efterlyser ökade investeringar i uppbyggnad av administrativ och teknisk kapacitet på lokal nivå.</w:t>
            </w:r>
            <w:r>
              <w:t xml:space="preserve"> </w:t>
            </w:r>
            <w:r>
              <w:rPr>
                <w:b/>
                <w:i/>
              </w:rPr>
              <w:t>Parlamentet understryker behovet av tillräcklig personal, kompetens och system hos förvaltningsmyndigheterna för att säkerställa korrekt förberedelse, efterlevnad, övervakning och utvärdering av projekt.</w:t>
            </w:r>
            <w:r>
              <w:t xml:space="preserve"> </w:t>
            </w:r>
            <w:r>
              <w:rPr>
                <w:b/>
                <w:i/>
              </w:rPr>
              <w:t>Parlamentet betonar att stärkt administrativ kapacitet är en förutsättning för att mobilisera investeringar, minska komplexiteten och anpassa klimatåtgärderna till tillväxten.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9f.</w:t>
            </w:r>
            <w:r>
              <w:tab/>
            </w:r>
            <w:r>
              <w:rPr>
                <w:b/>
                <w:i/>
              </w:rPr>
              <w:t>Europaparlamentet uppmanar kommissionen och medlemsstaterna att underlätta både storskaliga och småskaliga investeringar genom att minska de administrativa bördorna, förenkla förfarandena och säkerställa en effektiv användning av EU-medel.</w:t>
            </w:r>
            <w:r>
              <w:t xml:space="preserve"> </w:t>
            </w:r>
            <w:r>
              <w:rPr>
                <w:b/>
                <w:i/>
              </w:rPr>
              <w:t>Parlamentet betonar att entreprenörer, små och medelstora företag och större företag alla måste få gynnsamma villkor för investeringar, expansion och innovation, särskilt i landsbygdsområden och mindre utvecklade regioner.</w:t>
            </w:r>
            <w:r>
              <w:t xml:space="preserve"> </w:t>
            </w:r>
            <w:r>
              <w:rPr>
                <w:b/>
                <w:i/>
              </w:rPr>
              <w:t>Parlamentet understryker att sådana investeringar är avgörande för att stärka Europas industriella och tekniska bas, skapa arbetstillfällen av hög kvalitet och säkra en kvalificerad arbetskraft som är anpassad till lokala förhållanden, resurser och särskilda behov, i syfte att till fullo utnyttja den regionala potentialen och driva på konkurrenskraft, hållbar tillväxt och långsiktigt värdeskapande.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Europaparlamentet uppmanar medlemsstaterna att säkra tillräcklig finansiering för kompetens- och yrkesutbildningsprogram av hög kvalitet som en långsiktig investering i arbetstagarnas och företagens produktivitet, tillväxt och konkurrenskraft.</w:t>
            </w:r>
            <w:r>
              <w:t xml:space="preserve"> </w:t>
            </w:r>
            <w:r>
              <w:rPr>
                <w:b/>
                <w:i/>
              </w:rPr>
              <w:t>Parlamentet uppmanar medlemsstaterna att med stöd av kommissionen strategiskt utnyttja befintliga unionsinstrument för att genomföra kompetensunionen, särskilt kompetensgarantin.</w:t>
            </w:r>
            <w:r>
              <w:t xml:space="preserve"> </w:t>
            </w:r>
            <w:r>
              <w:rPr>
                <w:b/>
                <w:i/>
              </w:rPr>
              <w:t>Parlamentet uppmanar medlemsstaterna att i större utsträckning använda intäkter från det nationella systemet för handel med utsläppsrätter till utbildning av arbetstagare och omfördelning av arbetskraft.</w:t>
            </w:r>
            <w:r>
              <w:t xml:space="preserve"> </w:t>
            </w:r>
            <w:r>
              <w:rPr>
                <w:b/>
                <w:i/>
              </w:rPr>
              <w:t>Parlamentet uppmanar kommissionen att undersöka möjligheten att utfärda vägledning om hur offentlig-privata partnerskap mellan medlemsstater och företag kan finansiera utbildning, omskolning och kompetenshöjning av arbetstagare, särskilt rätten till utbildning för enskilda arbetstagare.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uppmanar medlemsstaterna att säkra tillräcklig finansiering för kompetens- och yrkesutbildningsprogram av hög kvalitet som en långsiktig investering i arbetstagarnas och företagens produktivitet, tillväxt och konkurrenskraft. Parlamentet uppmanar medlemsstaterna att med stöd av kommissionen strategiskt utnyttja befintliga unionsinstrument för att genomföra kompetensunionen, särskilt kompetensgarantin. Parlamentet uppmanar </w:t>
            </w:r>
            <w:r>
              <w:rPr>
                <w:b/>
                <w:i/>
              </w:rPr>
              <w:t>medlemsstaterna att i större utsträckning använda intäkter från det nationella systemet för handel med utsläppsrätter till utbildning av arbetstagare och omfördelning av arbetskraft.</w:t>
            </w:r>
            <w:r>
              <w:t xml:space="preserve"> </w:t>
            </w:r>
            <w:r>
              <w:rPr>
                <w:b/>
                <w:i/>
              </w:rPr>
              <w:t>Parlamentet uppmanar</w:t>
            </w:r>
            <w:r>
              <w:t xml:space="preserve"> kommissionen att undersöka möjligheten att utfärda vägledning om hur offentlig-privata partnerskap mellan medlemsstater och företag kan finansiera utbildning, omskolning och kompetenshöjning av arbetstagare</w:t>
            </w:r>
            <w:r>
              <w:rPr>
                <w:b/>
                <w:i/>
              </w:rPr>
              <w:t>, särskilt rätten till utbildning för enskilda arbetstagare</w:t>
            </w:r>
            <w:r>
              <w:t>.</w:t>
            </w:r>
          </w:p>
        </w:tc>
        <w:tc>
          <w:tcPr>
            <w:tcW w:w="4876" w:type="dxa"/>
            <w:tcBorders>
              <w:top w:val="nil"/>
              <w:left w:val="nil"/>
              <w:bottom w:val="nil"/>
              <w:right w:val="nil"/>
            </w:tcBorders>
          </w:tcPr>
          <w:p>
            <w:pPr>
              <w:pStyle w:val="Normal6a"/>
            </w:pPr>
            <w:r>
              <w:t>10.</w:t>
            </w:r>
            <w:r>
              <w:tab/>
            </w:r>
            <w:r>
              <w:t>Europaparlamentet uppmanar medlemsstaterna att säkra tillräcklig finansiering för kompetens- och yrkesutbildningsprogram av hög kvalitet som en långsiktig investering i arbetstagarnas och företagens produktivitet, tillväxt och konkurrenskraft. Parlamentet uppmanar medlemsstaterna att med stöd av kommissionen strategiskt utnyttja befintliga unionsinstrument för att genomföra kompetensunionen, särskilt kompetensgarantin. Parlamentet uppmanar kommissionen att undersöka möjligheten att utfärda vägledning om hur offentlig-privata partnerskap mellan medlemsstater och företag kan finansiera utbildning, omskolning och kompetenshöjning av arbetstagare.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uppmanar medlemsstaterna att </w:t>
            </w:r>
            <w:r>
              <w:rPr>
                <w:b/>
                <w:i/>
              </w:rPr>
              <w:t>säkra tillräcklig finansiering för</w:t>
            </w:r>
            <w:r>
              <w:t xml:space="preserve"> kompetens- och yrkesutbildningsprogram av hög kvalitet som en långsiktig investering i arbetstagarnas och företagens produktivitet, tillväxt och konkurrenskraft. Parlamentet uppmanar medlemsstaterna att med stöd av kommissionen strategiskt utnyttja befintliga unionsinstrument för att genomföra kompetensunionen, särskilt kompetensgarantin. Parlamentet uppmanar medlemsstaterna att i större utsträckning använda intäkter från det nationella systemet för handel med utsläppsrätter till utbildning av arbetstagare och omfördelning av arbetskraft. Parlamentet uppmanar kommissionen att undersöka möjligheten att utfärda vägledning om hur offentlig-privata partnerskap mellan medlemsstater och företag kan finansiera utbildning, omskolning och kompetenshöjning av arbetstagare, särskilt rätten till utbildning för enskilda arbetstagare.</w:t>
            </w:r>
          </w:p>
        </w:tc>
        <w:tc>
          <w:tcPr>
            <w:tcW w:w="4876" w:type="dxa"/>
            <w:tcBorders>
              <w:top w:val="nil"/>
              <w:left w:val="nil"/>
              <w:bottom w:val="nil"/>
              <w:right w:val="nil"/>
            </w:tcBorders>
          </w:tcPr>
          <w:p>
            <w:pPr>
              <w:pStyle w:val="Normal6a"/>
            </w:pPr>
            <w:r>
              <w:t>10.</w:t>
            </w:r>
            <w:r>
              <w:tab/>
            </w:r>
            <w:r>
              <w:t xml:space="preserve">Europaparlamentet uppmanar medlemsstaterna att </w:t>
            </w:r>
            <w:r>
              <w:rPr>
                <w:b/>
                <w:i/>
              </w:rPr>
              <w:t>erbjuda</w:t>
            </w:r>
            <w:r>
              <w:t xml:space="preserve"> kompetens- och yrkesutbildningsprogram av hög kvalitet som en långsiktig investering i arbetstagarnas och företagens produktivitet, tillväxt och konkurrenskraft. Parlamentet uppmanar medlemsstaterna att med stöd av kommissionen strategiskt utnyttja befintliga unionsinstrument för att genomföra kompetensunionen, särskilt kompetensgarantin. Parlamentet uppmanar medlemsstaterna att i större utsträckning använda intäkter från det nationella systemet för handel med utsläppsrätter till utbildning av arbetstagare och omfördelning av arbetskraft. Parlamentet uppmanar kommissionen att undersöka möjligheten att utfärda vägledning om hur offentlig-privata partnerskap mellan medlemsstater och företag kan finansiera utbildning, omskolning och kompetenshöjning av arbetstagare, särskilt rätten till utbildning för enskilda arbetstagare.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uppmanar medlemsstaterna att säkra tillräcklig finansiering för kompetens- och yrkesutbildningsprogram av hög kvalitet som en långsiktig investering </w:t>
            </w:r>
            <w:r>
              <w:rPr>
                <w:b/>
                <w:i/>
              </w:rPr>
              <w:t>i arbetstagarnas och företagens produktivitet, tillväxt och konkurrenskraft</w:t>
            </w:r>
            <w:r>
              <w:t>. Parlamentet uppmanar medlemsstaterna att med stöd av kommissionen strategiskt utnyttja befintliga unionsinstrument för att genomföra kompetensunionen, särskilt kompetensgarantin. Parlamentet uppmanar medlemsstaterna att i större utsträckning använda intäkter från det nationella systemet för handel med utsläppsrätter till utbildning av arbetstagare och omfördelning av arbetskraft. Parlamentet uppmanar kommissionen att undersöka möjligheten att utfärda vägledning om hur offentlig-privata partnerskap mellan medlemsstater och företag kan finansiera utbildning, omskolning och kompetenshöjning av arbetstagare, särskilt rätten till utbildning för enskilda arbetstagare.</w:t>
            </w:r>
          </w:p>
        </w:tc>
        <w:tc>
          <w:tcPr>
            <w:tcW w:w="4876" w:type="dxa"/>
            <w:tcBorders>
              <w:top w:val="nil"/>
              <w:left w:val="nil"/>
              <w:bottom w:val="nil"/>
              <w:right w:val="nil"/>
            </w:tcBorders>
          </w:tcPr>
          <w:p>
            <w:pPr>
              <w:pStyle w:val="Normal6a"/>
            </w:pPr>
            <w:r>
              <w:t>10.</w:t>
            </w:r>
            <w:r>
              <w:tab/>
            </w:r>
            <w:r>
              <w:t xml:space="preserve">Europaparlamentet uppmanar medlemsstaterna att säkra tillräcklig finansiering för kompetens- och yrkesutbildningsprogram av hög kvalitet som en långsiktig investering. Parlamentet uppmanar medlemsstaterna att med stöd av kommissionen strategiskt utnyttja befintliga unionsinstrument för att genomföra kompetensunionen, särskilt kompetensgarantin. Parlamentet uppmanar medlemsstaterna att i större utsträckning använda intäkter från det nationella systemet för handel med utsläppsrätter till utbildning av arbetstagare och omfördelning av arbetskraft. Parlamentet uppmanar kommissionen att undersöka möjligheten att utfärda vägledning om hur offentlig-privata partnerskap mellan medlemsstater och företag kan finansiera utbildning, omskolning och kompetenshöjning av arbetstagare, särskilt rätten till utbildning för enskilda arbetstagare. </w:t>
            </w:r>
            <w:r>
              <w:rPr>
                <w:b/>
                <w:i/>
              </w:rPr>
              <w:t>Parlamentet uppmanar medlemsstaterna att med stöd från kommissionen öronmärka särskild finansiering för att bygga upp den institutionella kapaciteten hos offentliga myndigheter och arbetsmarknadens parter för att genomföra inkluderande engagemang från arbetstagare och deras företrädare (samt andra relevanta målgrupper såsom ungdomsorganisationer och lokalsamhällen), delta i en strukturerad social dialog och kollektivförhandlingar samt gemensamt utforma, leverera och följa upp territoriella planer för en rättvis omställning av hög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uppmanar medlemsstaterna att säkra tillräcklig finansiering för kompetens- och yrkesutbildningsprogram av hög kvalitet som en långsiktig investering i arbetstagarnas och företagens produktivitet, tillväxt och konkurrenskraft. Parlamentet uppmanar medlemsstaterna att med stöd av kommissionen strategiskt utnyttja befintliga unionsinstrument för att genomföra kompetensunionen, särskilt kompetensgarantin. Parlamentet uppmanar medlemsstaterna att i större utsträckning använda intäkter från det nationella systemet för handel med utsläppsrätter till utbildning av arbetstagare och omfördelning av arbetskraft. Parlamentet uppmanar kommissionen att undersöka möjligheten att utfärda vägledning om hur offentlig-privata partnerskap mellan medlemsstater och företag kan finansiera utbildning, omskolning och kompetenshöjning av arbetstagare, särskilt rätten till utbildning för enskilda arbetstagare.</w:t>
            </w:r>
          </w:p>
        </w:tc>
        <w:tc>
          <w:tcPr>
            <w:tcW w:w="4876" w:type="dxa"/>
            <w:tcBorders>
              <w:top w:val="nil"/>
              <w:left w:val="nil"/>
              <w:bottom w:val="nil"/>
              <w:right w:val="nil"/>
            </w:tcBorders>
          </w:tcPr>
          <w:p>
            <w:pPr>
              <w:pStyle w:val="Normal6a"/>
            </w:pPr>
            <w:r>
              <w:t>10.</w:t>
            </w:r>
            <w:r>
              <w:tab/>
            </w:r>
            <w:r>
              <w:t xml:space="preserve">Europaparlamentet uppmanar medlemsstaterna att säkra tillräcklig finansiering för kompetens- och yrkesutbildningsprogram av hög kvalitet som en långsiktig investering i arbetstagarnas och företagens produktivitet, tillväxt och konkurrenskraft. Parlamentet uppmanar medlemsstaterna att med stöd av kommissionen strategiskt utnyttja befintliga unionsinstrument för att genomföra kompetensunionen, särskilt kompetensgarantin. Parlamentet uppmanar medlemsstaterna att i större utsträckning använda intäkter från det nationella systemet för handel med utsläppsrätter till utbildning av arbetstagare och omfördelning av arbetskraft. Parlamentet uppmanar kommissionen att undersöka möjligheten att utfärda vägledning om hur offentlig-privata partnerskap mellan medlemsstater och företag kan finansiera utbildning, omskolning och kompetenshöjning av arbetstagare, särskilt rätten till utbildning för enskilda arbetstagare. </w:t>
            </w:r>
            <w:r>
              <w:rPr>
                <w:b/>
                <w:i/>
              </w:rPr>
              <w:t>Parlamentet uppmanar kommissionen att tillsammans med arbetsmarknadens parter fastställa en harmoniserad uppsättning sociala minimivillkor i alla medlemsstater som verkligen kommer att gynna arbetstagarna när offentliga medel beviljas företag och branscher, bland annat för att säkerställa bestämmelser om kollektivförhandlingar, adekvata löner, anständiga arbetsvillkor och hälso- och säkerhetsbestämmelser samt undersöka arbetstidsminskning och produktivitetsförändringar för att minska ojämlikheten i arbetslivet.</w:t>
            </w:r>
            <w:r>
              <w:t xml:space="preserve"> </w:t>
            </w:r>
            <w:r>
              <w:rPr>
                <w:b/>
                <w:i/>
              </w:rPr>
              <w:t>Det skulle också kunna handla om att utforma jobbgarantier, skapa arbetstillfällen av hög kvalitet, investera i kompetens, garantera att ingen verksamhet flyttas till tredjeländer med lägre standarder och säkerställa att offentliga medel används för investeringar i inhemska arbetstillfällen.</w:t>
            </w:r>
            <w:r>
              <w:t xml:space="preserve"> </w:t>
            </w:r>
            <w:r>
              <w:rPr>
                <w:b/>
                <w:i/>
              </w:rPr>
              <w:t>Parlamentet uppmanar de medlemsstater som har en kollektivförhandlingstäckning under 80 % att upprätta nationella planer med tydliga tidsfrister och särskilda åtgärder för att öka denna täckning.</w:t>
            </w:r>
            <w:r>
              <w:t xml:space="preserve"> </w:t>
            </w:r>
            <w:r>
              <w:rPr>
                <w:b/>
                <w:i/>
              </w:rPr>
              <w:t>Parlamentet uppmanar kommissionen att ge vägledning och stöd till medlemsstaterna för att stärka förhandlingssystemen, särskilt på sektorsnivå, bland annat med fullt deltagande av arbetsmarknadens parter.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uppmanar medlemsstaterna att säkra tillräcklig finansiering för kompetens- och yrkesutbildningsprogram av hög kvalitet som en långsiktig investering i arbetstagarnas och företagens produktivitet, tillväxt och konkurrenskraft. Parlamentet uppmanar medlemsstaterna att med stöd av kommissionen strategiskt utnyttja befintliga unionsinstrument för att genomföra kompetensunionen, särskilt kompetensgarantin. Parlamentet uppmanar medlemsstaterna att i större utsträckning använda intäkter från det nationella systemet för handel med utsläppsrätter till utbildning av arbetstagare och omfördelning av arbetskraft. Parlamentet uppmanar kommissionen att undersöka möjligheten att utfärda vägledning om hur offentlig-privata partnerskap mellan medlemsstater och företag kan finansiera utbildning, omskolning och kompetenshöjning av arbetstagare, särskilt rätten till utbildning för enskilda arbetstagare.</w:t>
            </w:r>
          </w:p>
        </w:tc>
        <w:tc>
          <w:tcPr>
            <w:tcW w:w="4876" w:type="dxa"/>
            <w:tcBorders>
              <w:top w:val="nil"/>
              <w:left w:val="nil"/>
              <w:bottom w:val="nil"/>
              <w:right w:val="nil"/>
            </w:tcBorders>
          </w:tcPr>
          <w:p>
            <w:pPr>
              <w:pStyle w:val="Normal6a"/>
            </w:pPr>
            <w:r>
              <w:t>10.</w:t>
            </w:r>
            <w:r>
              <w:tab/>
            </w:r>
            <w:r>
              <w:t>Europaparlamentet uppmanar medlemsstaterna att säkra tillräcklig finansiering för kompetens- och yrkesutbildningsprogram av hög kvalitet som en långsiktig investering i arbetstagarnas och företagens produktivitet, tillväxt och konkurrenskraft. Parlamentet uppmanar medlemsstaterna att med stöd av kommissionen strategiskt utnyttja befintliga unionsinstrument för att genomföra kompetensunionen, särskilt kompetensgarantin. Parlamentet uppmanar medlemsstaterna att i större utsträckning använda intäkter från det nationella systemet för handel med utsläppsrätter till utbildning av arbetstagare och omfördelning av arbetskraft</w:t>
            </w:r>
            <w:r>
              <w:rPr>
                <w:b/>
                <w:i/>
              </w:rPr>
              <w:t>, varvid alla eventuella uppsägningar förkastas</w:t>
            </w:r>
            <w:r>
              <w:t>. Parlamentet uppmanar kommissionen att undersöka möjligheten att utfärda vägledning om hur offentlig-privata partnerskap mellan medlemsstater och företag kan finansiera utbildning, omskolning och kompetenshöjning av arbetstagare, särskilt rätten till utbildning för enskilda arbetstagare.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påminner om den roll som Europeiska fonden för justering för globaliseringseffekter för uppsagda arbetstagare (EGF) kan spela för att stödja arbetstagare som påverkas av den gröna och den digitala omställningen under den återstående programperioden.</w:t>
            </w:r>
            <w:r>
              <w:t xml:space="preserve"> </w:t>
            </w:r>
            <w:r>
              <w:rPr>
                <w:b/>
                <w:i/>
              </w:rPr>
              <w:t>Parlamentet välkomnar syftet med den föreslagna översynen av nuvarande EGF för att påskynda godkännandeförfarandet för ansökningar och att ytterligare och proaktivt stödja arbetstagare som förväntas bli uppsagda inom kort.</w:t>
            </w:r>
            <w:r>
              <w:t xml:space="preserve"> </w:t>
            </w:r>
            <w:r>
              <w:rPr>
                <w:b/>
                <w:i/>
              </w:rPr>
              <w:t>Parlamentet betonar dock vikten av att se till att företag som genomgår omstrukturering och som vill ansöka om stöd från fonden gör detta i fullständigt samråd med arbetstagarna och deras företrädare, bland annat vid utformningen av det individanpassade åtgärdspaketet.</w:t>
            </w:r>
            <w:r>
              <w:t xml:space="preserve"> </w:t>
            </w:r>
            <w:r>
              <w:rPr>
                <w:b/>
                <w:i/>
              </w:rPr>
              <w:t>Parlamentet beklagar att EGF inte längre finns med i förslaget till flerårig budgetram för 2028–2034.</w:t>
            </w:r>
            <w:r>
              <w:t xml:space="preserve"> </w:t>
            </w:r>
            <w:r>
              <w:rPr>
                <w:b/>
                <w:i/>
              </w:rPr>
              <w:t>Parlamentet betonar vikten av aktiva arbetsmarknadsåtgärder för att återintegrera uppsagda arbetstagare på arbetsmarknaden efter omfattande omstruktureringar.</w:t>
            </w:r>
            <w:r>
              <w:t xml:space="preserve"> </w:t>
            </w:r>
            <w:r>
              <w:rPr>
                <w:b/>
                <w:i/>
              </w:rPr>
              <w:t>Parlamentet uppmanar kommissionen att i nästa fleråriga budgetram säkerställa fortsatt särskilt stöd till arbetstagare som riskerar att bli uppsagda eller faktiskt blir det till följd av större omstruktureringar.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betonar behovet av att bygga upp regionala myndigheters kapacitet att framgångsrikt samarbeta med målgrupper (såsom arbetstagare, ungdomsorganisationer, äldre, miljömedvetna medborgare, jordbrukarorganisationer och ursprungsbefolkningar) för att utveckla och förvalta sociala stödsystem,</w:t>
            </w:r>
            <w:r>
              <w:t xml:space="preserve"> </w:t>
            </w:r>
            <w:r>
              <w:rPr>
                <w:b/>
                <w:i/>
              </w:rPr>
              <w:t>och att mäta politikens fördelningseffekter.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uppmanar medlemsstaterna att öronmärka en del av intäkterna från utsläppshandelssystemet för omskolning av arbetstagare i koldioxidintensiva regioner och stöd till små och medelstora företag i omställning.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Parlamentet påminner om vikten av att säkerställa en hög nivå när det gäller arbetstagarnas hälsa och säkerhet på arbetsplatsen.</w:t>
            </w:r>
            <w:r>
              <w:t xml:space="preserve"> </w:t>
            </w:r>
            <w:r>
              <w:rPr>
                <w:b/>
                <w:i/>
              </w:rPr>
              <w:t>Europaparlamentet betonar vikten av att proaktivt ta itu med föränderliga arbetsmiljörisker för olika arbetsuppgifter, arbetsmönster och arbetsplatser, särskilt miljömässiga och psykosociala risker, i samband med den dubbla omställningen.</w:t>
            </w:r>
            <w:r>
              <w:t xml:space="preserve"> </w:t>
            </w:r>
            <w:r>
              <w:rPr>
                <w:b/>
                <w:i/>
              </w:rPr>
              <w:t>Europaparlamentet uppmanar kommissionen att genomföra en omfattande översyn av den nuvarande strategiska ramen för hälsa och säkerhet på arbetsplatsen och den befintliga rättsliga ramen för hälsa och säkerhet på arbetsplatsen i syfte att identifiera återstående luckor och föreslå nya eller uppdaterade förslag för att säkerställa att EU:s regelverk förblir ändamålsenligt och för att bidra till utformningen av den strategiska ramen för perioden efter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betonar att starka sociala skyddsnät och sociala trygghetssystem är avgörande för att stödja arbetstagare </w:t>
            </w:r>
            <w:r>
              <w:rPr>
                <w:b/>
                <w:i/>
              </w:rPr>
              <w:t>i övergångsperioder</w:t>
            </w:r>
            <w:r>
              <w:t xml:space="preserve">. Parlamentet </w:t>
            </w:r>
            <w:r>
              <w:rPr>
                <w:b/>
                <w:i/>
              </w:rPr>
              <w:t>uppmanar</w:t>
            </w:r>
            <w:r>
              <w:t xml:space="preserve"> medlemsstaterna att modernisera och stärka sina sociala trygghetssystem och tjänster för att säkerställa motståndskraft mot chocker till följd av </w:t>
            </w:r>
            <w:r>
              <w:rPr>
                <w:b/>
                <w:i/>
              </w:rPr>
              <w:t>den dubbla omställningen</w:t>
            </w:r>
            <w:r>
              <w:t xml:space="preserve"> som påverkar arbetsmarknaden.</w:t>
            </w:r>
          </w:p>
        </w:tc>
        <w:tc>
          <w:tcPr>
            <w:tcW w:w="4876" w:type="dxa"/>
            <w:tcBorders>
              <w:top w:val="nil"/>
              <w:left w:val="nil"/>
              <w:bottom w:val="nil"/>
              <w:right w:val="nil"/>
            </w:tcBorders>
          </w:tcPr>
          <w:p>
            <w:pPr>
              <w:pStyle w:val="Normal6a"/>
            </w:pPr>
            <w:r>
              <w:t>11.</w:t>
            </w:r>
            <w:r>
              <w:tab/>
            </w:r>
            <w:r>
              <w:t xml:space="preserve">Europaparlamentet betonar att starka sociala skyddsnät och sociala trygghetssystem är avgörande för att stödja arbetstagare </w:t>
            </w:r>
            <w:r>
              <w:rPr>
                <w:b/>
                <w:i/>
              </w:rPr>
              <w:t>som blivit arbetslösa på grund av omställningspolitiken</w:t>
            </w:r>
            <w:r>
              <w:t xml:space="preserve">. Parlamentet </w:t>
            </w:r>
            <w:r>
              <w:rPr>
                <w:b/>
                <w:i/>
              </w:rPr>
              <w:t>rekommenderar</w:t>
            </w:r>
            <w:r>
              <w:t xml:space="preserve"> medlemsstaterna att modernisera och stärka sina sociala trygghetssystem och tjänster för att säkerställa motståndskraft mot chocker till följd av </w:t>
            </w:r>
            <w:r>
              <w:rPr>
                <w:b/>
                <w:i/>
              </w:rPr>
              <w:t>de EU-bestämmelser</w:t>
            </w:r>
            <w:r>
              <w:t xml:space="preserve"> som påverkar arbetsmarknaden.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betonar att starka sociala skyddsnät och sociala trygghetssystem är avgörande för att stödja arbetstagare i övergångsperioder. Parlamentet uppmanar medlemsstaterna att modernisera och stärka sina sociala trygghetssystem och tjänster för att säkerställa motståndskraft mot chocker till följd av den dubbla omställningen som påverkar arbetsmarknaden.</w:t>
            </w:r>
          </w:p>
        </w:tc>
        <w:tc>
          <w:tcPr>
            <w:tcW w:w="4876" w:type="dxa"/>
            <w:tcBorders>
              <w:top w:val="nil"/>
              <w:left w:val="nil"/>
              <w:bottom w:val="nil"/>
              <w:right w:val="nil"/>
            </w:tcBorders>
          </w:tcPr>
          <w:p>
            <w:pPr>
              <w:pStyle w:val="Normal6a"/>
            </w:pPr>
            <w:r>
              <w:t>11.</w:t>
            </w:r>
            <w:r>
              <w:tab/>
            </w:r>
            <w:r>
              <w:t xml:space="preserve">Europaparlamentet betonar att starka sociala skyddsnät och sociala trygghetssystem är avgörande för att stödja arbetstagare i övergångsperioder. Parlamentet uppmanar medlemsstaterna att modernisera och stärka sina sociala trygghetssystem och tjänster för att säkerställa motståndskraft mot chocker till följd av den dubbla omställningen som påverkar arbetsmarknaden. </w:t>
            </w:r>
            <w:r>
              <w:rPr>
                <w:b/>
                <w:i/>
              </w:rPr>
              <w:t>Europaparlamentet uppmanar med kraft medlemsstaterna att fullt ut genomföra rådets rekommendation om socialt skydd för arbetstagare och egenföretagare.</w:t>
            </w:r>
            <w:r>
              <w:t xml:space="preserve"> </w:t>
            </w:r>
            <w:r>
              <w:rPr>
                <w:b/>
                <w:i/>
              </w:rPr>
              <w:t>Parlamentet uppmanar kommissionen att övervaka risker och framsteg i riktning mot sådana åtgärder genom den sociala resultattavlan och ramen för social konvergens.</w:t>
            </w:r>
            <w:r>
              <w:t xml:space="preserve"> </w:t>
            </w:r>
            <w:r>
              <w:rPr>
                <w:b/>
                <w:i/>
              </w:rPr>
              <w:t>Parlamentet betonar vikten av att säkerställa att nationella offentliga arbetsförmedlingar är relevanta på en föränderlig arbetsmarknad så att de kan säkerställa stöd till och underlätta för människor som byter jobb på grund av omställningar.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betonar att starka sociala skyddsnät och sociala trygghetssystem är avgörande för att stödja arbetstagare i övergångsperioder. Parlamentet uppmanar medlemsstaterna att </w:t>
            </w:r>
            <w:r>
              <w:rPr>
                <w:b/>
                <w:i/>
              </w:rPr>
              <w:t>modernisera och</w:t>
            </w:r>
            <w:r>
              <w:t xml:space="preserve"> stärka sina sociala trygghetssystem och tjänster </w:t>
            </w:r>
            <w:r>
              <w:rPr>
                <w:b/>
                <w:i/>
              </w:rPr>
              <w:t>för</w:t>
            </w:r>
            <w:r>
              <w:t xml:space="preserve"> att säkerställa motståndskraft mot chocker till följd av den dubbla omställningen som påverkar arbetsmarknaden.</w:t>
            </w:r>
          </w:p>
        </w:tc>
        <w:tc>
          <w:tcPr>
            <w:tcW w:w="4876" w:type="dxa"/>
            <w:tcBorders>
              <w:top w:val="nil"/>
              <w:left w:val="nil"/>
              <w:bottom w:val="nil"/>
              <w:right w:val="nil"/>
            </w:tcBorders>
          </w:tcPr>
          <w:p>
            <w:pPr>
              <w:pStyle w:val="Normal6a"/>
            </w:pPr>
            <w:r>
              <w:t>11.</w:t>
            </w:r>
            <w:r>
              <w:tab/>
            </w:r>
            <w:r>
              <w:t xml:space="preserve">Europaparlamentet betonar att starka sociala skyddsnät och sociala trygghetssystem är avgörande för att stödja arbetstagare </w:t>
            </w:r>
            <w:r>
              <w:rPr>
                <w:b/>
                <w:i/>
              </w:rPr>
              <w:t>och stärka den sociala sammanhållning</w:t>
            </w:r>
            <w:r>
              <w:t xml:space="preserve"> i övergångsperioder. Parlamentet uppmanar medlemsstaterna att</w:t>
            </w:r>
            <w:r>
              <w:rPr>
                <w:b/>
                <w:i/>
              </w:rPr>
              <w:t>, i samråd med arbetsmarknadens parter och det civila samhällets organisationer,</w:t>
            </w:r>
            <w:r>
              <w:t xml:space="preserve"> stärka sina sociala trygghetssystem och tjänster </w:t>
            </w:r>
            <w:r>
              <w:rPr>
                <w:b/>
                <w:i/>
              </w:rPr>
              <w:t>samt stödja icke-vinstdrivande leverantörer av sociala tjänster, med särskilt fokus på rättvis och progressiv beskattning, politik för social inkludering, inkomststöd och tillgång till grundläggande tjänster och bostäder till överkomliga priser, i syfte</w:t>
            </w:r>
            <w:r>
              <w:t xml:space="preserve"> att säkerställa motståndskraft mot chocker till följd av den dubbla omställningen som påverkar arbetsmarknaden </w:t>
            </w:r>
            <w:r>
              <w:rPr>
                <w:b/>
                <w:i/>
              </w:rPr>
              <w:t>och att anställda som förlorar sina arbeten kan upprätthålla sin levnadsstandard i så stor utsträckning som möjligt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betonar att starka sociala skyddsnät och sociala trygghetssystem är avgörande för att stödja arbetstagare i övergångsperioder. Parlamentet uppmanar medlemsstaterna att modernisera och stärka sina sociala trygghetssystem och tjänster för att säkerställa motståndskraft mot chocker till följd av den dubbla omställningen som påverkar arbetsmarknaden.</w:t>
            </w:r>
          </w:p>
        </w:tc>
        <w:tc>
          <w:tcPr>
            <w:tcW w:w="4876" w:type="dxa"/>
            <w:tcBorders>
              <w:top w:val="nil"/>
              <w:left w:val="nil"/>
              <w:bottom w:val="nil"/>
              <w:right w:val="nil"/>
            </w:tcBorders>
          </w:tcPr>
          <w:p>
            <w:pPr>
              <w:pStyle w:val="Normal6a"/>
            </w:pPr>
            <w:r>
              <w:t>11.</w:t>
            </w:r>
            <w:r>
              <w:tab/>
            </w:r>
            <w:r>
              <w:t>Europaparlamentet betonar att starka sociala skyddsnät och sociala trygghetssystem är avgörande för att stödja arbetstagare i övergångsperioder</w:t>
            </w:r>
            <w:r>
              <w:rPr>
                <w:b/>
                <w:i/>
              </w:rPr>
              <w:t>.</w:t>
            </w:r>
            <w:r>
              <w:t xml:space="preserve"> </w:t>
            </w:r>
            <w:r>
              <w:rPr>
                <w:b/>
                <w:i/>
              </w:rPr>
              <w:t>Parlamentet understryker att synliga fördelar för hushållen, såsom lägre elräkningar och förbättrade levnadsvillkor, är avgörande för att säkerställa allmänhetens acceptans.</w:t>
            </w:r>
            <w:r>
              <w:t xml:space="preserve"> </w:t>
            </w:r>
            <w:r>
              <w:rPr>
                <w:b/>
                <w:i/>
              </w:rPr>
              <w:t>Direktivet bör koppla renoveringsåtgärder till transparent kommunikation om dessa fördelar</w:t>
            </w:r>
            <w:r>
              <w:t>. Parlamentet uppmanar medlemsstaterna att modernisera och stärka sina sociala trygghetssystem och tjänster för att säkerställa motståndskraft mot chocker till följd av den dubbla omställningen som påverkar arbetsmarknaden.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betonar att starka sociala skyddsnät och sociala trygghetssystem är avgörande för att stödja arbetstagare i övergångsperioder. Parlamentet uppmanar medlemsstaterna att modernisera och stärka sina sociala trygghetssystem och tjänster för att säkerställa motståndskraft mot chocker till följd av den dubbla omställningen som påverkar arbetsmarknaden.</w:t>
            </w:r>
          </w:p>
        </w:tc>
        <w:tc>
          <w:tcPr>
            <w:tcW w:w="4876" w:type="dxa"/>
            <w:tcBorders>
              <w:top w:val="nil"/>
              <w:left w:val="nil"/>
              <w:bottom w:val="nil"/>
              <w:right w:val="nil"/>
            </w:tcBorders>
          </w:tcPr>
          <w:p>
            <w:pPr>
              <w:pStyle w:val="Normal6a"/>
            </w:pPr>
            <w:r>
              <w:t>11.</w:t>
            </w:r>
            <w:r>
              <w:tab/>
            </w:r>
            <w:r>
              <w:t xml:space="preserve">Europaparlamentet betonar att starka sociala skyddsnät och sociala trygghetssystem är avgörande för att stödja arbetstagare i övergångsperioder. Parlamentet uppmanar medlemsstaterna att modernisera och stärka sina sociala trygghetssystem och tjänster för att säkerställa motståndskraft mot chocker till följd av den dubbla omställningen som påverkar arbetsmarknaden. </w:t>
            </w:r>
            <w:r>
              <w:rPr>
                <w:b/>
                <w:i/>
              </w:rPr>
              <w:t>Parlamentet betonar att för att säkerställa en rättvis och jämlik omställning bör sociala trygghetssystem och skyddsnät garantera arbetskvalitet, inkomst och stabilitet för enskilda personer.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betonar att starka sociala skyddsnät och sociala trygghetssystem är avgörande för att stödja arbetstagare i övergångsperioder. Parlamentet uppmanar medlemsstaterna att modernisera och stärka sina sociala trygghetssystem och tjänster för att säkerställa motståndskraft mot chocker till följd av den dubbla omställningen som påverkar arbetsmarknaden.</w:t>
            </w:r>
          </w:p>
        </w:tc>
        <w:tc>
          <w:tcPr>
            <w:tcW w:w="4876" w:type="dxa"/>
            <w:tcBorders>
              <w:top w:val="nil"/>
              <w:left w:val="nil"/>
              <w:bottom w:val="nil"/>
              <w:right w:val="nil"/>
            </w:tcBorders>
          </w:tcPr>
          <w:p>
            <w:pPr>
              <w:pStyle w:val="Normal6a"/>
            </w:pPr>
            <w:r>
              <w:t>11.</w:t>
            </w:r>
            <w:r>
              <w:tab/>
            </w:r>
            <w:r>
              <w:t xml:space="preserve">Europaparlamentet betonar att starka sociala skyddsnät och sociala trygghetssystem är avgörande för att stödja arbetstagare i övergångsperioder. Parlamentet uppmanar medlemsstaterna att modernisera och stärka sina sociala trygghetssystem och tjänster för att säkerställa motståndskraft mot chocker till följd av den dubbla omställningen som påverkar arbetsmarknaden. </w:t>
            </w:r>
            <w:r>
              <w:rPr>
                <w:b/>
                <w:i/>
              </w:rPr>
              <w:t>Parlamentet begär att allmän tillgång till arbetslöshetsersättning och offentliga tjänster ska säkerställas för att undvika fattigdom och social utestängning under omställningen.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betonar att starka sociala skyddsnät och sociala trygghetssystem är avgörande för att stödja arbetstagare i övergångsperioder. Parlamentet uppmanar medlemsstaterna att modernisera och stärka sina sociala trygghetssystem och tjänster för att säkerställa motståndskraft mot chocker till följd av den dubbla omställningen som påverkar arbetsmarknaden.</w:t>
            </w:r>
          </w:p>
        </w:tc>
        <w:tc>
          <w:tcPr>
            <w:tcW w:w="4876" w:type="dxa"/>
            <w:tcBorders>
              <w:top w:val="nil"/>
              <w:left w:val="nil"/>
              <w:bottom w:val="nil"/>
              <w:right w:val="nil"/>
            </w:tcBorders>
          </w:tcPr>
          <w:p>
            <w:pPr>
              <w:pStyle w:val="Normal6a"/>
            </w:pPr>
            <w:r>
              <w:t>11.</w:t>
            </w:r>
            <w:r>
              <w:tab/>
            </w:r>
            <w:r>
              <w:t>Europaparlamentet betonar att starka sociala skyddsnät och sociala trygghetssystem är avgörande för att stödja arbetstagare i övergångsperioder. Parlamentet uppmanar medlemsstaterna att modernisera och stärka sina sociala trygghetssystem och tjänster</w:t>
            </w:r>
            <w:r>
              <w:rPr>
                <w:b/>
                <w:i/>
              </w:rPr>
              <w:t>, samtidigt som deras långsiktiga hållbarhet säkerställs,</w:t>
            </w:r>
            <w:r>
              <w:t xml:space="preserve"> för att säkerställa motståndskraft mot chocker till följd av den dubbla omställningen som påverkar arbetsmarknaden.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Parlamentet betonar vikten av målriktad politik för att stödja de människor som påverkas mest av den dubbla omställningen, särskilt de som befinner sig i utsatta situationer.</w:t>
            </w:r>
            <w:r>
              <w:t xml:space="preserve"> </w:t>
            </w:r>
            <w:r>
              <w:rPr>
                <w:b/>
                <w:i/>
              </w:rPr>
              <w:t>Parlamentet understryker att aktivt stöd och tidiga insatser behövs för att förhindra att människor i utsatta situationer blir fast i långtidsarbetslöshet eller blir modfällda.</w:t>
            </w:r>
            <w:r>
              <w:t xml:space="preserve"> </w:t>
            </w:r>
            <w:r>
              <w:rPr>
                <w:b/>
                <w:i/>
              </w:rPr>
              <w:t>Europaparlamentet uppmanar medlemsstaterna att avsevärt öka det aktiva stödet till kvalitetssysselsättning, särskilt genom att stödja tillgången till kvalitetssysselsättning, främja entreprenörskap och stimulera skapandet av kvalitetsjobb.</w:t>
            </w:r>
            <w:r>
              <w:t xml:space="preserve"> </w:t>
            </w:r>
            <w:r>
              <w:rPr>
                <w:b/>
                <w:i/>
              </w:rPr>
              <w:t>Europaparlamentet framhåller den roll som lönesubventioner, riktad upphandling och lokala offentliga arbeten spelar för att skapa arbetstillfällen under en övergångsperiod.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kräver att medlemsstaterna, i händelse av bristande efterlevnad av de bestämmelser i nationell lagstiftning som antagits i enlighet med detta direktiv, ska säkerställa att den arbetsgivaravgift som ska betalas till fonden för en rättvis omställning fördubblas under en period på sex månader.</w:t>
            </w:r>
            <w:r>
              <w:t xml:space="preserve"> </w:t>
            </w:r>
            <w:r>
              <w:rPr>
                <w:b/>
                <w:i/>
              </w:rPr>
              <w:t>Om ett företag inte rättar sig efter dessa böter inom den tillämpliga tidsfristen ska medlemsstaterna offentliggöra ett offentligt uttalande som anger vilket företag som är ansvarigt för överträdelsen och överträdelsens 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påminner om betydelsen av Europeiska fonden för justering för globaliseringseffekter för uppsagda arbetstagare när det gäller att stödja arbetstagare som förväntas bli uppsagda inom kort från företag som genomgår omstrukturering, och uppmanar medlemsstaterna att med stöd av kommissionen fullt ut utnyttja fonden.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understryker att tillgången till grundläggande sociala tjänster såsom hälso- och sjukvård, transport, energi och utbildning måste tryggas under övergångsperioder.</w:t>
            </w:r>
            <w:r>
              <w:t xml:space="preserve"> </w:t>
            </w:r>
            <w:r>
              <w:rPr>
                <w:b/>
                <w:i/>
              </w:rPr>
              <w:t>Parlamentet efterlyser sociala konsekvensbedömningar för alla större regionala omställningsinvesteringar.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Europaparlamentet uppmanar medlemsstaterna att kräva att företag inrättar ett rättvist, offentligt, tillgängligt, förutsägbart och transparent förfarande som gör det möjligt för arbetstagare som omfattas av detta direktiv, deras företrädare och andra berörda parter att lämna in klagomål till dem med avseende på tillämpningen av rättigheterna till en rättvis omställning och därmed sammanhängande rättigheter för arbetstagare.</w:t>
            </w:r>
            <w:r>
              <w:t xml:space="preserve"> </w:t>
            </w:r>
            <w:r>
              <w:rPr>
                <w:b/>
                <w:i/>
              </w:rPr>
              <w:t>Detta förfarande får i tillämpliga fall integreras i det förfarande som fastställs i artikel 14 i direktiv (EU) 2024/1760.</w:t>
            </w:r>
            <w:r>
              <w:t xml:space="preserve"> </w:t>
            </w:r>
            <w:r>
              <w:rPr>
                <w:b/>
                <w:i/>
              </w:rPr>
              <w:t>Företagen ska också vidta åtgärder för att förhindra alla former av repressalier genom att säkerställa att den person eller organisation som lämnar in klagomålet behandlas konfidentiellt, i enlighet med direktiv (EU) 2019/1937 och relevant nationell lagstiftning.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Europaparlamentet understryker behovet av att stödja system för korttidsarbete och betydelsen av riktat stöd till arbetstagare som påverkas av omställningar, med utgångspunkt i de positiva erfarenheterna av Sure.</w:t>
            </w:r>
            <w:r>
              <w:t xml:space="preserve"> </w:t>
            </w:r>
            <w:r>
              <w:rPr>
                <w:b/>
                <w:i/>
              </w:rPr>
              <w:t>Parlamentet efterlyser en förstärkt Sure-mekanism, eftersom stöd till sådana åtgärder för att skydda sysselsättning i kristider kan stabilisera de offentliga utgifterna för sysselsättningspolitik och åtgärderna för en rättvis omställning för att mildra de omedelbara effekterna på sysselsättningen av den nödvändiga omvandlingen av EU:s ekonomi.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Europaparlamentet betonar att effekterna på sysselsättningen kommer att skilja sig åt mellan regioner och befolkningar.</w:t>
            </w:r>
            <w:r>
              <w:t xml:space="preserve"> </w:t>
            </w:r>
            <w:r>
              <w:rPr>
                <w:b/>
                <w:i/>
              </w:rPr>
              <w:t>Parlamentet betonar i detta avseende behovet av att engagera lokala medborgare och intressenter och ge dem möjlighet att bli aktiva aktörer i omställningen.</w:t>
            </w:r>
            <w:r>
              <w:t xml:space="preserve"> </w:t>
            </w:r>
            <w:r>
              <w:rPr>
                <w:b/>
                <w:i/>
              </w:rPr>
              <w:t>Parlamentet betonar att offentliga myndigheter måste delta i strategiska samråd och samarbeta med arbetsmarknadens parter under omställningen.</w:t>
            </w:r>
            <w:r>
              <w:t xml:space="preserve"> </w:t>
            </w:r>
            <w:r>
              <w:rPr>
                <w:b/>
                <w:i/>
              </w:rPr>
              <w:t>Parlamentet betonar att ett meningsfullt deltagande kan säkerställas genom samråd i ett tidigt skede och tydliga mandat och rösträtt för arbetsmarknadens parter, små och medelstora företag i det civila samhället och ungdomar i regionala samordningsorgan.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betonar att effekterna på sysselsättningen kommer att skilja sig åt mellan regioner och befolkningar. Parlamentet betonar i detta avseende </w:t>
            </w:r>
            <w:r>
              <w:rPr>
                <w:b/>
                <w:i/>
              </w:rPr>
              <w:t>behovet av</w:t>
            </w:r>
            <w:r>
              <w:t xml:space="preserve"> att engagera lokala medborgare och intressenter och ge dem möjlighet att bli aktiva aktörer i omställningen. Parlamentet betonar att offentliga myndigheter måste delta i </w:t>
            </w:r>
            <w:r>
              <w:rPr>
                <w:b/>
                <w:i/>
              </w:rPr>
              <w:t>strategiska samråd och samarbeta</w:t>
            </w:r>
            <w:r>
              <w:t xml:space="preserve"> med arbetsmarknadens parter under omställningen. Parlamentet betonar att ett meningsfullt deltagande kan säkerställas genom </w:t>
            </w:r>
            <w:r>
              <w:rPr>
                <w:b/>
                <w:i/>
              </w:rPr>
              <w:t>samråd i ett tidigt skede och tydliga mandat och rösträtt för</w:t>
            </w:r>
            <w:r>
              <w:t xml:space="preserve"> arbetsmarknadens parter, små och medelstora företag </w:t>
            </w:r>
            <w:r>
              <w:rPr>
                <w:b/>
                <w:i/>
              </w:rPr>
              <w:t>i</w:t>
            </w:r>
            <w:r>
              <w:t xml:space="preserve"> det civila samhället och ungdomar i regionala samordningsorgan.</w:t>
            </w:r>
          </w:p>
        </w:tc>
        <w:tc>
          <w:tcPr>
            <w:tcW w:w="4876" w:type="dxa"/>
            <w:tcBorders>
              <w:top w:val="nil"/>
              <w:left w:val="nil"/>
              <w:bottom w:val="nil"/>
              <w:right w:val="nil"/>
            </w:tcBorders>
          </w:tcPr>
          <w:p>
            <w:pPr>
              <w:pStyle w:val="Normal6a"/>
            </w:pPr>
            <w:r>
              <w:t>12.</w:t>
            </w:r>
            <w:r>
              <w:tab/>
            </w:r>
            <w:r>
              <w:t xml:space="preserve">Europaparlamentet betonar att effekterna på sysselsättningen kommer att skilja sig åt mellan regioner och befolkningar. Parlamentet betonar i detta avseende </w:t>
            </w:r>
            <w:r>
              <w:rPr>
                <w:b/>
                <w:i/>
              </w:rPr>
              <w:t>kravet på</w:t>
            </w:r>
            <w:r>
              <w:t xml:space="preserve"> att engagera lokala medborgare och intressenter och ge dem möjlighet att bli aktiva aktörer i omställningen. Parlamentet betonar att offentliga myndigheter måste delta i </w:t>
            </w:r>
            <w:r>
              <w:rPr>
                <w:b/>
                <w:i/>
              </w:rPr>
              <w:t>strategisk utformning tillsammans</w:t>
            </w:r>
            <w:r>
              <w:t xml:space="preserve"> med arbetsmarknadens parter under omställningen. Parlamentet betonar att ett meningsfullt deltagande kan säkerställas genom </w:t>
            </w:r>
            <w:r>
              <w:rPr>
                <w:b/>
                <w:i/>
              </w:rPr>
              <w:t>att engagera</w:t>
            </w:r>
            <w:r>
              <w:t xml:space="preserve"> arbetsmarknadens parter, små och medelstora företag</w:t>
            </w:r>
            <w:r>
              <w:rPr>
                <w:b/>
                <w:i/>
              </w:rPr>
              <w:t>,</w:t>
            </w:r>
            <w:r>
              <w:t xml:space="preserve"> det civila samhället och ungdomar i regionala samordningsorgan </w:t>
            </w:r>
            <w:r>
              <w:rPr>
                <w:b/>
                <w:i/>
              </w:rPr>
              <w:t>samt genom att tillhandahålla tillgängliga metoder och åtgärder för deltagande, inbegripet men inte begränsat till språklig tillgång, betald tid/barnomsorg, reseersättning samt ändamålsenliga mekanismer för att framföra klagomål och för att överklaga så att berörda samhällen kan bestrida och avhjälpa skador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betonar att effekterna på sysselsättningen kommer att skilja sig åt mellan regioner och befolkningar. Parlamentet betonar i detta avseende behovet av att engagera lokala medborgare och intressenter och ge dem möjlighet att bli aktiva aktörer i omställningen. Parlamentet betonar att offentliga myndigheter måste delta i strategiska samråd och samarbeta med arbetsmarknadens parter under omställningen. </w:t>
            </w:r>
            <w:r>
              <w:rPr>
                <w:b/>
                <w:i/>
              </w:rPr>
              <w:t>Parlamentet betonar att ett meningsfullt deltagande kan säkerställas genom samråd i ett tidigt skede och tydliga mandat och rösträtt för arbetsmarknadens parter, små och medelstora företag i det civila samhället och ungdomar i regionala samordningsorgan.</w:t>
            </w:r>
          </w:p>
        </w:tc>
        <w:tc>
          <w:tcPr>
            <w:tcW w:w="4876" w:type="dxa"/>
            <w:tcBorders>
              <w:top w:val="nil"/>
              <w:left w:val="nil"/>
              <w:bottom w:val="nil"/>
              <w:right w:val="nil"/>
            </w:tcBorders>
          </w:tcPr>
          <w:p>
            <w:pPr>
              <w:pStyle w:val="Normal6a"/>
            </w:pPr>
            <w:r>
              <w:t>12.</w:t>
            </w:r>
            <w:r>
              <w:tab/>
            </w:r>
            <w:r>
              <w:t>Europaparlamentet betonar att effekterna på sysselsättningen kommer att skilja sig åt mellan regioner och befolkningar. Parlamentet betonar i detta avseende behovet av att engagera lokala medborgare och intressenter och ge dem möjlighet att bli aktiva aktörer i omställningen. Parlamentet betonar att offentliga myndigheter måste delta i strategiska samråd och samarbeta med arbetsmarknadens parter under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betonar att effekterna på sysselsättningen kommer att skilja sig åt mellan regioner och befolkningar. Parlamentet betonar i detta avseende behovet av att engagera lokala medborgare och intressenter och ge dem möjlighet att bli aktiva aktörer i omställningen. Parlamentet betonar att offentliga myndigheter måste delta i strategiska samråd och samarbeta med arbetsmarknadens parter under omställningen. Parlamentet betonar att ett meningsfullt deltagande kan säkerställas genom samråd i ett tidigt skede och tydliga mandat och rösträtt för arbetsmarknadens parter, små och medelstora företag </w:t>
            </w:r>
            <w:r>
              <w:rPr>
                <w:b/>
                <w:i/>
              </w:rPr>
              <w:t>i</w:t>
            </w:r>
            <w:r>
              <w:t xml:space="preserve"> det civila samhället och ungdomar i regionala samordningsorgan.</w:t>
            </w:r>
          </w:p>
        </w:tc>
        <w:tc>
          <w:tcPr>
            <w:tcW w:w="4876" w:type="dxa"/>
            <w:tcBorders>
              <w:top w:val="nil"/>
              <w:left w:val="nil"/>
              <w:bottom w:val="nil"/>
              <w:right w:val="nil"/>
            </w:tcBorders>
          </w:tcPr>
          <w:p>
            <w:pPr>
              <w:pStyle w:val="Normal6a"/>
            </w:pPr>
            <w:r>
              <w:t>12.</w:t>
            </w:r>
            <w:r>
              <w:tab/>
            </w:r>
            <w:r>
              <w:t>Europaparlamentet betonar att effekterna på sysselsättningen kommer att skilja sig åt mellan regioner och befolkningar. Parlamentet betonar i detta avseende behovet av att engagera lokala medborgare och intressenter och ge dem möjlighet att bli aktiva aktörer i omställningen. Parlamentet betonar att offentliga myndigheter måste delta i strategiska samråd och samarbeta med arbetsmarknadens parter under omställningen. Parlamentet betonar att ett meningsfullt deltagande kan säkerställas genom samråd i ett tidigt skede och tydliga mandat och rösträtt för arbetsmarknadens parter, små och medelstora företag</w:t>
            </w:r>
            <w:r>
              <w:rPr>
                <w:b/>
                <w:i/>
              </w:rPr>
              <w:t>, däribland sociala företag,</w:t>
            </w:r>
            <w:r>
              <w:t xml:space="preserve"> det civila samhället och ungdomar i regionala samordningsorgan.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betonar att effekterna på sysselsättningen kommer att skilja sig åt mellan regioner och befolkningar. Parlamentet betonar i detta avseende behovet av att engagera lokala medborgare och intressenter och ge dem möjlighet att bli aktiva aktörer i omställningen. Parlamentet betonar att offentliga myndigheter måste delta i strategiska samråd och samarbeta med arbetsmarknadens parter under omställningen. Parlamentet betonar att ett meningsfullt deltagande kan säkerställas genom samråd i ett tidigt skede och tydliga mandat och rösträtt för arbetsmarknadens parter, små och medelstora företag i det civila samhället </w:t>
            </w:r>
            <w:r>
              <w:rPr>
                <w:b/>
                <w:i/>
              </w:rPr>
              <w:t>och</w:t>
            </w:r>
            <w:r>
              <w:t xml:space="preserve"> ungdomar i regionala samordningsorgan.</w:t>
            </w:r>
          </w:p>
        </w:tc>
        <w:tc>
          <w:tcPr>
            <w:tcW w:w="4876" w:type="dxa"/>
            <w:tcBorders>
              <w:top w:val="nil"/>
              <w:left w:val="nil"/>
              <w:bottom w:val="nil"/>
              <w:right w:val="nil"/>
            </w:tcBorders>
          </w:tcPr>
          <w:p>
            <w:pPr>
              <w:pStyle w:val="Normal6a"/>
            </w:pPr>
            <w:r>
              <w:t>12.</w:t>
            </w:r>
            <w:r>
              <w:tab/>
            </w:r>
            <w:r>
              <w:t>Europaparlamentet betonar att effekterna på sysselsättningen kommer att skilja sig åt mellan regioner och befolkningar. Parlamentet betonar i detta avseende behovet av att engagera lokala medborgare och intressenter och ge dem möjlighet att bli aktiva aktörer i omställningen. Parlamentet betonar att offentliga myndigheter måste delta i strategiska samråd och samarbeta med arbetsmarknadens parter under omställningen. Parlamentet betonar att ett meningsfullt deltagande kan säkerställas genom samråd i ett tidigt skede och tydliga mandat och rösträtt för arbetsmarknadens parter, små och medelstora företag i det civila samhället</w:t>
            </w:r>
            <w:r>
              <w:rPr>
                <w:b/>
                <w:i/>
              </w:rPr>
              <w:t>,</w:t>
            </w:r>
            <w:r>
              <w:t xml:space="preserve"> ungdomar</w:t>
            </w:r>
            <w:r>
              <w:rPr>
                <w:b/>
                <w:i/>
              </w:rPr>
              <w:t>, fackföreningar, kvinnoorganisationer och lokala sociala rörelser</w:t>
            </w:r>
            <w:r>
              <w:t xml:space="preserve"> i regionala samordningsorgan.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betonar att effekterna på sysselsättningen kommer att skilja sig åt mellan regioner och befolkningar. Parlamentet betonar i detta avseende behovet av att engagera lokala medborgare och intressenter och ge dem möjlighet att bli aktiva aktörer i omställningen. Parlamentet betonar att offentliga myndigheter måste delta i strategiska samråd och samarbeta med arbetsmarknadens parter under omställningen. Parlamentet betonar att ett meningsfullt deltagande kan säkerställas genom samråd i ett tidigt skede och tydliga mandat och rösträtt för arbetsmarknadens parter, små och medelstora företag </w:t>
            </w:r>
            <w:r>
              <w:rPr>
                <w:b/>
                <w:i/>
              </w:rPr>
              <w:t>i</w:t>
            </w:r>
            <w:r>
              <w:t xml:space="preserve"> det civila samhället och ungdomar i regionala samordningsorgan.</w:t>
            </w:r>
          </w:p>
        </w:tc>
        <w:tc>
          <w:tcPr>
            <w:tcW w:w="4876" w:type="dxa"/>
            <w:tcBorders>
              <w:top w:val="nil"/>
              <w:left w:val="nil"/>
              <w:bottom w:val="nil"/>
              <w:right w:val="nil"/>
            </w:tcBorders>
          </w:tcPr>
          <w:p>
            <w:pPr>
              <w:pStyle w:val="Normal6a"/>
            </w:pPr>
            <w:r>
              <w:t>12.</w:t>
            </w:r>
            <w:r>
              <w:tab/>
            </w:r>
            <w:r>
              <w:t>Europaparlamentet betonar att effekterna på sysselsättningen kommer att skilja sig åt mellan regioner och befolkningar. Parlamentet betonar i detta avseende behovet av att engagera lokala medborgare och intressenter</w:t>
            </w:r>
            <w:r>
              <w:rPr>
                <w:b/>
                <w:i/>
              </w:rPr>
              <w:t>, inbegripet det civila samhällets organisationer,</w:t>
            </w:r>
            <w:r>
              <w:t xml:space="preserve"> och ge dem möjlighet att bli aktiva aktörer i omställningen</w:t>
            </w:r>
            <w:r>
              <w:rPr>
                <w:b/>
                <w:i/>
              </w:rPr>
              <w:t>.</w:t>
            </w:r>
            <w:r>
              <w:t xml:space="preserve"> </w:t>
            </w:r>
            <w:r>
              <w:rPr>
                <w:b/>
                <w:i/>
              </w:rPr>
              <w:t>Parlamentet belyser betydelsen av att främja arbetstagarledda initiativ, inbegripet arbetstagarkooperativ, anställdas övertagande av företag och andra former av kollektivt och lokalt ägande</w:t>
            </w:r>
            <w:r>
              <w:t xml:space="preserve">. Parlamentet betonar att offentliga myndigheter måste delta i strategiska samråd och samarbeta med arbetsmarknadens parter </w:t>
            </w:r>
            <w:r>
              <w:rPr>
                <w:b/>
                <w:i/>
              </w:rPr>
              <w:t>och det civila samhället</w:t>
            </w:r>
            <w:r>
              <w:t xml:space="preserve"> under omställningen. Parlamentet betonar att ett meningsfullt deltagande kan säkerställas genom samråd i ett tidigt skede och tydliga mandat och rösträtt för arbetsmarknadens parter, små och medelstora företag</w:t>
            </w:r>
            <w:r>
              <w:rPr>
                <w:b/>
                <w:i/>
              </w:rPr>
              <w:t>,</w:t>
            </w:r>
            <w:r>
              <w:t xml:space="preserve"> det civila samhället</w:t>
            </w:r>
            <w:r>
              <w:rPr>
                <w:b/>
                <w:i/>
              </w:rPr>
              <w:t>, den sociala ekonomin</w:t>
            </w:r>
            <w:r>
              <w:t xml:space="preserve"> och ungdomar i regionala samordningsorgan.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betonar att effekterna på sysselsättningen kommer att skilja sig åt mellan regioner och befolkningar. Parlamentet betonar i detta avseende behovet av att engagera lokala medborgare och intressenter och ge dem möjlighet att bli aktiva aktörer i omställningen. Parlamentet betonar att offentliga myndigheter måste delta i strategiska samråd och samarbeta med arbetsmarknadens parter under omställningen. Parlamentet betonar att ett meningsfullt deltagande kan säkerställas genom samråd i ett tidigt skede och tydliga mandat och rösträtt för arbetsmarknadens parter, små och medelstora företag i det civila samhället och ungdomar i regionala samordningsorgan.</w:t>
            </w:r>
          </w:p>
        </w:tc>
        <w:tc>
          <w:tcPr>
            <w:tcW w:w="4876" w:type="dxa"/>
            <w:tcBorders>
              <w:top w:val="nil"/>
              <w:left w:val="nil"/>
              <w:bottom w:val="nil"/>
              <w:right w:val="nil"/>
            </w:tcBorders>
          </w:tcPr>
          <w:p>
            <w:pPr>
              <w:pStyle w:val="Normal6a"/>
            </w:pPr>
            <w:r>
              <w:t>12.</w:t>
            </w:r>
            <w:r>
              <w:tab/>
            </w:r>
            <w:r>
              <w:t>Europaparlamentet betonar att effekterna på sysselsättningen kommer att skilja sig åt mellan regioner och befolkningar. Parlamentet betonar i detta avseende behovet av att engagera lokala medborgare och intressenter</w:t>
            </w:r>
            <w:r>
              <w:rPr>
                <w:b/>
                <w:i/>
              </w:rPr>
              <w:t>, inbegripet det civila samhällets organisationer som har en god förståelse för lokalsamhällenas utmaningar och behov,</w:t>
            </w:r>
            <w:r>
              <w:t xml:space="preserve"> och ge dem möjlighet att bli aktiva aktörer i omställningen. Parlamentet betonar att offentliga myndigheter måste delta i strategiska samråd och samarbeta med arbetsmarknadens parter under omställningen. Parlamentet betonar att ett meningsfullt deltagande kan säkerställas genom samråd i ett tidigt skede och tydliga mandat och rösträtt för arbetsmarknadens parter, små och medelstora företag i det civila samhället och ungdomar i regionala samordningsorgan.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betonar att effekterna på sysselsättningen kommer att skilja sig åt mellan regioner och befolkningar. Parlamentet betonar i detta avseende behovet av att engagera lokala medborgare och intressenter och ge dem möjlighet att bli aktiva aktörer </w:t>
            </w:r>
            <w:r>
              <w:rPr>
                <w:b/>
                <w:i/>
              </w:rPr>
              <w:t>i omställningen</w:t>
            </w:r>
            <w:r>
              <w:t>. Parlamentet betonar att offentliga myndigheter måste delta i strategiska samråd och samarbeta med arbetsmarknadens parter under omställningen. Parlamentet betonar att ett meningsfullt deltagande kan säkerställas genom samråd i ett tidigt skede och tydliga mandat och rösträtt för arbetsmarknadens parter, små och medelstora företag i det civila samhället och ungdomar i regionala samordningsorgan.</w:t>
            </w:r>
          </w:p>
        </w:tc>
        <w:tc>
          <w:tcPr>
            <w:tcW w:w="4876" w:type="dxa"/>
            <w:tcBorders>
              <w:top w:val="nil"/>
              <w:left w:val="nil"/>
              <w:bottom w:val="nil"/>
              <w:right w:val="nil"/>
            </w:tcBorders>
          </w:tcPr>
          <w:p>
            <w:pPr>
              <w:pStyle w:val="Normal6a"/>
            </w:pPr>
            <w:r>
              <w:t>12.</w:t>
            </w:r>
            <w:r>
              <w:tab/>
            </w:r>
            <w:r>
              <w:t xml:space="preserve">Europaparlamentet betonar att effekterna på sysselsättningen kommer att skilja sig åt mellan regioner och befolkningar. Parlamentet betonar i detta avseende behovet av att engagera lokala medborgare och intressenter och ge dem möjlighet att bli aktiva aktörer </w:t>
            </w:r>
            <w:r>
              <w:rPr>
                <w:b/>
                <w:i/>
              </w:rPr>
              <w:t>när det gäller att bestämma om det ska ske en omställning</w:t>
            </w:r>
            <w:r>
              <w:t>. Parlamentet betonar att offentliga myndigheter måste delta i strategiska samråd och samarbeta med arbetsmarknadens parter under omställningen. Parlamentet betonar att ett meningsfullt deltagande kan säkerställas genom samråd i ett tidigt skede och tydliga mandat och rösträtt för arbetsmarknadens parter, små och medelstora företag i det civila samhället och ungdomar i regionala samordningsorgan.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insisterar på att detta direktiv inte ska utgöra ett giltigt skäl för att sänka den allmänna skyddsnivå som redan erbjuds arbetstagare i medlemsstaterna, särskilt när det gäller rätten till utbildning, arbetsomställning, anställningstrygghet och arbetstagarinflytande.</w:t>
            </w:r>
            <w:r>
              <w:t xml:space="preserve"> </w:t>
            </w:r>
            <w:r>
              <w:rPr>
                <w:b/>
                <w:i/>
              </w:rPr>
              <w:t>Parlamentet betonar att detta direktiv inte påverkar medlemsstaternas rätt att tillämpa eller införa lagar och andra författningar som är förmånligare för arbetstagarna eller att främja eller tillåta tillämpningen av kollektivavtal som är förmånligare för arbetstagarna.</w:t>
            </w:r>
            <w:r>
              <w:t xml:space="preserve"> </w:t>
            </w:r>
            <w:r>
              <w:rPr>
                <w:b/>
                <w:i/>
              </w:rPr>
              <w:t>Parlamentet belyser att ingenting i detta direktiv ska tolkas eller tillämpas på ett sätt som begränsar, inkräktar på eller undergräver de grundläggande rättigheter som erkänns i medlemsstaterna, inbegripet rätten till kollektiva förhandlingar, rätten att strejka och rätten att vidta kollektiva åtgärder.</w:t>
            </w:r>
            <w:r>
              <w:t xml:space="preserve"> </w:t>
            </w:r>
            <w:r>
              <w:rPr>
                <w:b/>
                <w:i/>
              </w:rPr>
              <w:t>Parlamentet insisterar på att detta direktiv ska respektera arbetsmarknadens parters självständighet och inte påverka deras förmåga att förhandla om, ingå eller tillämpa kollektivavtal eller att bedriva annan verksamhet som är förenlig med nationella system för förhållandet mellan arbetsmarknadens parter.</w:t>
            </w:r>
            <w:r>
              <w:t xml:space="preserve"> </w:t>
            </w:r>
            <w:r>
              <w:rPr>
                <w:b/>
                <w:i/>
              </w:rPr>
              <w:t>Parlamentet betonar vidare att detta direktiv skapar ytterligare rättigheter till information, samråd och kollektiva förhandlingar i omställningssituationer och inte ska påverka tillämpningen av andra unionsrättsliga instrument om arbetstagarinflytande.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uppmanar kommissionen och medlemsstaterna att utforma en politik som frigör ekonomiska möjligheter för den privata sektorn, särskilt för små och medelstora företag, genom att minska den administrativa bördan, sänka kraven på samfinansiering och förenkla tillgången till finansiering.</w:t>
            </w:r>
            <w:r>
              <w:t xml:space="preserve"> </w:t>
            </w:r>
            <w:r>
              <w:rPr>
                <w:b/>
                <w:i/>
              </w:rPr>
              <w:t>Parlamentet betonar att entreprenörer och småföretag är centrala för investeringar, innovation och jobbskapande, och att finansieringsfönster och tekniskt stöd måste skräddarsys för deras behov för att fullt ut utnyttja deras potential i den gröna och digitala ekonomin.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betonar att regeringarna bör stödja uppbyggnaden av kapaciteten hos arbetsmarknadens parter, särskilt på regional nivå (och som en del av genomförandet av rådets rekommendation om säkerställande av en rättvis omställning till klimatneutralitet).</w:t>
            </w:r>
            <w:r>
              <w:t xml:space="preserve"> </w:t>
            </w:r>
            <w:r>
              <w:rPr>
                <w:b/>
                <w:i/>
              </w:rPr>
              <w:t>Parlamentet betonar att samtalsdemokrati gör det möjligt för medborgarna att gemensamt utforma lokal och regional politik som är anpassad till områdets behov och särdrag, vilket ökar engagemanget och efterlevnaden av politiken.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uppmanar kommissionen att i direktivet inkludera normer som är anpassade till personer med funktionsnedsättning, inbegripet tillgänglighet på arbetsplatsen, flexibla arrangemang och skälig anpassning i utbildningen.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Europaparlamentet betonar betydelsen av riktade strategier för landsbygdsområden och randområden, där underinvesteringar, utvandring och dålig tillgång på arbetskraft hotar den långsiktiga utvecklingen.</w:t>
            </w:r>
            <w:r>
              <w:t xml:space="preserve"> </w:t>
            </w:r>
            <w:r>
              <w:rPr>
                <w:b/>
                <w:i/>
              </w:rPr>
              <w:t>Parlamentet uppmanar kommissionen och medlemsstaterna att stödja platsbaserad politik som skapar ekonomiska möjligheter för både människor och företag i landsbygdsområden, lockar privata investeringar och skapar lokala arbetstillfällen.</w:t>
            </w:r>
            <w:r>
              <w:t xml:space="preserve"> </w:t>
            </w:r>
            <w:r>
              <w:rPr>
                <w:b/>
                <w:i/>
              </w:rPr>
              <w:t>Parlamentet understryker att sådana strategier är nödvändiga för att säkerställa att medborgarna kan bygga en framtid i sina samhällen.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Europaparlamentet uppmanar kommissionen att erkänna ”rätten till en individuell och kollektiv rättvis omställning” för arbetstagare och samhällen – i och utanför EU.</w:t>
            </w:r>
            <w:r>
              <w:t xml:space="preserve"> </w:t>
            </w:r>
            <w:r>
              <w:rPr>
                <w:b/>
                <w:i/>
              </w:rPr>
              <w:t>På individnivå omfattar rätten till en rättvis omställning rätten att stanna kvar på arbetsmarknaden eller att ha tillgång till sysselsättning på rättvisa och anständiga villkor.</w:t>
            </w:r>
            <w:r>
              <w:t xml:space="preserve"> </w:t>
            </w:r>
            <w:r>
              <w:rPr>
                <w:b/>
                <w:i/>
              </w:rPr>
              <w:t>På kollektiv nivå innebär rätten till en rättvis omställning att inga personer, grupper eller territorier får lämnas utanför.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Europaparlamentet betonar betydelsen av att ägna särskild uppmärksamhet åt vård- och omsorgssektorn samt åt arbetstagare och regioner i de branscher som påverkas mest av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Europaparlamentet betonar att Eurostats regionala prognoser tyder på en fortsatt minskning av befolkningen i arbetsför ålder i många territorier under 2020- och 2030-talen, särskilt i regioner som redan är påverkade av en åldrande befolkning och av utvandring.</w:t>
            </w:r>
            <w:r>
              <w:t xml:space="preserve"> </w:t>
            </w:r>
            <w:r>
              <w:rPr>
                <w:b/>
                <w:i/>
              </w:rPr>
              <w:t>Parlamentet noterar att demografiska obalanser ökar de sociala och finanspolitiska kostnaderna för underinvesteringar i landsbygdsområden, inbegripet svagare skattebaser och högre servicekostnader per capita.</w:t>
            </w:r>
            <w:r>
              <w:t xml:space="preserve"> </w:t>
            </w:r>
            <w:r>
              <w:rPr>
                <w:b/>
                <w:i/>
              </w:rPr>
              <w:t>Parlamentet understryker att sådana trender riskerar att försvaga arbetskraftsutbudet vid just den tidpunkt då kvalificerade arbetstagare är avgörande för den gröna och den digitala omställningen.</w:t>
            </w:r>
            <w:r>
              <w:t xml:space="preserve"> </w:t>
            </w:r>
            <w:r>
              <w:rPr>
                <w:b/>
                <w:i/>
              </w:rPr>
              <w:t>Parlamentet uppmanar därför kommissionen och medlemsstaterna att prioritera riktade investeringar och strategier som stärker de ekonomiska möjligheterna i landsbygdsområden, stöder skapandet av arbetstillfällen och säkerställer långsiktig tillgång till kvalificerad arbetskraft.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Europaparlamentet uppmanar kommissionen att erkänna även ”rätten att stanna kvar”, mot påtvingad rörlighet.</w:t>
            </w:r>
            <w:r>
              <w:t xml:space="preserve"> </w:t>
            </w:r>
            <w:r>
              <w:rPr>
                <w:b/>
                <w:i/>
              </w:rPr>
              <w:t>Genomförandet av åtgärder för rättvis omställning måste säkerställa att arbetstagare och samhällen har möjlighet att stanna kvar i det geografiska område där de just nu har sin anställning och/eller sitt boende. Detta återspeglar "rätten att stanna kvar" och utan denna rätt riskerar åtgärder för en rättvis omställning att tvinga ut arbetstagare i en oönskad geografisk rörlighet.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Europaparlamentet begär att kommissionen senast den 31 januari 2027, på grundval av artiklarna 153.2 b jämförd med artikel 153.1 a, b, e och h i EUF-fördraget, lägger fram ett förslag till direktiv om en rättvis omställning i arbetslivet, i enlighet med rekommendationerna i bilagan.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Europaparlamentet begär att kommissionen senast den 31 januari 2027, på grundval av artiklarna 153.2 b jämförd med artikel 153.1 a, b, e och h i EUF-fördraget, lägger fram ett förslag till direktiv om en rättvis omställning i arbetslivet, i enlighet med rekommendationerna i bilagan.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Europaparlamentet begär att kommissionen senast den 31 januari 2027, på grundval av artiklarna 153.2 b jämförd med artikel 153.1 a, b, e och h i EUF-fördraget, lägger fram ett förslag till direktiv om en rättvis omställning i arbetslivet, i enlighet med rekommendationerna i bilagan.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Europaparlamentet begär att kommissionen </w:t>
            </w:r>
            <w:r>
              <w:rPr>
                <w:b/>
                <w:i/>
              </w:rPr>
              <w:t>senast den 31 januari 2027, på grundval av artiklarna 153.2 b jämförd med artikel 153.1 a, b, e och h i EUF-fördraget,</w:t>
            </w:r>
            <w:r>
              <w:t xml:space="preserve"> lägger fram ett förslag till </w:t>
            </w:r>
            <w:r>
              <w:rPr>
                <w:b/>
                <w:i/>
              </w:rPr>
              <w:t>direktiv</w:t>
            </w:r>
            <w:r>
              <w:t xml:space="preserve"> om en rättvis omställning i arbetslivet, </w:t>
            </w:r>
            <w:r>
              <w:rPr>
                <w:b/>
                <w:i/>
              </w:rPr>
              <w:t>i enlighet med rekommendationerna i bilagan</w:t>
            </w:r>
            <w:r>
              <w:t>.</w:t>
            </w:r>
          </w:p>
        </w:tc>
        <w:tc>
          <w:tcPr>
            <w:tcW w:w="4876" w:type="dxa"/>
            <w:tcBorders>
              <w:top w:val="nil"/>
              <w:left w:val="nil"/>
              <w:bottom w:val="nil"/>
              <w:right w:val="nil"/>
            </w:tcBorders>
          </w:tcPr>
          <w:p>
            <w:pPr>
              <w:pStyle w:val="Normal6a"/>
            </w:pPr>
            <w:r>
              <w:t>13.</w:t>
            </w:r>
            <w:r>
              <w:tab/>
            </w:r>
            <w:r>
              <w:t xml:space="preserve">Europaparlamentet begär att kommissionen lägger fram ett förslag till </w:t>
            </w:r>
            <w:r>
              <w:rPr>
                <w:b/>
                <w:i/>
              </w:rPr>
              <w:t>en ram för andra åtgärder än lagstiftning</w:t>
            </w:r>
            <w:r>
              <w:t xml:space="preserve"> om en rättvis omställning i arbetslivet, </w:t>
            </w:r>
            <w:r>
              <w:rPr>
                <w:b/>
                <w:i/>
              </w:rPr>
              <w:t>efter ha samrått med de europeiska arbetsmarknadsparterna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Europaparlamentet begär att kommissionen senast den 31 januari 2027, på grundval av </w:t>
            </w:r>
            <w:r>
              <w:rPr>
                <w:b/>
                <w:i/>
              </w:rPr>
              <w:t>artiklarna 153.2 b</w:t>
            </w:r>
            <w:r>
              <w:t xml:space="preserve"> jämförd med artikel 153.1 a, b, e och h i EUF-fördraget, lägger fram ett förslag till direktiv om en rättvis omställning i arbetslivet, i enlighet med rekommendationerna i bilagan.</w:t>
            </w:r>
          </w:p>
        </w:tc>
        <w:tc>
          <w:tcPr>
            <w:tcW w:w="4876" w:type="dxa"/>
            <w:tcBorders>
              <w:top w:val="nil"/>
              <w:left w:val="nil"/>
              <w:bottom w:val="nil"/>
              <w:right w:val="nil"/>
            </w:tcBorders>
          </w:tcPr>
          <w:p>
            <w:pPr>
              <w:pStyle w:val="Normal6a"/>
            </w:pPr>
            <w:r>
              <w:t>13.</w:t>
            </w:r>
            <w:r>
              <w:tab/>
            </w:r>
            <w:r>
              <w:t xml:space="preserve">Europaparlamentet begär att kommissionen senast den 31 januari 2027, på grundval av </w:t>
            </w:r>
            <w:r>
              <w:rPr>
                <w:b/>
                <w:i/>
              </w:rPr>
              <w:t>artikel 153.2 b och c</w:t>
            </w:r>
            <w:r>
              <w:t xml:space="preserve"> jämförd med artikel 153.1 a, b, e och h i EUF-fördraget, lägger fram ett förslag till direktiv om en rättvis omställning i arbetslivet, i enlighet med rekommendationerna i bilagan.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Europaparlamentet anser att </w:t>
            </w:r>
            <w:r>
              <w:rPr>
                <w:b/>
                <w:i/>
              </w:rPr>
              <w:t>det begärda förslagets</w:t>
            </w:r>
            <w:r>
              <w:t xml:space="preserve"> eventuella ekonomiska konsekvenser bör täckas av befintliga budgetanslag.</w:t>
            </w:r>
          </w:p>
        </w:tc>
        <w:tc>
          <w:tcPr>
            <w:tcW w:w="4876" w:type="dxa"/>
            <w:tcBorders>
              <w:top w:val="nil"/>
              <w:left w:val="nil"/>
              <w:bottom w:val="nil"/>
              <w:right w:val="nil"/>
            </w:tcBorders>
          </w:tcPr>
          <w:p>
            <w:pPr>
              <w:pStyle w:val="Normal6a"/>
            </w:pPr>
            <w:r>
              <w:t>14.</w:t>
            </w:r>
            <w:r>
              <w:tab/>
            </w:r>
            <w:r>
              <w:t xml:space="preserve">Europaparlamentet anser att </w:t>
            </w:r>
            <w:r>
              <w:rPr>
                <w:b/>
                <w:i/>
              </w:rPr>
              <w:t>denna resolutions</w:t>
            </w:r>
            <w:r>
              <w:t xml:space="preserve"> eventuella ekonomiska konsekvenser bör täckas av befintliga budgetanslag.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Europaparlamentet </w:t>
            </w:r>
            <w:r>
              <w:rPr>
                <w:b/>
                <w:i/>
              </w:rPr>
              <w:t>anser</w:t>
            </w:r>
            <w:r>
              <w:t xml:space="preserve"> att det begärda förslagets eventuella ekonomiska konsekvenser bör täckas av befintliga budgetanslag.</w:t>
            </w:r>
          </w:p>
        </w:tc>
        <w:tc>
          <w:tcPr>
            <w:tcW w:w="4876" w:type="dxa"/>
            <w:tcBorders>
              <w:top w:val="nil"/>
              <w:left w:val="nil"/>
              <w:bottom w:val="nil"/>
              <w:right w:val="nil"/>
            </w:tcBorders>
          </w:tcPr>
          <w:p>
            <w:pPr>
              <w:pStyle w:val="Normal6a"/>
            </w:pPr>
            <w:r>
              <w:t>14.</w:t>
            </w:r>
            <w:r>
              <w:tab/>
            </w:r>
            <w:r>
              <w:t xml:space="preserve">Europaparlamentet </w:t>
            </w:r>
            <w:r>
              <w:rPr>
                <w:b/>
                <w:i/>
              </w:rPr>
              <w:t>betonar starkt</w:t>
            </w:r>
            <w:r>
              <w:t xml:space="preserve"> att det begärda förslagets eventuella ekonomiska konsekvenser bör täckas av befintliga budgetanslag </w:t>
            </w:r>
            <w:r>
              <w:rPr>
                <w:b/>
                <w:i/>
              </w:rPr>
              <w:t>utan att öka unionens utgifter eller medföra nya bördor för skattebetalarna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anser att det begärda förslagets eventuella ekonomiska konsekvenser bör täckas av befintliga budgetanslag.</w:t>
            </w:r>
          </w:p>
        </w:tc>
        <w:tc>
          <w:tcPr>
            <w:tcW w:w="4876" w:type="dxa"/>
            <w:tcBorders>
              <w:top w:val="nil"/>
              <w:left w:val="nil"/>
              <w:bottom w:val="nil"/>
              <w:right w:val="nil"/>
            </w:tcBorders>
          </w:tcPr>
          <w:p>
            <w:pPr>
              <w:pStyle w:val="Normal6a"/>
            </w:pPr>
            <w:r>
              <w:t>14.</w:t>
            </w:r>
            <w:r>
              <w:tab/>
            </w:r>
            <w:r>
              <w:t xml:space="preserve">Europaparlamentet anser att det begärda förslagets eventuella ekonomiska konsekvenser </w:t>
            </w:r>
            <w:r>
              <w:rPr>
                <w:b/>
                <w:i/>
              </w:rPr>
              <w:t>i första hand</w:t>
            </w:r>
            <w:r>
              <w:t xml:space="preserve"> bör täckas av befintliga budgetanslag. </w:t>
            </w:r>
            <w:r>
              <w:rPr>
                <w:b/>
                <w:i/>
              </w:rPr>
              <w:t>Parlamentet betonar behovet av att på nationell nivå och unionsnivå bedöma vilken resursnivå som krävs för att uppnå målen i det föreslagna direktivet.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Europaparlamentet understryker att direktivet måste innehålla ändamålsenliga, proportionella och avskräckande påföljder för överträdelser av de rättigheter och skyldigheter som anges i direktivet.</w:t>
            </w:r>
            <w:r>
              <w:t xml:space="preserve"> </w:t>
            </w:r>
            <w:r>
              <w:rPr>
                <w:b/>
                <w:i/>
              </w:rPr>
              <w:t>Parlamentet betonar att direktivet också måste innehålla bestämmelser om bevarande av skyddsnivån och förmånligare bestämmelser, för att säkerställa att det tillämpas rättvist och konsekvent i hela unionen och för att skapa lika villkor för företag, förhindra illojal konkurrens och skapa säkerhet för både arbetsgivare och arbetstagare.</w:t>
            </w:r>
            <w:r>
              <w:t xml:space="preserve"> </w:t>
            </w:r>
            <w:r>
              <w:rPr>
                <w:b/>
                <w:i/>
              </w:rPr>
              <w:t>Parlamentet belyser dessutom att direktivet måste skydda befintliga rättigheter och respektera arbetsmarknadens parters självständighet.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Europaparlamentet uppdrar åt talmannen att översända denna resolution </w:t>
            </w:r>
            <w:r>
              <w:rPr>
                <w:b/>
                <w:i/>
              </w:rPr>
              <w:t>och bifogade rekommendationer</w:t>
            </w:r>
            <w:r>
              <w:t xml:space="preserve"> till kommissionen och rådet.</w:t>
            </w:r>
          </w:p>
        </w:tc>
        <w:tc>
          <w:tcPr>
            <w:tcW w:w="4876" w:type="dxa"/>
            <w:tcBorders>
              <w:top w:val="nil"/>
              <w:left w:val="nil"/>
              <w:bottom w:val="nil"/>
              <w:right w:val="nil"/>
            </w:tcBorders>
          </w:tcPr>
          <w:p>
            <w:pPr>
              <w:pStyle w:val="Normal6a"/>
            </w:pPr>
            <w:r>
              <w:t>15.</w:t>
            </w:r>
            <w:r>
              <w:tab/>
            </w:r>
            <w:r>
              <w:t>Europaparlamentet uppdrar åt talmannen att översända denna resolution till kommissionen och 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REKOMMENDATIONER OM INNEHÅLLET I DET BEGÄRDA FÖRSLAGET</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Ett EU-direktiv för en rättvis omställning i arbetslivet:</w:t>
            </w:r>
            <w:r>
              <w:rPr>
                <w:b/>
                <w:i/>
              </w:rPr>
              <w:t xml:space="preserve"> </w:t>
            </w:r>
            <w:r>
              <w:rPr>
                <w:b/>
                <w:i/>
              </w:rPr>
              <w:t>säkerställa skapandet av arbetstillfällen och blåsa nytt liv i lokala ekonomier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Europaparlamentet anser att det framtida lagstiftningsförslaget till ett direktiv om en rättvis omställning i arbetslivet:</w:t>
            </w:r>
            <w:r>
              <w:rPr>
                <w:b/>
                <w:i/>
              </w:rPr>
              <w:t xml:space="preserve"> </w:t>
            </w:r>
            <w:r>
              <w:rPr>
                <w:b/>
                <w:i/>
              </w:rPr>
              <w:t>säkerställa skapandet av arbetstillfällen och blåsa nytt liv i lokala ekonomier bör följa dessa principer och mål: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Förslagets allmänna mål är att inrätta en unionsram med politiska åtgärder som kan omsättas i praktiken i regioner som påverkas av den gröna och den digitala omställningen i syfte att säkerställa en socialt rättvis och inkluderande omställning och skapa arbetstillfällen av god kvalitet.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Förslagets allmänna mål är att inrätta en unionsram med politiska åtgärder som kan omsättas i praktiken i regioner som påverkas av den gröna och den digitala omställningen i syfte att säkerställa en socialt rättvis och inkluderande omställning och skapa arbetstillfällen av god kvalitet.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Rekommendation 2:</w:t>
            </w:r>
            <w:r>
              <w:rPr>
                <w:b/>
                <w:i/>
              </w:rPr>
              <w:t xml:space="preserve"> </w:t>
            </w:r>
            <w:r>
              <w:rPr>
                <w:b/>
                <w:i/>
              </w:rPr>
              <w:t>Förslagets utformning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Förslaget bör utformas som ett direktiv.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Med tanke på behovet av ett omfattande åtgärdspaket för att uppnå detta mål måste förslaget innehålla inslag på följande områden: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Arbetsvillkor.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Integrering av personer som står utanför arbetsmarknaden.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Information till och samråd med arbetstagarna.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Förbättringar av arbetsmiljön för att skydda arbetstagarnas hälsa och säkerhet.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Rekommendation 3:</w:t>
            </w:r>
            <w:r>
              <w:rPr>
                <w:b/>
                <w:i/>
              </w:rPr>
              <w:t xml:space="preserve"> </w:t>
            </w:r>
            <w:r>
              <w:rPr>
                <w:b/>
                <w:i/>
              </w:rPr>
              <w:t>Fråga som behandlas i förslaget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Förslaget bör inriktas på följande politiska åtgärder: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Inrätta en särskild ram för att förutse och hantera förändringar i regioner och sektorer som står inför omställningar med utgångspunkt i principerna om information och samråd, social dialog och kollektivförhandlingar.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Säkerställa, på grundval av en översyn av den rättsliga ramen, att arbetstagarnas och deras företrädares rätt till information och samråd faktiskt tillämpas vid omställningar.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Fastställa en individuell rätt för arbetstagare till kostnadsfri utbildning under arbetstid.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Upprätta nationella strategier för en rättvis omställning, med särskilt fokus på att utveckla en långsiktig vision för lokala ekonomier och lokal arbetskraft i alla drabbade regioner.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Utveckla stödprogram för företag, särskilt små och medelstora företag och lokala aktörer, för att uppmuntra skapandet av lokala arbetstillfällen.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Se till att utbud och efterfrågan på arbetskraft och kompetens matchas genom en kombination av arbetsmarknadsinformation, ökat samarbete mellan lokala aktörer och utbildningsanordnare samt främjande av omställningsplaner på företagsnivå.</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Utveckla en övervakningsstruktur som erbjuder strategisk framsyn om omställningens effekter och arbetsmarknadsutvecklingen.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REKOMMENDATIONER OM INNEHÅLLET I DET BEGÄRDA FÖRSLAGET</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Ett EU-direktiv för en rättvis omställning i arbetslivet:</w:t>
            </w:r>
            <w:r>
              <w:rPr>
                <w:b/>
                <w:i/>
              </w:rPr>
              <w:t xml:space="preserve"> </w:t>
            </w:r>
            <w:r>
              <w:rPr>
                <w:b/>
                <w:i/>
              </w:rPr>
              <w:t>säkerställa skapandet av arbetstillfällen och blåsa nytt liv i lokala ekonomier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Europaparlamentet anser att det framtida lagstiftningsförslaget till ett direktiv om en rättvis omställning i arbetslivet:</w:t>
            </w:r>
            <w:r>
              <w:rPr>
                <w:b/>
                <w:i/>
              </w:rPr>
              <w:t xml:space="preserve"> </w:t>
            </w:r>
            <w:r>
              <w:rPr>
                <w:b/>
                <w:i/>
              </w:rPr>
              <w:t>säkerställa skapandet av arbetstillfällen och blåsa nytt liv i lokala ekonomier bör följa dessa principer och mål: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Förslagets allmänna mål är att inrätta en unionsram med politiska åtgärder som kan omsättas i praktiken i regioner som påverkas av den gröna och den digitala omställningen i syfte att säkerställa en socialt rättvis och inkluderande omställning och skapa arbetstillfällen av god kvalitet.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Förslagets allmänna mål är att inrätta en unionsram med politiska åtgärder som kan omsättas i praktiken i regioner som påverkas av den gröna och den digitala omställningen i syfte att säkerställa en socialt rättvis och inkluderande omställning och skapa arbetstillfällen av god kvalitet.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Rekommendation 2:</w:t>
            </w:r>
            <w:r>
              <w:rPr>
                <w:b/>
                <w:i/>
              </w:rPr>
              <w:t xml:space="preserve"> </w:t>
            </w:r>
            <w:r>
              <w:rPr>
                <w:b/>
                <w:i/>
              </w:rPr>
              <w:t>Förslagets utformning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Förslaget bör utformas som ett direktiv.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Med tanke på behovet av ett omfattande åtgärdspaket för att uppnå detta mål måste förslaget innehålla inslag på följande områden: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Arbetsvillkor.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Integrering av personer som står utanför arbetsmarknaden.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Information till och samråd med arbetstagarna.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Förbättringar av arbetsmiljön för att skydda arbetstagarnas hälsa och säkerhet.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Rekommendation 3:</w:t>
            </w:r>
            <w:r>
              <w:rPr>
                <w:b/>
                <w:i/>
              </w:rPr>
              <w:t xml:space="preserve"> </w:t>
            </w:r>
            <w:r>
              <w:rPr>
                <w:b/>
                <w:i/>
              </w:rPr>
              <w:t>Fråga som behandlas i förslaget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Förslaget bör inriktas på följande politiska åtgärder: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Inrätta en särskild ram för att förutse och hantera förändringar i regioner och sektorer som står inför omställningar med utgångspunkt i principerna om information och samråd, social dialog och kollektivförhandlingar.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Säkerställa, på grundval av en översyn av den rättsliga ramen, att arbetstagarnas och deras företrädares rätt till information och samråd faktiskt tillämpas vid omställningar.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Fastställa en individuell rätt för arbetstagare till kostnadsfri utbildning under arbetstid.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Upprätta nationella strategier för en rättvis omställning, med särskilt fokus på att utveckla en långsiktig vision för lokala ekonomier och lokal arbetskraft i alla drabbade regioner.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Utveckla stödprogram för företag, särskilt små och medelstora företag och lokala aktörer, för att uppmuntra skapandet av lokala arbetstillfällen.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Se till att utbud och efterfrågan på arbetskraft och kompetens matchas genom en kombination av arbetsmarknadsinformation, ökat samarbete mellan lokala aktörer och utbildningsanordnare samt främjande av omställningsplaner på företagsnivå.</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Utveckla en övervakningsstruktur som erbjuder strategisk framsyn om omställningens effekter och arbetsmarknadsutvecklingen.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1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Förslagets allmänna mål är att </w:t>
            </w:r>
            <w:r>
              <w:rPr>
                <w:b/>
                <w:i/>
              </w:rPr>
              <w:t>inrätta en unionsram med</w:t>
            </w:r>
            <w:r>
              <w:t xml:space="preserve"> politiska åtgärder som kan omsättas i praktiken i </w:t>
            </w:r>
            <w:r>
              <w:rPr>
                <w:b/>
                <w:i/>
              </w:rPr>
              <w:t>regioner</w:t>
            </w:r>
            <w:r>
              <w:t xml:space="preserve"> som påverkas av den gröna och den digitala omställningen i syfte att säkerställa </w:t>
            </w:r>
            <w:r>
              <w:rPr>
                <w:b/>
                <w:i/>
              </w:rPr>
              <w:t>en socialt rättvis och inkluderande omställning och skapa</w:t>
            </w:r>
            <w:r>
              <w:t xml:space="preserve"> arbetstillfällen av god kvalitet.</w:t>
            </w:r>
          </w:p>
        </w:tc>
        <w:tc>
          <w:tcPr>
            <w:tcW w:w="4876" w:type="dxa"/>
            <w:tcBorders>
              <w:top w:val="nil"/>
              <w:left w:val="nil"/>
              <w:bottom w:val="nil"/>
              <w:right w:val="nil"/>
            </w:tcBorders>
          </w:tcPr>
          <w:p>
            <w:pPr>
              <w:pStyle w:val="Normal6a"/>
            </w:pPr>
            <w:r>
              <w:t xml:space="preserve">Förslagets allmänna mål är att </w:t>
            </w:r>
            <w:r>
              <w:rPr>
                <w:b/>
                <w:i/>
              </w:rPr>
              <w:t>uppmuntra framväxten av</w:t>
            </w:r>
            <w:r>
              <w:t xml:space="preserve"> politiska åtgärder </w:t>
            </w:r>
            <w:r>
              <w:rPr>
                <w:b/>
                <w:i/>
              </w:rPr>
              <w:t>i medlemsstaterna,</w:t>
            </w:r>
            <w:r>
              <w:t xml:space="preserve"> som kan omsättas i praktiken i </w:t>
            </w:r>
            <w:r>
              <w:rPr>
                <w:b/>
                <w:i/>
              </w:rPr>
              <w:t>territorier</w:t>
            </w:r>
            <w:r>
              <w:t> som påverkas av den gröna och den digitala omställningen i syfte att säkerställa arbetstillfällen av god kvalitet.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Förslagets allmänna mål är att inrätta en unionsram med politiska åtgärder som kan omsättas i praktiken i regioner som påverkas av den gröna och den digitala omställningen i syfte att säkerställa en socialt rättvis och inkluderande omställning och skapa arbetstillfällen av god kvalitet.</w:t>
            </w:r>
          </w:p>
        </w:tc>
        <w:tc>
          <w:tcPr>
            <w:tcW w:w="4876" w:type="dxa"/>
            <w:tcBorders>
              <w:top w:val="nil"/>
              <w:left w:val="nil"/>
              <w:bottom w:val="nil"/>
              <w:right w:val="nil"/>
            </w:tcBorders>
          </w:tcPr>
          <w:p>
            <w:pPr>
              <w:pStyle w:val="Normal6a"/>
            </w:pPr>
            <w:r>
              <w:t xml:space="preserve">Förslagets allmänna mål är att inrätta en unionsram med politiska åtgärder som kan omsättas i praktiken i regioner som påverkas av den gröna och den digitala omställningen i syfte att säkerställa en socialt rättvis och inkluderande omställning och skapa arbetstillfällen av god kvalitet </w:t>
            </w:r>
            <w:r>
              <w:rPr>
                <w:b/>
                <w:i/>
              </w:rPr>
              <w:t>med betoning på fasta heltidsanställningar, rättvisa löner, kollektivavtal, jämställdhet samt minskning av otrygghet och odeklarerat arbete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1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Förslagets allmänna mål är att inrätta en unionsram med politiska åtgärder som kan omsättas i praktiken i regioner som påverkas av den gröna och den digitala omställningen i syfte att säkerställa en socialt rättvis och inkluderande omställning och skapa arbetstillfällen av god kvalitet.</w:t>
            </w:r>
          </w:p>
        </w:tc>
        <w:tc>
          <w:tcPr>
            <w:tcW w:w="4876" w:type="dxa"/>
            <w:tcBorders>
              <w:top w:val="nil"/>
              <w:left w:val="nil"/>
              <w:bottom w:val="nil"/>
              <w:right w:val="nil"/>
            </w:tcBorders>
          </w:tcPr>
          <w:p>
            <w:pPr>
              <w:pStyle w:val="Normal6a"/>
            </w:pPr>
            <w:r>
              <w:t xml:space="preserve">Förslagets allmänna mål är att inrätta en unionsram med politiska åtgärder som kan omsättas i praktiken i regioner som påverkas av den gröna och den digitala omställningen i syfte att säkerställa en socialt rättvis och inkluderande omställning och skapa </w:t>
            </w:r>
            <w:r>
              <w:rPr>
                <w:b/>
                <w:i/>
              </w:rPr>
              <w:t>och skydda</w:t>
            </w:r>
            <w:r>
              <w:t xml:space="preserve"> arbetstillfällen av god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1 – stycke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Förslagets allmänna mål bör också beröra frågan om att minska inflödet av okvalificerad irreguljär migration och säkerställa energi till överkomligt och lågt pris för små och medelstora företag.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2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Förslaget bör utformas som ett direktiv.</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2 – stycke 2 – led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Bindande miniminormer för säkerställande av ett starkt socialt skydd, uppsägningsskydd under omställningar och rättsligt erkännande av arbetstagarnas rätt till deltagande.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2 – stycke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Ett sådant direktiv måste tillåta medlemsstaterna att ge arbetsmarknadens parter möjlighet att på lämplig nivå och på de villkor som medlemsstaterna fastställer upprätthålla eller ingå kollektivavtal som anpassar, kompletterar och/eller avviker från bestämmelserna i direktivet, förutsatt att det nationella systemet garanterar ett rättvist resultat och inte inkräktar på de grundläggande rättigheterna.</w:t>
            </w:r>
            <w:r>
              <w:t xml:space="preserve"> </w:t>
            </w:r>
            <w:r>
              <w:rPr>
                <w:b/>
                <w:i/>
              </w:rPr>
              <w:t>Ett direktiv ska inte på något sätt påverka utövandet av grundläggande rättigheter som erkänns i medlemsstaterna och på unionsnivå, inklusive rätten att strejka eller att vidta annan åtgärd som omfattas av arbetsmarknadsmodellen i medlemsstaterna, i enlighet med nationell lagstiftning och/eller praxis.</w:t>
            </w:r>
            <w:r>
              <w:t xml:space="preserve"> </w:t>
            </w:r>
            <w:r>
              <w:rPr>
                <w:b/>
                <w:i/>
              </w:rPr>
              <w:t>Det påverkar inte heller rätten att förhandla om, ingå och tillämpa kollektivavtal eller att vidta kollektiva åtgärder i enlighet med nationell rätt och/eller praxis.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Förslaget bör inriktas på följande politiska åtgärder:</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Förslaget bör inriktas på följande politiska åtgärder: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Inrätta en särskild ram för att förutse och hantera förändringar i regioner och sektorer som står inför omställningar med utgångspunkt i principerna om information och samråd, social dialog och kollektivförhandlingar.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Säkerställa, på grundval av en översyn av den rättsliga ramen, att arbetstagarnas och deras företrädares rätt till information och samråd faktiskt tillämpas vid omställningar.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Fastställa en individuell rätt för arbetstagare till kostnadsfri utbildning under arbetstid.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Upprätta nationella strategier för en rättvis omställning, med särskilt fokus på att utveckla en långsiktig vision för lokala ekonomier och lokal arbetskraft i alla drabbade regioner.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Utveckla stödprogram för företag, särskilt små och medelstora företag och lokala aktörer, för att uppmuntra skapandet av lokala arbetstillfällen.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Se till att utbud och efterfrågan på arbetskraft och kompetens matchas genom en kombination av arbetsmarknadsinformation, ökat samarbete mellan lokala aktörer och utbildningsanordnare samt främjande av omställningsplaner på företagsnivå.</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Utveckla en övervakningsstruktur som erbjuder strategisk framsyn om omställningens effekter och arbetsmarknadsutvecklingen.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Inrätta en särskild ram för att förutse och hantera förändringar i regioner </w:t>
            </w:r>
            <w:r>
              <w:rPr>
                <w:b/>
                <w:i/>
              </w:rPr>
              <w:t>och</w:t>
            </w:r>
            <w:r>
              <w:t xml:space="preserve"> sektorer som står inför omställningar </w:t>
            </w:r>
            <w:r>
              <w:rPr>
                <w:b/>
                <w:i/>
              </w:rPr>
              <w:t>med utgångspunkt i principerna om</w:t>
            </w:r>
            <w:r>
              <w:t xml:space="preserve"> information och samråd, social dialog och kollektivförhandlingar.</w:t>
            </w:r>
          </w:p>
        </w:tc>
        <w:tc>
          <w:tcPr>
            <w:tcW w:w="4876" w:type="dxa"/>
            <w:tcBorders>
              <w:top w:val="nil"/>
              <w:left w:val="nil"/>
              <w:bottom w:val="nil"/>
              <w:right w:val="nil"/>
            </w:tcBorders>
          </w:tcPr>
          <w:p>
            <w:pPr>
              <w:pStyle w:val="Normal6a"/>
            </w:pPr>
            <w:r>
              <w:t>a)</w:t>
            </w:r>
            <w:r>
              <w:tab/>
            </w:r>
            <w:r>
              <w:t>inrätta en särskild ram för att förutse och hantera förändringar i regioner</w:t>
            </w:r>
            <w:r>
              <w:rPr>
                <w:b/>
                <w:i/>
              </w:rPr>
              <w:t>,</w:t>
            </w:r>
            <w:r>
              <w:t xml:space="preserve"> sektorer </w:t>
            </w:r>
            <w:r>
              <w:rPr>
                <w:b/>
                <w:i/>
              </w:rPr>
              <w:t>och företag</w:t>
            </w:r>
            <w:r>
              <w:t xml:space="preserve"> som står inför omställningar </w:t>
            </w:r>
            <w:r>
              <w:rPr>
                <w:b/>
                <w:i/>
              </w:rPr>
              <w:t>genom snabb och ändamålsenlig</w:t>
            </w:r>
            <w:r>
              <w:t xml:space="preserve"> information </w:t>
            </w:r>
            <w:r>
              <w:rPr>
                <w:b/>
                <w:i/>
              </w:rPr>
              <w:t>till</w:t>
            </w:r>
            <w:r>
              <w:t xml:space="preserve"> och samråd </w:t>
            </w:r>
            <w:r>
              <w:rPr>
                <w:b/>
                <w:i/>
              </w:rPr>
              <w:t>med arbetstagare och deras företrädare (samt andra berörda parter</w:t>
            </w:r>
            <w:r>
              <w:t xml:space="preserve">, </w:t>
            </w:r>
            <w:r>
              <w:rPr>
                <w:b/>
                <w:i/>
              </w:rPr>
              <w:t>däribland lokalsamhällen, urfolk, ungdomsgrupper och medborgare som påverkas), genom</w:t>
            </w:r>
            <w:r>
              <w:t xml:space="preserve"> social dialog och kollektivförhandlingar.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Inrätta en särskild ram för att förutse och hantera förändringar i regioner </w:t>
            </w:r>
            <w:r>
              <w:rPr>
                <w:b/>
                <w:i/>
              </w:rPr>
              <w:t>och</w:t>
            </w:r>
            <w:r>
              <w:t xml:space="preserve"> sektorer som står inför omställningar </w:t>
            </w:r>
            <w:r>
              <w:rPr>
                <w:b/>
                <w:i/>
              </w:rPr>
              <w:t>med utgångspunkt i principerna om</w:t>
            </w:r>
            <w:r>
              <w:t xml:space="preserve"> information och samråd</w:t>
            </w:r>
            <w:r>
              <w:rPr>
                <w:b/>
                <w:i/>
              </w:rPr>
              <w:t>,</w:t>
            </w:r>
            <w:r>
              <w:t xml:space="preserve"> social dialog och kollektivförhandlingar.</w:t>
            </w:r>
          </w:p>
        </w:tc>
        <w:tc>
          <w:tcPr>
            <w:tcW w:w="4876" w:type="dxa"/>
            <w:tcBorders>
              <w:top w:val="nil"/>
              <w:left w:val="nil"/>
              <w:bottom w:val="nil"/>
              <w:right w:val="nil"/>
            </w:tcBorders>
          </w:tcPr>
          <w:p>
            <w:pPr>
              <w:pStyle w:val="Normal6a"/>
            </w:pPr>
            <w:r>
              <w:t>a)</w:t>
            </w:r>
            <w:r>
              <w:tab/>
            </w:r>
            <w:r>
              <w:t>Inrätta en särskild ram för att förutse och hantera förändringar i regioner</w:t>
            </w:r>
            <w:r>
              <w:rPr>
                <w:b/>
                <w:i/>
              </w:rPr>
              <w:t>,</w:t>
            </w:r>
            <w:r>
              <w:t xml:space="preserve"> sektorer </w:t>
            </w:r>
            <w:r>
              <w:rPr>
                <w:b/>
                <w:i/>
              </w:rPr>
              <w:t>och företag</w:t>
            </w:r>
            <w:r>
              <w:t xml:space="preserve"> som står inför omställningar </w:t>
            </w:r>
            <w:r>
              <w:rPr>
                <w:b/>
                <w:i/>
              </w:rPr>
              <w:t>genom snabb och ändamålsenlig</w:t>
            </w:r>
            <w:r>
              <w:t xml:space="preserve"> information och </w:t>
            </w:r>
            <w:r>
              <w:rPr>
                <w:b/>
                <w:i/>
              </w:rPr>
              <w:t>snabbt och ändamålsenligt</w:t>
            </w:r>
            <w:r>
              <w:t xml:space="preserve"> samråd </w:t>
            </w:r>
            <w:r>
              <w:rPr>
                <w:b/>
                <w:i/>
              </w:rPr>
              <w:t>samt genom</w:t>
            </w:r>
            <w:r>
              <w:t xml:space="preserve"> social dialog och kollektivförhandlingar.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Inrätta en särskild ram för att förutse och hantera förändringar i regioner </w:t>
            </w:r>
            <w:r>
              <w:rPr>
                <w:b/>
                <w:i/>
              </w:rPr>
              <w:t>och</w:t>
            </w:r>
            <w:r>
              <w:t xml:space="preserve"> sektorer som står inför omställningar </w:t>
            </w:r>
            <w:r>
              <w:rPr>
                <w:b/>
                <w:i/>
              </w:rPr>
              <w:t>med utgångspunkt i principerna om</w:t>
            </w:r>
            <w:r>
              <w:t xml:space="preserve"> information och samråd</w:t>
            </w:r>
            <w:r>
              <w:rPr>
                <w:b/>
                <w:i/>
              </w:rPr>
              <w:t>,</w:t>
            </w:r>
            <w:r>
              <w:t xml:space="preserve"> social dialog och kollektivförhandlingar.</w:t>
            </w:r>
          </w:p>
        </w:tc>
        <w:tc>
          <w:tcPr>
            <w:tcW w:w="4876" w:type="dxa"/>
            <w:tcBorders>
              <w:top w:val="nil"/>
              <w:left w:val="nil"/>
              <w:bottom w:val="nil"/>
              <w:right w:val="nil"/>
            </w:tcBorders>
          </w:tcPr>
          <w:p>
            <w:pPr>
              <w:pStyle w:val="Normal6a"/>
            </w:pPr>
            <w:r>
              <w:t>a)</w:t>
            </w:r>
            <w:r>
              <w:tab/>
            </w:r>
            <w:r>
              <w:t>Inrätta en särskild ram för att förutse och hantera förändringar i regioner</w:t>
            </w:r>
            <w:r>
              <w:rPr>
                <w:b/>
                <w:i/>
              </w:rPr>
              <w:t>,</w:t>
            </w:r>
            <w:r>
              <w:t xml:space="preserve"> sektorer </w:t>
            </w:r>
            <w:r>
              <w:rPr>
                <w:b/>
                <w:i/>
              </w:rPr>
              <w:t>och företag</w:t>
            </w:r>
            <w:r>
              <w:t xml:space="preserve"> som står inför omställningar </w:t>
            </w:r>
            <w:r>
              <w:rPr>
                <w:b/>
                <w:i/>
              </w:rPr>
              <w:t>genom snabb och ändamålsenlig</w:t>
            </w:r>
            <w:r>
              <w:t xml:space="preserve"> information och </w:t>
            </w:r>
            <w:r>
              <w:rPr>
                <w:b/>
                <w:i/>
              </w:rPr>
              <w:t>snabbt och ändamålsenligt</w:t>
            </w:r>
            <w:r>
              <w:t xml:space="preserve"> samråd </w:t>
            </w:r>
            <w:r>
              <w:rPr>
                <w:b/>
                <w:i/>
              </w:rPr>
              <w:t>samt genom</w:t>
            </w:r>
            <w:r>
              <w:t xml:space="preserve"> social dialog och kollektivförhandlingar.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Inrätta en särskild ram för att förutse och hantera förändringar i regioner och sektorer som står inför omställningar med utgångspunkt i principerna om information och samråd, social dialog och kollektivförhandlingar.</w:t>
            </w:r>
          </w:p>
        </w:tc>
        <w:tc>
          <w:tcPr>
            <w:tcW w:w="4876" w:type="dxa"/>
            <w:tcBorders>
              <w:top w:val="nil"/>
              <w:left w:val="nil"/>
              <w:bottom w:val="nil"/>
              <w:right w:val="nil"/>
            </w:tcBorders>
          </w:tcPr>
          <w:p>
            <w:pPr>
              <w:pStyle w:val="Normal6a"/>
            </w:pPr>
            <w:r>
              <w:t>a)</w:t>
            </w:r>
            <w:r>
              <w:tab/>
            </w:r>
            <w:r>
              <w:t xml:space="preserve">Inrätta en särskild ram för att förutse och hantera förändringar i regioner och sektorer som står inför omställningar med utgångspunkt i principerna om information och samråd, </w:t>
            </w:r>
            <w:r>
              <w:rPr>
                <w:b/>
                <w:i/>
              </w:rPr>
              <w:t>obligatorisk</w:t>
            </w:r>
            <w:r>
              <w:t xml:space="preserve"> social dialog och kollektivförhandlingar.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Fastställa individuella rättigheter för en rättvis omställning:</w:t>
            </w:r>
            <w:r>
              <w:t xml:space="preserve"> </w:t>
            </w:r>
            <w:r>
              <w:rPr>
                <w:b/>
                <w:i/>
              </w:rPr>
              <w:t>för arbetstagare, rätten till rättvisa och anständiga arbetsvillkor och till de färdigheter och den utbildning som krävs för omställningar;</w:t>
            </w:r>
            <w:r>
              <w:t xml:space="preserve"> </w:t>
            </w:r>
            <w:r>
              <w:rPr>
                <w:b/>
                <w:i/>
              </w:rPr>
              <w:t>för alla personer som påverkas av den dubbla omställningen och de därmed sammanhängande omstruktureringarna, rätten att få tillgång till sysselsättning på rättvisa och anständiga villkor och rätten att stanna i sitt nuvarande geografiska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ab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Fastställa en kollektiv rättighet till en rättvis omställning:</w:t>
            </w:r>
            <w:r>
              <w:t xml:space="preserve"> </w:t>
            </w:r>
            <w:r>
              <w:rPr>
                <w:b/>
                <w:i/>
              </w:rPr>
              <w:t>medlemsstaterna ska säkerställa att inget territorium och inget samhälle lämnas utanför;</w:t>
            </w:r>
            <w:r>
              <w:t xml:space="preserve"> </w:t>
            </w:r>
            <w:r>
              <w:rPr>
                <w:b/>
                <w:i/>
              </w:rPr>
              <w:t>detta innebär en rätt att leva i en hälsosam miljö, dra nytta av sysselsättningsmöjligheter inom olika sektorer samt tillgång till sociala 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Säkerställa</w:t>
            </w:r>
            <w:r>
              <w:rPr>
                <w:b/>
                <w:i/>
              </w:rPr>
              <w:t>, på grundval av en översyn av den rättsliga ramen,</w:t>
            </w:r>
            <w:r>
              <w:t xml:space="preserve"> att arbetstagarnas och deras företrädares rätt till information och samråd faktiskt tillämpas vid omställningar.</w:t>
            </w:r>
          </w:p>
        </w:tc>
        <w:tc>
          <w:tcPr>
            <w:tcW w:w="4876" w:type="dxa"/>
            <w:tcBorders>
              <w:top w:val="nil"/>
              <w:left w:val="nil"/>
              <w:bottom w:val="nil"/>
              <w:right w:val="nil"/>
            </w:tcBorders>
          </w:tcPr>
          <w:p>
            <w:pPr>
              <w:pStyle w:val="Normal6a"/>
            </w:pPr>
            <w:r>
              <w:t>b)</w:t>
            </w:r>
            <w:r>
              <w:tab/>
            </w:r>
            <w:r>
              <w:t>Säkerställa att arbetstagarnas och deras företrädares rätt till information och samråd</w:t>
            </w:r>
            <w:r>
              <w:rPr>
                <w:b/>
                <w:i/>
              </w:rPr>
              <w:t>, som föreskrivs i unionsbestämmelser och nationella bestämmelser om information och samråd, inbegripet direktiv 2002/14/EG,</w:t>
            </w:r>
            <w:r>
              <w:t xml:space="preserve"> faktiskt tillämpas vid omställningar.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Säkerställa, på grundval av en översyn av den rättsliga ramen, att arbetstagarnas och deras företrädares rätt till information och samråd faktiskt tillämpas vid omställningar.</w:t>
            </w:r>
          </w:p>
        </w:tc>
        <w:tc>
          <w:tcPr>
            <w:tcW w:w="4876" w:type="dxa"/>
            <w:tcBorders>
              <w:top w:val="nil"/>
              <w:left w:val="nil"/>
              <w:bottom w:val="nil"/>
              <w:right w:val="nil"/>
            </w:tcBorders>
          </w:tcPr>
          <w:p>
            <w:pPr>
              <w:pStyle w:val="Normal6a"/>
            </w:pPr>
            <w:r>
              <w:t>b)</w:t>
            </w:r>
            <w:r>
              <w:tab/>
            </w:r>
            <w:r>
              <w:t xml:space="preserve">Säkerställa, på grundval av en översyn av den rättsliga ramen, att arbetstagarnas och deras företrädares rätt till information och samråd </w:t>
            </w:r>
            <w:r>
              <w:rPr>
                <w:b/>
                <w:i/>
              </w:rPr>
              <w:t>stärks och</w:t>
            </w:r>
            <w:r>
              <w:t xml:space="preserve"> faktiskt tillämpas vid omställningar</w:t>
            </w:r>
            <w:r>
              <w:rPr>
                <w:b/>
                <w:i/>
              </w:rPr>
              <w:t>,</w:t>
            </w:r>
            <w:r>
              <w:t xml:space="preserve"> </w:t>
            </w:r>
            <w:r>
              <w:rPr>
                <w:b/>
                <w:i/>
              </w:rPr>
              <w:t>samt stärka de berörda parternas, inbegripet arbetstagarnas och lokalsamhällenas, befogenheter gällande att gemensamt utforma och besluta när det gäller åtgärder för en rättvis omställning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Säkerställa, på grundval av en översyn av den rättsliga ramen, att arbetstagarnas och deras företrädares rätt till information och samråd faktiskt tillämpas vid omställningar.</w:t>
            </w:r>
          </w:p>
        </w:tc>
        <w:tc>
          <w:tcPr>
            <w:tcW w:w="4876" w:type="dxa"/>
            <w:tcBorders>
              <w:top w:val="nil"/>
              <w:left w:val="nil"/>
              <w:bottom w:val="nil"/>
              <w:right w:val="nil"/>
            </w:tcBorders>
          </w:tcPr>
          <w:p>
            <w:pPr>
              <w:pStyle w:val="Normal6a"/>
            </w:pPr>
            <w:r>
              <w:t>b)</w:t>
            </w:r>
            <w:r>
              <w:tab/>
            </w:r>
            <w:r>
              <w:t xml:space="preserve">Säkerställa, på grundval av en översyn av den rättsliga ramen, att arbetstagarnas och deras företrädares rätt till information och samråd </w:t>
            </w:r>
            <w:r>
              <w:rPr>
                <w:b/>
                <w:i/>
              </w:rPr>
              <w:t>stärks och</w:t>
            </w:r>
            <w:r>
              <w:t xml:space="preserve"> faktiskt tillämpas vid omställningar.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Säkerställa, på grundval av en översyn av den rättsliga ramen, att arbetstagarnas och deras företrädares rätt till information och samråd faktiskt tillämpas vid omställningar.</w:t>
            </w:r>
          </w:p>
        </w:tc>
        <w:tc>
          <w:tcPr>
            <w:tcW w:w="4876" w:type="dxa"/>
            <w:tcBorders>
              <w:top w:val="nil"/>
              <w:left w:val="nil"/>
              <w:bottom w:val="nil"/>
              <w:right w:val="nil"/>
            </w:tcBorders>
          </w:tcPr>
          <w:p>
            <w:pPr>
              <w:pStyle w:val="Normal6a"/>
            </w:pPr>
            <w:r>
              <w:t>b)</w:t>
            </w:r>
            <w:r>
              <w:tab/>
            </w:r>
            <w:r>
              <w:t xml:space="preserve">Säkerställa, på grundval av en översyn av den rättsliga ramen, att arbetstagarnas och deras företrädares rätt till information och samråd </w:t>
            </w:r>
            <w:r>
              <w:rPr>
                <w:b/>
                <w:i/>
              </w:rPr>
              <w:t>stärks och</w:t>
            </w:r>
            <w:r>
              <w:t xml:space="preserve"> faktiskt tillämpas vid omställningar.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Fastställa en </w:t>
            </w:r>
            <w:r>
              <w:rPr>
                <w:b/>
                <w:i/>
              </w:rPr>
              <w:t>individuell</w:t>
            </w:r>
            <w:r>
              <w:t xml:space="preserve"> rätt för arbetstagare till kostnadsfri utbildning under arbetstid.</w:t>
            </w:r>
          </w:p>
        </w:tc>
        <w:tc>
          <w:tcPr>
            <w:tcW w:w="4876" w:type="dxa"/>
            <w:tcBorders>
              <w:top w:val="nil"/>
              <w:left w:val="nil"/>
              <w:bottom w:val="nil"/>
              <w:right w:val="nil"/>
            </w:tcBorders>
          </w:tcPr>
          <w:p>
            <w:pPr>
              <w:pStyle w:val="Normal6a"/>
            </w:pPr>
            <w:r>
              <w:t>c)</w:t>
            </w:r>
            <w:r>
              <w:tab/>
            </w:r>
            <w:r>
              <w:t xml:space="preserve">Fastställa en </w:t>
            </w:r>
            <w:r>
              <w:rPr>
                <w:b/>
                <w:i/>
              </w:rPr>
              <w:t>allmän</w:t>
            </w:r>
            <w:r>
              <w:t xml:space="preserve"> rätt för arbetstagare till kostnadsfri utbildning under arbetstid </w:t>
            </w:r>
            <w:r>
              <w:rPr>
                <w:b/>
                <w:i/>
              </w:rPr>
              <w:t>genom finansiering främst med offentliga medel</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Fastställa en individuell rätt </w:t>
            </w:r>
            <w:r>
              <w:rPr>
                <w:b/>
                <w:i/>
              </w:rPr>
              <w:t>för arbetstagare till kostnadsfri</w:t>
            </w:r>
            <w:r>
              <w:t xml:space="preserve"> utbildning </w:t>
            </w:r>
            <w:r>
              <w:rPr>
                <w:b/>
                <w:i/>
              </w:rPr>
              <w:t>under arbetstid</w:t>
            </w:r>
            <w:r>
              <w:t>.</w:t>
            </w:r>
          </w:p>
        </w:tc>
        <w:tc>
          <w:tcPr>
            <w:tcW w:w="4876" w:type="dxa"/>
            <w:tcBorders>
              <w:top w:val="nil"/>
              <w:left w:val="nil"/>
              <w:bottom w:val="nil"/>
              <w:right w:val="nil"/>
            </w:tcBorders>
          </w:tcPr>
          <w:p>
            <w:pPr>
              <w:pStyle w:val="Normal6a"/>
            </w:pPr>
            <w:r>
              <w:t>c)</w:t>
            </w:r>
            <w:r>
              <w:tab/>
            </w:r>
            <w:r>
              <w:t xml:space="preserve">Fastställa en individuell rätt </w:t>
            </w:r>
            <w:r>
              <w:rPr>
                <w:b/>
                <w:i/>
              </w:rPr>
              <w:t>till</w:t>
            </w:r>
            <w:r>
              <w:t xml:space="preserve"> utbildning.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Fastställa en individuell rätt för arbetstagare till kostnadsfri utbildning under arbetstid.</w:t>
            </w:r>
          </w:p>
        </w:tc>
        <w:tc>
          <w:tcPr>
            <w:tcW w:w="4876" w:type="dxa"/>
            <w:tcBorders>
              <w:top w:val="nil"/>
              <w:left w:val="nil"/>
              <w:bottom w:val="nil"/>
              <w:right w:val="nil"/>
            </w:tcBorders>
          </w:tcPr>
          <w:p>
            <w:pPr>
              <w:pStyle w:val="Normal6a"/>
            </w:pPr>
            <w:r>
              <w:t>c)</w:t>
            </w:r>
            <w:r>
              <w:tab/>
            </w:r>
            <w:r>
              <w:t xml:space="preserve">Fastställa en individuell rätt för arbetstagare till kostnadsfri utbildning </w:t>
            </w:r>
            <w:r>
              <w:rPr>
                <w:b/>
                <w:i/>
              </w:rPr>
              <w:t>och kostnadsfritt livslångt lärande</w:t>
            </w:r>
            <w:r>
              <w:t xml:space="preserve"> under arbetstid.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Stärka kollektivförhandlingarna och öka kollektivförhandlingarnas täckning för att stödja arbetstagarnas omställning på ett ändamålsenligt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Upprätta nationella strategier för en rättvis omställning, med särskilt fokus på att utveckla en långsiktig vision för lokala ekonomier och lokal arbetskraft i alla drabbade regioner.</w:t>
            </w:r>
          </w:p>
        </w:tc>
        <w:tc>
          <w:tcPr>
            <w:tcW w:w="4876" w:type="dxa"/>
            <w:tcBorders>
              <w:top w:val="nil"/>
              <w:left w:val="nil"/>
              <w:bottom w:val="nil"/>
              <w:right w:val="nil"/>
            </w:tcBorders>
          </w:tcPr>
          <w:p>
            <w:pPr>
              <w:pStyle w:val="Normal6a"/>
            </w:pPr>
            <w:r>
              <w:t>d)</w:t>
            </w:r>
            <w:r>
              <w:tab/>
            </w:r>
            <w:r>
              <w:t xml:space="preserve">Upprätta nationella strategier för en rättvis omställning </w:t>
            </w:r>
            <w:r>
              <w:rPr>
                <w:b/>
                <w:i/>
              </w:rPr>
              <w:t>i en meningsfull social dialog med fackföreningar</w:t>
            </w:r>
            <w:r>
              <w:t xml:space="preserve">, med särskilt fokus på att utveckla en långsiktig vision för lokala ekonomier och lokal arbetskraft i alla drabbade regioner </w:t>
            </w:r>
            <w:r>
              <w:rPr>
                <w:b/>
                <w:i/>
              </w:rPr>
              <w:t>och sektorer</w:t>
            </w:r>
            <w:r>
              <w:t xml:space="preserve">. </w:t>
            </w:r>
            <w:r>
              <w:rPr>
                <w:b/>
                <w:i/>
              </w:rPr>
              <w:t>Säkerställa att sektorsstrategier och sektorsåtgärder, inbegripet planer för färdigheter och utbildning, utformas gemensamt genom social dialog, med lika rätt till beslutsfattande för arbetsmarknadens parter.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Upprätta nationella strategier för en rättvis omställning, med särskilt fokus på att utveckla en långsiktig vision för lokala ekonomier och lokal arbetskraft i alla drabbade regioner.</w:t>
            </w:r>
          </w:p>
        </w:tc>
        <w:tc>
          <w:tcPr>
            <w:tcW w:w="4876" w:type="dxa"/>
            <w:tcBorders>
              <w:top w:val="nil"/>
              <w:left w:val="nil"/>
              <w:bottom w:val="nil"/>
              <w:right w:val="nil"/>
            </w:tcBorders>
          </w:tcPr>
          <w:p>
            <w:pPr>
              <w:pStyle w:val="Normal6a"/>
            </w:pPr>
            <w:r>
              <w:t>d)</w:t>
            </w:r>
            <w:r>
              <w:tab/>
            </w:r>
            <w:r>
              <w:t xml:space="preserve">Upprätta </w:t>
            </w:r>
            <w:r>
              <w:rPr>
                <w:b/>
                <w:i/>
              </w:rPr>
              <w:t>obligatoriska</w:t>
            </w:r>
            <w:r>
              <w:t xml:space="preserve"> nationella strategier för en rättvis omställning </w:t>
            </w:r>
            <w:r>
              <w:rPr>
                <w:b/>
                <w:i/>
              </w:rPr>
              <w:t>i en meningsfull social dialog med fackföreningar</w:t>
            </w:r>
            <w:r>
              <w:t xml:space="preserve">, med särskilt fokus på att utveckla en långsiktig vision för lokala ekonomier och lokal arbetskraft i alla drabbade regioner </w:t>
            </w:r>
            <w:r>
              <w:rPr>
                <w:b/>
                <w:i/>
              </w:rPr>
              <w:t>och sektorer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Upprätta nationella strategier för en rättvis omställning, med särskilt fokus på att utveckla en långsiktig vision för lokala ekonomier och lokal arbetskraft i alla drabbade regioner.</w:t>
            </w:r>
          </w:p>
        </w:tc>
        <w:tc>
          <w:tcPr>
            <w:tcW w:w="4876" w:type="dxa"/>
            <w:tcBorders>
              <w:top w:val="nil"/>
              <w:left w:val="nil"/>
              <w:bottom w:val="nil"/>
              <w:right w:val="nil"/>
            </w:tcBorders>
          </w:tcPr>
          <w:p>
            <w:pPr>
              <w:pStyle w:val="Normal6a"/>
            </w:pPr>
            <w:r>
              <w:t>d)</w:t>
            </w:r>
            <w:r>
              <w:tab/>
            </w:r>
            <w:r>
              <w:t xml:space="preserve">Upprätta nationella strategier för en rättvis omställning </w:t>
            </w:r>
            <w:r>
              <w:rPr>
                <w:b/>
                <w:i/>
              </w:rPr>
              <w:t>i en meningsfull social dialog med fackföreningar</w:t>
            </w:r>
            <w:r>
              <w:t xml:space="preserve">, med särskilt fokus på att utveckla en långsiktig vision för lokala ekonomier och lokal arbetskraft i alla drabbade regioner </w:t>
            </w:r>
            <w:r>
              <w:rPr>
                <w:b/>
                <w:i/>
              </w:rPr>
              <w:t>och sektorer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Upprätta nationella strategier för en rättvis omställning, med särskilt fokus på att utveckla en långsiktig vision för lokala ekonomier och lokal arbetskraft i alla drabbade regioner.</w:t>
            </w:r>
          </w:p>
        </w:tc>
        <w:tc>
          <w:tcPr>
            <w:tcW w:w="4876" w:type="dxa"/>
            <w:tcBorders>
              <w:top w:val="nil"/>
              <w:left w:val="nil"/>
              <w:bottom w:val="nil"/>
              <w:right w:val="nil"/>
            </w:tcBorders>
          </w:tcPr>
          <w:p>
            <w:pPr>
              <w:pStyle w:val="Normal6a"/>
            </w:pPr>
            <w:r>
              <w:t>d)</w:t>
            </w:r>
            <w:r>
              <w:tab/>
            </w:r>
            <w:r>
              <w:t xml:space="preserve">Upprätta nationella strategier för en rättvis omställning, med särskilt fokus på att utveckla en långsiktig vision för lokala ekonomier och lokal arbetskraft i alla drabbade regioner </w:t>
            </w:r>
            <w:r>
              <w:rPr>
                <w:b/>
                <w:i/>
              </w:rPr>
              <w:t>och sektorer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Upprätta nationella strategier för en rättvis omställning, med särskilt fokus på att utveckla en långsiktig vision för lokala ekonomier och lokal arbetskraft i alla drabbade regioner.</w:t>
            </w:r>
          </w:p>
        </w:tc>
        <w:tc>
          <w:tcPr>
            <w:tcW w:w="4876" w:type="dxa"/>
            <w:tcBorders>
              <w:top w:val="nil"/>
              <w:left w:val="nil"/>
              <w:bottom w:val="nil"/>
              <w:right w:val="nil"/>
            </w:tcBorders>
          </w:tcPr>
          <w:p>
            <w:pPr>
              <w:pStyle w:val="Normal6a"/>
            </w:pPr>
            <w:r>
              <w:t>d)</w:t>
            </w:r>
            <w:r>
              <w:tab/>
            </w:r>
            <w:r>
              <w:t xml:space="preserve">Upprätta nationella strategier för en rättvis omställning, med särskilt fokus på att utveckla en långsiktig vision för lokala ekonomier och lokal arbetskraft i alla drabbade </w:t>
            </w:r>
            <w:r>
              <w:rPr>
                <w:b/>
                <w:i/>
              </w:rPr>
              <w:t>sektorer och</w:t>
            </w:r>
            <w:r>
              <w:t xml:space="preserve"> regioner.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Säkerställa att offentliga myndigheter och arbetsmarknadens parter har kapacitet att samarbeta med berörda parter i den gemensamma utformningen och övervakningen av verkningsfulla strategier för en rättvis omställning som tar hänsyn till politikens fördelningseffekter.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Utveckla stödprogram för företag, särskilt små och medelstora företag </w:t>
            </w:r>
            <w:r>
              <w:rPr>
                <w:b/>
                <w:i/>
              </w:rPr>
              <w:t>och</w:t>
            </w:r>
            <w:r>
              <w:t xml:space="preserve"> lokala aktörer</w:t>
            </w:r>
            <w:r>
              <w:rPr>
                <w:b/>
                <w:i/>
              </w:rPr>
              <w:t>,</w:t>
            </w:r>
            <w:r>
              <w:t xml:space="preserve"> för att uppmuntra skapandet av lokala arbetstillfällen.</w:t>
            </w:r>
          </w:p>
        </w:tc>
        <w:tc>
          <w:tcPr>
            <w:tcW w:w="4876" w:type="dxa"/>
            <w:tcBorders>
              <w:top w:val="nil"/>
              <w:left w:val="nil"/>
              <w:bottom w:val="nil"/>
              <w:right w:val="nil"/>
            </w:tcBorders>
          </w:tcPr>
          <w:p>
            <w:pPr>
              <w:pStyle w:val="Normal6a"/>
            </w:pPr>
            <w:r>
              <w:t>e)</w:t>
            </w:r>
            <w:r>
              <w:tab/>
            </w:r>
            <w:r>
              <w:t>Utveckla stödprogram för företag, särskilt små och medelstora företag</w:t>
            </w:r>
            <w:r>
              <w:rPr>
                <w:b/>
                <w:i/>
              </w:rPr>
              <w:t>,</w:t>
            </w:r>
            <w:r>
              <w:t xml:space="preserve"> lokala aktörer </w:t>
            </w:r>
            <w:r>
              <w:rPr>
                <w:b/>
                <w:i/>
              </w:rPr>
              <w:t>och enheter inom den sociala ekonomin</w:t>
            </w:r>
            <w:r>
              <w:t xml:space="preserve"> för att uppmuntra skapandet av lokala arbetstillfällen.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Utveckla stödprogram för företag, särskilt små och medelstora företag och lokala aktörer, för att uppmuntra skapandet av lokala arbetstillfällen.</w:t>
            </w:r>
          </w:p>
        </w:tc>
        <w:tc>
          <w:tcPr>
            <w:tcW w:w="4876" w:type="dxa"/>
            <w:tcBorders>
              <w:top w:val="nil"/>
              <w:left w:val="nil"/>
              <w:bottom w:val="nil"/>
              <w:right w:val="nil"/>
            </w:tcBorders>
          </w:tcPr>
          <w:p>
            <w:pPr>
              <w:pStyle w:val="Normal6a"/>
            </w:pPr>
            <w:r>
              <w:t>e)</w:t>
            </w:r>
            <w:r>
              <w:tab/>
            </w:r>
            <w:r>
              <w:t xml:space="preserve">Utveckla stödprogram för företag </w:t>
            </w:r>
            <w:r>
              <w:rPr>
                <w:b/>
                <w:i/>
              </w:rPr>
              <w:t>som är grundade på sociala villkor</w:t>
            </w:r>
            <w:r>
              <w:t>, särskilt små och medelstora företag och lokala aktörer, för att uppmuntra skapandet av lokala arbetstillfällen.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Utveckla stödprogram för företag, särskilt små och medelstora företag och lokala aktörer, för att uppmuntra skapandet av lokala arbetstillfällen.</w:t>
            </w:r>
          </w:p>
        </w:tc>
        <w:tc>
          <w:tcPr>
            <w:tcW w:w="4876" w:type="dxa"/>
            <w:tcBorders>
              <w:top w:val="nil"/>
              <w:left w:val="nil"/>
              <w:bottom w:val="nil"/>
              <w:right w:val="nil"/>
            </w:tcBorders>
          </w:tcPr>
          <w:p>
            <w:pPr>
              <w:pStyle w:val="Normal6a"/>
            </w:pPr>
            <w:r>
              <w:t>e)</w:t>
            </w:r>
            <w:r>
              <w:tab/>
            </w:r>
            <w:r>
              <w:t xml:space="preserve">Utveckla stödprogram för företag, särskilt små och medelstora företag och lokala aktörer, för att uppmuntra skapandet av lokala arbetstillfällen </w:t>
            </w:r>
            <w:r>
              <w:rPr>
                <w:b/>
                <w:i/>
              </w:rPr>
              <w:t>av hög kvalitet</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När det gäller omstruktureringar med potentiell uppsägning ska medlemsstaterna utveckla stödprogram och incitament för arbetstagarledda initiativ, inbegripet arbetstagarkooperativ, anställdas övertagande av företag och andra former av kollektivt eller samhällsbaserat ägande, om dessa syftar till att säkerställa en socialt och miljömässigt rättvis omställning.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Se till att utbud och efterfrågan på arbetskraft och kompetens matchas genom en kombination av arbetsmarknadsinformation, ökat samarbete mellan lokala aktörer och utbildningsanordnare samt främjande av omställningsplaner på företagsnivå.</w:t>
            </w:r>
          </w:p>
        </w:tc>
        <w:tc>
          <w:tcPr>
            <w:tcW w:w="4876" w:type="dxa"/>
            <w:tcBorders>
              <w:top w:val="nil"/>
              <w:left w:val="nil"/>
              <w:bottom w:val="nil"/>
              <w:right w:val="nil"/>
            </w:tcBorders>
          </w:tcPr>
          <w:p>
            <w:pPr>
              <w:pStyle w:val="Normal6a"/>
            </w:pPr>
            <w:r>
              <w:t>f)</w:t>
            </w:r>
            <w:r>
              <w:tab/>
            </w:r>
            <w:r>
              <w:t>Se till att utbud och efterfrågan på arbetskraft och kompetens matchas genom en kombination av arbetsmarknadsinformation, ökat samarbete mellan lokala aktörer</w:t>
            </w:r>
            <w:r>
              <w:rPr>
                <w:b/>
                <w:i/>
              </w:rPr>
              <w:t>, arbetsmarknadens parter</w:t>
            </w:r>
            <w:r>
              <w:t xml:space="preserve"> och utbildningsanordnare samt främjande av omställningsplaner på företagsnivå.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Se till att utbud och efterfrågan på arbetskraft och kompetens matchas genom en kombination av arbetsmarknadsinformation</w:t>
            </w:r>
            <w:r>
              <w:rPr>
                <w:b/>
                <w:i/>
              </w:rPr>
              <w:t>,</w:t>
            </w:r>
            <w:r>
              <w:t xml:space="preserve"> ökat samarbete mellan lokala aktörer och utbildningsanordnare </w:t>
            </w:r>
            <w:r>
              <w:rPr>
                <w:b/>
                <w:i/>
              </w:rPr>
              <w:t>samt främjande av omställningsplaner på företagsnivå</w:t>
            </w:r>
            <w:r>
              <w:t>.</w:t>
            </w:r>
          </w:p>
        </w:tc>
        <w:tc>
          <w:tcPr>
            <w:tcW w:w="4876" w:type="dxa"/>
            <w:tcBorders>
              <w:top w:val="nil"/>
              <w:left w:val="nil"/>
              <w:bottom w:val="nil"/>
              <w:right w:val="nil"/>
            </w:tcBorders>
          </w:tcPr>
          <w:p>
            <w:pPr>
              <w:pStyle w:val="Normal6a"/>
            </w:pPr>
            <w:r>
              <w:t>f)</w:t>
            </w:r>
            <w:r>
              <w:tab/>
            </w:r>
            <w:r>
              <w:t xml:space="preserve">Se till att utbud och efterfrågan på arbetskraft och kompetens matchas genom en kombination av arbetsmarknadsinformation </w:t>
            </w:r>
            <w:r>
              <w:rPr>
                <w:b/>
                <w:i/>
              </w:rPr>
              <w:t>och</w:t>
            </w:r>
            <w:r>
              <w:t xml:space="preserve"> ökat samarbete mellan </w:t>
            </w:r>
            <w:r>
              <w:rPr>
                <w:b/>
                <w:i/>
              </w:rPr>
              <w:t>arbetsmarknadens parter,</w:t>
            </w:r>
            <w:r>
              <w:t xml:space="preserve"> lokala aktörer och utbildningsanordnare.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Se till att utbud och efterfrågan på arbetskraft och kompetens matchas genom en kombination av arbetsmarknadsinformation, ökat samarbete mellan lokala aktörer och utbildningsanordnare samt främjande av omställningsplaner på företagsnivå.</w:t>
            </w:r>
          </w:p>
        </w:tc>
        <w:tc>
          <w:tcPr>
            <w:tcW w:w="4876" w:type="dxa"/>
            <w:tcBorders>
              <w:top w:val="nil"/>
              <w:left w:val="nil"/>
              <w:bottom w:val="nil"/>
              <w:right w:val="nil"/>
            </w:tcBorders>
          </w:tcPr>
          <w:p>
            <w:pPr>
              <w:pStyle w:val="Normal6a"/>
            </w:pPr>
            <w:r>
              <w:t>f)</w:t>
            </w:r>
            <w:r>
              <w:tab/>
            </w:r>
            <w:r>
              <w:t>Se till att utbud och efterfrågan på arbetskraft och kompetens matchas genom en kombination av arbetsmarknadsinformation, ökat samarbete mellan lokala aktörer</w:t>
            </w:r>
            <w:r>
              <w:rPr>
                <w:b/>
                <w:i/>
              </w:rPr>
              <w:t>, arbetsmarknadens parter</w:t>
            </w:r>
            <w:r>
              <w:t xml:space="preserve"> och utbildningsanordnare samt främjande av omställningsplaner på företagsnivå.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Upprätta obligatoriska omställningsplaner för företag, i proportion till deras storlek och typ.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Utveckla en övervakningsstruktur som erbjuder strategisk framsyn om omställningens effekter och arbetsmarknadsutvecklingen.</w:t>
            </w:r>
          </w:p>
        </w:tc>
        <w:tc>
          <w:tcPr>
            <w:tcW w:w="4876" w:type="dxa"/>
            <w:tcBorders>
              <w:top w:val="nil"/>
              <w:left w:val="nil"/>
              <w:bottom w:val="nil"/>
              <w:right w:val="nil"/>
            </w:tcBorders>
          </w:tcPr>
          <w:p>
            <w:pPr>
              <w:pStyle w:val="Normal6a"/>
            </w:pPr>
            <w:r>
              <w:t>g)</w:t>
            </w:r>
            <w:r>
              <w:tab/>
            </w:r>
            <w:r>
              <w:t xml:space="preserve">Utveckla en övervakningsstruktur som erbjuder strategisk framsyn om omställningens effekter och arbetsmarknadsutvecklingen </w:t>
            </w:r>
            <w:r>
              <w:rPr>
                <w:b/>
                <w:i/>
              </w:rPr>
              <w:t>samt fullgörande av skyldigheterna avseende minimilöner på grundval av kollektivavtal och med deltagande av arbetsmarknadens parter (fackföreningar och organisationer i lokalsamhällena)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Utveckla en övervakningsstruktur som erbjuder strategisk framsyn om omställningens effekter och arbetsmarknadsutvecklingen.</w:t>
            </w:r>
          </w:p>
        </w:tc>
        <w:tc>
          <w:tcPr>
            <w:tcW w:w="4876" w:type="dxa"/>
            <w:tcBorders>
              <w:top w:val="nil"/>
              <w:left w:val="nil"/>
              <w:bottom w:val="nil"/>
              <w:right w:val="nil"/>
            </w:tcBorders>
          </w:tcPr>
          <w:p>
            <w:pPr>
              <w:pStyle w:val="Normal6a"/>
            </w:pPr>
            <w:r>
              <w:t>g)</w:t>
            </w:r>
            <w:r>
              <w:tab/>
            </w:r>
            <w:r>
              <w:t xml:space="preserve">Utveckla en övervakningsstruktur </w:t>
            </w:r>
            <w:r>
              <w:rPr>
                <w:b/>
                <w:i/>
              </w:rPr>
              <w:t>med deltagande från arbetsmarknadens parter och andra berörda parter</w:t>
            </w:r>
            <w:r>
              <w:t xml:space="preserve"> som erbjuder strategisk framsyn om omställningens effekter och arbetsmarknadsutvecklingen </w:t>
            </w:r>
            <w:r>
              <w:rPr>
                <w:b/>
                <w:i/>
              </w:rPr>
              <w:t>samt övervaka genomförandet och fördelningseffekterna av omställningsstrategier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Utveckla en övervakningsstruktur som erbjuder strategisk framsyn om omställningens effekter och arbetsmarknadsutvecklingen.</w:t>
            </w:r>
          </w:p>
        </w:tc>
        <w:tc>
          <w:tcPr>
            <w:tcW w:w="4876" w:type="dxa"/>
            <w:tcBorders>
              <w:top w:val="nil"/>
              <w:left w:val="nil"/>
              <w:bottom w:val="nil"/>
              <w:right w:val="nil"/>
            </w:tcBorders>
          </w:tcPr>
          <w:p>
            <w:pPr>
              <w:pStyle w:val="Normal6a"/>
            </w:pPr>
            <w:r>
              <w:t>g)</w:t>
            </w:r>
            <w:r>
              <w:tab/>
            </w:r>
            <w:r>
              <w:t xml:space="preserve">Utveckla en övervakningsstruktur </w:t>
            </w:r>
            <w:r>
              <w:rPr>
                <w:b/>
                <w:i/>
              </w:rPr>
              <w:t>med deltagande från arbetsmarknadens parter</w:t>
            </w:r>
            <w:r>
              <w:t xml:space="preserve"> som erbjuder strategisk framsyn om omställningens effekter och arbetsmarknadsutvecklingen </w:t>
            </w:r>
            <w:r>
              <w:rPr>
                <w:b/>
                <w:i/>
              </w:rPr>
              <w:t>samt övervaka genomförandet av omställningsstrategier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Utveckla en övervakningsstruktur som erbjuder strategisk framsyn om omställningens effekter och arbetsmarknadsutvecklingen.</w:t>
            </w:r>
          </w:p>
        </w:tc>
        <w:tc>
          <w:tcPr>
            <w:tcW w:w="4876" w:type="dxa"/>
            <w:tcBorders>
              <w:top w:val="nil"/>
              <w:left w:val="nil"/>
              <w:bottom w:val="nil"/>
              <w:right w:val="nil"/>
            </w:tcBorders>
          </w:tcPr>
          <w:p>
            <w:pPr>
              <w:pStyle w:val="Normal6a"/>
            </w:pPr>
            <w:r>
              <w:t>g)</w:t>
            </w:r>
            <w:r>
              <w:tab/>
            </w:r>
            <w:r>
              <w:t xml:space="preserve">Utveckla en övervakningsstruktur </w:t>
            </w:r>
            <w:r>
              <w:rPr>
                <w:b/>
                <w:i/>
              </w:rPr>
              <w:t>med deltagande från arbetsmarknadens parter</w:t>
            </w:r>
            <w:r>
              <w:t xml:space="preserve"> som erbjuder strategisk framsyn om omställningens effekter och arbetsmarknadsutvecklingen </w:t>
            </w:r>
            <w:r>
              <w:rPr>
                <w:b/>
                <w:i/>
              </w:rPr>
              <w:t>samt övervaka genomförandet av omställningsstrategier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ga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Stärka kollektivförhandlingarna och öka kollektivförhandlingarnas täckning för att stödja arbetstagarnas omställning till nya anställningar på ett ändamålsenligt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ga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Stärka kollektivförhandlingarna och öka kollektivförhandlingarnas täckning för att stödja arbetstagarnas omställning på ett ändamålsenligt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ga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Fastställa ändamålsenliga, proportionella och avskräckande påföljder som gäller för överträdelser av rättigheter och skyldigheter.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 – stycke 1 – led gb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Säkerställa att enskilda eller kollektiva uppsägningar endast betraktas som en sista utväg i samband med omställningar och genomförande av planer för en rättvis omställning.</w:t>
            </w:r>
            <w:r>
              <w:t xml:space="preserve"> </w:t>
            </w:r>
            <w:r>
              <w:rPr>
                <w:b/>
                <w:i/>
              </w:rPr>
              <w:t>Arbetstagare som riskerar att sägas upp ska ha rätt till betald arbetstidsminskning, byte av anställning, system för förtidspensionering samt betald utbildning för omskolning och kompetenshöjning för att undvika att arbetstillfällen går förlorade.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rekommendation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Rekommendation 3a: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Genomdrivandeåtgärder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För att säkerställa att direktivet genomförs och efterlevs på ett ändamålsenligt sätt bör förslaget innehålla åtminstone följande åtgärder: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Villkorad tillgång till allmänna medel.</w:t>
            </w:r>
            <w:r>
              <w:t xml:space="preserve"> </w:t>
            </w:r>
            <w:r>
              <w:rPr>
                <w:b/>
                <w:i/>
              </w:rPr>
              <w:t>Medlemsstaterna ska säkerställa att de ekonomiska aktörerna vid fullgörandet av offentliga kontrakt uppfyller skyldigheterna i direktivet och att mottagare av EU-stöd och statligt stöd uppfyller skyldigheterna i detta direktiv, i tillämplig social- och arbetsmarknadslagstiftning i unionsrätten och i nationell lagstiftning samt i kollektivavtal.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Påföljder.</w:t>
            </w:r>
            <w:r>
              <w:t xml:space="preserve"> </w:t>
            </w:r>
            <w:r>
              <w:rPr>
                <w:b/>
                <w:i/>
              </w:rPr>
              <w:t>I direktivet bör det fastställas en miniminivå av ändamålsenliga, proportionella och avskräckande påföljder som ska fastställas av medlemsstaterna vid överträdelse av de rättigheter och skyldigheter som omfattas av detta direktiv.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Bestämmelser om upprätthållande av skyddsnivån samt förmånligare bestämmelser.</w:t>
            </w:r>
            <w:r>
              <w:t xml:space="preserve"> </w:t>
            </w:r>
            <w:r>
              <w:rPr>
                <w:b/>
                <w:i/>
              </w:rPr>
              <w:t>Direktivet ska inte utgöra ett giltigt skäl för att sänka den allmänna skyddsnivå som arbetstagarna i medlemsstaterna redan åtnjuter.</w:t>
            </w:r>
            <w:r>
              <w:t xml:space="preserve"> </w:t>
            </w:r>
            <w:r>
              <w:rPr>
                <w:b/>
                <w:i/>
              </w:rPr>
              <w:t>Direktivet påverkar inte medlemsstaternas rätt att tillämpa eller införa lagar eller andra författningar som är förmånligare för arbetstagare och/eller de samhällen som påverkas, eller att främja eller tillåta tillämpningen av kollektivavtal som är förmånligare för arbetstagare.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Säkerställa grundläggande rättigheter och oberoende för arbetsmarknadens parter.</w:t>
            </w:r>
            <w:r>
              <w:t xml:space="preserve"> </w:t>
            </w:r>
            <w:r>
              <w:rPr>
                <w:b/>
                <w:i/>
              </w:rPr>
              <w:t>Ingenting i detta direktiv ska tolkas eller tillämpas på ett sätt som begränsar, inkräktar på eller undergräver de grundläggande rättigheter som erkänns i medlemsstaterna, inbegripet rätten till kollektiva förhandlingar, rätten att strejka och rätten att vidta kollektiva åtgärder.</w:t>
            </w:r>
            <w:r>
              <w:t xml:space="preserve"> </w:t>
            </w:r>
            <w:r>
              <w:rPr>
                <w:b/>
                <w:i/>
              </w:rPr>
              <w:t>Detta direktiv respekterar arbetsmarknaden parters självständighet och påverkar inte deras förmåga att förhandla om, ingå eller tillämpa kollektivavtal, eller att bedriva annan verksamhet som är förenlig med nationella system för förhållandet mellan arbetsmarknadens parter, i syfte att bygga vidare på och stärka de skyldigheter och rättigheter som fastställs i detta direktiv.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778.022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186</w:t>
    </w:r>
    <w:r>
      <w:fldChar w:fldCharType="end"/>
    </w:r>
    <w:r>
      <w:t>/</w:t>
    </w:r>
    <w:r>
      <w:fldChar w:fldCharType="begin"/>
    </w:r>
    <w:r>
      <w:instrText xml:space="preserve"> NUMPAGES </w:instrText>
    </w:r>
    <w:r>
      <w:fldChar w:fldCharType="separate"/>
    </w:r>
    <w:r>
      <w:t>186</w:t>
    </w:r>
    <w:r>
      <w:fldChar w:fldCharType="end"/>
    </w:r>
    <w:r>
      <w:tab/>
    </w:r>
    <w:r>
      <w:rPr>
        <w:rStyle w:val="HideTWBExt"/>
      </w:rPr>
      <w:t>&lt;PathFdR&gt;</w:t>
    </w:r>
    <w:r>
      <w:t>AM\1328386SV.docx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AM\1328386SV.docx</w:t>
    </w:r>
    <w:r>
      <w:rPr>
        <w:rStyle w:val="HideTWBExt"/>
      </w:rPr>
      <w:t>&lt;/PathFdR&gt;</w:t>
    </w:r>
    <w:r>
      <w:tab/>
    </w:r>
    <w:r>
      <w:fldChar w:fldCharType="begin"/>
    </w:r>
    <w:r>
      <w:instrText xml:space="preserve"> PAGE </w:instrText>
    </w:r>
    <w:r>
      <w:fldChar w:fldCharType="separate"/>
    </w:r>
    <w:r>
      <w:t>185</w:t>
    </w:r>
    <w:r>
      <w:fldChar w:fldCharType="end"/>
    </w:r>
    <w:r>
      <w:t>/</w:t>
    </w:r>
    <w:r>
      <w:fldChar w:fldCharType="begin"/>
    </w:r>
    <w:r>
      <w:instrText xml:space="preserve"> NUMPAGES </w:instrText>
    </w:r>
    <w:r>
      <w:fldChar w:fldCharType="separate"/>
    </w:r>
    <w:r>
      <w:t>186</w:t>
    </w:r>
    <w:r>
      <w:fldChar w:fldCharType="end"/>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AM\1328386SV.docx</w:t>
    </w:r>
    <w:r>
      <w:rPr>
        <w:rStyle w:val="HideTWBExt"/>
      </w:rPr>
      <w:t>&lt;/PathFdR&gt;</w:t>
    </w:r>
    <w:r>
      <w:tab/>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186</Pages>
  <Words>40069</Words>
  <Characters>266504</Characters>
  <Application>Microsoft Office Word</Application>
  <DocSecurity>0</DocSecurity>
  <Lines>1</Lines>
  <Paragraphs>2919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261766</vt:lpwstr>
  </property>
  <property fmtid="{D5CDD505-2E9C-101B-9397-08002B2CF9AE}" pid="7" name="dmxml.render.traceId">
    <vt:lpwstr>68ee25157e02b3fca2b35dd9055c57e1</vt:lpwstr>
  </property>
  <property fmtid="{D5CDD505-2E9C-101B-9397-08002B2CF9AE}" pid="8" name="FooterPath">
    <vt:lpwstr>AM\1328386SV.docx</vt:lpwstr>
  </property>
  <property fmtid="{D5CDD505-2E9C-101B-9397-08002B2CF9AE}" pid="9" name="PE Number">
    <vt:lpwstr>778.022</vt:lpwstr>
  </property>
  <property fmtid="{D5CDD505-2E9C-101B-9397-08002B2CF9AE}" pid="10" name="UID">
    <vt:lpwstr>eu.europa.europarl-DIN1-2025-0000177077_02.00-sv-01.00_text-xml</vt:lpwstr>
  </property>
</Properties>
</file>