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Комисия по заетост и социални въпроси</w:t>
      </w:r>
      <w:r>
        <w:rPr>
          <w:rStyle w:val="HideTWBExt"/>
        </w:rPr>
        <w:t>&lt;/Commission&gt;</w:t>
      </w:r>
    </w:p>
    <w:p>
      <w:pPr>
        <w:pStyle w:val="LineBottom"/>
      </w:pPr>
      <w:r>
        <w:t xml:space="preserve"> </w:t>
      </w:r>
    </w:p>
    <w:p>
      <w:pPr>
        <w:pStyle w:val="CoverReference"/>
      </w:pPr>
      <w:r>
        <w:rPr>
          <w:rStyle w:val="HideTWBExt"/>
        </w:rPr>
        <w:t>&lt;RefProc&gt;</w:t>
      </w:r>
      <w:r>
        <w:t>2025/2184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{23/04/2026}</w:t>
      </w:r>
      <w:r>
        <w:t>23.4.2026</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1</w:t>
      </w:r>
      <w:r>
        <w:t xml:space="preserve"> - </w:t>
      </w:r>
      <w:r>
        <w:t>80</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Христо Петров</w:t>
      </w:r>
      <w:r>
        <w:rPr>
          <w:rStyle w:val="HideTWBExt"/>
        </w:rPr>
        <w:t>&lt;/Rapporteur&gt;</w:t>
      </w:r>
    </w:p>
    <w:p>
      <w:pPr>
        <w:pStyle w:val="CoverNormal24a"/>
      </w:pPr>
      <w:r>
        <w:rPr>
          <w:rStyle w:val="HideTWBExt"/>
        </w:rPr>
        <w:t>&lt;DocRefPE&gt;</w:t>
      </w:r>
      <w:r>
        <w:t>(PE785.214v01-00)</w:t>
      </w:r>
      <w:r>
        <w:rPr>
          <w:rStyle w:val="HideTWBExt"/>
        </w:rPr>
        <w:t>&lt;/DocRefPE&gt;</w:t>
      </w:r>
    </w:p>
    <w:p>
      <w:pPr>
        <w:pStyle w:val="CoverNormal"/>
      </w:pPr>
      <w:r>
        <w:rPr>
          <w:rStyle w:val="HideTWBExt"/>
        </w:rPr>
        <w:t>&lt;Titre&gt;</w:t>
      </w:r>
      <w:r>
        <w:t>Прилагане на препоръката на Съвета от 30 октомври 2020 г. относно „Мост към работни места — укрепване на гаранцията за младежта“, и за замяна на препоръката на Съвета от 22 април 2013 г. за създаване на гаранция за младежта</w:t>
      </w:r>
      <w:r>
        <w:rPr>
          <w:rStyle w:val="HideTWBExt"/>
        </w:rPr>
        <w:t>&lt;/Titre&gt;</w:t>
      </w:r>
    </w:p>
    <w:p>
      <w:pPr>
        <w:pStyle w:val="CoverNormal24a"/>
      </w:pPr>
      <w:r>
        <w:rPr>
          <w:rStyle w:val="HideTWBExt"/>
        </w:rPr>
        <w:t>&lt;DocRef&gt;</w:t>
      </w:r>
      <w:r>
        <w:t>(2025/2184(INI))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Нилс Гойкинг, Паскал Аримон, Романа Томц, Дейвид Каза, Изабел Льо Каленек, Лисбет Сомен, Сержио Умберто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целите на социалната политика, определени в членове 151 и 153 от ДФЕС във връзка с член 3 от Регламент (ЕО) № 883/2004 за социална сигурност и социално осигуряване,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като взе предвид Европейския стълб на социалните права, обявен и подписан от Съвета, Парламента и Комисията на 17 ноември 2017 г., и по-специално принципи 1, 3 и 4 от него,</w:t>
            </w:r>
          </w:p>
        </w:tc>
        <w:tc>
          <w:tcPr>
            <w:tcW w:w="4876" w:type="dxa"/>
            <w:tcBorders>
              <w:top w:val="nil"/>
              <w:left w:val="nil"/>
              <w:bottom w:val="nil"/>
              <w:right w:val="nil"/>
            </w:tcBorders>
          </w:tcPr>
          <w:p>
            <w:pPr>
              <w:pStyle w:val="Normal6a"/>
            </w:pPr>
            <w:r>
              <w:rPr>
                <w:b/>
                <w:i/>
              </w:rPr>
              <w:t>–</w:t>
            </w:r>
            <w:r>
              <w:tab/>
            </w:r>
            <w:r>
              <w:t xml:space="preserve">като взе предвид Европейския стълб на социалните права, обявен и подписан от Съвета, Парламента и Комисията на 17 ноември 2017 г., и по-специално принципи 1, 3 и 4 от него, </w:t>
            </w:r>
            <w:r>
              <w:rPr>
                <w:b/>
                <w:i/>
              </w:rPr>
              <w:t>както и поставената в него цел за намаляване на дела на лицата, незаети с работа, учене или обучение (NEET), до 9 % до 2030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Катлийн Фъншиън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като взе предвид Европейския стълб на социалните права, обявен и подписан от Съвета, Парламента и Комисията на 17 ноември 2017 г., и по-специално принципи 1, 3 и 4 от него,</w:t>
            </w:r>
          </w:p>
        </w:tc>
        <w:tc>
          <w:tcPr>
            <w:tcW w:w="4876" w:type="dxa"/>
            <w:tcBorders>
              <w:top w:val="nil"/>
              <w:left w:val="nil"/>
              <w:bottom w:val="nil"/>
              <w:right w:val="nil"/>
            </w:tcBorders>
          </w:tcPr>
          <w:p>
            <w:pPr>
              <w:pStyle w:val="Normal6a"/>
            </w:pPr>
            <w:r>
              <w:rPr>
                <w:b/>
                <w:i/>
              </w:rPr>
              <w:t>–</w:t>
            </w:r>
            <w:r>
              <w:tab/>
            </w:r>
            <w:r>
              <w:t xml:space="preserve">като взе предвид Европейския стълб на социалните права, обявен и подписан от Съвета, Парламента и Комисията на 17 ноември 2017 г., и по-специално принципи 1, 3 и 4 от него, </w:t>
            </w:r>
            <w:r>
              <w:rPr>
                <w:b/>
                <w:i/>
              </w:rPr>
              <w:t>както и поставената в него цел за намаляване на дела на NEET, до 9 % до 2030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Еон О'Риърдойн, Естел Кьолеманс, Вилия Блинкевичуте, Идоя Мендия Куева, Романа Йеркович, Алисия Омс Хинел, Габриеле Бишоф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5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член 7 и член 17 от преразгледаната Европейска социална харта,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заключенията на Съвета относно ролята на работата с младежта в подкрепа на развитието на основни житейски умения у младите хора, които улесняват успешния им преход към зрелостта, активното гражданство и професионалния живот (2017/C 189/06),</w:t>
            </w:r>
            <w:r>
              <w:rPr>
                <w:b/>
                <w:i/>
                <w:vertAlign w:val="superscript"/>
              </w:rPr>
              <w:t>2a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OВ C 189, 15.6.2017 г., стр. 30–34.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6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изпълнението на стратегията на ЕС за младежта (2019 – 2021 г.) (2021/C 504 1/02),</w:t>
            </w:r>
            <w:r>
              <w:rPr>
                <w:b/>
                <w:i/>
                <w:vertAlign w:val="superscript"/>
              </w:rPr>
              <w:t>2б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2б</w:t>
            </w:r>
            <w:r>
              <w:t xml:space="preserve"> </w:t>
            </w:r>
            <w:r>
              <w:rPr>
                <w:b/>
                <w:i/>
              </w:rPr>
              <w:t>ОВ C 504I, 14.12.2021 г., стр. 10–11.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6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съобщението на Европейската комисия от 20 януари 2026 г., озаглавено „Съюз на равенство:</w:t>
            </w:r>
            <w:r>
              <w:t xml:space="preserve"> </w:t>
            </w:r>
            <w:r>
              <w:rPr>
                <w:b/>
                <w:i/>
              </w:rPr>
              <w:t>Стратегия за борба с расизма за периода 2026—2030 г.“ (COM(2026)0012,</w:t>
            </w:r>
            <w:r>
              <w:rPr>
                <w:b/>
                <w:i/>
                <w:vertAlign w:val="superscript"/>
              </w:rPr>
              <w:t>2в</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2в</w:t>
            </w:r>
            <w:r>
              <w:t xml:space="preserve"> </w:t>
            </w:r>
            <w:r>
              <w:rPr>
                <w:b/>
                <w:i/>
              </w:rPr>
              <w:t>COM/2026/12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6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доклада на Агенцията на Европейския съюз за основните права (FRA), озаглавен Being Black in the EU – Experiences of people of African descent (Да си чернокож в ЕС – преживявания на хора от африкански произход),</w:t>
            </w:r>
            <w:r>
              <w:rPr>
                <w:b/>
                <w:i/>
                <w:vertAlign w:val="superscript"/>
              </w:rPr>
              <w:t>2г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2г</w:t>
            </w:r>
            <w:r>
              <w:t xml:space="preserve"> </w:t>
            </w:r>
            <w:r>
              <w:rPr>
                <w:b/>
                <w:i/>
              </w:rPr>
              <w:t>https://fra.europa.eu/en/publication/2023/being-black-eu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6 д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доклада на FRA, озаглавен Being Muslim in the EU – Experiences of Muslims (Да си мюсюлманин в ЕС – преживявания на мюсюлмани),</w:t>
            </w:r>
            <w:r>
              <w:rPr>
                <w:b/>
                <w:i/>
                <w:vertAlign w:val="superscript"/>
              </w:rPr>
              <w:t>2д</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2д</w:t>
            </w:r>
            <w:r>
              <w:t xml:space="preserve"> </w:t>
            </w:r>
            <w:r>
              <w:rPr>
                <w:b/>
                <w:i/>
              </w:rPr>
              <w:t>https://fra.europa.eu/en/publication/2024/being-muslim-eu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Нилс Гойкинг, Романа Томц, Лисбет Сомен, Сержио Умберто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9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основните послания на Комитета по заетостта (EMCO), одобрени от Съвета в своя състав по заетост, социална политика, здравеопазване и потребителски въпроси (EPSCO) през 2016 г., 2018 г., 2019 г., 2021 г., 2023 г., 2025 г. и 2026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Еон О'Риърдойн, Естел Кьолеманс, Вилия Блинкевичуте, Идоя Мендия Куева, Романа Йеркович, Алисия Омс Хинел, Габриеле Бишоф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10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целите за устойчиво развитие (ЦУР) на Организацията на обединените нации, и по-специално цел 8, приети от световните лидери през септември 2015 г. и одобрени от Съвета,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Катлийн Фъншиън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12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Европейската социална харта, и по-специално член 7 и член 17 от нея,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Катлийн Фъншиън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12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Програмата до 2030 г. и целите за устойчиво развитие, по-специално цел 8 — Насърчаване на траен, приобщаващ и устойчив икономически растеж, пълна и продуктивна заетост и достойни условия на труд за всички,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препоръката на Съвета от 9 март 2026 г. относно човешкия капитал в Европейския съюз</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ОВ C, C/2026/1687.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16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становището на Европейския комитет на регионите от 5 февруари 2021 г. относно подкрепата за младежката заетост:</w:t>
            </w:r>
            <w:r>
              <w:t xml:space="preserve"> </w:t>
            </w:r>
            <w:r>
              <w:rPr>
                <w:b/>
                <w:i/>
              </w:rPr>
              <w:t>„Мост към работните места за следващото поколение и укрепване на гаранцията за младежта“</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OВ C 106, 26.3.2021 г., стр. 7–11.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Еон О'Риърдойн, Естел Кьолеманс, Вилия Блинкевичуте, Идоя Мендия Куева, Романа Йеркович, Алисия Омс Хинел, Габриеле Бишоф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17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становището на Европейския икономически и социален комитет от 29 октомври 2020 г., озаглавено „Укрепване на гаранцията за младежта“,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17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доклада на Eurofound от 2024 г., озаглавен Becoming adults: Young people in a post-pandemic world (Да бъдеш възрастен: Животът на младите хора след пандемията)</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Eurofound (2024 г.), Becoming adults: </w:t>
            </w:r>
            <w:r>
              <w:t xml:space="preserve"> </w:t>
            </w:r>
            <w:r>
              <w:rPr>
                <w:b/>
                <w:i/>
              </w:rPr>
              <w:t>Young people in a post-pandemic world (Да бъдеш възрастен: Животът на младите хора след пандемията), Служба за публикации на Европейския съюз, Люксембург.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17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доклада на Eurofound от 2024 г., озаглавен Young people in the Western Balkans (Младите хора в Западните Балкани)</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(2024 г.), Young people in the Western Balkans (Младите хора в Западните Балкани), Служба за публикации на Европейския съюз, Люксембург.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17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публикацията на Европейския център за развитие на професионалното обучение (CEDEFOP) от 2023 г., озаглавена „Европейски насоки за валидиране на неформалното и самостоятелното учене“</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Cedefop (2023 г.).</w:t>
            </w:r>
            <w:r>
              <w:t xml:space="preserve"> </w:t>
            </w:r>
            <w:r>
              <w:rPr>
                <w:b/>
                <w:i/>
              </w:rPr>
              <w:t>Европейски насоки за валидиране на неформалното и самостоятелното учене.</w:t>
            </w:r>
            <w:r>
              <w:t xml:space="preserve"> </w:t>
            </w:r>
            <w:r>
              <w:rPr>
                <w:b/>
                <w:i/>
              </w:rPr>
              <w:t>Люксембург:</w:t>
            </w:r>
            <w:r>
              <w:t xml:space="preserve"> </w:t>
            </w:r>
            <w:r>
              <w:rPr>
                <w:b/>
                <w:i/>
              </w:rPr>
              <w:t>Служба за публикации.</w:t>
            </w:r>
            <w:r>
              <w:t xml:space="preserve"> </w:t>
            </w:r>
            <w:r>
              <w:rPr>
                <w:b/>
                <w:i/>
              </w:rPr>
              <w:t>Референтни серии на Cedefop;</w:t>
            </w:r>
            <w:r>
              <w:t xml:space="preserve"> </w:t>
            </w:r>
            <w:r>
              <w:rPr>
                <w:b/>
                <w:i/>
              </w:rPr>
              <w:t>№ 124. http://data.europa.eu/doi/10.2801/389827.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17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публикацията на Европейската фондация за обучение от 2025 г., озаглавена Outreach to Young People not in Employment, Education or Training: A practical Manual for Outreach</w:t>
            </w:r>
            <w:r>
              <w:t xml:space="preserve"> </w:t>
            </w:r>
            <w:r>
              <w:rPr>
                <w:b/>
                <w:i/>
              </w:rPr>
              <w:t>(Информационни дейности за младите хора, незаети с работа, учене или обучение: Практическо ръководство за информационни дейности)</w:t>
            </w:r>
            <w:r>
              <w:rPr>
                <w:b/>
                <w:i/>
                <w:vertAlign w:val="superscript"/>
              </w:rPr>
              <w:t>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Европейска фондация за обучение (2025 г.), Outreach to Young People not in Employment, Education or Training: A practical Manual for Outreach</w:t>
            </w:r>
            <w:r>
              <w:t xml:space="preserve"> </w:t>
            </w:r>
            <w:r>
              <w:rPr>
                <w:b/>
                <w:i/>
              </w:rPr>
              <w:t>(Информационни дейности за младите хора, незаети с работа, учене или обучение: Практическо ръководство за информационни дейности), Торино, Италия.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17 д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публикацията на CEDEFOP от 2026 г., озаглавена An EU reference framework for lifelong guidance: 18 guidelines for policy and system development (Референтна рамка на ЕС за професионално ориентиране през целия живот: 18 насоки за разработване на политики и системи)</w:t>
            </w:r>
            <w:r>
              <w:rPr>
                <w:b/>
                <w:i/>
                <w:vertAlign w:val="superscript"/>
              </w:rPr>
              <w:t>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Cedefop (2026 г.).</w:t>
            </w:r>
            <w:r>
              <w:t xml:space="preserve"> </w:t>
            </w:r>
            <w:r>
              <w:rPr>
                <w:b/>
                <w:i/>
              </w:rPr>
              <w:t>An EU reference framework for lifelong guidance: 18 guidelines for policy and system development </w:t>
            </w:r>
            <w:r>
              <w:t xml:space="preserve"> </w:t>
            </w:r>
            <w:r>
              <w:rPr>
                <w:b/>
                <w:i/>
              </w:rPr>
              <w:t>(Референтна рамка на ЕС за професионално ориентиране през целия живот: 18 насоки за разработване на политики и системи).</w:t>
            </w:r>
            <w:r>
              <w:t xml:space="preserve"> </w:t>
            </w:r>
            <w:r>
              <w:rPr>
                <w:b/>
                <w:i/>
              </w:rPr>
              <w:t>Референтни серии на Cedefop, 125.</w:t>
            </w:r>
            <w:r>
              <w:t xml:space="preserve"> </w:t>
            </w:r>
            <w:r>
              <w:rPr>
                <w:b/>
                <w:i/>
              </w:rPr>
              <w:t>Служба за публикации на Европейския съюз.</w:t>
            </w:r>
            <w:r>
              <w:t xml:space="preserve"> </w:t>
            </w:r>
            <w:r>
              <w:rPr>
                <w:b/>
                <w:i/>
              </w:rPr>
              <w:t>DOI:</w:t>
            </w:r>
            <w:r>
              <w:t xml:space="preserve"> </w:t>
            </w:r>
            <w:r>
              <w:rPr>
                <w:b/>
                <w:i/>
              </w:rPr>
              <w:t>10.2801/8255414.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като взе предвид оценката за прилагането на европейско равнище от 18 декември 2025 г., озаглавена The implementation of the reinforced Youth Guarantee – Trends in EU Member States, impact, EU funding and governance (Прилагане на засилената гаранция за младежта – тенденции в държавите – членки на ЕС, въздействие, финансиране от ЕС и управление), публикувана от Службата на ЕП за парламентарни изследвания,</w:t>
            </w:r>
          </w:p>
        </w:tc>
        <w:tc>
          <w:tcPr>
            <w:tcW w:w="4876" w:type="dxa"/>
            <w:tcBorders>
              <w:top w:val="nil"/>
              <w:left w:val="nil"/>
              <w:bottom w:val="nil"/>
              <w:right w:val="nil"/>
            </w:tcBorders>
          </w:tcPr>
          <w:p>
            <w:pPr>
              <w:pStyle w:val="Normal6a"/>
            </w:pPr>
            <w:r>
              <w:rPr>
                <w:b/>
                <w:i/>
              </w:rPr>
              <w:t>–</w:t>
            </w:r>
            <w:r>
              <w:tab/>
            </w:r>
            <w:r>
              <w:t>като взе предвид оценката за прилагането на европейско равнище от 18 декември 2025 г., озаглавена The implementation of the reinforced Youth Guarantee – Trends in EU Member States, impact, EU funding and governance (Прилагане на засилената гаранция за младежта – тенденции в държавите – членки на ЕС, въздействие, финансиране от ЕС и управление), публикувана от Службата на ЕП за парламентарни изследвания</w:t>
            </w:r>
            <w:r>
              <w:rPr>
                <w:b/>
                <w:i/>
                <w:vertAlign w:val="superscript"/>
              </w:rPr>
              <w:t>8a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https://www.europarl.europa.eu/thinktank/en/document/EPRS_STU(2025)774714.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18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проучването, публикувано от Европейския комитет на регионите през юни 2022 г., озаглавено The local implementation of the Reinforced Youth Guarantee (Прилагане на местно равнище на засилената гаранция за младежта),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18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документа за изразяване на позиция на Европейския младежки форум от 13 март 2025 г., озаглавен Youth Guarantee: How to support young people finding a pathway (Гаранция за младежта: Как да подкрепим младите хора в намирането на професионален път),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Нилс Гойкинг, Паскал Аримон, Романа Томц, Дейвид Каза, Изабел Льо Каленек, Мириам Лексман, Лисбет Сомен, Сержио Умберто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19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резолюцията на Европейския парламент от 21 ноември 2023 г., озаглавена „Намаляване на неравенствата и насърчаване на социалното приобщаване по време на криза за децата и техните семейства“</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https://eur-lex.europa.eu/eli/C/2024/4211/oj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19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своята резолюция от 17 февруари 2022 г., относно овластяването на европейската младеж:</w:t>
            </w:r>
            <w:r>
              <w:t xml:space="preserve"> </w:t>
            </w:r>
            <w:r>
              <w:rPr>
                <w:b/>
                <w:i/>
              </w:rPr>
              <w:t>заетост след пандемията и социално възстановяване</w:t>
            </w:r>
            <w:r>
              <w:rPr>
                <w:b/>
                <w:i/>
                <w:vertAlign w:val="superscript"/>
              </w:rPr>
              <w:t>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9a</w:t>
            </w:r>
            <w:r>
              <w:t xml:space="preserve"> </w:t>
            </w:r>
            <w:r>
              <w:rPr>
                <w:b/>
                <w:i/>
              </w:rPr>
              <w:t>ОВ С 342, 6.9.2022 г., стр. 265–275.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19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своята резолюция от 11 март 2025 г. относно Европейския социален фонд плюс за периода след 2027 г.</w:t>
            </w:r>
            <w:r>
              <w:rPr>
                <w:b/>
                <w:i/>
                <w:vertAlign w:val="superscript"/>
              </w:rPr>
              <w:t>10a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ОВ C, C/2025/3146.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19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своята резолюция от 27 ноември 2025 г. относно Стратегията на ЕС за правата на хората с увреждания за периода след 2024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Мари Доши, Северин Вербрук, Мелани Дидие, Маргарита де ла Писа Карион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като има предвид, че засилената гаранция за младежта представлява ангажимент от страна на държавите членки към младите </w:t>
            </w:r>
            <w:r>
              <w:rPr>
                <w:b/>
                <w:i/>
              </w:rPr>
              <w:t>хора</w:t>
            </w:r>
            <w:r>
              <w:t xml:space="preserve"> под 30-годишна възраст да им предложат възможност за качествена работа, продължаване на образованието, чиракуване или стаж в срок от четири месеца, след като останат без работа или напуснат системата на формалното образование;</w:t>
            </w:r>
          </w:p>
        </w:tc>
        <w:tc>
          <w:tcPr>
            <w:tcW w:w="4876" w:type="dxa"/>
            <w:tcBorders>
              <w:top w:val="nil"/>
              <w:left w:val="nil"/>
              <w:bottom w:val="nil"/>
              <w:right w:val="nil"/>
            </w:tcBorders>
          </w:tcPr>
          <w:p>
            <w:pPr>
              <w:pStyle w:val="Normal6a"/>
            </w:pPr>
            <w:r>
              <w:t>А.</w:t>
            </w:r>
            <w:r>
              <w:tab/>
            </w:r>
            <w:r>
              <w:t xml:space="preserve">като има предвид, че засилената гаранция за младежта представлява ангажимент от страна на държавите членки към младите </w:t>
            </w:r>
            <w:r>
              <w:rPr>
                <w:b/>
                <w:i/>
              </w:rPr>
              <w:t>граждани</w:t>
            </w:r>
            <w:r>
              <w:t xml:space="preserve"> под 30-годишна възраст да им предложат</w:t>
            </w:r>
            <w:r>
              <w:rPr>
                <w:b/>
                <w:i/>
              </w:rPr>
              <w:t>, на теория,</w:t>
            </w:r>
            <w:r>
              <w:t xml:space="preserve"> възможност за качествена работа, продължаване на образованието, чиракуване или стаж в срок от четири месеца, след като останат без работа или напуснат системата на формалното образование</w:t>
            </w:r>
            <w:r>
              <w:rPr>
                <w:b/>
                <w:i/>
              </w:rPr>
              <w:t>, като има предвид, че на практика този ангажимент се сблъска с реалностите по места и се оказа неосъществима бюрократична мечта, като повече от половината от младите хора в Съюза все още очакват предложение след изтичането на този срок</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като има предвид, че засилената гаранция за младежта представлява ангажимент от страна на държавите членки към младите хора под 30-годишна възраст да им предложат възможност за качествена работа, продължаване на образованието, чиракуване или стаж в срок от четири месеца, след като останат без работа или напуснат системата на формалното образование;</w:t>
            </w:r>
          </w:p>
        </w:tc>
        <w:tc>
          <w:tcPr>
            <w:tcW w:w="4876" w:type="dxa"/>
            <w:tcBorders>
              <w:top w:val="nil"/>
              <w:left w:val="nil"/>
              <w:bottom w:val="nil"/>
              <w:right w:val="nil"/>
            </w:tcBorders>
          </w:tcPr>
          <w:p>
            <w:pPr>
              <w:pStyle w:val="Normal6a"/>
            </w:pPr>
            <w:r>
              <w:t>А.</w:t>
            </w:r>
            <w:r>
              <w:tab/>
            </w:r>
            <w:r>
              <w:t xml:space="preserve">като има предвид, че засилената гаранция за младежта представлява ангажимент от страна на държавите членки към младите хора под 30-годишна възраст да им предложат възможност за качествена работа, продължаване на образованието, чиракуване или стаж в срок от четири месеца, след като останат без работа или напуснат системата на формалното образование; </w:t>
            </w:r>
            <w:r>
              <w:rPr>
                <w:b/>
                <w:i/>
              </w:rPr>
              <w:t>като има предвид, че от създаването си през 2013 г. около 60 милиона млади европейци са се възползвали от предложение по схемите на гаранцията за младежта;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Еон О'Риърдойн, Естел Кьолеманс, Вилия Блинкевичуте, Идоя Мендия Куева, Романа Йеркович, Алисия Омс Хинел, Габриеле Бишоф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като има предвид, че </w:t>
            </w:r>
            <w:r>
              <w:rPr>
                <w:b/>
                <w:i/>
              </w:rPr>
              <w:t>засилената</w:t>
            </w:r>
            <w:r>
              <w:t xml:space="preserve"> гаранция за младежта </w:t>
            </w:r>
            <w:r>
              <w:rPr>
                <w:b/>
                <w:i/>
              </w:rPr>
              <w:t>представлява</w:t>
            </w:r>
            <w:r>
              <w:t xml:space="preserve"> ангажимент от страна на държавите членки към младите хора под 30-годишна възраст да им предложат възможност за качествена работа, продължаване на образованието, чиракуване или стаж в срок от четири месеца, след като останат без работа или напуснат системата на формалното образование;</w:t>
            </w:r>
          </w:p>
        </w:tc>
        <w:tc>
          <w:tcPr>
            <w:tcW w:w="4876" w:type="dxa"/>
            <w:tcBorders>
              <w:top w:val="nil"/>
              <w:left w:val="nil"/>
              <w:bottom w:val="nil"/>
              <w:right w:val="nil"/>
            </w:tcBorders>
          </w:tcPr>
          <w:p>
            <w:pPr>
              <w:pStyle w:val="Normal6a"/>
            </w:pPr>
            <w:r>
              <w:t>А.</w:t>
            </w:r>
            <w:r>
              <w:tab/>
            </w:r>
            <w:r>
              <w:t xml:space="preserve">като има предвид, че </w:t>
            </w:r>
            <w:r>
              <w:rPr>
                <w:b/>
                <w:i/>
              </w:rPr>
              <w:t>гаранцията за младежта беше създадена през 2013 г. и укрепена през 2020 г. (засилена</w:t>
            </w:r>
            <w:r>
              <w:t xml:space="preserve"> гаранция за младежта</w:t>
            </w:r>
            <w:r>
              <w:rPr>
                <w:b/>
                <w:i/>
              </w:rPr>
              <w:t>);</w:t>
            </w:r>
            <w:r>
              <w:t xml:space="preserve"> </w:t>
            </w:r>
            <w:r>
              <w:rPr>
                <w:b/>
                <w:i/>
              </w:rPr>
              <w:t>като има предвид, че това е</w:t>
            </w:r>
            <w:r>
              <w:t xml:space="preserve"> ангажимент от страна на държавите членки към младите хора под 30-годишна възраст да им предложат възможност за качествена работа, продължаване на образованието, чиракуване или стаж в срок от четири месеца, след като останат без работа или напуснат системата на формалното образование;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Еон О'Риърдойн, Естел Кьолеманс, Вилия Блинкевичуте, Идоя Мендия Куева, Романа Йеркович, Алисия Омс Хинел, Габриеле Бишоф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като има предвид, че целта на засилената гаранция за младежта е да се бори с младежката безработица, неактивността и непълната заетост и да подкрепя устойчивата интеграция на младите хора в качествено образование, обучение и пазара на труда;</w:t>
            </w:r>
            <w:r>
              <w:t xml:space="preserve"> </w:t>
            </w:r>
            <w:r>
              <w:rPr>
                <w:b/>
                <w:i/>
              </w:rPr>
              <w:t>като има предвид, че целите на засилената гаранция за младежта отразяват общите политически приоритети на Европейския парламент, Комисията и държавите членки съгласно настоящата многогодишна финансова рамка (МФР), като допринасят за целта на Съюза за устойчив икономически растеж и създаване на висококачествени работни места в съответствие с Европейския стълб на социалните права;</w:t>
            </w:r>
            <w:r>
              <w:t xml:space="preserve"> </w:t>
            </w:r>
            <w:r>
              <w:rPr>
                <w:b/>
                <w:i/>
              </w:rPr>
              <w:t>като има предвид, че продължаващите проблеми и новите, бързо променящи се предизвикателства пред интеграцията на младите хора на пазара на труда изискват тези приоритети да бъдат запазени и след настоящия програмен период;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като има предвид, че държавите членки като цяло поддържат силен политически ангажимент за прилагане на гаранцията за младежта и на своите национални планове за изпълнение;</w:t>
            </w:r>
            <w:r>
              <w:t xml:space="preserve"> </w:t>
            </w:r>
            <w:r>
              <w:rPr>
                <w:b/>
                <w:i/>
              </w:rPr>
              <w:t>като има предвид, че сe полагат специални усилия за укрепване на капацитета за подкрепа на лицата, незаети с работа, учене или обучение и на дейности за взаимно обучение чрез срещи на националните координатори на равнището на ЕС или извън него;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Катлийн Фъншиън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като има предвид, че в проучване на Eurofound се подчертава, че населението в рамките на NEET е много разнородно и се състои от отделни подгрупи, всяка от които е изправена пред уникални структурни пречки и нужди, които възпрепятстват успешната им интеграция на пазара на труда;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Лара Магони, Елена Донацан, Марлена Малонг, Мариятереза Вивалдини, Франческо Торсели, Киара Джема, Геадис Геади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като има предвид, че разработването и прилагането на такива мерки следва да зачита изцяло принципа на субсидиарност и правомощията на държавите членки в областта на политиките за образование, обучение и заетост;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Аб.</w:t>
            </w:r>
            <w:r>
              <w:tab/>
            </w:r>
            <w:r>
              <w:rPr>
                <w:b/>
                <w:i/>
              </w:rPr>
              <w:t>като има предвид, че делът на NEET в ЕС възобнови низходящата си тенденция след периода след пандемията;</w:t>
            </w:r>
            <w:r>
              <w:t xml:space="preserve"> </w:t>
            </w:r>
            <w:r>
              <w:rPr>
                <w:b/>
                <w:i/>
              </w:rPr>
              <w:t>като има предвид, че Планът за действие на Европейския стълб на социалните права включва целта за намаляване на дела на NEET до 9 % сред лицата на възраст между 15 и 29 години до 2030 г.;</w:t>
            </w:r>
            <w:r>
              <w:t xml:space="preserve"> </w:t>
            </w:r>
            <w:r>
              <w:rPr>
                <w:b/>
                <w:i/>
              </w:rPr>
              <w:t>като има предвид, че тази цел е на път да бъде постигната въпреки значителните различия между държавите членки и регионите</w:t>
            </w:r>
            <w:r>
              <w:rPr>
                <w:b/>
                <w:i/>
                <w:vertAlign w:val="superscript"/>
              </w:rPr>
              <w:t>11a</w:t>
            </w:r>
            <w:r>
              <w:rPr>
                <w:b/>
                <w:i/>
              </w:rPr>
              <w:t>, и като има предвид, че постигането на тази цел все още би оставило значителен брой млади хора в несигурно положение;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11a</w:t>
            </w:r>
            <w:r>
              <w:t xml:space="preserve"> </w:t>
            </w:r>
            <w:r>
              <w:rPr>
                <w:b/>
                <w:i/>
              </w:rPr>
              <w:t>https://doi.org/10.2908/LFSI_NEET_Q.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Еон О'Риърдойн, Естел Кьолеманс, Вилия Блинкевичуте, Идоя Мендия Куева, Романа Йеркович, Алисия Омс Хинел, Габриеле Бишоф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Аб.</w:t>
            </w:r>
            <w:r>
              <w:tab/>
            </w:r>
            <w:r>
              <w:rPr>
                <w:b/>
                <w:i/>
              </w:rPr>
              <w:t>като има предвид, че неработещите, неучещи и необучаващи се млади хора, представляват разнородна група от млади хора с различен житейски опит;</w:t>
            </w:r>
            <w:r>
              <w:t xml:space="preserve"> </w:t>
            </w:r>
            <w:r>
              <w:rPr>
                <w:b/>
                <w:i/>
              </w:rPr>
              <w:t>като има предвид, че в проучване на Eurofound</w:t>
            </w:r>
            <w:r>
              <w:rPr>
                <w:b/>
                <w:i/>
                <w:vertAlign w:val="superscript"/>
              </w:rPr>
              <w:t>1a</w:t>
            </w:r>
            <w:r>
              <w:t xml:space="preserve"> </w:t>
            </w:r>
            <w:r>
              <w:rPr>
                <w:b/>
                <w:i/>
              </w:rPr>
              <w:t>се подчертава, че населението в рамките на NEET е много разнородно и се състои от отделни подгрупи, всяка от които е изправена пред уникални структурни пречки, които възпрепятстват успешната им интеграция на пазара на труда, и следователно изисква съобразена с потребностите и персонализирана подкрепа, за да се отговори на техните специфични нужди;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„Проучване на многообразието сред неработещите, неучещи и необучаващи се млади хора (NEET)“, Служба за публикации на Европейския съюз, Люксембург, 2026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Еон О'Риърдойн, Естел Кьолеманс, Вилия Блинкевичуте, Идоя Мендия Куева, Романа Йеркович, Алисия Омс Хинел, Габриеле Бишоф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Ав.</w:t>
            </w:r>
            <w:r>
              <w:tab/>
            </w:r>
            <w:r>
              <w:rPr>
                <w:b/>
                <w:i/>
              </w:rPr>
              <w:t>като има предвид, че при прилагането и подобряването на засилената гаранция за младежта трябва да се обърне специално внимание на лицата, незаети с работа, учене или обучение в уязвимо положение и на лицата, които са най-отдалечени от пазара на труда и които често са труднодостъпни;</w:t>
            </w:r>
            <w:r>
              <w:t xml:space="preserve"> </w:t>
            </w:r>
            <w:r>
              <w:rPr>
                <w:b/>
                <w:i/>
              </w:rPr>
              <w:t>като има предвид, че това включва жени, хора от различен етнически произход, ромски и пътуващи общности, бездомни млади хора, млади хора, които са напуснали домове за институционални грижи, ЛГБТКИА+ лица, млади хора с мигрантски или бежански статут, млади хора с увреждания, млади хора, изправени пред дискриминация въз основа на религия или убеждения, млади хора, страдащи от хронични заболявания или зависимости, млади родители, както и млади хора, полагащи неформални грижи;</w:t>
            </w:r>
            <w:r>
              <w:t xml:space="preserve"> </w:t>
            </w:r>
            <w:r>
              <w:rPr>
                <w:b/>
                <w:i/>
              </w:rPr>
              <w:t>като има предвид, че трябва да се прави ясно разграничение между лицата, незаети с работа, учене или обучение, които са изключени от работа, учене или обучение не по собствено желание, и тези, които са неактивни по собствено желание;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Ав.</w:t>
            </w:r>
            <w:r>
              <w:tab/>
            </w:r>
            <w:r>
              <w:rPr>
                <w:b/>
                <w:i/>
              </w:rPr>
              <w:t>като има предвид, че съществува трайна разлика между половете сред лицата, незаети с работа, учене или обучение, като делът на незаетите с работа, учене или обучение сред младите жени постоянно надвишава този на младите мъже в ЕС</w:t>
            </w:r>
            <w:r>
              <w:rPr>
                <w:b/>
                <w:i/>
                <w:vertAlign w:val="superscript"/>
              </w:rPr>
              <w:t>12a</w:t>
            </w:r>
            <w:r>
              <w:rPr>
                <w:b/>
                <w:i/>
              </w:rPr>
              <w:t>;</w:t>
            </w:r>
            <w:r>
              <w:t xml:space="preserve"> </w:t>
            </w:r>
            <w:r>
              <w:rPr>
                <w:b/>
                <w:i/>
              </w:rPr>
              <w:t>като има предвид, че това положение може да се обясни отчасти с неравномерното разпределение на отговорностите за полагане на грижи за деца и със социалните норми;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12a</w:t>
            </w:r>
            <w:r>
              <w:t xml:space="preserve"> </w:t>
            </w:r>
            <w:r>
              <w:rPr>
                <w:b/>
                <w:i/>
              </w:rPr>
              <w:t>https://www.eurofound.europa.eu/en/surveys-and-data/data-catalogue/neet-rates-gender-15-29-age-group.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Еон О'Риърдойн, Естел Кьолеманс, Вилия Блинкевичуте, Идоя Мендия Куева, Романа Йеркович, Алисия Омс Хинел, Габриеле Бишоф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Аг.</w:t>
            </w:r>
            <w:r>
              <w:tab/>
            </w:r>
            <w:r>
              <w:rPr>
                <w:b/>
                <w:i/>
              </w:rPr>
              <w:t>като има предвид, че интеграцията на пазара на труда на NEET става все по-сложна поради фактори като растежа на икономиката на работата по отделни заявки („гиг“ икономика) и увеличаването на несигурните и нестандартните форми на заетост, възхода на изкуствения интелект и цифровизацията, както и кризата, свързана с разходите за живот, включително нарастващите жилищни разходи;</w:t>
            </w:r>
            <w:r>
              <w:t xml:space="preserve"> </w:t>
            </w:r>
            <w:r>
              <w:rPr>
                <w:b/>
                <w:i/>
              </w:rPr>
              <w:t>като има предвид, че тези промени създават структурни пречки пред устойчивата заетост и изострят неравенствата, които водят до изоставане на уязвимите NEET;</w:t>
            </w:r>
            <w:r>
              <w:t xml:space="preserve"> </w:t>
            </w:r>
            <w:r>
              <w:rPr>
                <w:b/>
                <w:i/>
              </w:rPr>
              <w:t>като има предвид, че прилагането на засилената гаранция за младежта трябва да бъде реформирано и засилено, за да се реагира ефективно на тези предизвикателства и да се даде приоритет на NEET, които са най-отдалечени от пазара на труда;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Аг.</w:t>
            </w:r>
            <w:r>
              <w:tab/>
            </w:r>
            <w:r>
              <w:rPr>
                <w:b/>
                <w:i/>
              </w:rPr>
              <w:t>като има предвид, че ромите са групата с най-висок дял на NEET в ЕС — 47 % за лицата на възраст 16—24 години, спрямо средната стойност за ЕС от 9 % за същата възрастова група</w:t>
            </w:r>
            <w:r>
              <w:rPr>
                <w:b/>
                <w:i/>
                <w:vertAlign w:val="superscript"/>
              </w:rPr>
              <w:t>13a</w:t>
            </w:r>
            <w:r>
              <w:rPr>
                <w:b/>
                <w:i/>
              </w:rPr>
              <w:t>;</w:t>
            </w:r>
            <w:r>
              <w:t xml:space="preserve"> </w:t>
            </w:r>
            <w:r>
              <w:rPr>
                <w:b/>
                <w:i/>
              </w:rPr>
              <w:t>като има предвид, че нито една от държавите членки, обхванати от проучването, не е близо до постигането на целите, определени в Стратегическата рамка на ЕС за ромите</w:t>
            </w:r>
            <w:r>
              <w:rPr>
                <w:b/>
                <w:i/>
                <w:vertAlign w:val="superscript"/>
              </w:rPr>
              <w:t>14a</w:t>
            </w:r>
            <w:r>
              <w:rPr>
                <w:b/>
                <w:i/>
              </w:rPr>
              <w:t>, и като има предвид, че без целенасочен и стратегически подход от страна на държавите – членки ЕС, рискува да остави едно поколение млади роми и пътуващи общности, изложени на риск от изключване от образованието, обучението и пазара на труда;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Rights of Roma and Travellers in 13 European countries - Perspectives from the Roma Survey 2024 (Правата на ромите и пътуващите в 13 европейски държави – перспективи от проучването относно ромите за 2024 г.), Агенция на Европейския съюз за основните права (FRA), 2 октомври 2025 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Европейска комисия. (7 октомври 2020 г.).</w:t>
            </w:r>
            <w:r>
              <w:t xml:space="preserve"> </w:t>
            </w:r>
            <w:r>
              <w:rPr>
                <w:b/>
                <w:i/>
              </w:rPr>
              <w:t>Стратегическа рамка на ЕС за равенство, приобщаване и участие на ромите за периода 2020—2030 г. (COM (2020) 620 final). https://commission.europa.eu/document/download/99cc0720-68c2-4300-854f-592bf21dceaf_en?filename=eu_roma_strategic_framework_for_equality_inclusion_and_participation_for_2020_-_2030.pdf.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Еон О'Риърдойн, Естел Кьолеманс, Вилия Блинкевичуте, Идоя Мендия Куева, Романа Йеркович, Алисия Омс Хинел, Габриеле Бишоф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д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Ад.</w:t>
            </w:r>
            <w:r>
              <w:tab/>
            </w:r>
            <w:r>
              <w:rPr>
                <w:b/>
                <w:i/>
              </w:rPr>
              <w:t>като има предвид, че преходът от образование към пазара на труда е по-продължителен, по-малко линеен и все по-несигурен за младите хора, като много от тях преминават от заетост към безработица и икономическа неактивност или остават в капана на нестандартни форми на труд;</w:t>
            </w:r>
            <w:r>
              <w:t xml:space="preserve"> </w:t>
            </w:r>
            <w:r>
              <w:rPr>
                <w:b/>
                <w:i/>
              </w:rPr>
              <w:t>като има предвид, че засилената гаранция за младежта не се е адаптирала в достатъчна степен към тези разпокъсани процеси и продължава да разчита на строги, еднократни мерки;</w:t>
            </w:r>
            <w:r>
              <w:t xml:space="preserve"> </w:t>
            </w:r>
            <w:r>
              <w:rPr>
                <w:b/>
                <w:i/>
              </w:rPr>
              <w:t>като има предвид, че ефективната интеграция на пазара на труда, по-специално на уязвимите NEET, изисква гъвкава, персонализирана и дългосрочна подкрепа;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д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Ад.</w:t>
            </w:r>
            <w:r>
              <w:tab/>
            </w:r>
            <w:r>
              <w:rPr>
                <w:b/>
                <w:i/>
              </w:rPr>
              <w:t>като има предвид, че според проучването на Агенцията на Европейския съюз за основните права относно ромите за 2021 г. 19 % от жените от ромски произход никога не са посещавали училище, в сравнение с 14 % от мъжете от ромски произход, а само 23 % от жените от ромски произход продължават образованието си след 16-годишна възраст, в сравнение с 32 % от мъжете от ромски произход</w:t>
            </w:r>
            <w:r>
              <w:rPr>
                <w:b/>
                <w:i/>
                <w:vertAlign w:val="superscript"/>
              </w:rPr>
              <w:t>15a</w:t>
            </w:r>
            <w:r>
              <w:rPr>
                <w:b/>
                <w:i/>
              </w:rPr>
              <w:t>;</w:t>
            </w:r>
            <w:r>
              <w:t xml:space="preserve"> </w:t>
            </w:r>
            <w:r>
              <w:rPr>
                <w:b/>
                <w:i/>
              </w:rPr>
              <w:t>като има предвид, че данните, групирани по полов признак, показват, че средно 61 % от младите жени от ромски произход и жените от пътуващите общности са NEET, в сравнение с 33 % от младите мъже от ромски произход</w:t>
            </w:r>
            <w:r>
              <w:rPr>
                <w:b/>
                <w:i/>
                <w:vertAlign w:val="superscript"/>
              </w:rPr>
              <w:t>16a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Съвет на Европа. (2025 г.).</w:t>
            </w:r>
            <w:r>
              <w:t xml:space="preserve"> </w:t>
            </w:r>
            <w:r>
              <w:rPr>
                <w:b/>
                <w:i/>
              </w:rPr>
              <w:t>Equality of Roma and Traveller women and girls (Равенство на ромите и пътуващите жени и момичета (реф. номер 094724GBR)).</w:t>
            </w:r>
            <w:r>
              <w:t xml:space="preserve"> </w:t>
            </w:r>
            <w:r>
              <w:rPr>
                <w:b/>
                <w:i/>
              </w:rPr>
              <w:t>Съвет на Европа. https://edoc.coe.int/en/roma-and-travellers/12078-equality-of-roma-and-traveller-women-and-girls.html;</w:t>
            </w:r>
            <w:r>
              <w:t xml:space="preserve"> </w:t>
            </w:r>
            <w:r>
              <w:rPr>
                <w:b/>
                <w:i/>
              </w:rPr>
              <w:t xml:space="preserve">Агенция на Европейския съюз за основните права. (2020 г.). </w:t>
            </w:r>
            <w:r>
              <w:t xml:space="preserve"> </w:t>
            </w:r>
            <w:r>
              <w:rPr>
                <w:b/>
                <w:i/>
              </w:rPr>
              <w:t>Roma and Travellers in six countries: Roma and Travellers survey (Ромите и пътуващите общности в шест държави –</w:t>
            </w:r>
            <w:r>
              <w:t xml:space="preserve"> </w:t>
            </w:r>
            <w:r>
              <w:rPr>
                <w:b/>
                <w:i/>
              </w:rPr>
              <w:t>проучване на ромите и пътуващите общности (доклад на FRA)).</w:t>
            </w:r>
            <w:r>
              <w:t xml:space="preserve"> </w:t>
            </w:r>
            <w:r>
              <w:rPr>
                <w:b/>
                <w:i/>
              </w:rPr>
              <w:t>Служба за публикации на Европейския съюз. https://fra.europa.eu/sites/default/files/fra_uploads/fra-2020-roma-travellers-six-countries_en.pdf.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 xml:space="preserve">Агенция на Европейския съюз за основните права. (2025 г.). </w:t>
            </w:r>
            <w:r>
              <w:t xml:space="preserve"> </w:t>
            </w:r>
            <w:r>
              <w:rPr>
                <w:b/>
                <w:i/>
              </w:rPr>
              <w:t>Rights of Roma and Travellers in 13 European countries – Perspectives from the Roma Survey 2024 (Права на ромите и пътуващите общности в 13 европейски държави – перспективи от проучването относно ромите за 2024 г.).</w:t>
            </w:r>
            <w:r>
              <w:t xml:space="preserve"> </w:t>
            </w:r>
            <w:r>
              <w:rPr>
                <w:b/>
                <w:i/>
              </w:rPr>
              <w:t>FRA. https://fra.europa.eu/bg/publication/2025/roma-survey-2024.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Еон О'Риърдойн, Естел Кьолеманс, Вилия Блинкевичуте, Идоя Мендия Куева, Романа Йеркович, Алисия Омс Хинел, Габриеле Бишоф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е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Aе.</w:t>
            </w:r>
            <w:r>
              <w:tab/>
            </w:r>
            <w:r>
              <w:rPr>
                <w:b/>
                <w:i/>
              </w:rPr>
              <w:t>като има предвид, че младите хора са непропорционално изложени на нископлатена работа</w:t>
            </w:r>
            <w:r>
              <w:rPr>
                <w:b/>
                <w:i/>
                <w:vertAlign w:val="superscript"/>
              </w:rPr>
              <w:t>1a</w:t>
            </w:r>
            <w:r>
              <w:rPr>
                <w:b/>
                <w:i/>
              </w:rPr>
              <w:t>, както и на несигурни и нестандартни форми на заетост, включително срочни договори, договори без задължения за определен брой часове и фиктивна самостоятелна заетост</w:t>
            </w:r>
            <w:r>
              <w:rPr>
                <w:b/>
                <w:i/>
                <w:vertAlign w:val="superscript"/>
              </w:rPr>
              <w:t>1б</w:t>
            </w:r>
            <w:r>
              <w:rPr>
                <w:b/>
                <w:i/>
              </w:rPr>
              <w:t>;</w:t>
            </w:r>
            <w:r>
              <w:t xml:space="preserve"> </w:t>
            </w:r>
            <w:r>
              <w:rPr>
                <w:b/>
                <w:i/>
              </w:rPr>
              <w:t>като има предвид, че те често нямат достъп до адекватна защита на заетостта и социални обезщетения;</w:t>
            </w:r>
            <w:r>
              <w:t xml:space="preserve"> </w:t>
            </w:r>
            <w:r>
              <w:rPr>
                <w:b/>
                <w:i/>
              </w:rPr>
              <w:t>като има предвид, че младите хора също са изложени на по-висок риск от съкращение на работни места поради автоматизацията;</w:t>
            </w:r>
            <w:r>
              <w:t xml:space="preserve"> </w:t>
            </w:r>
            <w:r>
              <w:rPr>
                <w:b/>
                <w:i/>
              </w:rPr>
              <w:t>като има предвид, че тези условия предоставят ограничена финансова сигурност и подкопават пътищата към устойчива интеграция на пазара на труда;</w:t>
            </w:r>
            <w:r>
              <w:t xml:space="preserve"> </w:t>
            </w:r>
            <w:r>
              <w:rPr>
                <w:b/>
                <w:i/>
              </w:rPr>
              <w:t>като има предвид, че това засяга особено NEET, които са непропорционално концентрирани в нискоквалифицирана и нискокачествена заетост;</w:t>
            </w:r>
            <w:r>
              <w:t xml:space="preserve"> </w:t>
            </w:r>
            <w:r>
              <w:rPr>
                <w:b/>
                <w:i/>
              </w:rPr>
              <w:t>като има предвид, че засилената гаранция за младежта трябва да се справи активно с несигурността и ниското заплащане и да се съсредоточи върху платената заетост, а не върху доброволчеството;</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Евростат, Proportion of low-paid workers in EU countries (Дял на нископлатените работници в държавите от ЕС), 2022 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1б</w:t>
            </w:r>
            <w:r>
              <w:t xml:space="preserve"> </w:t>
            </w:r>
            <w:r>
              <w:rPr>
                <w:b/>
                <w:i/>
              </w:rPr>
              <w:t>Евростат, Young people on the labour market - statistics (Младите хора на пазара на труда — статистика), 2018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е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Aе.</w:t>
            </w:r>
            <w:r>
              <w:tab/>
            </w:r>
            <w:r>
              <w:rPr>
                <w:b/>
                <w:i/>
              </w:rPr>
              <w:t>като има предвид, че лицата, напускащи системата за полагане на грижи, са група, която е особено изложена на риск от попадане в положение на NEET, но въпреки това поради недостатъчно надеждни данни техният брой на равнището на ЕС остава неясен, както и информационните мерки в тяхна подкрепа, и възможностите, с които разполагат след напускане на системата за полагане на грижи;</w:t>
            </w:r>
            <w:r>
              <w:t xml:space="preserve"> </w:t>
            </w:r>
            <w:r>
              <w:rPr>
                <w:b/>
                <w:i/>
              </w:rPr>
              <w:t>като има предвид, че младите хора, напускащи системата за полагане на институционални грижи, често са изправени пред внезапен преход към самостоятелност без подходяща образователна приемственост, стабилност на жилищното настаняване или професионално ориентиране, което увеличава риска от безработица, бедност и социално изключване;</w:t>
            </w:r>
            <w:r>
              <w:t xml:space="preserve"> </w:t>
            </w:r>
            <w:r>
              <w:rPr>
                <w:b/>
                <w:i/>
              </w:rPr>
              <w:t>като има предвид, че прилагането на засилената гаранцията за младежта би могло да преодолее тези пропуски в прехода чрез адаптирани механизми за подкрепа;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Еон О'Риърдойн, Естел Кьолеманс, Вилия Блинкевичуте, Идоя Мендия Куева, Романа Йеркович, Алисия Омс Хинел, Габриеле Бишоф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ж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Aж.</w:t>
            </w:r>
            <w:r>
              <w:tab/>
            </w:r>
            <w:r>
              <w:rPr>
                <w:b/>
                <w:i/>
              </w:rPr>
              <w:t>като има предвид, че непълната заетост сред младите хора се увеличава, като заетостта на непълно работно време сред младите хора е значително по-висока в сравнение с тази на работещото население</w:t>
            </w:r>
            <w:r>
              <w:rPr>
                <w:b/>
                <w:i/>
                <w:vertAlign w:val="superscript"/>
              </w:rPr>
              <w:t>1a</w:t>
            </w:r>
            <w:r>
              <w:t xml:space="preserve"> </w:t>
            </w:r>
            <w:r>
              <w:rPr>
                <w:b/>
                <w:i/>
              </w:rPr>
              <w:t>като цяло;</w:t>
            </w:r>
            <w:r>
              <w:t xml:space="preserve"> </w:t>
            </w:r>
            <w:r>
              <w:rPr>
                <w:b/>
                <w:i/>
              </w:rPr>
              <w:t>като има предвид, че тези различия са още по-ясно изразени сред младите жени;</w:t>
            </w:r>
            <w:r>
              <w:t xml:space="preserve"> </w:t>
            </w:r>
            <w:r>
              <w:rPr>
                <w:b/>
                <w:i/>
              </w:rPr>
              <w:t>като има предвид, че голяма част от договореностите за работа на непълно работно време са принудителни, което отразява структурната неспособност на пазара на труда да предостави подходящи възможности за работа на пълно работно време;</w:t>
            </w:r>
            <w:r>
              <w:t xml:space="preserve"> </w:t>
            </w:r>
            <w:r>
              <w:rPr>
                <w:b/>
                <w:i/>
              </w:rPr>
              <w:t>като има предвид, че принудителното намалено работно време ограничава възможността за получаване на доходи, кариерното развитие, достъпа до социална закрила и правото на пенсия;</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Евростат, Part-time and full-time employment - statistics (Заетост на непълно и пълно работно време — статистика), 2025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ж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Aж.</w:t>
            </w:r>
            <w:r>
              <w:tab/>
            </w:r>
            <w:r>
              <w:rPr>
                <w:b/>
                <w:i/>
              </w:rPr>
              <w:t>като има предвид, че предубежденията, стигматизирането и трайните стереотипи могат да ограничат достъпа до стажове и чиракуване на младежи, идващи от институции за полагане на грижи, младежи с физически или умствени увреждания и увреждания, свързани с развитието, както и на млади роми;</w:t>
            </w:r>
            <w:r>
              <w:t xml:space="preserve"> </w:t>
            </w:r>
            <w:r>
              <w:rPr>
                <w:b/>
                <w:i/>
              </w:rPr>
              <w:t>като има предвид, че преодоляването на тези пречки и насърчаването на приобщаващи практики за наемане на работа е от съществено значение, за да се гарантира равен достъп до качествен първи професионален опит;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Еон О'Риърдойн, Естел Кьолеманс, Вилия Блинкевичуте, Идоя Мендия Куева, Романа Йеркович, Алисия Омс Хинел, Габриеле Бишоф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з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Aз.</w:t>
            </w:r>
            <w:r>
              <w:tab/>
            </w:r>
            <w:r>
              <w:rPr>
                <w:b/>
                <w:i/>
              </w:rPr>
              <w:t>като има предвид, че традиционните възможности за преход от образование към заетост се подкопават поради структурен недостиг на качествени работни места за начинаещи;</w:t>
            </w:r>
            <w:r>
              <w:t xml:space="preserve"> </w:t>
            </w:r>
            <w:r>
              <w:rPr>
                <w:b/>
                <w:i/>
              </w:rPr>
              <w:t>като има предвид, че много млади хора, въпреки че са високообразовани и квалифицирани, срещат трудности при превръщането на квалификациите си в стабилна заетост;</w:t>
            </w:r>
            <w:r>
              <w:t xml:space="preserve"> </w:t>
            </w:r>
            <w:r>
              <w:rPr>
                <w:b/>
                <w:i/>
              </w:rPr>
              <w:t>като има предвид, че равнището на заетост сред наскоро завършилите висше образование намалява</w:t>
            </w:r>
            <w:r>
              <w:rPr>
                <w:b/>
                <w:i/>
                <w:vertAlign w:val="superscript"/>
              </w:rPr>
              <w:t>1a</w:t>
            </w:r>
            <w:r>
              <w:rPr>
                <w:b/>
                <w:i/>
              </w:rPr>
              <w:t>, а броят на младите хора, упражняващи професии, които са далеч под нивото им на квалификация, нараства</w:t>
            </w:r>
            <w:r>
              <w:rPr>
                <w:b/>
                <w:i/>
                <w:vertAlign w:val="superscript"/>
              </w:rPr>
              <w:t>1б</w:t>
            </w:r>
            <w:r>
              <w:rPr>
                <w:b/>
                <w:i/>
              </w:rPr>
              <w:t>;</w:t>
            </w:r>
            <w:r>
              <w:t xml:space="preserve"> </w:t>
            </w:r>
            <w:r>
              <w:rPr>
                <w:b/>
                <w:i/>
              </w:rPr>
              <w:t>като има предвид, че това създава ефект на изместване, който допълнително ограничава възможностите за уязвимите NEET, които нямат квалификация;</w:t>
            </w:r>
            <w:r>
              <w:t xml:space="preserve"> </w:t>
            </w:r>
            <w:r>
              <w:rPr>
                <w:b/>
                <w:i/>
              </w:rPr>
              <w:t>като има предвид, че увеличаването на пречките пред интеграцията на младите хора на пазара на труда подкопава социалното сближаване и доверието в институциите;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Евростат, Employment rates of recent graduates (Равнище на заетост сред наскоро завършилите висше образование), 2025 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1б</w:t>
            </w:r>
            <w:r>
              <w:t xml:space="preserve"> </w:t>
            </w:r>
            <w:r>
              <w:rPr>
                <w:b/>
                <w:i/>
              </w:rPr>
              <w:t>Евростат, Young people - qualifications, skills and job alignment (Младите хора — квалификации, умения и привеждане в съответствие с работните места), 2025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Еон О'Риърдойн, Естел Кьолеманс, Вилия Блинкевичуте, Идоя Мендия Куева, Романа Йеркович, Алисия Омс Хинел, Габриеле Бишоф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и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Aи.</w:t>
            </w:r>
            <w:r>
              <w:tab/>
            </w:r>
            <w:r>
              <w:rPr>
                <w:b/>
                <w:i/>
              </w:rPr>
              <w:t>като има предвид, че през 2024 г. почти всеки четвърти младеж в Съюза е бил изложен на риск от бедност или социално изключване, което представлява процент, който е с 3,1 процентни пункта по-висок от този на общото население</w:t>
            </w:r>
            <w:r>
              <w:rPr>
                <w:b/>
                <w:i/>
                <w:vertAlign w:val="superscript"/>
              </w:rPr>
              <w:t>1a</w:t>
            </w:r>
            <w:r>
              <w:rPr>
                <w:b/>
                <w:i/>
              </w:rPr>
              <w:t>;</w:t>
            </w:r>
            <w:r>
              <w:t xml:space="preserve"> </w:t>
            </w:r>
            <w:r>
              <w:rPr>
                <w:b/>
                <w:i/>
              </w:rPr>
              <w:t>като има предвид, че структурните неравенства, като например материалните лишения и трайното неравностойно социално положение, подкопават възможностите за достъп до пазара на труда и за независим живот;</w:t>
            </w:r>
            <w:r>
              <w:t xml:space="preserve"> </w:t>
            </w:r>
            <w:r>
              <w:rPr>
                <w:b/>
                <w:i/>
              </w:rPr>
              <w:t>като има предвид, че активизирането на заетостта не може да бъде постигнато без достъп до основни отключващи условия като жилищно настаняване, транспорт, грижи за деца и подкрепа за полагане на грижи;</w:t>
            </w:r>
            <w:r>
              <w:t xml:space="preserve"> </w:t>
            </w:r>
            <w:r>
              <w:rPr>
                <w:b/>
                <w:i/>
              </w:rPr>
              <w:t>като има предвид, че устойчивата интеграция на пазара на труда изисква цялостен подход, насочен към преодоляването на всички засилващи се пречки;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Евростат, Young people - social inclusion (Младите хора — социално приобщаване), 2025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Еон О'Риърдойн, Естел Кьолеманс, Вилия Блинкевичуте, Идоя Мендия Куева, Романа Йеркович, Алисия Омс Хинел, Габриеле Бишоф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й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Aй.</w:t>
            </w:r>
            <w:r>
              <w:tab/>
            </w:r>
            <w:r>
              <w:rPr>
                <w:b/>
                <w:i/>
              </w:rPr>
              <w:t>като има предвид, че уязвимите NEET може да не разполагат с функционалната езикова и математическа грамотност и цифровите умения, необходими за достъп до качествено образование, обучение или пазара на труда;</w:t>
            </w:r>
            <w:r>
              <w:t xml:space="preserve"> </w:t>
            </w:r>
            <w:r>
              <w:rPr>
                <w:b/>
                <w:i/>
              </w:rPr>
              <w:t>като има предвид, че засилената гаранция за младежта често приема такива умения за даденост, като по този начин ограничава възможността на уязвимите NEET да имат достъп и да се възползват от мерки за заетост и обучение;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Еон О'Риърдойн, Естел Кьолеманс, Вилия Блинкевичуте, Идоя Мендия Куева, Романа Йеркович, Алисия Омс Хинел, Габриеле Бишоф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к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Aк.</w:t>
            </w:r>
            <w:r>
              <w:tab/>
            </w:r>
            <w:r>
              <w:rPr>
                <w:b/>
                <w:i/>
              </w:rPr>
              <w:t>като има предвид, че резултатите на младите хора в областта на четенето, математиката и науките в целия Съюз се понижават, а за тези младежи в неравностойно социално-икономическо положение е над шест пъти по-вероятно да постигнат незадоволителни резултати в сравнение със своите връстници</w:t>
            </w:r>
            <w:r>
              <w:rPr>
                <w:b/>
                <w:i/>
                <w:vertAlign w:val="superscript"/>
              </w:rPr>
              <w:t>1a</w:t>
            </w:r>
            <w:r>
              <w:rPr>
                <w:b/>
                <w:i/>
              </w:rPr>
              <w:t>;</w:t>
            </w:r>
            <w:r>
              <w:t xml:space="preserve"> </w:t>
            </w:r>
            <w:r>
              <w:rPr>
                <w:b/>
                <w:i/>
              </w:rPr>
              <w:t>като има предвид, че засилената гаранция за младежта трябва да разгледа активно тези тревожни тенденции, за да предотврати задълбочаването на социалното разделение и да гарантира равен достъп до образование и бъдещи възможности за заетост;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Европейска комисия, „Обзор на образованието и обучението“ за 2024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Мари Доши, Северин Вербрук, Мелани Дидие, Маргарита де ла Писа Карион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като има предвид, че е </w:t>
            </w:r>
            <w:r>
              <w:rPr>
                <w:b/>
                <w:i/>
              </w:rPr>
              <w:t>трудно</w:t>
            </w:r>
            <w:r>
              <w:t xml:space="preserve"> да се установи пряка причинно-следствена връзка между прилагането на засилената гаранция за младежта и наблюдаваните резултати по отношение на намаляването на дела на NEET и младежката безработица;</w:t>
            </w:r>
          </w:p>
        </w:tc>
        <w:tc>
          <w:tcPr>
            <w:tcW w:w="4876" w:type="dxa"/>
            <w:tcBorders>
              <w:top w:val="nil"/>
              <w:left w:val="nil"/>
              <w:bottom w:val="nil"/>
              <w:right w:val="nil"/>
            </w:tcBorders>
          </w:tcPr>
          <w:p>
            <w:pPr>
              <w:pStyle w:val="Normal6a"/>
            </w:pPr>
            <w:r>
              <w:t>Б.</w:t>
            </w:r>
            <w:r>
              <w:tab/>
            </w:r>
            <w:r>
              <w:t xml:space="preserve">като има предвид, че е </w:t>
            </w:r>
            <w:r>
              <w:rPr>
                <w:b/>
                <w:i/>
              </w:rPr>
              <w:t>невъзможно</w:t>
            </w:r>
            <w:r>
              <w:t xml:space="preserve"> да се установи пряка причинно-следствена връзка между прилагането на засилената гаранция за младежта и наблюдаваните резултати по отношение на намаляването на дела на NEET и младежката безработица</w:t>
            </w:r>
            <w:r>
              <w:rPr>
                <w:b/>
                <w:i/>
              </w:rPr>
              <w:t>, което показва структурната неефективност на европейското социално инженерство</w:t>
            </w:r>
            <w:r>
              <w:t xml:space="preserve">; </w:t>
            </w:r>
            <w:r>
              <w:rPr>
                <w:b/>
                <w:i/>
              </w:rPr>
              <w:t>като има предвид, че работните места за младите хора не се създават от централизирани директиви, а преди всичко от фискалния суверенитет на държавите членки, стабилната вътрешна икономика и конкурентоспособните МСП;</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Лара Магони, Елена Донацан, Марлена Малонг, Мариятереза Вивалдини, Франческо Торсели, Киара Джема, Геадис Геади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като има предвид, че е трудно да се установи пряка причинно-следствена връзка между прилагането на засилената гаранция за младежта и наблюдаваните резултати по отношение на намаляването на дела на NEET и младежката безработица;</w:t>
            </w:r>
          </w:p>
        </w:tc>
        <w:tc>
          <w:tcPr>
            <w:tcW w:w="4876" w:type="dxa"/>
            <w:tcBorders>
              <w:top w:val="nil"/>
              <w:left w:val="nil"/>
              <w:bottom w:val="nil"/>
              <w:right w:val="nil"/>
            </w:tcBorders>
          </w:tcPr>
          <w:p>
            <w:pPr>
              <w:pStyle w:val="Normal6a"/>
            </w:pPr>
            <w:r>
              <w:t>Б.</w:t>
            </w:r>
            <w:r>
              <w:tab/>
            </w:r>
            <w:r>
              <w:t xml:space="preserve">като има предвид, че е трудно да се установи пряка причинно-следствена връзка между прилагането на засилената гаранция за младежта и наблюдаваните резултати по отношение на намаляването на дела на NEET и младежката безработица; </w:t>
            </w:r>
            <w:r>
              <w:rPr>
                <w:b/>
                <w:i/>
              </w:rPr>
              <w:t>това подчертава необходимостта от по-силен акцент върху осезаемите резултати за младите хора, по-добро привеждане в съответствие с нуждите на националния пазар на труда и по-тесни полезни взаимодействия с програми на Съюза като Европейския социален фонд плюс (ЕСФ +), „Еразъм +“ и Европейския корпус за солидарност;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като има предвид, че е трудно да се установи пряка причинно-следствена връзка между прилагането на засилената гаранция за младежта и наблюдаваните резултати по отношение на намаляването на дела на NEET и младежката безработица;</w:t>
            </w:r>
          </w:p>
        </w:tc>
        <w:tc>
          <w:tcPr>
            <w:tcW w:w="4876" w:type="dxa"/>
            <w:tcBorders>
              <w:top w:val="nil"/>
              <w:left w:val="nil"/>
              <w:bottom w:val="nil"/>
              <w:right w:val="nil"/>
            </w:tcBorders>
          </w:tcPr>
          <w:p>
            <w:pPr>
              <w:pStyle w:val="Normal6a"/>
            </w:pPr>
            <w:r>
              <w:t>Б.</w:t>
            </w:r>
            <w:r>
              <w:tab/>
            </w:r>
            <w:r>
              <w:t>като има предвид, че е трудно да се установи пряка причинно-следствена връзка между прилагането на засилената гаранция за младежта и наблюдаваните резултати по отношение на намаляването на дела на NEET и младежката безработица</w:t>
            </w:r>
            <w:r>
              <w:rPr>
                <w:b/>
                <w:i/>
              </w:rPr>
              <w:t>, особено когато схемите по линия на засилената гаранция за младежта са включени в по-широки национални политики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Елена Донацан, Киара Джема, Мариятереза Вивалдини, Лара Магони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Бa.</w:t>
            </w:r>
            <w:r>
              <w:tab/>
            </w:r>
            <w:r>
              <w:rPr>
                <w:b/>
                <w:i/>
              </w:rPr>
              <w:t>като има предвид, че европейските данни показват, че пътищата за първоначалното професионално образование и обучение (ППОО), които включват силен компонент на учене в процеса на работа, са най-ефективният инструмент за предотвратяване на попадането на хората в положение на NEET, тъй като младите хора, които завършват програми с учене в процеса на работа с продължителност най-малко седем месеца, имат високи равнища на заетост до 90,5 %, в сравнение с 69,7 % при тези, които нямат достъп до тези програми;</w:t>
            </w:r>
            <w:r>
              <w:t xml:space="preserve"> </w:t>
            </w:r>
            <w:r>
              <w:rPr>
                <w:b/>
                <w:i/>
              </w:rPr>
              <w:t>като има предвид, че двойните системи за професионално образование и обучение използват структурирано редуване между училище и работа, за да създадат ценни умения и значително да намалят разликата между търсенето и предлагането на работни места;</w:t>
            </w:r>
            <w:r>
              <w:t xml:space="preserve"> </w:t>
            </w:r>
            <w:r>
              <w:rPr>
                <w:b/>
                <w:i/>
              </w:rPr>
              <w:t>като има предвид, че държавите членки, които имат стабилни двойни системи за професионално образование и обучение, отбелязват най-ниските равнища на младежка безработица в ЕС;</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Нилс Гойкинг, Романа Томц, Дейвид Каза, Изабел Льо Каленек, Лисбет Сомен, Сержио Умберто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като има предвид, че ефективното прилагане на засилената гаранция за младежта изисква целенасочени, интегрирани и съобразени със семейството мерки, по-специално за младите родители, които съчетават подкрепа за заетостта с достъп до образование и обучение, грижи за децата, социални услуги и, когато е целесъобразно, подходящо подпомагане на доходите, за да се гарантира трайна интеграция на пазара на труда, да се предотврати дългосрочното изключване, да се насърчи равенството между половете и да се подкрепи устойчивото равновесие между професионалния и личния живот;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като има предвид, че данните от Европейската сметна палата сочат, че добре финансираните, приобщаващи и основани на правата политики за младежта, включително засилената гаранция за младежта, допринасят положително за подобряване на достъпа на младите хора до качествена заетост, образование и обучение;</w:t>
            </w:r>
            <w:r>
              <w:t xml:space="preserve"> </w:t>
            </w:r>
            <w:r>
              <w:rPr>
                <w:b/>
                <w:i/>
              </w:rPr>
              <w:t>като има предвид, че засиленият мониторинг, събирането на дезагрегирани данни и оценката на въздействието са от съществено значение за пълното отразяване на резултатите от тези политики, особено за уязвимите и маргинализираните групи;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като има предвид, че съществуват почти толкова модели за прилагане на гаранцията за младежта, колкото са и държавите членки;</w:t>
            </w:r>
            <w:r>
              <w:t xml:space="preserve"> </w:t>
            </w:r>
            <w:r>
              <w:rPr>
                <w:b/>
                <w:i/>
              </w:rPr>
              <w:t>като има предвид, че институционалните уредби за нейното прилагане варират от интегрирането на гаранцията за младежта в съществуващите национални системи до създаването на отделен национален модел;</w:t>
            </w:r>
            <w:r>
              <w:t xml:space="preserve"> </w:t>
            </w:r>
            <w:r>
              <w:rPr>
                <w:b/>
                <w:i/>
              </w:rPr>
              <w:t>като има предвид, че правилата за управление също така се различават между централизираните модели, координирани на национално равнище, и напълно децентрализираните модели на местно равнище;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Мартин Кемп, Реджина Дохърти, Лисбет Сомен, Нилс Гойкинг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като има предвид, че Препоръката на Съвета от 16 юни 2022 г. относно европейския подход към микроудостоверенията признава микроудостоверенията като ключов инструмент за гъвкави, приобщаващи и целенасочени учебни процеси, който дава възможност на лицата да придобиват, актуализират и удостоверяват уменията си по модулен начин, по-специално в отговор на нуждите на пазара на труда и на екологичния и цифровия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Еон О'Риърдойн, Естел Кьолеманс, Вилия Блинкевичуте, Идоя Мендия Куева, Романа Йеркович, Алисия Омс Хинел, Габриеле Бишоф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като има предвид, че инвестициите в младите хора чрез гаранцията за младежта представляват инвестиция в бъдещето на Съюза, като укрепват социалното сближаване и справедливостта и солидарността между поколенията, намаляват бедността и социалното изключване и допринасят за устойчива работна сила и конкурентоспособна икономика;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Лара Магони, Елена Донацан, Марлена Малонг, Мариятереза Вивалдини, Франческо Торсели, Киара Джема, Геадис Геади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като има предвид, че ефективността на засилената гаранция за младежта зависи от прозрачното и ефикасното използване на средствата на ЕС и националните средства, както и от наличието на стабилни системи за мониторинг и оценка, способни да измерват дългосрочните резултати в областта на заетостта на младите бенефициери;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Бa.</w:t>
            </w:r>
            <w:r>
              <w:tab/>
            </w:r>
            <w:r>
              <w:rPr>
                <w:b/>
                <w:i/>
              </w:rPr>
              <w:t>като има предвид, че младежката безработица и несигурната заетост са пряко свързани със структурните неравенства, строгите икономии, дерегулирането на пазарите на труда и недостатъчното финансиране на обществените услуги;</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Бб.</w:t>
            </w:r>
            <w:r>
              <w:tab/>
            </w:r>
            <w:r>
              <w:rPr>
                <w:b/>
                <w:i/>
              </w:rPr>
              <w:t>като има предвид, че ясно изразено мнозинство от държавите членки разчитат на стратегия, поставяща заетостта на първо място, докато други отдават приоритет на подход, насочен към обучението;</w:t>
            </w:r>
            <w:r>
              <w:t xml:space="preserve"> </w:t>
            </w:r>
            <w:r>
              <w:rPr>
                <w:b/>
                <w:i/>
              </w:rPr>
              <w:t>като има предвид, че през 2024 г. 35,2 % от положителните и навременни напускания на подготвителния етап на гаранцията за младежта са довели до заетост, 6,5 % до образование, 2,5 % до стажове и 1,6 % до чиракуване</w:t>
            </w:r>
            <w:r>
              <w:rPr>
                <w:b/>
                <w:i/>
                <w:vertAlign w:val="superscript"/>
              </w:rPr>
              <w:t>17a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17a</w:t>
            </w:r>
            <w:r>
              <w:t xml:space="preserve"> </w:t>
            </w:r>
            <w:r>
              <w:rPr>
                <w:b/>
                <w:i/>
              </w:rPr>
              <w:t>Европейска комисия, Генерална дирекция „Трудова заетост, социални въпроси и приобщаване“, Data table on Youth Guarantee Direct indicators (Таблица с данни относно преките показатели по гаранцията за младежта), февруари 2026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Еон О'Риърдойн, Естел Кьолеманс, Вилия Блинкевичуте, Идоя Мендия Куева, Романа Йеркович, Алисия Омс Хинел, Габриеле Бишоф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Бб.</w:t>
            </w:r>
            <w:r>
              <w:tab/>
            </w:r>
            <w:r>
              <w:rPr>
                <w:b/>
                <w:i/>
              </w:rPr>
              <w:t>като има предвид, че според оценката на Европейската фондация за подобряване на условията на живот и труд (Eurofound) откъсването на младите хора и неуспешното интегриране на NEET на пазара на труда струват на Съюза почти 100 милиарда евро годишно</w:t>
            </w:r>
            <w:r>
              <w:rPr>
                <w:b/>
                <w:i/>
                <w:vertAlign w:val="superscript"/>
              </w:rPr>
              <w:t>1a</w:t>
            </w:r>
            <w:r>
              <w:rPr>
                <w:b/>
                <w:i/>
              </w:rPr>
              <w:t>, което подчертава неотложния икономически и социален императив за осигуряване на ефективното укрепване на гаранцията за младежта;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Employment and social developments in Europe (Заетост и социално развитие в Европа за 2025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Бб.</w:t>
            </w:r>
            <w:r>
              <w:tab/>
            </w:r>
            <w:r>
              <w:rPr>
                <w:b/>
                <w:i/>
              </w:rPr>
              <w:t>като има предвид, че за периода 2021―2027 г. Европейски социален фонд (ЕСФ+) е основният инструмент за финансиране на засилената гаранция за младежта;</w:t>
            </w:r>
            <w:r>
              <w:t xml:space="preserve"> </w:t>
            </w:r>
            <w:r>
              <w:rPr>
                <w:b/>
                <w:i/>
              </w:rPr>
              <w:t>като има предвид, че управляващите органи трябва да подобрят капацитета си за усвояване на средства, особено в отдалечените райони;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Бб.</w:t>
            </w:r>
            <w:r>
              <w:tab/>
            </w:r>
            <w:r>
              <w:rPr>
                <w:b/>
                <w:i/>
              </w:rPr>
              <w:t>като има предвид, че голяма част от младите хора работят на временни, нископлатени и несигурни работни места, без пълни трудови и социални права;</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Нилс Гойкинг, Романа Томц, Мириам Лексман, Лисбет Сомен, Сержио Умберто, Мартин Кемп</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Бб.</w:t>
            </w:r>
            <w:r>
              <w:tab/>
            </w:r>
            <w:r>
              <w:rPr>
                <w:b/>
                <w:i/>
              </w:rPr>
              <w:t>като има предвид, че от младите хора все повече се изисква да проявят гъвкавост и географска мобилност в своето образование, обучение и професионална кариера;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Мария Захария</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Бв.</w:t>
            </w:r>
            <w:r>
              <w:tab/>
            </w:r>
            <w:r>
              <w:rPr>
                <w:b/>
                <w:i/>
              </w:rPr>
              <w:t>като има предвид, че схемите по линия на гаранцията за младежта не могат да заменят правото на стабилна заетост с пълни права, нито да узаконят разпространението на неплатения или недостатъчно платения труд чрез програми за „стаж“ и „обучение“;</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Бв.</w:t>
            </w:r>
            <w:r>
              <w:tab/>
            </w:r>
            <w:r>
              <w:rPr>
                <w:b/>
                <w:i/>
              </w:rPr>
              <w:t>като има предвид, че неактивните и уязвимите NEET най-често са изключени от инициативите по линия на гаранцията за младежта, тъй като тя е от полза главно за младите хора, които са по-близо до пазара на труда, така нареченият ефект на „обиране на каймака“ , като се надценява действителното въздействие на засилената гаранция за младежта върху NEET населението като цяло;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Бв.</w:t>
            </w:r>
            <w:r>
              <w:tab/>
            </w:r>
            <w:r>
              <w:rPr>
                <w:b/>
                <w:i/>
              </w:rPr>
              <w:t>като има предвид, че конкурентоспособността на Съюза зависи и от уменията на неговата работна сила и способността му да задейства младите хора в трудоспособна възраст, за да се справи с недостига на работна ръка и умения;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Нилс Гойкинг, Романа Томц, Мириам Лексман, Лисбет Сомен, Сержио Умберто, Мартин Кемп</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Бв.</w:t>
            </w:r>
            <w:r>
              <w:tab/>
            </w:r>
            <w:r>
              <w:rPr>
                <w:b/>
                <w:i/>
              </w:rPr>
              <w:t>като има предвид, че достъпът до подходящо и качествено жилищно настаняване на достъпни цени е предпоставка за успешното участие в образованието, чиракуването, стажовете и заетостта;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Христо Петров, Ирена Йовева, Мартин Хойсик, Елизабета Гуалмини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Бг.</w:t>
            </w:r>
            <w:r>
              <w:tab/>
            </w:r>
            <w:r>
              <w:rPr>
                <w:b/>
                <w:i/>
              </w:rPr>
              <w:t>като има предвид, че продължават да съществуват институционални и структурни пречки пред привеждането в действие на гаранцията за младежта и нейното практическо прилагане в държавите членки и на местно равнище, като например пречки пред споделянето на данни между службите, несъответствието между предоставянето на образование и обучение и нуждите на пазара на труда, както и неравностойното социално-икономическо положение, пред което са изправени уязвимите групи;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Нилс Гойкинг, Маравиляс Абадия Ховер, Романа Томц, Мириам Лексман, Лисбет Сомен, Сержио Умберто, Мартин Кемп</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Бг.</w:t>
            </w:r>
            <w:r>
              <w:tab/>
            </w:r>
            <w:r>
              <w:rPr>
                <w:b/>
                <w:i/>
              </w:rPr>
              <w:t>като има предвид, че ефективността на гаранцията за младежта следва да се измерва не само с незабавното навлизане на младите хора на пазара на труда, в образованието или обучението, но и с качеството, устойчивостта и дългосрочните перспективи за професионално развитие на тези възможности;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Гордан Босанац</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Бг.</w:t>
            </w:r>
            <w:r>
              <w:tab/>
            </w:r>
            <w:r>
              <w:rPr>
                <w:b/>
                <w:i/>
              </w:rPr>
              <w:t>като има предвид, че младежите от етнически, расови или религиозни малцинства е по-вероятно да се окажат в положение на несъответствие между своите умения и заетост;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Нилс Гойкинг, Маравиляс Абадия Ховер, Романа Томц, Мириам Лексман, Лисбет Сомен, Сержио Умберто, Мартин Кемп</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д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Бд.</w:t>
            </w:r>
            <w:r>
              <w:tab/>
            </w:r>
            <w:r>
              <w:rPr>
                <w:b/>
                <w:i/>
              </w:rPr>
              <w:t>като има предвид, че политиката за младежта следва да бъде призната не само като социален приоритет, но и като стратегическа инвестиция в човешкия капитал, конкурентоспособността и дългосрочната икономическа устойчивост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Нилс Гойкинг, Романа Томц, Мириам Лексман, Лисбет Сомен, Сержио Умберто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е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Бе.</w:t>
            </w:r>
            <w:r>
              <w:tab/>
            </w:r>
            <w:r>
              <w:rPr>
                <w:b/>
                <w:i/>
              </w:rPr>
              <w:t>като има предвид, че младите NEET, младите родители, особено самотните родители, и младите хора в уязвимо положение са изправени пред по-висок риск от психологически стрес и дългосрочно изключване от пазара на труда;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Нилс Гойкинг, Романа Томц, Мириам Лексман, Лисбет Сомен, Сержио Умберто, Мартин Кемп</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ж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Бж.</w:t>
            </w:r>
            <w:r>
              <w:tab/>
            </w:r>
            <w:r>
              <w:rPr>
                <w:b/>
                <w:i/>
              </w:rPr>
              <w:t>като има предвид, че психичното здраве и благосъстояние са от съществено значение за участието на пазара на труда и могат да бъдат укрепени чрез превантивни, ранни психосоциални мерки като част от активирането, без да се засяга отговорността на държавите членки в областта на здравеопазването;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Нилс Гойкинг, Романа Томц, Мириам Лексман, Лисбет Сомен, Сержио Умберто, Мартин Кемп</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з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Бз.</w:t>
            </w:r>
            <w:r>
              <w:tab/>
            </w:r>
            <w:r>
              <w:rPr>
                <w:b/>
                <w:i/>
              </w:rPr>
              <w:t>като има предвид, че автоматизацията и изкуствения интелект (ИИ) променят пазарите на труда, което създава риск от изключване на младите хора, които не притежават основни умения в областта на ИИ;</w:t>
            </w:r>
            <w:r>
              <w:t xml:space="preserve"> </w:t>
            </w:r>
            <w:r>
              <w:rPr>
                <w:b/>
                <w:i/>
              </w:rPr>
              <w:t>като има предвид, че гаранцията за младежта трябва да се справи проактивно с този въпрос, за да гарантира тяхната пригодност за заетост;</w:t>
            </w:r>
            <w:r>
              <w:t xml:space="preserve"> </w:t>
            </w:r>
            <w:r>
              <w:rPr>
                <w:b/>
                <w:i/>
              </w:rPr>
              <w:t>и като има предвид, че ИИ може да спомогне за преодоляване на пречки, свързани с ученето, чрез помощни технологии, ако младите хора придобият ранна цифрова грамотност и основни умения в областта на 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Нилс Гойкинг, Романа Томц, Лисбет Сомен, Сержио Умберто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и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Би.</w:t>
            </w:r>
            <w:r>
              <w:tab/>
            </w:r>
            <w:r>
              <w:rPr>
                <w:b/>
                <w:i/>
              </w:rPr>
              <w:t>като има предвид, че гаранцията за младежта се основава на принципа на взаимно задължение, съгласно който младите хора не само имат право на висококачествени предложения за наемане на работа, но и задължение да участват активно и да приемат разумни възможности за заетост, обучение или образование;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Нилс Гойкинг, Романа Томц, Лисбет Сомен, Маравиляс Абадия Ховер, Сержио Умберто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й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Бй.</w:t>
            </w:r>
            <w:r>
              <w:tab/>
            </w:r>
            <w:r>
              <w:rPr>
                <w:b/>
                <w:i/>
              </w:rPr>
              <w:t>като има предвид, че поради това държавите членки трябва да гарантират, че в случаи на повтарящ се и необоснован отказ на разумни предложения могат да се прилагат подходящи мерки в съответствие с националното законодателствo, за да се предотврати пасивното поведение и да се насърчи личната отговорност на младите хора;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787.791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48</w:t>
    </w:r>
    <w:r>
      <w:fldChar w:fldCharType="end"/>
    </w:r>
    <w:r>
      <w:t>/</w:t>
    </w:r>
    <w:r>
      <w:fldChar w:fldCharType="begin"/>
    </w:r>
    <w:r>
      <w:instrText xml:space="preserve"> NUMPAGES </w:instrText>
    </w:r>
    <w:r>
      <w:fldChar w:fldCharType="separate"/>
    </w:r>
    <w:r>
      <w:t>48</w:t>
    </w:r>
    <w:r>
      <w:fldChar w:fldCharType="end"/>
    </w:r>
    <w:r>
      <w:tab/>
    </w:r>
    <w:r>
      <w:rPr>
        <w:rStyle w:val="HideTWBExt"/>
      </w:rPr>
      <w:t>&lt;PathFdR&gt;</w:t>
    </w:r>
    <w:r>
      <w:t>AM\1342335BG.docx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AM\1342335BG.docx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48</w:t>
    </w:r>
    <w:r>
      <w:fldChar w:fldCharType="end"/>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AM\1342335BG.docx</w:t>
    </w:r>
    <w:r>
      <w:rPr>
        <w:rStyle w:val="HideTWBExt"/>
      </w:rPr>
      <w:t>&lt;/PathFdR&gt;</w:t>
    </w:r>
    <w:r>
      <w:tab/>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48</Pages>
  <Words>7584</Words>
  <Characters>44942</Characters>
  <Application>Microsoft Office Word</Application>
  <DocSecurity>0</DocSecurity>
  <Lines>1</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508130</vt:lpwstr>
  </property>
  <property fmtid="{D5CDD505-2E9C-101B-9397-08002B2CF9AE}" pid="7" name="dmxml.render.traceId">
    <vt:lpwstr>6a16bb7ef61435a05110ec809e189ad7</vt:lpwstr>
  </property>
  <property fmtid="{D5CDD505-2E9C-101B-9397-08002B2CF9AE}" pid="8" name="FooterPath">
    <vt:lpwstr>AM\1342335BG.docx</vt:lpwstr>
  </property>
  <property fmtid="{D5CDD505-2E9C-101B-9397-08002B2CF9AE}" pid="9" name="PE Number">
    <vt:lpwstr>787.791</vt:lpwstr>
  </property>
  <property fmtid="{D5CDD505-2E9C-101B-9397-08002B2CF9AE}" pid="10" name="UID">
    <vt:lpwstr>eu.europa.europarl-DIN1-2026-0000110653_01.00-bg-01.00_text-xml</vt:lpwstr>
  </property>
</Properties>
</file>