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Evropský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{EMPL}</w:t>
      </w:r>
      <w:r>
        <w:t>Výbor pro zaměstnanost a sociální věci</w:t>
      </w:r>
      <w:r>
        <w:rPr>
          <w:rStyle w:val="HideTWBExt"/>
        </w:rPr>
        <w:t>&lt;/Commission&gt;</w:t>
      </w:r>
    </w:p>
    <w:p>
      <w:pPr>
        <w:pStyle w:val="LineBottom"/>
      </w:pPr>
      <w:r>
        <w:t xml:space="preserve"> </w:t>
      </w:r>
    </w:p>
    <w:p>
      <w:pPr>
        <w:pStyle w:val="CoverReference"/>
      </w:pPr>
      <w:r>
        <w:rPr>
          <w:rStyle w:val="HideTWBExt"/>
        </w:rPr>
        <w:t>&lt;RefProc&gt;</w:t>
      </w:r>
      <w:r>
        <w:t>2025/2184</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{23/04/2026}</w:t>
      </w:r>
      <w:r>
        <w:t>23. 4. 2026</w:t>
      </w:r>
      <w:r>
        <w:rPr>
          <w:rStyle w:val="HideTWBExt"/>
        </w:rPr>
        <w:t>&lt;/Date&gt;</w:t>
      </w:r>
    </w:p>
    <w:p>
      <w:pPr>
        <w:pStyle w:val="CoverDocType"/>
      </w:pPr>
      <w:r>
        <w:rPr>
          <w:rStyle w:val="HideTWBExt"/>
        </w:rPr>
        <w:t>&lt;TypeAM&gt;</w:t>
      </w:r>
      <w:r>
        <w:t>POZMĚŇOVACÍ NÁVRHY</w:t>
      </w:r>
      <w:r>
        <w:rPr>
          <w:rStyle w:val="HideTWBExt"/>
        </w:rPr>
        <w:t>&lt;/TypeAM&gt;</w:t>
      </w:r>
    </w:p>
    <w:p>
      <w:pPr>
        <w:pStyle w:val="CoverDocType24a"/>
      </w:pPr>
      <w:r>
        <w:rPr>
          <w:rStyle w:val="HideTWBExt"/>
        </w:rPr>
        <w:t>&lt;RangeAM&gt;</w:t>
      </w:r>
      <w:r>
        <w:t>1</w:t>
      </w:r>
      <w:r>
        <w:t xml:space="preserve"> - </w:t>
      </w:r>
      <w:r>
        <w:t>80</w:t>
      </w:r>
      <w:r>
        <w:rPr>
          <w:rStyle w:val="HideTWBExt"/>
        </w:rPr>
        <w:t>&lt;/RangeAM&gt;</w:t>
      </w:r>
    </w:p>
    <w:p>
      <w:pPr>
        <w:pStyle w:val="CoverBold"/>
      </w:pPr>
      <w:r>
        <w:rPr>
          <w:rStyle w:val="HideTWBExt"/>
        </w:rPr>
        <w:t>&lt;TitreType&gt;</w:t>
      </w:r>
      <w:r>
        <w:t>Návrh zprávy</w:t>
      </w:r>
      <w:r>
        <w:rPr>
          <w:rStyle w:val="HideTWBExt"/>
        </w:rPr>
        <w:t>&lt;/TitreType&gt;</w:t>
      </w:r>
    </w:p>
    <w:p>
      <w:pPr>
        <w:pStyle w:val="CoverBold"/>
      </w:pPr>
      <w:r>
        <w:rPr>
          <w:rStyle w:val="HideTWBExt"/>
        </w:rPr>
        <w:t>&lt;Rapporteur&gt;</w:t>
      </w:r>
      <w:r>
        <w:t>Hristo Petrov</w:t>
      </w:r>
      <w:r>
        <w:rPr>
          <w:rStyle w:val="HideTWBExt"/>
        </w:rPr>
        <w:t>&lt;/Rapporteur&gt;</w:t>
      </w:r>
    </w:p>
    <w:p>
      <w:pPr>
        <w:pStyle w:val="CoverNormal24a"/>
      </w:pPr>
      <w:r>
        <w:rPr>
          <w:rStyle w:val="HideTWBExt"/>
        </w:rPr>
        <w:t>&lt;DocRefPE&gt;</w:t>
      </w:r>
      <w:r>
        <w:t>(PE785.214v01-00)</w:t>
      </w:r>
      <w:r>
        <w:rPr>
          <w:rStyle w:val="HideTWBExt"/>
        </w:rPr>
        <w:t>&lt;/DocRefPE&gt;</w:t>
      </w:r>
    </w:p>
    <w:p>
      <w:pPr>
        <w:pStyle w:val="CoverNormal"/>
      </w:pPr>
      <w:r>
        <w:rPr>
          <w:rStyle w:val="HideTWBExt"/>
        </w:rPr>
        <w:t>&lt;Titre&gt;</w:t>
      </w:r>
      <w:r>
        <w:t>Provádění doporučení Rady ze dne 30. října 2020 o mostu k pracovním místům – posílení záruk pro mladé lidi a nahrazení doporučení Rady ze dne 22. dubna 2013 o zavedení záruk pro mladé lidi</w:t>
      </w:r>
      <w:r>
        <w:rPr>
          <w:rStyle w:val="HideTWBExt"/>
        </w:rPr>
        <w:t>&lt;/Titre&gt;</w:t>
      </w:r>
    </w:p>
    <w:p>
      <w:pPr>
        <w:pStyle w:val="CoverNormal24a"/>
      </w:pPr>
      <w:r>
        <w:rPr>
          <w:rStyle w:val="HideTWBExt"/>
        </w:rPr>
        <w:t>&lt;DocRef&gt;</w:t>
      </w:r>
      <w:r>
        <w:t>(2025/2184(INI))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Pozměňovací návrh</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Niels Geuking, Pascal Arimont, Romana Tomc, David Casa, Isabelle Le Callennec, Liesbet Sommen,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2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cíle sociální politiky stanovené v článcích 151 a 153 Smlouvy o fungování EU ve spojení s článkem 3 nařízení (ES) č. 883/2004 o sociálním zabezpečení a dávkách,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s ohledem na evropský pilíř sociálních práv vyhlášený a podepsaný Radou, Parlamentem a Komisí dne 17. listopadu 2017, zejména na jeho zásady 1, 3 a 4,</w:t>
            </w:r>
          </w:p>
        </w:tc>
        <w:tc>
          <w:tcPr>
            <w:tcW w:w="4876" w:type="dxa"/>
            <w:tcBorders>
              <w:top w:val="nil"/>
              <w:left w:val="nil"/>
              <w:bottom w:val="nil"/>
              <w:right w:val="nil"/>
            </w:tcBorders>
          </w:tcPr>
          <w:p>
            <w:pPr>
              <w:pStyle w:val="Normal6a"/>
            </w:pPr>
            <w:r>
              <w:rPr>
                <w:b/>
                <w:i/>
              </w:rPr>
              <w:t>–</w:t>
            </w:r>
            <w:r>
              <w:tab/>
            </w:r>
            <w:r>
              <w:t xml:space="preserve">s ohledem na evropský pilíř sociálních práv vyhlášený a podepsaný Radou, Parlamentem a Komisí dne 17. listopadu 2017, zejména na jeho zásady 1, 3 a 4 </w:t>
            </w:r>
            <w:r>
              <w:rPr>
                <w:b/>
                <w:i/>
              </w:rPr>
              <w:t>a na jeho cíl snížit míru NEET do roku 2030 o 9 %</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Kathleen Funchion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s ohledem na evropský pilíř sociálních práv vyhlášený a podepsaný Radou, Parlamentem a Komisí dne 17. listopadu 2017, zejména na jeho zásady 1, 3 a 4,</w:t>
            </w:r>
          </w:p>
        </w:tc>
        <w:tc>
          <w:tcPr>
            <w:tcW w:w="4876" w:type="dxa"/>
            <w:tcBorders>
              <w:top w:val="nil"/>
              <w:left w:val="nil"/>
              <w:bottom w:val="nil"/>
              <w:right w:val="nil"/>
            </w:tcBorders>
          </w:tcPr>
          <w:p>
            <w:pPr>
              <w:pStyle w:val="Normal6a"/>
            </w:pPr>
            <w:r>
              <w:rPr>
                <w:b/>
                <w:i/>
              </w:rPr>
              <w:t>–</w:t>
            </w:r>
            <w:r>
              <w:tab/>
            </w:r>
            <w:r>
              <w:t xml:space="preserve">s ohledem na evropský pilíř sociálních práv vyhlášený a podepsaný Radou, Parlamentem a Komisí dne 17. listopadu 2017, zejména na jeho zásady 1, 3 a 4 </w:t>
            </w:r>
            <w:r>
              <w:rPr>
                <w:b/>
                <w:i/>
              </w:rPr>
              <w:t>a na jeho cíl snížit míru NEET do roku 2030 o 9 %</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5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články 7 a 17 revidované Evropské sociální charty,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6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závěry Rady o úloze práce s mládeží, pokud jde o podporu rozvoje základních životních dovedností mladých lidí, které usnadní jejich úspěšný přechod do dospělosti, k aktivnímu občanství a do pracovního života (2017/C 189/06)</w:t>
            </w:r>
            <w:r>
              <w:rPr>
                <w:b/>
                <w:i/>
                <w:vertAlign w:val="superscript"/>
              </w:rPr>
              <w:t>2a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2a</w:t>
            </w:r>
            <w:r>
              <w:t xml:space="preserve"> </w:t>
            </w:r>
            <w:r>
              <w:rPr>
                <w:b/>
                <w:i/>
              </w:rPr>
              <w:t>Úř. věst. C 189, 5.6.2017, s. 30–34.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6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provádění strategie EU pro mládež (2019–2021) (2021/C 504 1/02)</w:t>
            </w:r>
            <w:r>
              <w:rPr>
                <w:b/>
                <w:i/>
                <w:vertAlign w:val="superscript"/>
              </w:rPr>
              <w:t>2b</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2b</w:t>
            </w:r>
            <w:r>
              <w:t xml:space="preserve"> </w:t>
            </w:r>
            <w:r>
              <w:rPr>
                <w:b/>
                <w:i/>
              </w:rPr>
              <w:t>Úř. věst. C 504I, 14.12.2021, s. 10–11.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6 c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sdělení Evropské komise ze dne 20. ledna 2026 nazvané „Unie rovnosti:</w:t>
            </w:r>
            <w:r>
              <w:t xml:space="preserve"> </w:t>
            </w:r>
            <w:r>
              <w:rPr>
                <w:b/>
                <w:i/>
              </w:rPr>
              <w:t>Strategie pro boj proti rasismu 2026–2030“ (COM(2026)0012)</w:t>
            </w:r>
            <w:r>
              <w:rPr>
                <w:b/>
                <w:i/>
                <w:vertAlign w:val="superscript"/>
              </w:rPr>
              <w:t>2c</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2c</w:t>
            </w:r>
            <w:r>
              <w:t xml:space="preserve"> </w:t>
            </w:r>
            <w:r>
              <w:rPr>
                <w:b/>
                <w:i/>
              </w:rPr>
              <w:t>COM/2026/12 final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6 d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zprávu agentury FRA nazvanou „Being Black in the EU – Experiences of people of African descent“ (Jak se žije lidem černé pleti v EU – zkušenosti osob afrického původu)</w:t>
            </w:r>
            <w:r>
              <w:rPr>
                <w:b/>
                <w:i/>
                <w:vertAlign w:val="superscript"/>
              </w:rPr>
              <w:t>2d</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2d</w:t>
            </w:r>
            <w:r>
              <w:t xml:space="preserve"> </w:t>
            </w:r>
            <w:r>
              <w:rPr>
                <w:b/>
                <w:i/>
              </w:rPr>
              <w:t>https://fra.europa.eu/en/publication/2023/being-black-eu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6 e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zprávu agentury FRA nazvanou „Being Muslim in the EU – Experiences of Muslims“ (Jak se žije muslimům v EU – zkušenosti muslimů)</w:t>
            </w:r>
            <w:r>
              <w:rPr>
                <w:b/>
                <w:i/>
                <w:vertAlign w:val="superscript"/>
              </w:rPr>
              <w:t>2e</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2e</w:t>
            </w:r>
            <w:r>
              <w:t xml:space="preserve"> </w:t>
            </w:r>
            <w:r>
              <w:rPr>
                <w:b/>
                <w:i/>
              </w:rPr>
              <w:t>https://fra.europa.eu/en/publication/2024/being-muslim-eu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Niels Geuking, Romana Tomc, Liesbet Sommen,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9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klíčová sdělení Výboru pro zaměstnanost (EMCO), která Rada ve složení pro zaměstnanost, sociální politiku, zdraví a ochranu spotřebitele schválila v letech 2016, 2018, 2019, 2021, 2023, 2025 a 2026,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10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cíle udržitelného rozvoje Organizace spojených národů, zejména cíl č. 8, které přijali čelní světoví představitelé v září 2015 a které schválila Rada,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Kathleen Funchion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12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Evropskou sociální chartu, zejména na článek 7 a 17 této charty,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Kathleen Funchion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12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Agendu 2030 a cíle udržitelného rozvoje, zejména cíl č. 8 „Podporovat trvalý, inkluzivní a udržitelný hospodářský růst, plnou a produktivní zaměstnanost a důstojnou práci pro všechny“,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16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doporučení Rady ze dne 9. března 2026 o lidském kapitálu v Evropské unii</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Úř. věst. C, C/2026/1687.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16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stanovisko Evropského výboru regionů ze dne 5. února 2021 k podpoře zaměstnanosti mladých lidí:</w:t>
            </w:r>
            <w:r>
              <w:t xml:space="preserve"> </w:t>
            </w:r>
            <w:r>
              <w:rPr>
                <w:b/>
                <w:i/>
              </w:rPr>
              <w:t>most k pracovním místům pro příští generaci – posílení záruk pro mladé lidi</w:t>
            </w:r>
            <w:r>
              <w:rPr>
                <w:b/>
                <w:i/>
                <w:vertAlign w:val="superscript"/>
              </w:rPr>
              <w:t>2a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2a</w:t>
            </w:r>
            <w:r>
              <w:t xml:space="preserve"> </w:t>
            </w:r>
            <w:r>
              <w:rPr>
                <w:b/>
                <w:i/>
              </w:rPr>
              <w:t>Úř. věst. C 108, 26.3.2021, s. 7–11.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17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stanovisko Evropského hospodářského a sociálního výboru ze dne 29. října 2020 nazvané „Posílení záruk pro mladé lidi“,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17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zprávu Eurofoundu z roku 2024 nazvanou „Becoming adults: Young people in a post-pandemic world“ (Stávají se dospělými: mladí lidé ve světě po pandemii)</w:t>
            </w:r>
            <w:r>
              <w:rPr>
                <w:b/>
                <w:i/>
                <w:vertAlign w:val="superscript"/>
              </w:rPr>
              <w:t>3a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3a</w:t>
            </w:r>
            <w:r>
              <w:t xml:space="preserve"> </w:t>
            </w:r>
            <w:r>
              <w:rPr>
                <w:b/>
                <w:i/>
              </w:rPr>
              <w:t>Eurofound (2024), Becoming adults:</w:t>
            </w:r>
            <w:r>
              <w:t xml:space="preserve"> </w:t>
            </w:r>
            <w:r>
              <w:rPr>
                <w:b/>
                <w:i/>
              </w:rPr>
              <w:t>Young people in a post-pandemic world, Úřad pro publikace Evropské unie, Lucemburk.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17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zprávu nadace Eurofound z roku 2024 nazvanou „Young people in the Western Balkans“ (Mladí lidé na západním Balkáně),</w:t>
            </w:r>
            <w:r>
              <w:rPr>
                <w:b/>
                <w:i/>
                <w:vertAlign w:val="superscript"/>
              </w:rPr>
              <w:t>4a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4a</w:t>
            </w:r>
            <w:r>
              <w:t xml:space="preserve"> </w:t>
            </w:r>
            <w:r>
              <w:rPr>
                <w:b/>
                <w:i/>
              </w:rPr>
              <w:t>Eurofound (2024), Young people in the Western Balkans, Úřad pro publikace Evropské unie, Lucemburk.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17 c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publikaci střediska CEDEFOP z roku 2023 nazvanou „Evropské pokyny pro validaci neformálního a informálního učení</w:t>
            </w:r>
            <w:r>
              <w:rPr>
                <w:b/>
                <w:i/>
                <w:vertAlign w:val="superscript"/>
              </w:rPr>
              <w:t>5a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5a</w:t>
            </w:r>
            <w:r>
              <w:t xml:space="preserve"> </w:t>
            </w:r>
            <w:r>
              <w:rPr>
                <w:b/>
                <w:i/>
              </w:rPr>
              <w:t>Cedefop (2023),</w:t>
            </w:r>
            <w:r>
              <w:t xml:space="preserve"> </w:t>
            </w:r>
            <w:r>
              <w:rPr>
                <w:b/>
                <w:i/>
              </w:rPr>
              <w:t>Evropské pokyny pro validaci neformálního a informálního učení,</w:t>
            </w:r>
            <w:r>
              <w:t xml:space="preserve"> </w:t>
            </w:r>
            <w:r>
              <w:rPr>
                <w:b/>
                <w:i/>
              </w:rPr>
              <w:t>Lucemburk:</w:t>
            </w:r>
            <w:r>
              <w:t xml:space="preserve"> </w:t>
            </w:r>
            <w:r>
              <w:rPr>
                <w:b/>
                <w:i/>
              </w:rPr>
              <w:t>Úřad pro publikace,</w:t>
            </w:r>
            <w:r>
              <w:t xml:space="preserve"> </w:t>
            </w:r>
            <w:r>
              <w:rPr>
                <w:b/>
                <w:i/>
              </w:rPr>
              <w:t>referenční řada Cedefop,</w:t>
            </w:r>
            <w:r>
              <w:t xml:space="preserve"> </w:t>
            </w:r>
            <w:r>
              <w:rPr>
                <w:b/>
                <w:i/>
              </w:rPr>
              <w:t>č. 124, http://data.europa.eu/doi/10.2801/389827.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17 d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publikaci Evropské nadace odborného vzdělávání z roku 2025 nazvanou „Zajištění informovanosti mladých lidí, kteří nejsou zaměstnáni ani se neúčastní vzdělávání nebo odborné přípravy:</w:t>
            </w:r>
            <w:r>
              <w:t xml:space="preserve"> </w:t>
            </w:r>
            <w:r>
              <w:rPr>
                <w:b/>
                <w:i/>
              </w:rPr>
              <w:t>praktické pokyny pro zajištění informovanosti“</w:t>
            </w:r>
            <w:r>
              <w:rPr>
                <w:b/>
                <w:i/>
                <w:vertAlign w:val="superscript"/>
              </w:rPr>
              <w:t>6a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6a</w:t>
            </w:r>
            <w:r>
              <w:t xml:space="preserve"> </w:t>
            </w:r>
            <w:r>
              <w:rPr>
                <w:b/>
                <w:i/>
              </w:rPr>
              <w:t>Evropská nadace odborného vzdělávání (2025), Zajištění informovanosti mladých lidí, kteří nejsou zaměstnáni ani se neúčastní vzdělávání nebo odborné přípravy:</w:t>
            </w:r>
            <w:r>
              <w:t xml:space="preserve"> </w:t>
            </w:r>
            <w:r>
              <w:rPr>
                <w:b/>
                <w:i/>
              </w:rPr>
              <w:t>praktické pokyny pro zajištění informovanosti, Turín, Itálie.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17 e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publikaci střediska CEDEFOP z roku 2026 nazvanou „An EU reference framework for lifelong guidance: 18 guidelines for policy and system development“ (Referenční rámec EU pro celoživotní poradenství: 18 pokynů pro rozvoj politik a systémů)</w:t>
            </w:r>
            <w:r>
              <w:rPr>
                <w:b/>
                <w:i/>
                <w:vertAlign w:val="superscript"/>
              </w:rPr>
              <w:t>7a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7a</w:t>
            </w:r>
            <w:r>
              <w:t xml:space="preserve"> </w:t>
            </w:r>
            <w:r>
              <w:rPr>
                <w:b/>
                <w:i/>
              </w:rPr>
              <w:t>Cedefop (2026),</w:t>
            </w:r>
            <w:r>
              <w:t xml:space="preserve"> </w:t>
            </w:r>
            <w:r>
              <w:rPr>
                <w:b/>
                <w:i/>
              </w:rPr>
              <w:t>„An EU reference framework for lifelong guidance:</w:t>
            </w:r>
            <w:r>
              <w:t xml:space="preserve"> </w:t>
            </w:r>
            <w:r>
              <w:rPr>
                <w:b/>
                <w:i/>
              </w:rPr>
              <w:t>18 guidelines for policy and system development“,</w:t>
            </w:r>
            <w:r>
              <w:t xml:space="preserve"> </w:t>
            </w:r>
            <w:r>
              <w:rPr>
                <w:b/>
                <w:i/>
              </w:rPr>
              <w:t>referenční řada Cedefop,</w:t>
            </w:r>
            <w:r>
              <w:t xml:space="preserve"> </w:t>
            </w:r>
            <w:r>
              <w:rPr>
                <w:b/>
                <w:i/>
              </w:rPr>
              <w:t>Úřad pro publikace Evropské unie,</w:t>
            </w:r>
            <w:r>
              <w:t xml:space="preserve"> </w:t>
            </w:r>
            <w:r>
              <w:rPr>
                <w:b/>
                <w:i/>
              </w:rPr>
              <w:t>odkaz:</w:t>
            </w:r>
            <w:r>
              <w:t xml:space="preserve"> </w:t>
            </w:r>
            <w:r>
              <w:rPr>
                <w:b/>
                <w:i/>
              </w:rPr>
              <w:t>10.2801/8255414.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s ohledem na posouzení provádění na evropské úrovni ze dne 18. prosince 2025 nazvané „Provádění posílené záruky pro mladé lidi – trendy v členských státech EU, dopad, financování EU a správa“, které zveřejnila výzkumná služba Evropského parlamentu,</w:t>
            </w:r>
          </w:p>
        </w:tc>
        <w:tc>
          <w:tcPr>
            <w:tcW w:w="4876" w:type="dxa"/>
            <w:tcBorders>
              <w:top w:val="nil"/>
              <w:left w:val="nil"/>
              <w:bottom w:val="nil"/>
              <w:right w:val="nil"/>
            </w:tcBorders>
          </w:tcPr>
          <w:p>
            <w:pPr>
              <w:pStyle w:val="Normal6a"/>
            </w:pPr>
            <w:r>
              <w:rPr>
                <w:b/>
                <w:i/>
              </w:rPr>
              <w:t>–</w:t>
            </w:r>
            <w:r>
              <w:tab/>
            </w:r>
            <w:r>
              <w:t>s ohledem na posouzení provádění na evropské úrovni ze dne 18. prosince 2025 nazvané „Provádění posílené záruky pro mladé lidi – trendy v členských státech EU, dopad, financování EU a správa“, které zveřejnila výzkumná služba Evropského parlamentu</w:t>
            </w:r>
            <w:r>
              <w:rPr>
                <w:b/>
                <w:i/>
                <w:vertAlign w:val="superscript"/>
              </w:rPr>
              <w:t>8a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8a</w:t>
            </w:r>
            <w:r>
              <w:t xml:space="preserve"> </w:t>
            </w:r>
            <w:r>
              <w:rPr>
                <w:b/>
                <w:i/>
              </w:rPr>
              <w:t>https://www.europarl.europa.eu/thinktank/en/document/EPRS_STU(2025)774714.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18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studii zveřejněnou Evropským výborem regionů v červnu 2022 s názvem „The local implementation of the Reinforced Youth Guarantee“ (Provádění posílené záruky pro mladé lidi na místní úrovni),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18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postoj Evropského fóra mládeže ze dne 13. března 2025 nazvaný „Záruka pro mladé lidi: jak podpořit mladé lidi, aby našli svou cestu“,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Niels Geuking, Pascal Arimont, Romana Tomc, David Casa, Isabelle Le Callennec, Miriam Lexmann, Liesbet Sommen,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19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usnesení Evropského parlamentu ze dne 21. listopadu 2023 nazvané „Snižování nerovností a podpora sociálního začlenění dětí a jejich rodin v době krize“</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https://eur-lex.europa.eu/legal-content/CS/TXT/?uri=CELEX:52023IP0408</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19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své usnesení ze dne 17. února 2022 o posílení postavení evropské mládeže:</w:t>
            </w:r>
            <w:r>
              <w:t xml:space="preserve"> </w:t>
            </w:r>
            <w:r>
              <w:rPr>
                <w:b/>
                <w:i/>
              </w:rPr>
              <w:t>zaměstnanost a sociální oživení po pandemii</w:t>
            </w:r>
            <w:r>
              <w:rPr>
                <w:b/>
                <w:i/>
                <w:vertAlign w:val="superscript"/>
              </w:rPr>
              <w:t>9a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9a</w:t>
            </w:r>
            <w:r>
              <w:t xml:space="preserve"> </w:t>
            </w:r>
            <w:r>
              <w:rPr>
                <w:b/>
                <w:i/>
              </w:rPr>
              <w:t>Úř. věst. C 342, 6.9.2022, s. 265–275.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19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své usnesení ze dne 11. března 2025 o Evropském sociálním fondu plus po roce 2027</w:t>
            </w:r>
            <w:r>
              <w:rPr>
                <w:b/>
                <w:i/>
                <w:vertAlign w:val="superscript"/>
              </w:rPr>
              <w:t>10a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10a</w:t>
            </w:r>
            <w:r>
              <w:t xml:space="preserve"> </w:t>
            </w:r>
            <w:r>
              <w:rPr>
                <w:b/>
                <w:i/>
              </w:rPr>
              <w:t>Úř. věst. C, C/2025/3146.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19 c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své usnesení ze dne 27. listopadu 2025 o strategii EU pro práva osob se zdravotním postižením po roce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Marie Dauchy, Séverine Werbrouck, Mélanie Disdier,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vzhledem k tomu, že posílení záruk pro mladé lidi je závazek členských států vůči mladým </w:t>
            </w:r>
            <w:r>
              <w:rPr>
                <w:b/>
                <w:i/>
              </w:rPr>
              <w:t>lidem</w:t>
            </w:r>
            <w:r>
              <w:t xml:space="preserve"> do 30 let zajistit, že se jim dostane kvalitní nabídky zaměstnání, dalšího vzdělávání, učňovské přípravy nebo stáže, a to do čtyř měsíců od okamžiku, kdy se stali nezaměstnanými nebo ukončili vzdělávání;</w:t>
            </w:r>
          </w:p>
        </w:tc>
        <w:tc>
          <w:tcPr>
            <w:tcW w:w="4876" w:type="dxa"/>
            <w:tcBorders>
              <w:top w:val="nil"/>
              <w:left w:val="nil"/>
              <w:bottom w:val="nil"/>
              <w:right w:val="nil"/>
            </w:tcBorders>
          </w:tcPr>
          <w:p>
            <w:pPr>
              <w:pStyle w:val="Normal6a"/>
            </w:pPr>
            <w:r>
              <w:t>A.</w:t>
            </w:r>
            <w:r>
              <w:tab/>
            </w:r>
            <w:r>
              <w:t xml:space="preserve">vzhledem k tomu, že posílení záruk pro mladé lidi je závazek členských států vůči mladým </w:t>
            </w:r>
            <w:r>
              <w:rPr>
                <w:b/>
                <w:i/>
              </w:rPr>
              <w:t>občanům</w:t>
            </w:r>
            <w:r>
              <w:t xml:space="preserve"> do 30 let zajistit, že se jim </w:t>
            </w:r>
            <w:r>
              <w:rPr>
                <w:b/>
                <w:i/>
              </w:rPr>
              <w:t>teoreticky</w:t>
            </w:r>
            <w:r>
              <w:t xml:space="preserve"> dostane kvalitní nabídky zaměstnání, dalšího vzdělávání, učňovské přípravy nebo stáže, a to do čtyř měsíců od okamžiku, kdy se stali nezaměstnanými nebo ukončili vzdělávání; </w:t>
            </w:r>
            <w:r>
              <w:rPr>
                <w:b/>
                <w:i/>
              </w:rPr>
              <w:t>vzhledem k tomu, že tento závazek narazil na realitu praxe a že se ukázalo, že jde o byrokratickou chiméru, protože více než polovina mladých lidí v EU po uplynutí této lhůty stále čeká na nabídku;</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vzhledem k tomu, že posílení záruk pro mladé lidi je závazek členských států vůči mladým lidem do 30 let zajistit, že se jim dostane kvalitní nabídky zaměstnání, dalšího vzdělávání, učňovské přípravy nebo stáže, a to do čtyř měsíců od okamžiku, kdy se stali nezaměstnanými nebo ukončili vzdělávání;</w:t>
            </w:r>
          </w:p>
        </w:tc>
        <w:tc>
          <w:tcPr>
            <w:tcW w:w="4876" w:type="dxa"/>
            <w:tcBorders>
              <w:top w:val="nil"/>
              <w:left w:val="nil"/>
              <w:bottom w:val="nil"/>
              <w:right w:val="nil"/>
            </w:tcBorders>
          </w:tcPr>
          <w:p>
            <w:pPr>
              <w:pStyle w:val="Normal6a"/>
            </w:pPr>
            <w:r>
              <w:t>A.</w:t>
            </w:r>
            <w:r>
              <w:tab/>
            </w:r>
            <w:r>
              <w:t xml:space="preserve">vzhledem k tomu, že posílení záruk pro mladé lidi je závazek členských států vůči mladým lidem do 30 let zajistit, že se jim dostane kvalitní nabídky zaměstnání, dalšího vzdělávání, učňovské přípravy nebo stáže, a to do čtyř měsíců od okamžiku, kdy se stali nezaměstnanými nebo ukončili vzdělávání; </w:t>
            </w:r>
            <w:r>
              <w:rPr>
                <w:b/>
                <w:i/>
              </w:rPr>
              <w:t>vzhledem k tomu, že od zavedení záruk v roce 2013 dostalo v rámci systému záruk pro mladé lidi nabídku přibližně 60 milionů mladých Evropanů;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vzhledem k tomu, že </w:t>
            </w:r>
            <w:r>
              <w:rPr>
                <w:b/>
                <w:i/>
              </w:rPr>
              <w:t>posílení</w:t>
            </w:r>
            <w:r>
              <w:t xml:space="preserve"> záruk pro mladé lidi </w:t>
            </w:r>
            <w:r>
              <w:rPr>
                <w:b/>
                <w:i/>
              </w:rPr>
              <w:t>je</w:t>
            </w:r>
            <w:r>
              <w:t xml:space="preserve"> závazek členských států vůči mladým lidem do 30 let zajistit, že se jim dostane kvalitní nabídky zaměstnání, dalšího vzdělávání, učňovské přípravy nebo stáže, a to do čtyř měsíců od okamžiku, kdy se stali nezaměstnanými nebo ukončili vzdělávání;</w:t>
            </w:r>
          </w:p>
        </w:tc>
        <w:tc>
          <w:tcPr>
            <w:tcW w:w="4876" w:type="dxa"/>
            <w:tcBorders>
              <w:top w:val="nil"/>
              <w:left w:val="nil"/>
              <w:bottom w:val="nil"/>
              <w:right w:val="nil"/>
            </w:tcBorders>
          </w:tcPr>
          <w:p>
            <w:pPr>
              <w:pStyle w:val="Normal6a"/>
            </w:pPr>
            <w:r>
              <w:t>A.</w:t>
            </w:r>
            <w:r>
              <w:tab/>
            </w:r>
            <w:r>
              <w:t xml:space="preserve">vzhledem k tomu, že </w:t>
            </w:r>
            <w:r>
              <w:rPr>
                <w:b/>
                <w:i/>
              </w:rPr>
              <w:t>systém</w:t>
            </w:r>
            <w:r>
              <w:t xml:space="preserve"> záruk pro mladé lidi </w:t>
            </w:r>
            <w:r>
              <w:rPr>
                <w:b/>
                <w:i/>
              </w:rPr>
              <w:t>byl zaveden v roce 2013 a v roce 2020 byl posílen (posílené záruky pro mladé lidi);</w:t>
            </w:r>
            <w:r>
              <w:t xml:space="preserve"> </w:t>
            </w:r>
            <w:r>
              <w:rPr>
                <w:b/>
                <w:i/>
              </w:rPr>
              <w:t>vzhledem k tomu, že</w:t>
            </w:r>
            <w:r>
              <w:t xml:space="preserve"> závazek členských států vůči mladým lidem do 30 let </w:t>
            </w:r>
            <w:r>
              <w:rPr>
                <w:b/>
                <w:i/>
              </w:rPr>
              <w:t>je</w:t>
            </w:r>
            <w:r>
              <w:t xml:space="preserve"> zajistit, že se jim dostane kvalitní nabídky zaměstnání, dalšího vzdělávání, učňovské přípravy nebo stáže, a to do čtyř měsíců od okamžiku, kdy se stali nezaměstnanými nebo ukončili vzdělávání;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vzhledem k tomu, že cílem posílených záruk pro mladé lidi je bojovat proti nezaměstnanosti, nečinnosti a podzaměstnanosti mladých lidí a podporovat jejich udržitelné začlenění do kvalitního vzdělávání, odborné přípravy a na trh práce;</w:t>
            </w:r>
            <w:r>
              <w:t xml:space="preserve"> </w:t>
            </w:r>
            <w:r>
              <w:rPr>
                <w:b/>
                <w:i/>
              </w:rPr>
              <w:t>vzhledem k tomu, že cíle posílených záruk pro mladé lidi odrážejí společné politické priority Evropského parlamentu, Komise a členských států v rámci stávajícího víceletého finančního rámce (VFR) a přispívají k cíli Unie, kterým je udržitelný hospodářský růst a vytváření vysoce kvalitních pracovních míst v souladu s evropským pilířem sociálních práv;</w:t>
            </w:r>
            <w:r>
              <w:t xml:space="preserve"> </w:t>
            </w:r>
            <w:r>
              <w:rPr>
                <w:b/>
                <w:i/>
              </w:rPr>
              <w:t>vzhledem k tomu, že přetrvávající problémy a nové rychle se vyvíjející výzvy v oblasti začlenění mladých lidí na trh práce vyžadují, aby tyto priority zůstaly zachovány i po skončení stávajícího programového období;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vzhledem k tomu, že členské státy obecně prokazovaly silné politické odhodlání k provádění záruk pro mladé lidi a svých vnitrostátních prováděcích plánů;</w:t>
            </w:r>
            <w:r>
              <w:t xml:space="preserve"> </w:t>
            </w:r>
            <w:r>
              <w:rPr>
                <w:b/>
                <w:i/>
              </w:rPr>
              <w:t>vzhledem k tomu, že bylo vyvinuto zvláštní úsilí o posílení podpůrných kapacit pro mladé lidi, kteří nejsou zaměstnaní ani se neúčastní vzdělávání nebo odborné přípravy, a pro vzájemné učení prostřednictvím setkání národních koordinátorů jak na úrovni EU, tak i mimo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Kathleen Funchion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vzhledem k tomu, že výzkum nadace Eurofound zdůrazňuje, že populace NEET je velmi různorodá a zahrnuje různé podskupiny a že každá z těchto podskupin čelí specifickým strukturálním překážkám a má specifické potřeby, které brání jejímu úspěšnému začlenění na trh práce;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Lara Magoni, Elena Donazzan, Marlena Maląg, Mariateresa Vivaldini, Francesco Torselli, Chiara Gemma,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vzhledem k tomu, že navrhování a provádění těchto opatření by mělo plně respektovat zásadu subsidiarity a pravomoci členských států v oblasti politik vzdělávání, odborné přípravy a zaměstnanosti;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Ab.</w:t>
            </w:r>
            <w:r>
              <w:tab/>
            </w:r>
            <w:r>
              <w:rPr>
                <w:b/>
                <w:i/>
              </w:rPr>
              <w:t>vzhledem k tomu, že míra NEET v EU začala v období po pandemii opět klesat;</w:t>
            </w:r>
            <w:r>
              <w:t xml:space="preserve"> </w:t>
            </w:r>
            <w:r>
              <w:rPr>
                <w:b/>
                <w:i/>
              </w:rPr>
              <w:t>vzhledem k tomu, že akční plán pro evropský pilíř sociálních práv zahrnuje cíl snížit do roku 2030 míru NEET u osob ve věku 15–29 let na 9 %;</w:t>
            </w:r>
            <w:r>
              <w:t xml:space="preserve"> </w:t>
            </w:r>
            <w:r>
              <w:rPr>
                <w:b/>
                <w:i/>
              </w:rPr>
              <w:t>vzhledem k tomu, že dosažení tohoto cíle je na dobré cestě, a to navzdory značným rozdílům mezi členskými státy a regiony</w:t>
            </w:r>
            <w:r>
              <w:rPr>
                <w:b/>
                <w:i/>
                <w:vertAlign w:val="superscript"/>
              </w:rPr>
              <w:t>11a</w:t>
            </w:r>
            <w:r>
              <w:rPr>
                <w:b/>
                <w:i/>
              </w:rPr>
              <w:t>; vzhledem k tomu, že i pokud bude cíle dosaženo, značný počet mladých lidí nadále zůstane v tíživé situaci;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11a</w:t>
            </w:r>
            <w:r>
              <w:t xml:space="preserve"> </w:t>
            </w:r>
            <w:r>
              <w:rPr>
                <w:b/>
                <w:i/>
              </w:rPr>
              <w:t>https://doi.org/10.2908/LFSI_NEET_Q.</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Ab.</w:t>
            </w:r>
            <w:r>
              <w:tab/>
            </w:r>
            <w:r>
              <w:rPr>
                <w:b/>
                <w:i/>
              </w:rPr>
              <w:t>vzhledem k tomu, že mladí lidé, kteří nejsou nejsou zaměstnaní ani se neúčastní vzdělávání nebo odborné přípravy (NEET), představují rozmanitou skupinu mladých lidí s různými životními zkušenostmi;</w:t>
            </w:r>
            <w:r>
              <w:t xml:space="preserve"> </w:t>
            </w:r>
            <w:r>
              <w:rPr>
                <w:b/>
                <w:i/>
              </w:rPr>
              <w:t>vzhledem k tomu, že výzkum nadace Eurofound</w:t>
            </w:r>
            <w:r>
              <w:rPr>
                <w:b/>
                <w:i/>
                <w:vertAlign w:val="superscript"/>
              </w:rPr>
              <w:t>1a</w:t>
            </w:r>
            <w:r>
              <w:t xml:space="preserve"> </w:t>
            </w:r>
            <w:r>
              <w:rPr>
                <w:b/>
                <w:i/>
              </w:rPr>
              <w:t>zdůrazňuje, že populace NEET je velmi různorodá a zahrnuje různé podskupiny a že každá z těchto podskupin čelí specifickým strukturálním překážkám, které brání jejímu úspěšnému začlenění na trh práce, a že tudíž vyžaduje individualizovanou podporu, která by odpovídala jejím specifickým potřebám;</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Eurofound, „Exploring the Diversity of NEETs“ (Výzkum rozdílů v rámci osob NEET), Úřad pro publikace Evropské unie, Lucemburk, 2016.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Ac.</w:t>
            </w:r>
            <w:r>
              <w:tab/>
            </w:r>
            <w:r>
              <w:rPr>
                <w:b/>
                <w:i/>
              </w:rPr>
              <w:t>vzhledem k tomu, že při provádění a zlepšování posílených záruk pro mladé lidi je třeba věnovat zvláštní pozornost mladým lidem, kteří nejsou zaměstnaní ani se neúčastní vzdělávání nebo odborné přípravy (NEET) a kteří jsou zranitelní, a těm, kteří jsou nejvíce vzdáleni trhu práce a které lze často obtížně podchytit;</w:t>
            </w:r>
            <w:r>
              <w:t xml:space="preserve"> </w:t>
            </w:r>
            <w:r>
              <w:rPr>
                <w:b/>
                <w:i/>
              </w:rPr>
              <w:t>vzhledem k tomu, že mezi tyto lidi patří ženy, lidé různého etnického původu, romské komunity a komunity Travellerů, mladí lidé bez domova, mladí lidé, kteří opustili ústavní péči, osoby LGBTQIA+, mladí lidé se statusem migranta nebo uprchlíka, mladí lidé se zdravotním postižením, mladí lidé, kteří čelí diskriminaci na základě náboženského vyznání nebo přesvědčení, mladí lidé, kteří čelí chronickým onemocněním nebo závislosti, mladí rodiče a mladí lidé, kteří jsou neformálními pečovateli;</w:t>
            </w:r>
            <w:r>
              <w:t xml:space="preserve"> </w:t>
            </w:r>
            <w:r>
              <w:rPr>
                <w:b/>
                <w:i/>
              </w:rPr>
              <w:t>vzhledem k tomu, že je třeba jasně rozlišovat mezi osobami NEET, které jsou nedobrovolně vyloučeny ze vzdělávání, zaměstnání nebo odborné přípravy, a osobami, které jsou dobrovolně neaktivní;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Ac.</w:t>
            </w:r>
            <w:r>
              <w:tab/>
            </w:r>
            <w:r>
              <w:rPr>
                <w:b/>
                <w:i/>
              </w:rPr>
              <w:t>vzhledem k tomu, že mezi mladými lidmi, kteří nejsou zaměstnaní ani se neúčastní vzdělávání nebo odborné přípravy, přetrvávají rozdíly mezi ženami a muži, přičemž podíl mladých žen, které nejsou zaměstnané ani se neúčastní vzdělávání nebo odborné přípravy, je v EU trvale vyšší než podíl mladých mužů</w:t>
            </w:r>
            <w:r>
              <w:rPr>
                <w:b/>
                <w:i/>
                <w:vertAlign w:val="superscript"/>
              </w:rPr>
              <w:t>12a</w:t>
            </w:r>
            <w:r>
              <w:rPr>
                <w:b/>
                <w:i/>
              </w:rPr>
              <w:t>;</w:t>
            </w:r>
            <w:r>
              <w:t xml:space="preserve"> </w:t>
            </w:r>
            <w:r>
              <w:rPr>
                <w:b/>
                <w:i/>
              </w:rPr>
              <w:t>vzhledem k tomu, že tuto situaci lze částečně vysvětlit nerovnoměrným rozdělením povinností v oblasti péče o děti a společenskými normami;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12a</w:t>
            </w:r>
            <w:r>
              <w:t xml:space="preserve"> </w:t>
            </w:r>
            <w:r>
              <w:rPr>
                <w:b/>
                <w:i/>
              </w:rPr>
              <w:t>https://www.eurofound.europa.eu/en/surveys-and-data/data-catalogue/neet-rates-gender-15-29-age-group.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Ad.</w:t>
            </w:r>
            <w:r>
              <w:tab/>
            </w:r>
            <w:r>
              <w:rPr>
                <w:b/>
                <w:i/>
              </w:rPr>
              <w:t>vzhledem k tomu, že začleňování osob NEET na trh práce je stále složitější, což je způsobeno faktory, jako je rozmach zakázkové ekonomiky a nárůst nejistých a nestandardních forem zaměstnání, rozvoj umělé inteligence a digitalizace a krize v oblasti životních nákladů, včetně rostoucích nákladů na bydlení;</w:t>
            </w:r>
            <w:r>
              <w:t xml:space="preserve"> </w:t>
            </w:r>
            <w:r>
              <w:rPr>
                <w:b/>
                <w:i/>
              </w:rPr>
              <w:t>vzhledem k tomu, že tento vývoj vytváří strukturální překážky pro udržitelnou zaměstnanost a prohlubuje nerovnosti, kvůli kterým jsou zranitelné osoby NEET opomíjeny;</w:t>
            </w:r>
            <w:r>
              <w:t xml:space="preserve"> </w:t>
            </w:r>
            <w:r>
              <w:rPr>
                <w:b/>
                <w:i/>
              </w:rPr>
              <w:t>vzhledem k tomu, že provádění posílených záruk pro mladé lidi musí být reformováno a posíleno, aby bylo možné na tyto výzvy účinně reagovat a upřednostnit mladé lidi, kteří nejsou zaměstnaní ani se neúčastní vzdělávání nebo odborné přípravy a jsou nejvíce vzdáleni trhu práce;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Ad.</w:t>
            </w:r>
            <w:r>
              <w:tab/>
            </w:r>
            <w:r>
              <w:rPr>
                <w:b/>
                <w:i/>
              </w:rPr>
              <w:t>vzhledem k tomu, že Romové jsou skupinou s nejvyšší mírou NEET v EU, která činí 47 % u osob ve věku 16–24 let, zatímco průměr EU pro stejnou věkovou skupinu činí 9 %</w:t>
            </w:r>
            <w:r>
              <w:rPr>
                <w:b/>
                <w:i/>
                <w:vertAlign w:val="superscript"/>
              </w:rPr>
              <w:t>13a</w:t>
            </w:r>
            <w:r>
              <w:rPr>
                <w:b/>
                <w:i/>
              </w:rPr>
              <w:t>;</w:t>
            </w:r>
            <w:r>
              <w:t xml:space="preserve"> </w:t>
            </w:r>
            <w:r>
              <w:rPr>
                <w:b/>
                <w:i/>
              </w:rPr>
              <w:t>vzhledem k tomu, že žádný z dotázaných členských států nedosáhne cílů stanovených ve strategickém rámci EU pro Romy</w:t>
            </w:r>
            <w:r>
              <w:rPr>
                <w:b/>
                <w:i/>
                <w:vertAlign w:val="superscript"/>
              </w:rPr>
              <w:t>14a</w:t>
            </w:r>
            <w:r>
              <w:rPr>
                <w:b/>
                <w:i/>
              </w:rPr>
              <w:t>; vzhledem k tomu, že bez cíleného a strategického přístupu členských států hrozí Evropské unii, že generaci mladých Romů a Travellerů bude hrozit vyloučení ze vzdělávání, odborné přípravy a trhu práce;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13a</w:t>
            </w:r>
            <w:r>
              <w:t xml:space="preserve"> </w:t>
            </w:r>
            <w:r>
              <w:rPr>
                <w:b/>
                <w:i/>
              </w:rPr>
              <w:t>Rights of Roma and Travellers in 13 European countries – Perspectives from the Roma Survey 2024 (Práva Romů a Travellerů ve 13 evropských zemích – perspektivy z průzkumu o Romech 2024), Agentura Evropské unie pro základní práva (FRA), 2. října 2025.</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14a</w:t>
            </w:r>
            <w:r>
              <w:t xml:space="preserve"> </w:t>
            </w:r>
            <w:r>
              <w:rPr>
                <w:b/>
                <w:i/>
              </w:rPr>
              <w:t>Evropská komise, 7. října 2020,</w:t>
            </w:r>
            <w:r>
              <w:t xml:space="preserve"> </w:t>
            </w:r>
            <w:r>
              <w:rPr>
                <w:b/>
                <w:i/>
              </w:rPr>
              <w:t>Strategický rámec EU pro rovnost, začlenění a účast Romů na období 2020–2030 (COM(2020) 620 final), https://commission.europa.eu/document/download/99cc0720-68c2-4300-854f-592bf21dceaf_en?filename=eu_roma_strategic_framework_for_equality_inclusion_and_participation_for_2020_-_2030.pdf.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 e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Ae.</w:t>
            </w:r>
            <w:r>
              <w:tab/>
            </w:r>
            <w:r>
              <w:rPr>
                <w:b/>
                <w:i/>
              </w:rPr>
              <w:t>vzhledem k tomu, že mezidobí mezi ukončením vzdělání a nástupem do zaměstnání je pro mladé lidi delší, méně přímočaré a stále nejistější, přičemž mnoho mladých lidí se pohybuje mezi zaměstnaností, nezaměstnaností a obdobím nečinnosti nebo se dostalo do pasti nestandardních forem práce;</w:t>
            </w:r>
            <w:r>
              <w:t xml:space="preserve"> </w:t>
            </w:r>
            <w:r>
              <w:rPr>
                <w:b/>
                <w:i/>
              </w:rPr>
              <w:t>vzhledem k tomu, že posílené záruky pro mladé lidi tyto nepřímočaré vzdělávací dráhy nedostatečně reflektují a nadále se spoléhají na nepružná a jednorázová opatření;</w:t>
            </w:r>
            <w:r>
              <w:t xml:space="preserve"> </w:t>
            </w:r>
            <w:r>
              <w:rPr>
                <w:b/>
                <w:i/>
              </w:rPr>
              <w:t>vzhledem k tomu, že účinná integrace na trhu práce, zejména pro zranitelné mladé lidi, kteří nejsou zaměstnáni ani se neúčastní vzdělávání nebo odborné přípravy, vyžaduje flexibilní, individualizovanou a dlouhodobou podporu;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 e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Ae.</w:t>
            </w:r>
            <w:r>
              <w:tab/>
            </w:r>
            <w:r>
              <w:rPr>
                <w:b/>
                <w:i/>
              </w:rPr>
              <w:t>vzhledem k tomu, že podle průzkumu Agentury Evropské unie pro základní práva z roku 2021 týkajícího se Romů 19 % romských žen nikdy nenavštěvovalo školu ve srovnání se 14 % romských mužů a pouze 23 % romských žen pokračuje ve vzdělávání i po dosažení věku 16 let ve srovnání s 32 % romských mužů</w:t>
            </w:r>
            <w:r>
              <w:rPr>
                <w:b/>
                <w:i/>
                <w:vertAlign w:val="superscript"/>
              </w:rPr>
              <w:t>15a</w:t>
            </w:r>
            <w:r>
              <w:rPr>
                <w:b/>
                <w:i/>
              </w:rPr>
              <w:t>;</w:t>
            </w:r>
            <w:r>
              <w:t xml:space="preserve"> </w:t>
            </w:r>
            <w:r>
              <w:rPr>
                <w:b/>
                <w:i/>
              </w:rPr>
              <w:t>vzhledem k tomu, že údaje rozčleněné podle pohlaví ukazují, že v průměru 61 % mladých romských žen a Travellerek není zaměstnáno ani se neúčastní vzdělávání nebo odborné přípravy (NEET) ve srovnání s 33 % mladých romských mužů</w:t>
            </w:r>
            <w:r>
              <w:rPr>
                <w:b/>
                <w:i/>
                <w:vertAlign w:val="superscript"/>
              </w:rPr>
              <w:t>16a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15a</w:t>
            </w:r>
            <w:r>
              <w:t xml:space="preserve"> </w:t>
            </w:r>
            <w:r>
              <w:rPr>
                <w:b/>
                <w:i/>
              </w:rPr>
              <w:t>Rada Evropy (2025),</w:t>
            </w:r>
            <w:r>
              <w:t xml:space="preserve"> </w:t>
            </w:r>
            <w:r>
              <w:rPr>
                <w:b/>
                <w:i/>
              </w:rPr>
              <w:t>Rovnost romských žen a dívek a Travellerek (ref. 094724GBR),</w:t>
            </w:r>
            <w:r>
              <w:t xml:space="preserve"> </w:t>
            </w:r>
            <w:r>
              <w:rPr>
                <w:b/>
                <w:i/>
              </w:rPr>
              <w:t>Rada Evropy, https://edoc.coe.int/en/roma-and-travellers/12078-equality-of-roma-and-traveller-women-and-girls.html;</w:t>
            </w:r>
            <w:r>
              <w:t xml:space="preserve"> </w:t>
            </w:r>
            <w:r>
              <w:rPr>
                <w:b/>
                <w:i/>
              </w:rPr>
              <w:t>Agentura Evropské unie pro základní práva, 2020,</w:t>
            </w:r>
            <w:r>
              <w:t xml:space="preserve"> </w:t>
            </w:r>
            <w:r>
              <w:rPr>
                <w:b/>
                <w:i/>
              </w:rPr>
              <w:t>Roma and Travellers in six countries (Romové a Travelleři v šesti zemích):</w:t>
            </w:r>
            <w:r>
              <w:t xml:space="preserve"> </w:t>
            </w:r>
            <w:r>
              <w:rPr>
                <w:b/>
                <w:i/>
              </w:rPr>
              <w:t>průzkum mezi Romy a Travellery (zpráva agentury FRA),</w:t>
            </w:r>
            <w:r>
              <w:t xml:space="preserve"> </w:t>
            </w:r>
            <w:r>
              <w:rPr>
                <w:b/>
                <w:i/>
              </w:rPr>
              <w:t>Úřad pro publikace Evropské unie, https://fra.europa.eu/sites/default/files/fra_uploads/fra-2020-roma-travellers-six-countries_en.pdf.</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16a</w:t>
            </w:r>
            <w:r>
              <w:t xml:space="preserve"> </w:t>
            </w:r>
            <w:r>
              <w:rPr>
                <w:b/>
                <w:i/>
              </w:rPr>
              <w:t>Agentura Evropské unie pro základní práva, 2025,</w:t>
            </w:r>
            <w:r>
              <w:t xml:space="preserve"> </w:t>
            </w:r>
            <w:r>
              <w:rPr>
                <w:b/>
                <w:i/>
              </w:rPr>
              <w:t>Rights of Roma and Travellers in 13 European countries – Perspectives from the Roma Survey 2024 (Práva Romů a Travellerů ve 13 evropských zemích: pohledy vyplývající z průzkumu zaměřeného na Romy z roku 2024),</w:t>
            </w:r>
            <w:r>
              <w:t xml:space="preserve"> </w:t>
            </w:r>
            <w:r>
              <w:rPr>
                <w:b/>
                <w:i/>
              </w:rPr>
              <w:t>FRA, https://fra.europa.eu/en/publication/2025/roma-survey-2024.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 f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Af.</w:t>
            </w:r>
            <w:r>
              <w:tab/>
            </w:r>
            <w:r>
              <w:rPr>
                <w:b/>
                <w:i/>
              </w:rPr>
              <w:t>vzhledem k tomu, že mladí lidé neúměrně často vykonávají špatně placenou práci</w:t>
            </w:r>
            <w:r>
              <w:rPr>
                <w:b/>
                <w:i/>
                <w:vertAlign w:val="superscript"/>
              </w:rPr>
              <w:t>1a</w:t>
            </w:r>
            <w:r>
              <w:t xml:space="preserve"> </w:t>
            </w:r>
            <w:r>
              <w:rPr>
                <w:b/>
                <w:i/>
              </w:rPr>
              <w:t>a rovněž nejisté a nestandardní formy zaměstnání, včetně smluv na dobu určitou, smluv na nulový počet hodin a falešné samostatné výdělečné činnosti</w:t>
            </w:r>
            <w:r>
              <w:rPr>
                <w:b/>
                <w:i/>
                <w:vertAlign w:val="superscript"/>
              </w:rPr>
              <w:t>1b</w:t>
            </w:r>
            <w:r>
              <w:rPr>
                <w:b/>
                <w:i/>
              </w:rPr>
              <w:t>;</w:t>
            </w:r>
            <w:r>
              <w:t xml:space="preserve"> </w:t>
            </w:r>
            <w:r>
              <w:rPr>
                <w:b/>
                <w:i/>
              </w:rPr>
              <w:t>vzhledem k tomu, že často nemají přístup k odpovídající ochraně zaměstnanosti a sociálním dávkám;</w:t>
            </w:r>
            <w:r>
              <w:t xml:space="preserve"> </w:t>
            </w:r>
            <w:r>
              <w:rPr>
                <w:b/>
                <w:i/>
              </w:rPr>
              <w:t>vzhledem k tomu, že mladým lidem rovněž více hrozí, že budou kvůli automatizaci propuštěni;</w:t>
            </w:r>
            <w:r>
              <w:t xml:space="preserve"> </w:t>
            </w:r>
            <w:r>
              <w:rPr>
                <w:b/>
                <w:i/>
              </w:rPr>
              <w:t>vzhledem k tomu, že tyto podmínky omezují finanční zabezpečení a ohrožují směřování k udržitelnému začlenění na trh práce;</w:t>
            </w:r>
            <w:r>
              <w:t xml:space="preserve"> </w:t>
            </w:r>
            <w:r>
              <w:rPr>
                <w:b/>
                <w:i/>
              </w:rPr>
              <w:t>vzhledem k tomu, že tato situace postihuje zejména zranitelné mladé lidi, kteří nejsou zaměstnaní ani se neúčastní vzdělávání nebo odborné přípravy, kteří neúměrně často vykonávají zaměstnání s nízkou kvalifikací a zaujímají málo kvalitní místa;</w:t>
            </w:r>
            <w:r>
              <w:t xml:space="preserve"> </w:t>
            </w:r>
            <w:r>
              <w:rPr>
                <w:b/>
                <w:i/>
              </w:rPr>
              <w:t>vzhledem k tomu, že posílené záruky pro mladé lidi musí aktivně řešit nejistotu a nízké mzdy a zaměřit se spíše na placené zaměstnání než na dobrovolnickou činnost;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Eurostat, „Podíl pracovníků s nízkými příjmy v zemích EU“, 2022.</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1b</w:t>
            </w:r>
            <w:r>
              <w:t xml:space="preserve"> </w:t>
            </w:r>
            <w:r>
              <w:rPr>
                <w:b/>
                <w:i/>
              </w:rPr>
              <w:t>Eurostat, „Mladí lidé na trhu práce – statistiky“, 2018.</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 f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Af.</w:t>
            </w:r>
            <w:r>
              <w:tab/>
            </w:r>
            <w:r>
              <w:rPr>
                <w:b/>
                <w:i/>
              </w:rPr>
              <w:t>vzhledem k tomu, že osoby opouštějící systém péče jsou jako skupina obzvláště ohroženy tím, že nejsou zaměstnané ani se neúčastní vzdělávání nebo odborné přípravy, avšak vzhledem k nedostatečným spolehlivým údajům zůstává jejich počet na úrovni EU nejasný, stejně jako informační opatření zavedená na jejich podporu a příležitosti, které mají po opuštění systému péče k dispozici;</w:t>
            </w:r>
            <w:r>
              <w:t xml:space="preserve"> </w:t>
            </w:r>
            <w:r>
              <w:rPr>
                <w:b/>
                <w:i/>
              </w:rPr>
              <w:t>vzhledem k tomu, že mladí lidé opouštějící ústavní péči jsou často konfrontováni s náhlým přechodem k nezávislosti bez odpovídajícího pokračujícího vzdělávání, stability bydlení nebo kariérního poradenství, což zvyšuje riziko nezaměstnanosti, chudoby a sociálního vyloučení, které se jich dotýká;</w:t>
            </w:r>
            <w:r>
              <w:t xml:space="preserve"> </w:t>
            </w:r>
            <w:r>
              <w:rPr>
                <w:b/>
                <w:i/>
              </w:rPr>
              <w:t>vzhledem k tomu, že provádění posílených záruk pro mladé lidi by mohlo tyto nedostatky v souvislosti se změnou situace řešit prostřednictvím individuálně uzpůsobených podpůrných mechanismů;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 g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Ag.</w:t>
            </w:r>
            <w:r>
              <w:tab/>
            </w:r>
            <w:r>
              <w:rPr>
                <w:b/>
                <w:i/>
              </w:rPr>
              <w:t>vzhledem k tomu, že roste podzaměstnanost mladých lidí, přičemž zaměstnanost mladých lidí na částečný úvazek je výrazně vyšší než u pracující populace obecně</w:t>
            </w:r>
            <w:r>
              <w:rPr>
                <w:b/>
                <w:i/>
                <w:vertAlign w:val="superscript"/>
              </w:rPr>
              <w:t>1a</w:t>
            </w:r>
            <w:r>
              <w:rPr>
                <w:b/>
                <w:i/>
              </w:rPr>
              <w:t>;</w:t>
            </w:r>
            <w:r>
              <w:t xml:space="preserve"> </w:t>
            </w:r>
            <w:r>
              <w:rPr>
                <w:b/>
                <w:i/>
              </w:rPr>
              <w:t>vzhledem k tomu, že tento rozdíl je ještě výraznější u mladých žen;</w:t>
            </w:r>
            <w:r>
              <w:t xml:space="preserve"> </w:t>
            </w:r>
            <w:r>
              <w:rPr>
                <w:b/>
                <w:i/>
              </w:rPr>
              <w:t>vzhledem k tomu, že vysoký podíl práce na částečný úvazek je nedobrovolný a reflektuje strukturální selhání trhu práce, pokud jde o nabídku odpovídajících příležitostí práce na plný úvazek;</w:t>
            </w:r>
            <w:r>
              <w:t xml:space="preserve"> </w:t>
            </w:r>
            <w:r>
              <w:rPr>
                <w:b/>
                <w:i/>
              </w:rPr>
              <w:t>vzhledem k tomu, že nedobrovolná práce na částečný úvazek oslabuje výdělečný potenciál, kariérní postup, přístup k sociální ochraně a důchodová práva;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Eurostat, „Part-time and full-time employment – statistics“ (Zaměstnanost na částečný úvazek a na plný úvazek – statistiky),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 g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Ag.</w:t>
            </w:r>
            <w:r>
              <w:tab/>
            </w:r>
            <w:r>
              <w:rPr>
                <w:b/>
                <w:i/>
              </w:rPr>
              <w:t>vzhledem k tomu, že předpojatost, stigmatizace a přetrvávající stereotypy mohou omezit přístup ke stážím a učňovské přípravě pro mladé lidi z prostředí ústavní péče, mladé lidi s tělesným nebo mentálním vývojovým postižením a pro mladé Romy;</w:t>
            </w:r>
            <w:r>
              <w:t xml:space="preserve"> </w:t>
            </w:r>
            <w:r>
              <w:rPr>
                <w:b/>
                <w:i/>
              </w:rPr>
              <w:t>vzhledem k tomu, že řešení těchto překážek a podpora inkluzivních náborových postupů má zásadní význam pro zajištění rovného přístupu ke kvalitním prvním pracovním zkušenostem;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 h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Ah.</w:t>
            </w:r>
            <w:r>
              <w:tab/>
            </w:r>
            <w:r>
              <w:rPr>
                <w:b/>
                <w:i/>
              </w:rPr>
              <w:t>vzhledem k tomu, že tradičních přechodů od vzdělávání k zaměstnání ubývá v důsledku strukturálního nedostatku kvalitních nových pracovních míst;</w:t>
            </w:r>
            <w:r>
              <w:t xml:space="preserve"> </w:t>
            </w:r>
            <w:r>
              <w:rPr>
                <w:b/>
                <w:i/>
              </w:rPr>
              <w:t>vzhledem k tomu, že mnoho mladých lidí, přestože jsou vysoce vzdělaní a kvalifikovaní, má potíže promítnout své kvalifikace do stabilního zaměstnání;</w:t>
            </w:r>
            <w:r>
              <w:t xml:space="preserve"> </w:t>
            </w:r>
            <w:r>
              <w:rPr>
                <w:b/>
                <w:i/>
              </w:rPr>
              <w:t>vzhledem k tomu, že míra zaměstnanosti nedávných absolventů klesá</w:t>
            </w:r>
            <w:r>
              <w:rPr>
                <w:b/>
                <w:i/>
                <w:vertAlign w:val="superscript"/>
              </w:rPr>
              <w:t>1a</w:t>
            </w:r>
            <w:r>
              <w:t xml:space="preserve"> </w:t>
            </w:r>
            <w:r>
              <w:rPr>
                <w:b/>
                <w:i/>
              </w:rPr>
              <w:t>a počet mladých lidí v povoláních hluboko pod úrovní jejich kvalifikace roste</w:t>
            </w:r>
            <w:r>
              <w:rPr>
                <w:b/>
                <w:i/>
                <w:vertAlign w:val="superscript"/>
              </w:rPr>
              <w:t>1b</w:t>
            </w:r>
            <w:r>
              <w:rPr>
                <w:b/>
                <w:i/>
              </w:rPr>
              <w:t>;</w:t>
            </w:r>
            <w:r>
              <w:t xml:space="preserve"> </w:t>
            </w:r>
            <w:r>
              <w:rPr>
                <w:b/>
                <w:i/>
              </w:rPr>
              <w:t>vzhledem k tomu, že tato situace vede k efektu přesunu, který dále omezuje příležitosti pro zranitelné mladé lidi, kteří nejsou zaměstnaní ani se neúčastní vzdělávání nebo odborné přípravy a nemají kvalifikaci;</w:t>
            </w:r>
            <w:r>
              <w:t xml:space="preserve"> </w:t>
            </w:r>
            <w:r>
              <w:rPr>
                <w:b/>
                <w:i/>
              </w:rPr>
              <w:t>vzhledem k tomu, že rostoucí překážky, které mladým lidem brání v začlenění na trh práce, podkopávají sociální soudržnost a institucionální důvěru;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Eurostat, „Employment rate of recent graduates“ (Míra zaměstnanosti nedávných absolventů), 2025.</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1b</w:t>
            </w:r>
            <w:r>
              <w:t xml:space="preserve"> </w:t>
            </w:r>
            <w:r>
              <w:rPr>
                <w:b/>
                <w:i/>
              </w:rPr>
              <w:t>Eurostat, „Young people - qualifications, skills and job alignment“ (Mladí lidé – kvalifikace, dovednosti a sladění pracovních míst),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 i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Ai.</w:t>
            </w:r>
            <w:r>
              <w:tab/>
            </w:r>
            <w:r>
              <w:rPr>
                <w:b/>
                <w:i/>
              </w:rPr>
              <w:t>vzhledem k tomu, že v roce 2024 byl téměř každý čtvrtý mladý člověk v Unii ohrožen chudobou nebo sociálním vyloučením, což je o 3,1 procentního bodu více než u celkové populace</w:t>
            </w:r>
            <w:r>
              <w:rPr>
                <w:b/>
                <w:i/>
                <w:vertAlign w:val="superscript"/>
              </w:rPr>
              <w:t>1a</w:t>
            </w:r>
            <w:r>
              <w:rPr>
                <w:b/>
                <w:i/>
              </w:rPr>
              <w:t>;</w:t>
            </w:r>
            <w:r>
              <w:t xml:space="preserve"> </w:t>
            </w:r>
            <w:r>
              <w:rPr>
                <w:b/>
                <w:i/>
              </w:rPr>
              <w:t>vzhledem k tomu, že strukturální nerovnosti, jako je materiální deprivace a přetrvávající sociální znevýhodnění, oslabují schopnost přístupu na trh práce a nezávislého života;</w:t>
            </w:r>
            <w:r>
              <w:t xml:space="preserve"> </w:t>
            </w:r>
            <w:r>
              <w:rPr>
                <w:b/>
                <w:i/>
              </w:rPr>
              <w:t>vzhledem k tomu, že zaměstnanosti nelze dosáhnout bez přístupu k základním podmínkám, které zaměstnanost umožňují, jako je bydlení, doprava, péče o děti a podpora v oblasti péče;</w:t>
            </w:r>
            <w:r>
              <w:t xml:space="preserve"> </w:t>
            </w:r>
            <w:r>
              <w:rPr>
                <w:b/>
                <w:i/>
              </w:rPr>
              <w:t>vzhledem k tomu, že udržitelné začlenění na trhu práce vyžaduje komplexní přístup, který se zabývá všemi přetrvávajícími překážkami;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Eurostat, „Young people - social inclusion“ (Mladí lidé – sociální začleňování),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 j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Aj.</w:t>
            </w:r>
            <w:r>
              <w:tab/>
            </w:r>
            <w:r>
              <w:rPr>
                <w:b/>
                <w:i/>
              </w:rPr>
              <w:t>vzhledem k tomu, že zranitelní mladí lidé, kteří nejsou zaměstnáni ani se neúčastní vzdělávání nebo odborné přípravy, mohou postrádat funkční a matematickou gramotnost a digitální dovednosti potřebné pro přístup ke kvalitnímu vzdělávání, odborné přípravě nebo na trh práce;</w:t>
            </w:r>
            <w:r>
              <w:t xml:space="preserve"> </w:t>
            </w:r>
            <w:r>
              <w:rPr>
                <w:b/>
                <w:i/>
              </w:rPr>
              <w:t>vzhledem k tomu, že posílené záruky pro mladé lidi často považují tyto dovednosti za samozřejmost, což omezuje možnost zranitelných mladých lidí, kteří nejsou zaměstnaní ani se neúčastní vzdělávání nebo odborné přípravy, získat přístup k opatřením v oblasti zaměstnání a odborné přípravy a mít z nich prospěch;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 k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Ak.</w:t>
            </w:r>
            <w:r>
              <w:tab/>
            </w:r>
            <w:r>
              <w:rPr>
                <w:b/>
                <w:i/>
              </w:rPr>
              <w:t>vzhledem k tomu, že výsledky mladých lidí ve čtení, matematice a přírodních vědách v celé Unii klesají; že u mladých lidí ze znevýhodněného socioekonomického prostředí je více než šestkrát pravděpodobnější, že nedosáhnou tak dobrých výsledků jako jejich vrtevníci</w:t>
            </w:r>
            <w:r>
              <w:rPr>
                <w:b/>
                <w:i/>
                <w:vertAlign w:val="superscript"/>
              </w:rPr>
              <w:t>1a</w:t>
            </w:r>
            <w:r>
              <w:rPr>
                <w:b/>
                <w:i/>
              </w:rPr>
              <w:t>;</w:t>
            </w:r>
            <w:r>
              <w:t xml:space="preserve"> </w:t>
            </w:r>
            <w:r>
              <w:rPr>
                <w:b/>
                <w:i/>
              </w:rPr>
              <w:t>vzhledem k tomu, že posílené záruky pro mladé lidi musí tyto znepokojivé trendy aktivně zohledňovat, aby se zabránilo prohlubování sociálních rozdílů a zajistil se rovný přístup ke vzdělání a budoucím pracovním příležitostem;</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Evropská komise, Education and Training Monitor 2024 (Monitor vzdělávání a odborné přípravy).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Marie Dauchy, Séverine Werbrouck, Mélanie Disdier,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vzhledem k tomu, že </w:t>
            </w:r>
            <w:r>
              <w:rPr>
                <w:b/>
                <w:i/>
              </w:rPr>
              <w:t>je obtížné</w:t>
            </w:r>
            <w:r>
              <w:t xml:space="preserve"> stanovit přímou příčinnou souvislost mezi prováděním záruk pro mladé lidi a vykazovanými výsledky, pokud jde o snížení podílu osob NEET a nezaměstnanosti mladých lidí;</w:t>
            </w:r>
          </w:p>
        </w:tc>
        <w:tc>
          <w:tcPr>
            <w:tcW w:w="4876" w:type="dxa"/>
            <w:tcBorders>
              <w:top w:val="nil"/>
              <w:left w:val="nil"/>
              <w:bottom w:val="nil"/>
              <w:right w:val="nil"/>
            </w:tcBorders>
          </w:tcPr>
          <w:p>
            <w:pPr>
              <w:pStyle w:val="Normal6a"/>
            </w:pPr>
            <w:r>
              <w:t>B.</w:t>
            </w:r>
            <w:r>
              <w:tab/>
            </w:r>
            <w:r>
              <w:t xml:space="preserve">vzhledem k tomu, že </w:t>
            </w:r>
            <w:r>
              <w:rPr>
                <w:b/>
                <w:i/>
              </w:rPr>
              <w:t>není možné</w:t>
            </w:r>
            <w:r>
              <w:t xml:space="preserve"> stanovit přímou příčinnou souvislost mezi prováděním záruk pro mladé lidi a vykazovanými výsledky, pokud jde o snížení podílu osob NEET a nezaměstnanosti mladých lidí</w:t>
            </w:r>
            <w:r>
              <w:rPr>
                <w:b/>
                <w:i/>
              </w:rPr>
              <w:t>, což svědčí o strukturální neúčinnosti evropského sociálního inženýrství</w:t>
            </w:r>
            <w:r>
              <w:t xml:space="preserve">; </w:t>
            </w:r>
            <w:r>
              <w:rPr>
                <w:b/>
                <w:i/>
              </w:rPr>
              <w:t>vzhledem k tomu, že vytváření pracovních míst pro mladé lidi nezávisí na centralizovaných směrnicích, ale vyplývá především z daňové suverenity členských států, silného domácího hospodářství a konkurenceschopnosti našich MSP;</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Lara Magoni, Elena Donazzan, Marlena Maląg, Mariateresa Vivaldini, Francesco Torselli, Chiara Gemma,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vzhledem k tomu, že je obtížné stanovit přímou příčinnou souvislost mezi prováděním záruk pro mladé lidi a vykazovanými výsledky, pokud jde o snížení podílu osob NEET a nezaměstnanosti mladých lidí;</w:t>
            </w:r>
          </w:p>
        </w:tc>
        <w:tc>
          <w:tcPr>
            <w:tcW w:w="4876" w:type="dxa"/>
            <w:tcBorders>
              <w:top w:val="nil"/>
              <w:left w:val="nil"/>
              <w:bottom w:val="nil"/>
              <w:right w:val="nil"/>
            </w:tcBorders>
          </w:tcPr>
          <w:p>
            <w:pPr>
              <w:pStyle w:val="Normal6a"/>
            </w:pPr>
            <w:r>
              <w:t>B.</w:t>
            </w:r>
            <w:r>
              <w:tab/>
            </w:r>
            <w:r>
              <w:t xml:space="preserve">vzhledem k tomu, že je obtížné stanovit přímou příčinnou souvislost mezi prováděním záruk pro mladé lidi a vykazovanými výsledky, pokud jde o snížení podílu osob NEET a nezaměstnanosti mladých lidí; </w:t>
            </w:r>
            <w:r>
              <w:rPr>
                <w:b/>
                <w:i/>
              </w:rPr>
              <w:t>vzhledem k tomu, že tato skutečnost zdůrazňuje, že je třeba se více zaměřit na hmatatelné výsledky pro mladé lidi, lepší sladění s potřebami vnitrostátního trhu práce a užší součinnost s programy Unie, jako je Evropský sociální fond plus (ESF+), Erasmus+ a Evropský sbor solidarity;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vzhledem k tomu, že je obtížné stanovit přímou příčinnou souvislost mezi prováděním záruk pro mladé lidi a vykazovanými výsledky, pokud jde o snížení podílu osob NEET a nezaměstnanosti mladých lidí;</w:t>
            </w:r>
          </w:p>
        </w:tc>
        <w:tc>
          <w:tcPr>
            <w:tcW w:w="4876" w:type="dxa"/>
            <w:tcBorders>
              <w:top w:val="nil"/>
              <w:left w:val="nil"/>
              <w:bottom w:val="nil"/>
              <w:right w:val="nil"/>
            </w:tcBorders>
          </w:tcPr>
          <w:p>
            <w:pPr>
              <w:pStyle w:val="Normal6a"/>
            </w:pPr>
            <w:r>
              <w:t>B.</w:t>
            </w:r>
            <w:r>
              <w:tab/>
            </w:r>
            <w:r>
              <w:t>vzhledem k tomu, že je obtížné stanovit přímou příčinnou souvislost mezi prováděním záruk pro mladé lidi a vykazovanými výsledky, pokud jde o snížení podílu osob NEET a nezaměstnanosti mladých lidí</w:t>
            </w:r>
            <w:r>
              <w:rPr>
                <w:b/>
                <w:i/>
              </w:rPr>
              <w:t>, zejména pokud jsou systémy posílených záruk pro mladé lidi zahrnuty do širších vnitrostátních politik</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Elena Donazzan, Chiara Gemma, Mariateresa Vivaldini, Lara Magoni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vzhledem k tomu, že z evropských údajů vyplývá, že počáteční odborné vzdělávání a příprava s výraznou složkou učení se prací je nejúčinnějším nástrojem, jak zabránit tomu, aby se mladí lidé dostali do situace, kdy nejsou zaměstnaní ani se neúčastní vzdělávání nebo odborné přípravy, neboť míra zaměstnanosti mladých lidí, kteří dokončili nejméně sedmiměsíční učení se prací, dosahuje až 90,5 % oproti 69,7 % mladých lidí, kteří k tomuto vzdělávání nemají přístup;</w:t>
            </w:r>
            <w:r>
              <w:t xml:space="preserve"> </w:t>
            </w:r>
            <w:r>
              <w:rPr>
                <w:b/>
                <w:i/>
              </w:rPr>
              <w:t>vzhledem k tomu, že duální systémy odborného vzdělávání a přípravy založené na strukturovaném střídání vzdělávání a praxe umožňují získat dovednosti, které lze uplatnit na trhu a které výrazně snižují rozdíl mezi poptávkou po pracovních místech a jejich nabídkou;</w:t>
            </w:r>
            <w:r>
              <w:t xml:space="preserve"> </w:t>
            </w:r>
            <w:r>
              <w:rPr>
                <w:b/>
                <w:i/>
              </w:rPr>
              <w:t>vzhledem k tomu, že členské státy s pevně zavedenými duálními systémy odborného vzdělávání a přípravy vykazují nejnižší míru nezaměstnanosti mladých lidí v EU;</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Niels Geuking, Romana Tomc, David Casa, Isabelle Le Callennec, Liesbet Sommen,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vzhledem k tomu, že účinné provádění posílených záruk pro mladé lidi vyžaduje cílená a integrovaná opatření zaměřená na rodinu, zejména pro mladé rodiče, která kombinují podporu zaměstnanosti s přístupem ke vzdělávání a odborné přípravě, péči o děti, sociálním službám a případně s přístupem k odpovídající podpoře příjmu s cílem zajistit trvalé začlenění na trh práce, předcházet dlouhodobému vyloučení, prosazovat rovnost žen a mužů a podporovat udržitelnou rovnováhu mezi pracovním a soukromým životem;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vzhledem k tomu, že důkazy Evropského účetního dvora ukazují, že dobře financované, inkluzivní a na právech založené politiky mládeže – včetně posílené záruky pro mladé lidi – pozitivně přispívají ke zlepšení přístupu mladých lidí ke kvalitnímu zaměstnání, vzdělávání a odborné přípravě;</w:t>
            </w:r>
            <w:r>
              <w:t xml:space="preserve"> </w:t>
            </w:r>
            <w:r>
              <w:rPr>
                <w:b/>
                <w:i/>
              </w:rPr>
              <w:t>vzhledem k tomu, že pro úplné pochopení výsledků těchto politik, zejména u zranitelných a marginalizovaných skupin, je nezbytné důslednější monitorování, sběr rozčleněných údajů a hodnocení dopadů;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vzhledem k tomu, že existuje téměř tolik modelů provádění záruk pro mladé lidi, kolik je členských států;</w:t>
            </w:r>
            <w:r>
              <w:t xml:space="preserve"> </w:t>
            </w:r>
            <w:r>
              <w:rPr>
                <w:b/>
                <w:i/>
              </w:rPr>
              <w:t>vzhledem k tomu, že institucionální opatření pro provádění záruk se pohybují od začlenění záruk pro mladé lidi do stávajících vnitrostátních systémů až po vytvoření samostatného vnitrostátního modelu;</w:t>
            </w:r>
            <w:r>
              <w:t xml:space="preserve"> </w:t>
            </w:r>
            <w:r>
              <w:rPr>
                <w:b/>
                <w:i/>
              </w:rPr>
              <w:t>vzhledem k tomu, že mechanismy řízení se rovněž liší mezi centralizovanými modely koordinovanými na vnitrostátní úrovni a plně decentralizovanými modely na místní úrovni;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Martine Kemp, Regina Doherty, Liesbet Sommen, Niels Geuking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vzhledem k tomu, že doporučení Rady ze dne 16. června 2022 o evropském přístupu k mikrocertifikátům uznává mikrocertifikáty za klíčový nástroj pro flexibilní, inkluzivní a cílené vzdělávací dráhy, které jednotlivcům umožňují získávat, aktualizovat a certifikovat své dovednosti modulárním způsobem, zejména v reakci na potřeby trhu práce a ekologickou a digitální transformaci;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vzhledem k tomu, že investice do mladých lidí prostřednictvím posílených záruk pro mladé lidi představují investici do budoucnosti Unie, posilují sociální soudržnost a mezigenerační spravedlnost a solidaritu, snižují chudobu a sociální vyloučení a přispívají k odolné pracovní síle a konkurenceschopnému hospodářství;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Lara Magoni, Elena Donazzan, Marlena Maląg, Mariateresa Vivaldini, Francesco Torselli, Chiara Gemma,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vzhledem k tomu, že účinnost posílené záruky pro mladé lidi závisí na transparentním a účinném využívání finančních prostředků EU a členských států a na spolehlivých systémech monitorování a hodnocení schopných měřit dlouhodobé výsledky zaměstnanosti u mladých příjemců;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vzhledem k tomu, že nezaměstnanost mladých lidí a nejisté zaměstnání jsou přímo spojeny se strukturálními nerovnostmi, úspornými opatřeními, deregulací trhů práce a nedostatečným financováním veřejných služeb;</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vzhledem k tomu, že jasná většina členských států se spoléhá na strategii „zaměstnanost na prvním místě“, zatímco jiné upřednostňují přístup zaměřený na odbornou přípravu;</w:t>
            </w:r>
            <w:r>
              <w:t xml:space="preserve"> </w:t>
            </w:r>
            <w:r>
              <w:rPr>
                <w:b/>
                <w:i/>
              </w:rPr>
              <w:t>vzhledem k tomu, že v roce 2024 vedlo 35,2 % pozitivních a včasných odchodů z přípravné fáze záruk pro mladé lidi k zaměstnanosti, 6,5 % ke vzdělávání, 2,5 % ke stážím a 1,6 % k učňovské přípravě</w:t>
            </w:r>
            <w:r>
              <w:rPr>
                <w:b/>
                <w:i/>
                <w:vertAlign w:val="superscript"/>
              </w:rPr>
              <w:t>17a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17a</w:t>
            </w:r>
            <w:r>
              <w:t xml:space="preserve"> </w:t>
            </w:r>
            <w:r>
              <w:rPr>
                <w:b/>
                <w:i/>
              </w:rPr>
              <w:t>Evropská komise, Generální ředitelství pro zaměstnanost, sociální věci a sociální začleňování, Údaje o indikátorech záruk pro mladá lidi, únor 2026.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vzhledem k tomu, že nadace Eurofound odhaduje, že neúčast mladých lidí a neschopnost začlenit mladé lidi, kteří nejsou zaměstnaní ani se neúčastní vzdělávání nebo odborné přípravy, na trh práce stojí Unii téměř 100 miliard EUR ročně</w:t>
            </w:r>
            <w:r>
              <w:rPr>
                <w:b/>
                <w:i/>
                <w:vertAlign w:val="superscript"/>
              </w:rPr>
              <w:t>1a</w:t>
            </w:r>
            <w:r>
              <w:rPr>
                <w:b/>
                <w:i/>
              </w:rPr>
              <w:t>, což poukazuje na naléhavou hospodářskou a sociální potřebu zajistit, aby byly záruky pro mladé lidi posíleny účinným způsobem;</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Eurofound, „Employment and social developments in Europe“ (Zaměstnanost a sociální rozvoj v Evropě),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vzhledem k tomu, že hlavním nástrojem financování posílených záruk pro mladé lidi na období 2021–2027 byl fond ESF+;</w:t>
            </w:r>
            <w:r>
              <w:t xml:space="preserve"> </w:t>
            </w:r>
            <w:r>
              <w:rPr>
                <w:b/>
                <w:i/>
              </w:rPr>
              <w:t>vzhledem k tomu, že řídící orgány musí zlepšit své schopnosti týkající se využívání pomoci, zejména v odlehlých oblastech;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vzhledem k tomu, že velká část mladých lidí pracuje na dočasných, špatně placených a nejistých pracovních místech bez plného dodržování pracovních a sociálních práv;</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Niels Geuking, Romana Tomc, Miriam Lexmann,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vzhledem k tomu, že součástí vzdělávání, odborné přípravy a profesní kariéry mladých lidí je stále častěji flexibilita a geografická mobilita;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Bc.</w:t>
            </w:r>
            <w:r>
              <w:tab/>
            </w:r>
            <w:r>
              <w:rPr>
                <w:b/>
                <w:i/>
              </w:rPr>
              <w:t>vzhledem k tomu, že systémy záruk pro mladé lidi nemohou nahradit právo na stabilní zaměstnání se všemi právy ani legalizovat nárůst neplacené nebo nedostatečně placené práce v rámci programů „stáží“ a „odborné přípravy“;</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Bc.</w:t>
            </w:r>
            <w:r>
              <w:tab/>
            </w:r>
            <w:r>
              <w:rPr>
                <w:b/>
                <w:i/>
              </w:rPr>
              <w:t>vzhledem k tomu, že neaktivní a zranitelné osoby NEET jsou nejčastěji vynechány z iniciativ záruk pro mladé lidi, které přinášejí užitek především mladým lidem blíže trhu práce – tento jev se označuje jako „creaming effect“ („sbírání smetany“) –, což nadhodnocuje skutečný dopad posílených záruk pro mladé lidi na celkovou populaci NEET;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Bc.</w:t>
            </w:r>
            <w:r>
              <w:tab/>
            </w:r>
            <w:r>
              <w:rPr>
                <w:b/>
                <w:i/>
              </w:rPr>
              <w:t>vzhledem k tomu, že konkurenceschopnost Unie závisí rovněž na dovednostech její pracovní síly a její schopnosti aktivovat mladé lidi v produktivním věku s cílem řešit nedostatek pracovních sil a dovedností;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Niels Geuking, Romana Tomc, Miriam Lexmann,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Bc.</w:t>
            </w:r>
            <w:r>
              <w:tab/>
            </w:r>
            <w:r>
              <w:rPr>
                <w:b/>
                <w:i/>
              </w:rPr>
              <w:t>vzhledem k tomu, že přístup k cenově dostupnému, odpovídajícímu a kvalitnímu bydlení je předpokladem úspěšného zapojení se do vzdělávání, učňovské přípravy, stáží a zaměstnání;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Bd.</w:t>
            </w:r>
            <w:r>
              <w:tab/>
            </w:r>
            <w:r>
              <w:rPr>
                <w:b/>
                <w:i/>
              </w:rPr>
              <w:t>vzhledem k tomu, že přetrvávají institucionální a strukturální překážky, které brání uplatňování záruk pro mladé lidi a jejich praktickému provádění v členských státech a na místní úrovni, jako jsou překážky na úrovni sdílení údajů mezi službami, nesoulad mezi dovednostmi získanými v rámci vzdělávání a odborné přípravy a požadavky trhu práce, jakož i socioekonomické znevýhodnění zranitelných skupin;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Niels Geuking, Maravillas Abadía Jover, Romana Tomc, Miriam Lexmann,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Bd.</w:t>
            </w:r>
            <w:r>
              <w:tab/>
            </w:r>
            <w:r>
              <w:rPr>
                <w:b/>
                <w:i/>
              </w:rPr>
              <w:t>vzhledem k tomu, že účinnost záruk pro mladé lidi by se měla měřit nejen okamžitým nástupem mladých lidí do zaměstnání, vzdělávání nebo odborné přípravy, ale také kvalitou, udržitelností a dlouhodobými vyhlídkami těchto příležitostí z hlediska kariéry;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Bd.</w:t>
            </w:r>
            <w:r>
              <w:tab/>
            </w:r>
            <w:r>
              <w:rPr>
                <w:b/>
                <w:i/>
              </w:rPr>
              <w:t>vzhledem k tomu, že u mladých lidí z etnických, rasových nebo náboženských menšin je větší pravděpodobnost, že se ocitnou v situaci, kdy jejich dovednosti neodpovídají jejich zaměstnání;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Niels Geuking, Maravillas Abadía Jover, Romana Tomc, Miriam Lexmann,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 e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Be.</w:t>
            </w:r>
            <w:r>
              <w:tab/>
            </w:r>
            <w:r>
              <w:rPr>
                <w:b/>
                <w:i/>
              </w:rPr>
              <w:t>vzhledem k tomu, že politika v oblasti mládeže by měla být považována nejen za sociální prioritu, ale také za strategickou investici do lidského kapitálu, konkurenceschopnosti a dlouhodobé hospodářské odolnosti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Niels Geuking, Romana Tomc, Miriam Lexmann, Liesbet Sommen,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 f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Bf.</w:t>
            </w:r>
            <w:r>
              <w:tab/>
            </w:r>
            <w:r>
              <w:rPr>
                <w:b/>
                <w:i/>
              </w:rPr>
              <w:t>vzhledem k tomu, že mladí lidé, kteří nejsou zaměstnaní ani se neúčastní vzdělávání nebo odborné přípravy, mladí rodiče, zejména rodiče samoživitelé, a mladí zranitelní lidé čelí vyššímu riziku psychických potíží a dlouhodobého vyloučení z trhu práce;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Niels Geuking, Romana Tomc, Miriam Lexmann,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 g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Bg.</w:t>
            </w:r>
            <w:r>
              <w:tab/>
            </w:r>
            <w:r>
              <w:rPr>
                <w:b/>
                <w:i/>
              </w:rPr>
              <w:t>vzhledem k tomu, že duševní zdraví a dobré životní podmínky mají zásadní význam pro účast na trhu práce a mohou být posíleny prostřednictvím preventivních a včasných psychosociálních opatření v rámci aktivace, aniž by byla dotčena odpovědnost členských států za zdravotní péči;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Niels Geuking, Romana Tomc, Miriam Lexmann,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 h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Bh.</w:t>
            </w:r>
            <w:r>
              <w:tab/>
            </w:r>
            <w:r>
              <w:rPr>
                <w:b/>
                <w:i/>
              </w:rPr>
              <w:t>vzhledem k tomu, že automatizace a umělá inteligence mění trhy práce a hrozí, že mladí lidé bez základních dovedností v oblasti umělé inteligence budou vyloučeni;</w:t>
            </w:r>
            <w:r>
              <w:t xml:space="preserve"> </w:t>
            </w:r>
            <w:r>
              <w:rPr>
                <w:b/>
                <w:i/>
              </w:rPr>
              <w:t>vzhledem k tomu, že záruky pro mladé lidi se musí tímto problémem aktivně zabývat, aby byla zajištěna zaměstnatelnost těchto mladých lidí;</w:t>
            </w:r>
            <w:r>
              <w:t xml:space="preserve"> </w:t>
            </w:r>
            <w:r>
              <w:rPr>
                <w:b/>
                <w:i/>
              </w:rPr>
              <w:t>vzhledem k tomu, že umělá inteligence může prostřednictvím podpůrných technologií pomoci překonat překážky v oblasti vzdělávání, pokud mladí lidé získají včas digitální gramotnost a základní dovednosti v oblasti umělé inteligence;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Niels Geuking, Romana Tomc, Liesbet Sommen,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 i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Bi.</w:t>
            </w:r>
            <w:r>
              <w:tab/>
            </w:r>
            <w:r>
              <w:rPr>
                <w:b/>
                <w:i/>
              </w:rPr>
              <w:t>vzhledem k tomu, že záruky pro mladé lidi jsou založeny na zásadě vzájemné povinnosti, podle níž mají mladí lidé nejen právo na nabídku vysoce kvalitního pracovního místa, ale také povinnost aktivně se zapojit a přijímat odpovídající nabídky zaměstnání, odborné přípravy nebo vzdělávání;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Niels Geuking, Romana Tomc, Liesbet Sommen, Maravillas Abadía Jover,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 j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Bj.</w:t>
            </w:r>
            <w:r>
              <w:tab/>
            </w:r>
            <w:r>
              <w:rPr>
                <w:b/>
                <w:i/>
              </w:rPr>
              <w:t>vzhledem k tomu, že členské státy proto musí zajistit, aby v případě opakovaného a neodůvodněného odmítnutí přiměřených nabídek mohla být v souladu s vnitrostátními právními předpisy použita vhodná opatření, která zabrání pasivitě a podpoří osobní odpovědnost mladých lidí;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787.791</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42</w:t>
    </w:r>
    <w:r>
      <w:fldChar w:fldCharType="end"/>
    </w:r>
    <w:r>
      <w:t>/</w:t>
    </w:r>
    <w:r>
      <w:fldChar w:fldCharType="begin"/>
    </w:r>
    <w:r>
      <w:instrText xml:space="preserve"> NUMPAGES </w:instrText>
    </w:r>
    <w:r>
      <w:fldChar w:fldCharType="separate"/>
    </w:r>
    <w:r>
      <w:t>43</w:t>
    </w:r>
    <w:r>
      <w:fldChar w:fldCharType="end"/>
    </w:r>
    <w:r>
      <w:tab/>
    </w:r>
    <w:r>
      <w:rPr>
        <w:rStyle w:val="HideTWBExt"/>
      </w:rPr>
      <w:t>&lt;PathFdR&gt;</w:t>
    </w:r>
    <w:r>
      <w:t>AM\1342335CS.docx</w:t>
    </w:r>
    <w:r>
      <w:rPr>
        <w:rStyle w:val="HideTWBExt"/>
      </w:rPr>
      <w:t>&lt;/PathFdR&gt;</w:t>
    </w:r>
  </w:p>
  <w:p>
    <w:pPr>
      <w:pStyle w:val="EPFooter2"/>
    </w:pPr>
    <w:r>
      <w:t>CS</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AM\1342335CS.docx</w:t>
    </w:r>
    <w:r>
      <w:rPr>
        <w:rStyle w:val="HideTWBExt"/>
      </w:rPr>
      <w:t>&lt;/PathFdR&gt;</w:t>
    </w:r>
    <w:r>
      <w:tab/>
    </w:r>
    <w:r>
      <w:fldChar w:fldCharType="begin"/>
    </w:r>
    <w:r>
      <w:instrText xml:space="preserve"> PAGE </w:instrText>
    </w:r>
    <w:r>
      <w:fldChar w:fldCharType="separate"/>
    </w:r>
    <w:r>
      <w:t>43</w:t>
    </w:r>
    <w:r>
      <w:fldChar w:fldCharType="end"/>
    </w:r>
    <w:r>
      <w:t>/</w:t>
    </w:r>
    <w:r>
      <w:fldChar w:fldCharType="begin"/>
    </w:r>
    <w:r>
      <w:instrText xml:space="preserve"> NUMPAGES </w:instrText>
    </w:r>
    <w:r>
      <w:fldChar w:fldCharType="separate"/>
    </w:r>
    <w:r>
      <w:t>43</w:t>
    </w:r>
    <w:r>
      <w:fldChar w:fldCharType="end"/>
    </w:r>
    <w:r>
      <w:tab/>
    </w:r>
    <w:r>
      <w:t>PE</w:t>
    </w:r>
    <w:r>
      <w:rPr>
        <w:rStyle w:val="HideTWBExt"/>
      </w:rPr>
      <w:t>&lt;NoPE&gt;</w:t>
    </w:r>
    <w:r>
      <w:t>787.791</w:t>
    </w:r>
    <w:r>
      <w:rPr>
        <w:rStyle w:val="HideTWBExt"/>
      </w:rPr>
      <w:t>&lt;/NoPE&gt;</w:t>
    </w:r>
    <w:r>
      <w:rPr>
        <w:rStyle w:val="HideTWBExt"/>
      </w:rPr>
      <w:t>&lt;Version&gt;</w:t>
    </w:r>
    <w:r>
      <w:t>v01-00</w:t>
    </w:r>
    <w:r>
      <w:rPr>
        <w:rStyle w:val="HideTWBExt"/>
      </w:rPr>
      <w:t>&lt;/Version&gt;</w:t>
    </w:r>
  </w:p>
  <w:p>
    <w:pPr>
      <w:pStyle w:val="EPFooter2"/>
    </w:pPr>
    <w:r>
      <w:tab/>
    </w:r>
    <w:r>
      <w:tab/>
    </w:r>
    <w:r>
      <w:t>CS</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AM\1342335CS.docx</w:t>
    </w:r>
    <w:r>
      <w:rPr>
        <w:rStyle w:val="HideTWBExt"/>
      </w:rPr>
      <w:t>&lt;/PathFdR&gt;</w:t>
    </w:r>
    <w:r>
      <w:tab/>
    </w:r>
    <w:r>
      <w:tab/>
    </w:r>
    <w:r>
      <w:t>PE</w:t>
    </w:r>
    <w:r>
      <w:rPr>
        <w:rStyle w:val="HideTWBExt"/>
      </w:rPr>
      <w:t>&lt;NoPE&gt;</w:t>
    </w:r>
    <w:r>
      <w:t>787.791</w:t>
    </w:r>
    <w:r>
      <w:rPr>
        <w:rStyle w:val="HideTWBExt"/>
      </w:rPr>
      <w:t>&lt;/NoPE&gt;</w:t>
    </w:r>
    <w:r>
      <w:rPr>
        <w:rStyle w:val="HideTWBExt"/>
      </w:rPr>
      <w:t>&lt;Version&gt;</w:t>
    </w:r>
    <w:r>
      <w:t>v01-00</w:t>
    </w:r>
    <w:r>
      <w:rPr>
        <w:rStyle w:val="HideTWBExt"/>
      </w:rPr>
      <w:t>&lt;/Version&gt;</w:t>
    </w:r>
  </w:p>
  <w:p>
    <w:pPr>
      <w:pStyle w:val="EPFooter2"/>
    </w:pPr>
    <w:r>
      <w:t>CS</w:t>
    </w:r>
    <w:r>
      <w:tab/>
    </w:r>
    <w:r>
      <w:rPr>
        <w:rStyle w:val="EPFooter2Motto"/>
      </w:rPr>
      <w:t>Jednotná v rozmanitosti</w:t>
    </w:r>
    <w:r>
      <w:tab/>
    </w:r>
    <w:r>
      <w:t>CS</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cs-CZ"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43</Pages>
  <Words>7073</Words>
  <Characters>42018</Characters>
  <Application>Microsoft Office Word</Application>
  <DocSecurity>0</DocSecurity>
  <Lines>1</Lines>
  <Paragraphs>732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1342335</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507879</vt:lpwstr>
  </property>
  <property fmtid="{D5CDD505-2E9C-101B-9397-08002B2CF9AE}" pid="7" name="dmxml.render.traceId">
    <vt:lpwstr>6a16a8823a0c35c61a8946b6643d2db2</vt:lpwstr>
  </property>
  <property fmtid="{D5CDD505-2E9C-101B-9397-08002B2CF9AE}" pid="8" name="FooterPath">
    <vt:lpwstr>AM\1342335CS.docx</vt:lpwstr>
  </property>
  <property fmtid="{D5CDD505-2E9C-101B-9397-08002B2CF9AE}" pid="9" name="PE Number">
    <vt:lpwstr>787.791</vt:lpwstr>
  </property>
  <property fmtid="{D5CDD505-2E9C-101B-9397-08002B2CF9AE}" pid="10" name="UID">
    <vt:lpwstr>eu.europa.europarl-DIN1-2026-0000110653_01.00-cs-01.00_text-xml</vt:lpwstr>
  </property>
</Properties>
</file>