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Udvalget om Beskæftigelse og Sociale Anliggender</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Gennemførelsen af Rådets henstilling af 30. oktober 2020 om en bro til job – styrkelse af ungdomsgarantien og erstatning af Rådets henstilling af 22. april 2013 om oprettelsen af en ungdomsgaranti</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 socialpolitiske mål i artikel 151 og 153 i TEUF sammenholdt med artikel 3 i forordning (EF) nr. 883/2004 om social sikring og sociale ydelser,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der henviser til den europæiske søjle for sociale rettigheder, der blev proklameret og undertegnet af Rådet, Parlamentet og Kommissionen den 17. november 2017, navnlig princip 1, 3 og 4,</w:t>
            </w:r>
          </w:p>
        </w:tc>
        <w:tc>
          <w:tcPr>
            <w:tcW w:w="4876" w:type="dxa"/>
            <w:tcBorders>
              <w:top w:val="nil"/>
              <w:left w:val="nil"/>
              <w:bottom w:val="nil"/>
              <w:right w:val="nil"/>
            </w:tcBorders>
          </w:tcPr>
          <w:p>
            <w:pPr>
              <w:pStyle w:val="Normal6a"/>
            </w:pPr>
            <w:r>
              <w:rPr>
                <w:b/>
                <w:i/>
              </w:rPr>
              <w:t>–</w:t>
            </w:r>
            <w:r>
              <w:tab/>
            </w:r>
            <w:r>
              <w:t xml:space="preserve">der henviser til den europæiske søjle for sociale rettigheder, der blev proklameret og undertegnet af Rådet, Parlamentet og Kommissionen den 17. november 2017, navnlig princip 1, 3 og 4, </w:t>
            </w:r>
            <w:r>
              <w:rPr>
                <w:b/>
                <w:i/>
              </w:rPr>
              <w:t>og dens mål om at reducere NEET-andelen til 9 % senest i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der henviser til den europæiske søjle for sociale rettigheder, der blev proklameret og undertegnet af Rådet, Parlamentet og Kommissionen den 17. november 2017, navnlig princip 1, 3 og 4,</w:t>
            </w:r>
          </w:p>
        </w:tc>
        <w:tc>
          <w:tcPr>
            <w:tcW w:w="4876" w:type="dxa"/>
            <w:tcBorders>
              <w:top w:val="nil"/>
              <w:left w:val="nil"/>
              <w:bottom w:val="nil"/>
              <w:right w:val="nil"/>
            </w:tcBorders>
          </w:tcPr>
          <w:p>
            <w:pPr>
              <w:pStyle w:val="Normal6a"/>
            </w:pPr>
            <w:r>
              <w:rPr>
                <w:b/>
                <w:i/>
              </w:rPr>
              <w:t>–</w:t>
            </w:r>
            <w:r>
              <w:tab/>
            </w:r>
            <w:r>
              <w:t xml:space="preserve">der henviser til den europæiske søjle for sociale rettigheder, der blev proklameret og undertegnet af Rådet, Parlamentet og Kommissionen den 17. november 2017, navnlig princip 1, 3 og 4, </w:t>
            </w:r>
            <w:r>
              <w:rPr>
                <w:b/>
                <w:i/>
              </w:rPr>
              <w:t>og dens mål om at reducere NEET-andelen til 9 % senest i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artikel 7 og 17 i den reviderede europæiske socialpagt,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Rådets konklusioner om ungdomsarbejdets rolle i at støtte unges udvikling af grundlæggende livsfærdigheder, der letter deres vellykkede overgang til voksenlivet, et aktivt medborgerskab og arbejdslivet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EUT C 189 af 15.6.2017, s.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6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gennemførelsen af EU-strategien for unge (2019-2021) (2021/C 504 I/02)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EUT C 504 I af 14.12.2021, s.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6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Kommissionens meddelelse af 20. januar 2026 med titlen "En Union med lighed:</w:t>
            </w:r>
            <w:r>
              <w:t xml:space="preserve"> </w:t>
            </w:r>
            <w:r>
              <w:rPr>
                <w:b/>
                <w:i/>
              </w:rPr>
              <w:t>Strategi mod racisme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COM(2026)0012.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6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FRA's rapport med titlen "Being Black in the EU – Experiences of people of African descent" (At være sort i EU – erfaringer fra personer af afrikansk afstamning)</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https://fra.europa.eu/da/publication/2023/being-black-eu.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6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FRA's rapport med titlen "Being Muslim in the EU – Experiences of Muslims" (At være muslim i EU – muslimers erfaringer)</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https://fra.europa.eu/da/publication/2024/being-muslim-eu.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nøglebudskaberne fra Beskæftigelsesudvalget (EMCO), som EPSCO-Rådet tilsluttede sig i 2016, 2018, 2019, 2021, 2023, 2025 og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10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FN's verdensmål for bæredygtig udvikling (SDG'er), navnlig verdensmål 8, som blev vedtaget af verdens ledere i september 2015 og støttes af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europæiske socialpagt, navnlig artikel 7 og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12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2030-dagsordenen og verdensmålene for bæredygtig udvikling, navnlig verdensmål 8 om at fremme vedvarende, inklusiv og bæredygtig økonomisk vækst, fuld og produktiv beskæftigelse samt anstændigt arbejde til 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Rådets henstilling af 9. marts 2026 om den menneskelige kapital i Den Europæiske Union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EUT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16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udtalelse af 5. februar 2021 fra Det Europæiske Regionsudvalg om støtte til ungdomsbeskæftigelse:</w:t>
            </w:r>
            <w:r>
              <w:t xml:space="preserve"> </w:t>
            </w:r>
            <w:r>
              <w:rPr>
                <w:b/>
                <w:i/>
              </w:rPr>
              <w:t>En bro til job for den næste generation – Styrkelse af ungdomsgarantien</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EUT C 106 af 26.3.2021, s.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udtalelse af 29. oktober 2020 fra Det Europæiske Økonomiske og Sociale Udvalg om styrkelse af ungdomsgarantien,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Eurofounds rapport fra 2024 med titlen "Becoming adults: Young people in a post-pandemic world" (På vej til voksenlivet: Unge i en postpandemisk verden)</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Den Europæiske Unions Publikationskontor,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Eurofounds rapport fra 2024 med titlen "Young people in the Western Balkans" (Unge på Vestbalkan)</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Den Europæiske Unions Publikationskontor,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Cedefops publikation fra 2023 med titlen "European guidelines for validating non-formal and informal learning" (Europæiske retningslinjer for validering af ikkeformel og uformel læring)</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w:t>
            </w:r>
            <w:r>
              <w:t xml:space="preserve"> </w:t>
            </w:r>
            <w:r>
              <w:rPr>
                <w:b/>
                <w:i/>
              </w:rPr>
              <w:t>Luxembourg:</w:t>
            </w:r>
            <w:r>
              <w:t xml:space="preserve"> </w:t>
            </w:r>
            <w:r>
              <w:rPr>
                <w:b/>
                <w:i/>
              </w:rPr>
              <w:t>Publikationskontoret.</w:t>
            </w:r>
            <w:r>
              <w:t xml:space="preserve"> </w:t>
            </w:r>
            <w:r>
              <w:rPr>
                <w:b/>
                <w:i/>
              </w:rPr>
              <w:t>Cedefop-referenceserier,</w:t>
            </w:r>
            <w:r>
              <w:t xml:space="preserve"> </w:t>
            </w:r>
            <w:r>
              <w:rPr>
                <w:b/>
                <w:i/>
              </w:rPr>
              <w:t>nr.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Det Europæiske Erhvervsuddannelsesinstituts publikation fra 2025 med titlen "Outreach to Young People not in Employment, Education or Training:</w:t>
            </w:r>
            <w:r>
              <w:t xml:space="preserve"> </w:t>
            </w:r>
            <w:r>
              <w:rPr>
                <w:b/>
                <w:i/>
              </w:rPr>
              <w:t>A practical Manual for Outreach" (Opsøgende arbejde over for unge, der ikke er i beskæftigelse eller under uddannelse: En praktisk manual til opsøgende arbejde)</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Det Europæiske Erhvervsuddannelsesinstitut (2025), Outreach to Young People not in Employment, Education or Training:</w:t>
            </w:r>
            <w:r>
              <w:t xml:space="preserve"> </w:t>
            </w:r>
            <w:r>
              <w:rPr>
                <w:b/>
                <w:i/>
              </w:rPr>
              <w:t>A practical Manual for Outreach, Torino, Italien.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17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Cedefops publikation fra 2026 med titlen "An EU reference framework for lifelong guidance: 18 guidelines for policy and system development" (En EU-referenceramme for vejledning livet igennem: 18 retningslinjer for politik- og systemudvikling)</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Cedefop-referenceserier, 125.</w:t>
            </w:r>
            <w:r>
              <w:t xml:space="preserve"> </w:t>
            </w:r>
            <w:r>
              <w:rPr>
                <w:b/>
                <w:i/>
              </w:rPr>
              <w:t>Den Europæiske Unions Publikationskontor.</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der henviser til vurderingen af gennemførelsen på europæisk plan, af 18. december 2025, med titlen "The implementation of the reinforced Youth Guarantee – Trends in EU Member States, impact, EU funding and governance" (Gennemførelsen af den styrkede ungdomsgaranti – Tendenser i EU's medlemsstater, virkninger, EU-finansiering og forvaltning), som blev offentliggjort af Generaldirektoratet for Parlamentarisk Forskning,</w:t>
            </w:r>
          </w:p>
        </w:tc>
        <w:tc>
          <w:tcPr>
            <w:tcW w:w="4876" w:type="dxa"/>
            <w:tcBorders>
              <w:top w:val="nil"/>
              <w:left w:val="nil"/>
              <w:bottom w:val="nil"/>
              <w:right w:val="nil"/>
            </w:tcBorders>
          </w:tcPr>
          <w:p>
            <w:pPr>
              <w:pStyle w:val="Normal6a"/>
            </w:pPr>
            <w:r>
              <w:rPr>
                <w:b/>
                <w:i/>
              </w:rPr>
              <w:t>–</w:t>
            </w:r>
            <w:r>
              <w:tab/>
            </w:r>
            <w:r>
              <w:t>der henviser til vurderingen af gennemførelsen på europæisk plan, af 18. december 2025, med titlen "The implementation of the reinforced Youth Guarantee – Trends in EU Member States, impact, EU funding and governance" (Gennemførelsen af den styrkede ungdomsgaranti – Tendenser i EU's medlemsstater, virkninger, EU-finansiering og forvaltning), som blev offentliggjort af Generaldirektoratet for Parlamentarisk Forskning</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https://www.europarl.europa.eu/thinktank/da/document/EPRS_STU(2025)774714.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18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undersøgelsen offentliggjort af Det Europæiske Regionsudvalg i juni 2022 med titlen "The local implementation of the Reinforced Youth Guarantee" (Gennemførelsen af den styrkede ungdomsgaranti på lokalt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18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holdningsdokumentet af 13. marts 2025 fra Det Europæiske Ungdomsforum med titlen "Youth Guarantee: How to support young people finding a pathway" (Ungdomsgarantien: Hvordan støtter man unge med at finde en vej),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sin beslutning af 21. november 2023 med titlen "Begrænsning af uligheder og fremme af social inklusion i krisetider for børn og deres familier"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sin beslutning af 17. februar 2022 om styrkelse af den europæiske ungdom:</w:t>
            </w:r>
            <w:r>
              <w:t xml:space="preserve"> </w:t>
            </w:r>
            <w:r>
              <w:rPr>
                <w:b/>
                <w:i/>
              </w:rPr>
              <w:t>beskæftigelse efter pandemien og social genopretning</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EUT C 342 af 6.9.2022, s. 265.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19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sin beslutning af 11. marts 2025 om Den Europæiske Socialfond Plus efter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EUT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19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sin beslutning af 27. november 2025 om EU's strategi for rettigheder for personer med handicap efter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den styrkede ungdomsgaranti er et løfte fra medlemsstaterne til unge under 30 år om, at de skal tilbydes beskæftigelse af god kvalitet, videreuddannelse, en lærlingeuddannelse eller et praktikophold inden for fire måneder efter, at de er blevet arbejdsløse eller har forladt uddannelsessystemet</w:t>
            </w:r>
            <w:r>
              <w:rPr>
                <w:b/>
                <w:i/>
              </w:rPr>
              <w:t>.</w:t>
            </w:r>
          </w:p>
        </w:tc>
        <w:tc>
          <w:tcPr>
            <w:tcW w:w="4876" w:type="dxa"/>
            <w:tcBorders>
              <w:top w:val="nil"/>
              <w:left w:val="nil"/>
              <w:bottom w:val="nil"/>
              <w:right w:val="nil"/>
            </w:tcBorders>
          </w:tcPr>
          <w:p>
            <w:pPr>
              <w:pStyle w:val="Normal6a"/>
            </w:pPr>
            <w:r>
              <w:t>A.</w:t>
            </w:r>
            <w:r>
              <w:tab/>
            </w:r>
            <w:r>
              <w:t xml:space="preserve">der henviser til, at den styrkede ungdomsgaranti er et løfte fra medlemsstaterne til unge </w:t>
            </w:r>
            <w:r>
              <w:rPr>
                <w:b/>
                <w:i/>
              </w:rPr>
              <w:t>borgere</w:t>
            </w:r>
            <w:r>
              <w:t xml:space="preserve"> under 30 år om, at de </w:t>
            </w:r>
            <w:r>
              <w:rPr>
                <w:b/>
                <w:i/>
              </w:rPr>
              <w:t>i princippet</w:t>
            </w:r>
            <w:r>
              <w:t xml:space="preserve"> skal tilbydes beskæftigelse af god kvalitet, videreuddannelse, en lærlingeuddannelse eller et praktikophold inden for fire måneder efter, at de er blevet arbejdsløse eller har forladt uddannelsessystemet</w:t>
            </w:r>
            <w:r>
              <w:rPr>
                <w:b/>
                <w:i/>
              </w:rPr>
              <w:t>; der henviser til, at dette løfte i praksis er stødt på hindringer og har vist sig at være en bureaukratisk illusion, idet over halvdelen af Unionens unge stadig venter på et tilbud efter denne tidsramme;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den styrkede ungdomsgaranti er et løfte fra medlemsstaterne til unge under 30 år om, at de skal tilbydes beskæftigelse af god kvalitet, videreuddannelse, en lærlingeuddannelse eller et praktikophold inden for fire måneder efter, at de er blevet arbejdsløse eller har forladt uddannelsessystemet.</w:t>
            </w:r>
          </w:p>
        </w:tc>
        <w:tc>
          <w:tcPr>
            <w:tcW w:w="4876" w:type="dxa"/>
            <w:tcBorders>
              <w:top w:val="nil"/>
              <w:left w:val="nil"/>
              <w:bottom w:val="nil"/>
              <w:right w:val="nil"/>
            </w:tcBorders>
          </w:tcPr>
          <w:p>
            <w:pPr>
              <w:pStyle w:val="Normal6a"/>
            </w:pPr>
            <w:r>
              <w:t>A.</w:t>
            </w:r>
            <w:r>
              <w:tab/>
            </w:r>
            <w:r>
              <w:t xml:space="preserve">der henviser til, at den styrkede ungdomsgaranti er et løfte fra medlemsstaterne til unge under 30 år om, at de skal tilbydes beskæftigelse af god kvalitet, videreuddannelse, en lærlingeuddannelse eller et praktikophold inden for fire måneder efter, at de er blevet arbejdsløse eller har forladt uddannelsessystemet. </w:t>
            </w:r>
            <w:r>
              <w:rPr>
                <w:b/>
                <w:i/>
              </w:rPr>
              <w:t>der henviser til, at der siden dens oprettelse er ca. 60 millioner europæere, der har draget nytte af et tilbud inden for rammen af ungdomsgarantiordningerne;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den styrkede ungdomsgaranti er et løfte fra medlemsstaterne til unge under 30 år om, at de skal tilbydes beskæftigelse af </w:t>
            </w:r>
            <w:r>
              <w:rPr>
                <w:b/>
                <w:i/>
              </w:rPr>
              <w:t>god</w:t>
            </w:r>
            <w:r>
              <w:t xml:space="preserve"> kvalitet, videreuddannelse, en lærlingeuddannelse eller et praktikophold inden for fire måneder efter, at de er blevet arbejdsløse eller har forladt uddannelsessystemet.</w:t>
            </w:r>
          </w:p>
        </w:tc>
        <w:tc>
          <w:tcPr>
            <w:tcW w:w="4876" w:type="dxa"/>
            <w:tcBorders>
              <w:top w:val="nil"/>
              <w:left w:val="nil"/>
              <w:bottom w:val="nil"/>
              <w:right w:val="nil"/>
            </w:tcBorders>
          </w:tcPr>
          <w:p>
            <w:pPr>
              <w:pStyle w:val="Normal6a"/>
            </w:pPr>
            <w:r>
              <w:t>A.</w:t>
            </w:r>
            <w:r>
              <w:tab/>
            </w:r>
            <w:r>
              <w:t xml:space="preserve">der henviser til, at </w:t>
            </w:r>
            <w:r>
              <w:rPr>
                <w:b/>
                <w:i/>
              </w:rPr>
              <w:t>ungdomsgarantien blev oprettet i 2013 og styrket i 2020 (</w:t>
            </w:r>
            <w:r>
              <w:t>den styrkede ungdomsgaranti</w:t>
            </w:r>
            <w:r>
              <w:rPr>
                <w:b/>
                <w:i/>
              </w:rPr>
              <w:t>);</w:t>
            </w:r>
            <w:r>
              <w:t xml:space="preserve"> </w:t>
            </w:r>
            <w:r>
              <w:rPr>
                <w:b/>
                <w:i/>
              </w:rPr>
              <w:t>der henviser til, at den</w:t>
            </w:r>
            <w:r>
              <w:t xml:space="preserve"> er et løfte fra medlemsstaterne til unge under 30 år om, at de skal tilbydes beskæftigelse af </w:t>
            </w:r>
            <w:r>
              <w:rPr>
                <w:b/>
                <w:i/>
              </w:rPr>
              <w:t>høj</w:t>
            </w:r>
            <w:r>
              <w:t xml:space="preserve"> kvalitet, videreuddannelse, en lærlingeuddannelse eller et praktikophold inden for fire måneder efter, at de er blevet arbejdsløse eller har forladt uddannelsessystemet.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formålet med den styrkede ungdomsgaranti er at bekæmpe arbejdsløshed, inaktivitet og underbeskæftigelse blandt unge og at støtte en bæredygtig integration af unge i kvalitetsuddannelse og på arbejdsmarkedet;</w:t>
            </w:r>
            <w:r>
              <w:t xml:space="preserve"> </w:t>
            </w:r>
            <w:r>
              <w:rPr>
                <w:b/>
                <w:i/>
              </w:rPr>
              <w:t>der henviser til, at målene for den styrkede ungdomsgaranti afspejler de fælles politiske prioriteter mellem Europa-Parlamentet, Kommissionen og medlemsstaterne inden for den nuværende flerårige finansielle ramme (FFR) og bidrager til Unionens mål om bæredygtig økonomisk vækst og skabelse af job af høj kvalitet i overensstemmelse med den europæiske søjle for sociale rettigheder;</w:t>
            </w:r>
            <w:r>
              <w:t xml:space="preserve"> </w:t>
            </w:r>
            <w:r>
              <w:rPr>
                <w:b/>
                <w:i/>
              </w:rPr>
              <w:t>der henviser til, at vedvarende problemer og nye hastigt skiftende udfordringer for unges integration på arbejdsmarkedet gør det nødvendigt at bevare disse prioriteter efter den nuværende programmeringsperiode;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medlemsstaterne generelt har fastholdt et stærkt politisk engagement i gennemførelsen af ungdomsgarantien og deres nationale gennemførelsesplaner;</w:t>
            </w:r>
            <w:r>
              <w:t xml:space="preserve"> </w:t>
            </w:r>
            <w:r>
              <w:rPr>
                <w:b/>
                <w:i/>
              </w:rPr>
              <w:t>der henviser til, at der især er gjort en indsats for at styrke støttekapaciteten for NEET'er og aktiviteter med gensidig læring gennem møder mellem nationale koordinatorer på EU-plan eller på andre niveauer;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forskning fra Eurofound understreger, at NEET'erne er en yderst heterogen gruppe bestående af forskellige undergrupper, som hver især oplever unikke strukturelle hindringer og behov, der forhindrer dem i at blive integreret på arbejdsmarkedet på en vellykket måde;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udformningen og gennemførelsen af sådanne foranstaltninger bør være i fuld overensstemmelse med subsidiaritetsprincippet og medlemsstaternes beføjelser inden for uddannelses- og beskæftigelsespolitikker;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der henviser til, at andelen af NEET'er i EU igen er på vej ned efter perioden efter pandemien;</w:t>
            </w:r>
            <w:r>
              <w:t xml:space="preserve"> </w:t>
            </w:r>
            <w:r>
              <w:rPr>
                <w:b/>
                <w:i/>
              </w:rPr>
              <w:t>der henviser til, at handlingsplanen for den europæiske søjle for sociale rettigheder omfatter et mål om at nedbringe andelen af NEET'er til 9 % blandt 15-29-årige senest i 2030;</w:t>
            </w:r>
            <w:r>
              <w:t xml:space="preserve"> </w:t>
            </w:r>
            <w:r>
              <w:rPr>
                <w:b/>
                <w:i/>
              </w:rPr>
              <w:t>der henviser til, at man er på rette spor med at nå dette mål på trods af betydelige ulighederne medlemsstaterne og regionerne imellem</w:t>
            </w:r>
            <w:r>
              <w:rPr>
                <w:b/>
                <w:i/>
                <w:vertAlign w:val="superscript"/>
              </w:rPr>
              <w:t>11a</w:t>
            </w:r>
            <w:r>
              <w:rPr>
                <w:b/>
                <w:i/>
              </w:rPr>
              <w:t>, og at indfrielsen af dette mål ikke vil ændre på, at et betydeligt antal mennesker stadig står i en sårbar situation;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der henviser til, at NEET'er udgør en mangfoldig gruppe af unge mennesker med forskellige erfaringer;</w:t>
            </w:r>
            <w:r>
              <w:t xml:space="preserve"> </w:t>
            </w:r>
            <w:r>
              <w:rPr>
                <w:b/>
                <w:i/>
              </w:rPr>
              <w:t>der henviser til, at forskning</w:t>
            </w:r>
            <w:r>
              <w:rPr>
                <w:b/>
                <w:i/>
                <w:vertAlign w:val="superscript"/>
              </w:rPr>
              <w:t>1a</w:t>
            </w:r>
            <w:r>
              <w:t xml:space="preserve"> </w:t>
            </w:r>
            <w:r>
              <w:rPr>
                <w:b/>
                <w:i/>
              </w:rPr>
              <w:t>fra Eurofound understreger, at NEET-gruppen er yderst heterogen og udgøres af forskellige undergrupper, som hver især oplever unikke strukturelle hindringer, der forhindrer dem i at blive integreret på arbejdsmarkedet på en vellykket måde, og derfor har brug for skræddersyet og personlig støtte til at imødekomme deres specifikke behov;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(Undersøgelse af NEET'ernes forskelligartethed), Den Europæiske Unions Publikationskontor, Luxembourg,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der henviser til, at der ved gennemførelsen og forbedringen af den styrkede ungdomsgaranti skal tages særligt hensyn til NEET'er i sårbare situationer og dem, der er længst væk fra arbejdsmarkedet, som ofte er svære at nå ud til;</w:t>
            </w:r>
            <w:r>
              <w:t xml:space="preserve"> </w:t>
            </w:r>
            <w:r>
              <w:rPr>
                <w:b/>
                <w:i/>
              </w:rPr>
              <w:t>der henviser til, at dette omfatter kvinder, personer med forskellige etniske baggrunde, romasamfund og rejsende folk, unge, der oplever hjemløshed, unge, der har forladt institutionel pleje, LGBTQIA+-personer, unge med migrant- eller flygtningestatus, unge med handicap, unge, der udsættes for forskelsbehandling på grund af religion eller tro, unge, der lider af kroniske sygdomme eller afhængighed, unge forældre samt unge, der er uformelle omsorgspersoner;</w:t>
            </w:r>
            <w:r>
              <w:t xml:space="preserve"> </w:t>
            </w:r>
            <w:r>
              <w:rPr>
                <w:b/>
                <w:i/>
              </w:rPr>
              <w:t>der henviser til, at der klart skal skelnes mellem NEET'er, der ufrivilligt hverken er under uddannelse eller i beskæftigelse, og dem, der er inaktive af egen vilje;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der henviser til, at der er en vedvarende kønsbestemt forskel blandt NEET'erne, idet NEET-andelen konsekvent er højere blandt unge kvinder end blandt unge mænd i EU</w:t>
            </w:r>
            <w:r>
              <w:rPr>
                <w:b/>
                <w:i/>
                <w:vertAlign w:val="superscript"/>
              </w:rPr>
              <w:t>12a</w:t>
            </w:r>
            <w:r>
              <w:rPr>
                <w:b/>
                <w:i/>
              </w:rPr>
              <w:t>;</w:t>
            </w:r>
            <w:r>
              <w:t xml:space="preserve"> </w:t>
            </w:r>
            <w:r>
              <w:rPr>
                <w:b/>
                <w:i/>
              </w:rPr>
              <w:t>der henviser til, at denne situation delvis kan forklares af den ulige fordeling af ansvaret for børnepasning og sociale normer;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https://www.eurofound.europa.eu/da/surveys-and-data/data-catalogue/neet-rates-gender-15-29-age-group.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der henviser til, at integrationen af NEET'er på arbejdsmarkedet er blevet stadig mere kompleks, hvilket skyldes faktorer såsom en voksende gig-økonomi og stigningen i usikre ansættelsesforhold og atypisk beskæftigelse, fremkomsten af kunstig intelligens og digitalisering samt leveomkostningskrisen, herunder stigende boligudgifter;</w:t>
            </w:r>
            <w:r>
              <w:t xml:space="preserve"> </w:t>
            </w:r>
            <w:r>
              <w:rPr>
                <w:b/>
                <w:i/>
              </w:rPr>
              <w:t>der henviser til, at disse tendenser skaber strukturelle barrierer for bæredygtig beskæftigelse og forværrer uligheder, som betyder, at sårbare NEET'er lades i stikken;</w:t>
            </w:r>
            <w:r>
              <w:t xml:space="preserve"> </w:t>
            </w:r>
            <w:r>
              <w:rPr>
                <w:b/>
                <w:i/>
              </w:rPr>
              <w:t>der henviser til, at gennemførelsen af den styrkede ungdomsgaranti skal reformeres og styrkes for på effektiv vis at løse disse udfordringer og prioritere de NEET'er, der befinder sig længst væk fra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der henviser til, at romaer er den gruppe, der har den højeste andel NEET'er i EU, med 47 % for 16-24-årige, sammenlignet med et EU-gennemsnit på 9 % for samme aldersgruppe</w:t>
            </w:r>
            <w:r>
              <w:rPr>
                <w:b/>
                <w:i/>
                <w:vertAlign w:val="superscript"/>
              </w:rPr>
              <w:t>13a</w:t>
            </w:r>
            <w:r>
              <w:rPr>
                <w:b/>
                <w:i/>
              </w:rPr>
              <w:t>,</w:t>
            </w:r>
            <w:r>
              <w:t xml:space="preserve"> </w:t>
            </w:r>
            <w:r>
              <w:rPr>
                <w:b/>
                <w:i/>
              </w:rPr>
              <w:t>der henviser til, at ingen af de undersøgte medlemsstater er tæt på at nå de mål, der er fastsat i EU's strategiske ramme for romaer</w:t>
            </w:r>
            <w:r>
              <w:rPr>
                <w:b/>
                <w:i/>
                <w:vertAlign w:val="superscript"/>
              </w:rPr>
              <w:t>14a</w:t>
            </w:r>
            <w:r>
              <w:rPr>
                <w:b/>
                <w:i/>
              </w:rPr>
              <w:t>, og at man uden en målrettet og strategisk tilgang fra medlemsstaternes side risikerer, at EU efterlader en generation af unge romaer og rejsende med en risiko for udelukkelse fra uddannelse og arbejdsmarkedet;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Den Europæiske Unions Agentur for Grundlæggende Rettigheder (FRA), den 2. oktober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Europa-Kommissionen (den 7. oktober 2020).</w:t>
            </w:r>
            <w:r>
              <w:t xml:space="preserve"> </w:t>
            </w:r>
            <w:r>
              <w:rPr>
                <w:b/>
                <w:i/>
              </w:rPr>
              <w:t>EU's strategiske ramme for romaernes ligestilling, integration og deltagelse for 2020-2030 (COM(2020)0620). https://eur-lex.europa.eu/resource.html?uri=cellar:9a007e7e-08ad-11eb-a511-01aa75ed71a1.0020.02/DOC_1&amp;format=PDF.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der henviser til, at overgangen fra uddannelse til arbejdsmarkedet er blevet længere, mindre lineær og stadig mere usikker for unge, som i mange tilfælde bevæger sig mellem beskæftigelse, arbejdsløshed og inaktivitet eller er fanget i atypisk beskæftigelse;</w:t>
            </w:r>
            <w:r>
              <w:t xml:space="preserve"> </w:t>
            </w:r>
            <w:r>
              <w:rPr>
                <w:b/>
                <w:i/>
              </w:rPr>
              <w:t>der henviser til, at den styrkede ungdomsgaranti ikke i tilstrækkelig grad er blevet tilpasset til disse fragmenterede forløb og fortsat forlader sig på ufleksible engangsforanstaltninger;</w:t>
            </w:r>
            <w:r>
              <w:t xml:space="preserve"> </w:t>
            </w:r>
            <w:r>
              <w:rPr>
                <w:b/>
                <w:i/>
              </w:rPr>
              <w:t>der henviser til, at en effektiv integration på arbejdsmarkedet, navnlig for sårbare NEET'er, kræver fleksibel, personlig og langsigtet støtte;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der henviser til, at romaundersøgelsen 2021 fra Den Europæiske Unions Agentur for Grundlæggende Rettigheder viser, at 19 % af romakvinder aldrig har haft skolegang sammenlignet 14 % af romamænd, og at kun 23 % af romakvinder fortsætter i uddannelsessystemet efter 16-årsalderen, mens tallet for romamænd er 32 %</w:t>
            </w:r>
            <w:r>
              <w:rPr>
                <w:b/>
                <w:i/>
                <w:vertAlign w:val="superscript"/>
              </w:rPr>
              <w:t>15a</w:t>
            </w:r>
            <w:r>
              <w:rPr>
                <w:b/>
                <w:i/>
              </w:rPr>
              <w:t>;</w:t>
            </w:r>
            <w:r>
              <w:t xml:space="preserve"> </w:t>
            </w:r>
            <w:r>
              <w:rPr>
                <w:b/>
                <w:i/>
              </w:rPr>
              <w:t>der henviser til, at kønsopdelte data viser, at det i gennemsnit er 61 % af unge kvindelige romaer og rejsende, som er NEET'er, sammenlignet med 33 % af unge romamænd</w:t>
            </w:r>
            <w:r>
              <w:rPr>
                <w:b/>
                <w:i/>
                <w:vertAlign w:val="superscript"/>
              </w:rPr>
              <w:t>16a</w:t>
            </w:r>
            <w:r>
              <w:rPr>
                <w:b/>
                <w:i/>
              </w:rPr>
              <w:t>;</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Europarådet (2025).</w:t>
            </w:r>
            <w:r>
              <w:t xml:space="preserve"> </w:t>
            </w:r>
            <w:r>
              <w:rPr>
                <w:b/>
                <w:i/>
              </w:rPr>
              <w:t>Equality of Roma and Traveller women and girls (Ref. 094724GBR).</w:t>
            </w:r>
            <w:r>
              <w:t xml:space="preserve"> </w:t>
            </w:r>
            <w:r>
              <w:rPr>
                <w:b/>
                <w:i/>
              </w:rPr>
              <w:t>Europarådet, https://edoc.coe.int/en/roma-and-travellers/12078-equality-of-roma-and-traveller-women-and-girls.html.</w:t>
            </w:r>
            <w:r>
              <w:t xml:space="preserve"> </w:t>
            </w:r>
            <w:r>
              <w:rPr>
                <w:b/>
                <w:i/>
              </w:rPr>
              <w:t>Den Europæiske Unions Agentur for Grundlæggende Rettigheder (2020).</w:t>
            </w:r>
            <w:r>
              <w:t xml:space="preserve"> </w:t>
            </w:r>
            <w:r>
              <w:rPr>
                <w:b/>
                <w:i/>
              </w:rPr>
              <w:t>Roma and Travellers in six countries:</w:t>
            </w:r>
            <w:r>
              <w:t xml:space="preserve"> </w:t>
            </w:r>
            <w:r>
              <w:rPr>
                <w:b/>
                <w:i/>
              </w:rPr>
              <w:t>Roma and Travellers survey (rapport fra FRA).</w:t>
            </w:r>
            <w:r>
              <w:t xml:space="preserve"> </w:t>
            </w:r>
            <w:r>
              <w:rPr>
                <w:b/>
                <w:i/>
              </w:rPr>
              <w:t>Den Europæiske Unions Publikationskontor.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Den Europæiske Unions Agentur for Grundlæggende Rettigheder (2025).</w:t>
            </w:r>
            <w:r>
              <w:t xml:space="preserve"> </w:t>
            </w:r>
            <w:r>
              <w:rPr>
                <w:b/>
                <w:i/>
              </w:rPr>
              <w:t>Rights of Roma and Travellers in 13 European countries – Perspectives from the Roma Survey 2024.</w:t>
            </w:r>
            <w:r>
              <w:t xml:space="preserve"> </w:t>
            </w:r>
            <w:r>
              <w:rPr>
                <w:b/>
                <w:i/>
              </w:rPr>
              <w:t>FRA. https://fra.europa.eu/da/publication/2025/roma-survey-2024.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der henviser til, at unge i uforholdsmæssig høj grad er udsat for lavtlønnet arbejde</w:t>
            </w:r>
            <w:r>
              <w:rPr>
                <w:b/>
                <w:i/>
                <w:vertAlign w:val="superscript"/>
              </w:rPr>
              <w:t>1a</w:t>
            </w:r>
            <w:r>
              <w:t xml:space="preserve"> </w:t>
            </w:r>
            <w:r>
              <w:rPr>
                <w:b/>
                <w:i/>
              </w:rPr>
              <w:t>samt usikre ansættelsesforhold og atypisk beskæftigelse, herunder tidsbegrænsede aftaler, ansættelse uden et fast timetal og proformaselvstændig beskæftigelse</w:t>
            </w:r>
            <w:r>
              <w:rPr>
                <w:b/>
                <w:i/>
                <w:vertAlign w:val="superscript"/>
              </w:rPr>
              <w:t>1b</w:t>
            </w:r>
            <w:r>
              <w:rPr>
                <w:b/>
                <w:i/>
              </w:rPr>
              <w:t>;</w:t>
            </w:r>
            <w:r>
              <w:t xml:space="preserve"> </w:t>
            </w:r>
            <w:r>
              <w:rPr>
                <w:b/>
                <w:i/>
              </w:rPr>
              <w:t>der henviser til, at de ofte er uden adgang til passende jobbeskyttelse og sociale ydelser;</w:t>
            </w:r>
            <w:r>
              <w:t xml:space="preserve"> </w:t>
            </w:r>
            <w:r>
              <w:rPr>
                <w:b/>
                <w:i/>
              </w:rPr>
              <w:t>der henviser til, at unge også er i øget risiko for afskedigelser som følge af automatisering;</w:t>
            </w:r>
            <w:r>
              <w:t xml:space="preserve"> </w:t>
            </w:r>
            <w:r>
              <w:rPr>
                <w:b/>
                <w:i/>
              </w:rPr>
              <w:t>der henviser til, at sådanne forhold medfører begrænset økonomisk sikkerhed og undergraver vejene til en bæredygtig integration på arbejdsmarkedet;</w:t>
            </w:r>
            <w:r>
              <w:t xml:space="preserve"> </w:t>
            </w:r>
            <w:r>
              <w:rPr>
                <w:b/>
                <w:i/>
              </w:rPr>
              <w:t>der henviser til, at dette navnlig berører sårbare NEET'er, som i uforholdsmæssig høj grad er i job af lav kvalitet, der kræver lave kvalifikationer;</w:t>
            </w:r>
            <w:r>
              <w:t xml:space="preserve"> </w:t>
            </w:r>
            <w:r>
              <w:rPr>
                <w:b/>
                <w:i/>
              </w:rPr>
              <w:t>der henviser til, at den styrkede ungdomsgaranti aktivt skal tackle usikkerhed og lave lønninger og have fokus på lønnet beskæftigelse snarere end frivilligt arbejde;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(Andelen af lavtlønnede i EU-landene),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(Unge på arbejdsmarkedet – statistik),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der henviser til, at personer, der forlader pleje, er i særlig høj risiko for at blive NEET'er, men at det på grund af utilstrækkelige pålidelige data fortsat er uklart, hvor mange af disse personer der findes på EU-plan, ligesom der fortsat er uklarhed om det opsøgende arbejde, der gøres for at støtte dem, og de muligheder, de har til rådighed, efter at de har forladt plejen;</w:t>
            </w:r>
            <w:r>
              <w:t xml:space="preserve"> </w:t>
            </w:r>
            <w:r>
              <w:rPr>
                <w:b/>
                <w:i/>
              </w:rPr>
              <w:t>der henviser til, at unge, der forlader institutionel pleje, ofte oplever en brat overgang til uafhængighed uden passende uddannelsesmæssig kontinuitet, en stabil boligsituation eller faglig vejledning, hvilket øger deres risiko for arbejdsløshed, fattigdom og social udstødelse;</w:t>
            </w:r>
            <w:r>
              <w:t xml:space="preserve"> </w:t>
            </w:r>
            <w:r>
              <w:rPr>
                <w:b/>
                <w:i/>
              </w:rPr>
              <w:t>der henviser til, at en styrket gennemførelse af ungdomsgarantien kan tage fat på disse mangler i overgangen gennem skræddersyede støttemekanismer;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der henviser til, at underbeskæftigelsen blandt unge er på vej op, og at omfanget af deltidsbeskæftigelse er betydelig større blandt unge end i den erhvervsaktive befolkning generelt set</w:t>
            </w:r>
            <w:r>
              <w:rPr>
                <w:b/>
                <w:i/>
                <w:vertAlign w:val="superscript"/>
              </w:rPr>
              <w:t>1a</w:t>
            </w:r>
            <w:r>
              <w:rPr>
                <w:b/>
                <w:i/>
              </w:rPr>
              <w:t>;</w:t>
            </w:r>
            <w:r>
              <w:t xml:space="preserve"> </w:t>
            </w:r>
            <w:r>
              <w:rPr>
                <w:b/>
                <w:i/>
              </w:rPr>
              <w:t>der henviser til, at denne ulighed er endnu større blandt unge kvinder;</w:t>
            </w:r>
            <w:r>
              <w:t xml:space="preserve"> </w:t>
            </w:r>
            <w:r>
              <w:rPr>
                <w:b/>
                <w:i/>
              </w:rPr>
              <w:t>der henviser til, at en høj andel af deltidsansættelser er ufrivillig, hvilket afspejler en strukturel mangel på arbejdsmarkedet med hensyn til at tilvejebringe passende muligheder for fuldtidsarbejde;</w:t>
            </w:r>
            <w:r>
              <w:t xml:space="preserve"> </w:t>
            </w:r>
            <w:r>
              <w:rPr>
                <w:b/>
                <w:i/>
              </w:rPr>
              <w:t>der henviser til, at ufrivilligt deltidsarbejde undergraver indkomstspotentialet, karriereudviklingen, adgangen til social beskyttelse og pensionsrettigheder;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(Deltids- og fuldtidsbeskæftigelse – statistik),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der henviser til, at forudindtagethed, stigma og sejlivede stereotyper kan begrænse adgangen til praktikophold og lærlingeuddannelser for unge med en baggrund i institutionel pleje, unge med fysisk handicap eller udviklingshandicap og unge romaer;</w:t>
            </w:r>
            <w:r>
              <w:t xml:space="preserve"> </w:t>
            </w:r>
            <w:r>
              <w:rPr>
                <w:b/>
                <w:i/>
              </w:rPr>
              <w:t>der henviser til, at det er afgørende at imødegå sådanne hindringer og fremme inklusiv rekrutteringspraksis for at sikre lige adgang til første arbejdserfaringer af høj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h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der henviser til, at de traditionelle veje fra uddannelse til beskæftigelse er ved at blive undergravet på grund af en strukturel mangel på begynderjob af høj kvalitet;</w:t>
            </w:r>
            <w:r>
              <w:t xml:space="preserve"> </w:t>
            </w:r>
            <w:r>
              <w:rPr>
                <w:b/>
                <w:i/>
              </w:rPr>
              <w:t>der henviser til, at mange unge, på trods af at de er højtuddannede og -kvalificerede, har svært ved at omsætte deres kvalifikationer til stabil beskæftigelse;</w:t>
            </w:r>
            <w:r>
              <w:t xml:space="preserve"> </w:t>
            </w:r>
            <w:r>
              <w:rPr>
                <w:b/>
                <w:i/>
              </w:rPr>
              <w:t>der henviser til, at beskæftigelsesfrekvensen for nyuddannede er på vej ned</w:t>
            </w:r>
            <w:r>
              <w:rPr>
                <w:b/>
                <w:i/>
                <w:vertAlign w:val="superscript"/>
              </w:rPr>
              <w:t>1a</w:t>
            </w:r>
            <w:r>
              <w:rPr>
                <w:b/>
                <w:i/>
              </w:rPr>
              <w:t>, og at antallet af unge i job, som er langt under deres kvalifikationsniveau, stiger</w:t>
            </w:r>
            <w:r>
              <w:rPr>
                <w:b/>
                <w:i/>
                <w:vertAlign w:val="superscript"/>
              </w:rPr>
              <w:t>1b</w:t>
            </w:r>
            <w:r>
              <w:rPr>
                <w:b/>
                <w:i/>
              </w:rPr>
              <w:t>;</w:t>
            </w:r>
            <w:r>
              <w:t xml:space="preserve"> </w:t>
            </w:r>
            <w:r>
              <w:rPr>
                <w:b/>
                <w:i/>
              </w:rPr>
              <w:t>der henviser til, at dette har en forskydende effekt, der yderligere begrænser mulighederne for sårbare NEET'er, der mangler kvalifikationer;</w:t>
            </w:r>
            <w:r>
              <w:t xml:space="preserve"> </w:t>
            </w:r>
            <w:r>
              <w:rPr>
                <w:b/>
                <w:i/>
              </w:rPr>
              <w:t>der henviser til, at de stadig større hindringer for unges integration på arbejdsmarkedet underminerer den sociale samhørighed og tilliden til institutionerne;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(Beskæftigelsesfrekvensen blandt nyuddannede),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(Unge – kvalifikationer, færdigheder og jobtilpasning),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i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der henviser til, at næsten hver fjerde af de unge i Unionen i 2024 var i risiko for fattigdom eller social udstødelse, hvilket er 3,1 procentpoint højere end for den samlede befolkning</w:t>
            </w:r>
            <w:r>
              <w:rPr>
                <w:b/>
                <w:i/>
                <w:vertAlign w:val="superscript"/>
              </w:rPr>
              <w:t>1a</w:t>
            </w:r>
            <w:r>
              <w:rPr>
                <w:b/>
                <w:i/>
              </w:rPr>
              <w:t>;</w:t>
            </w:r>
            <w:r>
              <w:t xml:space="preserve"> </w:t>
            </w:r>
            <w:r>
              <w:rPr>
                <w:b/>
                <w:i/>
              </w:rPr>
              <w:t>der henviser til, at strukturelle uligheder, eksempelvis materielle afsavn og vedvarende sociale ulemper, underminerer mulighederne for at få adgang til arbejdsmarkedet og leve uafhængigt;</w:t>
            </w:r>
            <w:r>
              <w:t xml:space="preserve"> </w:t>
            </w:r>
            <w:r>
              <w:rPr>
                <w:b/>
                <w:i/>
              </w:rPr>
              <w:t>der henviser til, at beskæftigelsesaktivering ikke kan opnås uden adgang til grundlæggende forudsætninger såsom en bolig, transport, børnepleje og plejestøtte;</w:t>
            </w:r>
            <w:r>
              <w:t xml:space="preserve"> </w:t>
            </w:r>
            <w:r>
              <w:rPr>
                <w:b/>
                <w:i/>
              </w:rPr>
              <w:t>der henviser til, at en bæredygtig integration på arbejdsmarkedet kræver en helhedsorienteret tilgang, der tager fat på alle forstærkende hindringer;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(Unge – social inklusion),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j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der henviser til, at sårbare NEET'er kan mangle de funktionelle læse-, skrive- og regnefærdigheder og digitale færdigheder, der kræves for at få adgang til kvalitetsuddannelse eller arbejdsmarkedet;</w:t>
            </w:r>
            <w:r>
              <w:t xml:space="preserve"> </w:t>
            </w:r>
            <w:r>
              <w:rPr>
                <w:b/>
                <w:i/>
              </w:rPr>
              <w:t>der henviser til, at den styrkede ungdomsgaranti ofte tager sådanne færdigheder for givet og derved begrænser sårbare NEET'ers muligheder for at få adgang til og nyde godt af beskæftigelses- og uddannelsesforanstaltninger;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k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der henviser til, at unge i hele Unionen klarer sig dårligere inden for læsning, matematik og videnskabelige fag, og at unge med en ugunstig socioøkonomisk baggrund har over seks gange større sandsynlighed for at underpræstere end deres jævnaldrende</w:t>
            </w:r>
            <w:r>
              <w:rPr>
                <w:b/>
                <w:i/>
                <w:vertAlign w:val="superscript"/>
              </w:rPr>
              <w:t>1a</w:t>
            </w:r>
            <w:r>
              <w:rPr>
                <w:b/>
                <w:i/>
              </w:rPr>
              <w:t>;</w:t>
            </w:r>
            <w:r>
              <w:t xml:space="preserve"> </w:t>
            </w:r>
            <w:r>
              <w:rPr>
                <w:b/>
                <w:i/>
              </w:rPr>
              <w:t>der henviser til, at den styrkede ungdomsgaranti aktivt skal tage højde for disse bekymrende tendenser for at undgå at forværre sociale kløfter og sikre lige adgang til uddannelse og fremtidige beskæftigelsesmuligheder;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Europa-Kommissionens uddannelsesovervågningsrapport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det er </w:t>
            </w:r>
            <w:r>
              <w:rPr>
                <w:b/>
                <w:i/>
              </w:rPr>
              <w:t>vanskeligt</w:t>
            </w:r>
            <w:r>
              <w:t xml:space="preserve"> at fastslå en direkte årsagssammenhæng mellem gennemførelsen af den styrkede ungdomsgaranti og de observerede resultater med hensyn til nedbringelse af andelen af NEET'er og af ungdomsarbejdsløsheden;</w:t>
            </w:r>
          </w:p>
        </w:tc>
        <w:tc>
          <w:tcPr>
            <w:tcW w:w="4876" w:type="dxa"/>
            <w:tcBorders>
              <w:top w:val="nil"/>
              <w:left w:val="nil"/>
              <w:bottom w:val="nil"/>
              <w:right w:val="nil"/>
            </w:tcBorders>
          </w:tcPr>
          <w:p>
            <w:pPr>
              <w:pStyle w:val="Normal6a"/>
            </w:pPr>
            <w:r>
              <w:t>B.</w:t>
            </w:r>
            <w:r>
              <w:tab/>
            </w:r>
            <w:r>
              <w:t xml:space="preserve">der henviser til, at det er </w:t>
            </w:r>
            <w:r>
              <w:rPr>
                <w:b/>
                <w:i/>
              </w:rPr>
              <w:t>umuligt</w:t>
            </w:r>
            <w:r>
              <w:t xml:space="preserve"> at fastslå en direkte årsagssammenhæng mellem gennemførelsen af den styrkede ungdomsgaranti og de observerede resultater med hensyn til nedbringelse af andelen af NEET'er og af ungdomsarbejdsløsheden</w:t>
            </w:r>
            <w:r>
              <w:rPr>
                <w:b/>
                <w:i/>
              </w:rPr>
              <w:t>, hvilket vidner om den strukturelle ineffektivitet af europæisk social engineering</w:t>
            </w:r>
            <w:r>
              <w:t xml:space="preserve">; </w:t>
            </w:r>
            <w:r>
              <w:rPr>
                <w:b/>
                <w:i/>
              </w:rPr>
              <w:t>der henviser til, at job til unge ikke skabes gennem centrale direktiver, men først og fremmes gennem medlemsstaternes skattemæssige suverænitet, solide nationale økonomier og konkurrencedygtige SMV'er;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der henviser til, at det er vanskeligt at fastslå en direkte årsagssammenhæng mellem gennemførelsen af den styrkede ungdomsgaranti og de observerede resultater med hensyn til nedbringelse af andelen af NEET'er og af ungdomsarbejdsløsheden;</w:t>
            </w:r>
          </w:p>
        </w:tc>
        <w:tc>
          <w:tcPr>
            <w:tcW w:w="4876" w:type="dxa"/>
            <w:tcBorders>
              <w:top w:val="nil"/>
              <w:left w:val="nil"/>
              <w:bottom w:val="nil"/>
              <w:right w:val="nil"/>
            </w:tcBorders>
          </w:tcPr>
          <w:p>
            <w:pPr>
              <w:pStyle w:val="Normal6a"/>
            </w:pPr>
            <w:r>
              <w:t>B.</w:t>
            </w:r>
            <w:r>
              <w:tab/>
            </w:r>
            <w:r>
              <w:t xml:space="preserve">der henviser til, at det er vanskeligt at fastslå en direkte årsagssammenhæng mellem gennemførelsen af den styrkede ungdomsgaranti og de observerede resultater med hensyn til nedbringelse af andelen af NEET'er og af ungdomsarbejdsløsheden; </w:t>
            </w:r>
            <w:r>
              <w:rPr>
                <w:b/>
                <w:i/>
              </w:rPr>
              <w:t>der henviser til, at dette illustrerer behovet for et stærkere fokus på håndgribelige resultater for unge, en bedre tilpasning til nationale arbejdsmarkedsbehov og tættere synergi med EU-programmer såsom Den Europæiske Socialfond Plus (ESF+), Erasmus+ og Det Europæiske Solidaritetskorps;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der henviser til, at det er vanskeligt at fastslå en direkte årsagssammenhæng mellem gennemførelsen af den styrkede ungdomsgaranti og de observerede resultater med hensyn til nedbringelse af andelen af NEET'er og af ungdomsarbejdsløsheden;</w:t>
            </w:r>
          </w:p>
        </w:tc>
        <w:tc>
          <w:tcPr>
            <w:tcW w:w="4876" w:type="dxa"/>
            <w:tcBorders>
              <w:top w:val="nil"/>
              <w:left w:val="nil"/>
              <w:bottom w:val="nil"/>
              <w:right w:val="nil"/>
            </w:tcBorders>
          </w:tcPr>
          <w:p>
            <w:pPr>
              <w:pStyle w:val="Normal6a"/>
            </w:pPr>
            <w:r>
              <w:t>B.</w:t>
            </w:r>
            <w:r>
              <w:tab/>
            </w:r>
            <w:r>
              <w:t>der henviser til, at det er vanskeligt at fastslå en direkte årsagssammenhæng mellem gennemførelsen af den styrkede ungdomsgaranti og de observerede resultater med hensyn til nedbringelse af andelen af NEET'er og af ungdomsarbejdsløsheden</w:t>
            </w:r>
            <w:r>
              <w:rPr>
                <w:b/>
                <w:i/>
              </w:rPr>
              <w:t>, navnlig når ordninger under den styrkede ungdomsgaranti er integreret i bredere nationale politikker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europæiske data viser, at forløb inden for erhvervsrettet grunduddannelse med en stærk arbejdsbaseret læringskomponent er det mest effektive instrument til at forhindre, at folk ender i NEET-situationer, for så vidt som unge, der gennemfører arbejdsbaserede læringsforløb på mindst syv måneder, tegner sig for beskæftigelsesfrekvenser på op til 90,5 % sammenlignet med 69,7 % for dem, der ikke har adgang til disse forløb;</w:t>
            </w:r>
            <w:r>
              <w:t xml:space="preserve"> </w:t>
            </w:r>
            <w:r>
              <w:rPr>
                <w:b/>
                <w:i/>
              </w:rPr>
              <w:t>der henviser til, at tosporede erhvervsuddannelsessystemer ved hjælp af en struktureret vekslen mellem skole og arbejde skaber færdigheder, der kan bruges på arbejdsmarkedet, og i væsentlig grad mindsker kløften mellem efterspørgslen og udbuddet af job;</w:t>
            </w:r>
            <w:r>
              <w:t xml:space="preserve"> </w:t>
            </w:r>
            <w:r>
              <w:rPr>
                <w:b/>
                <w:i/>
              </w:rPr>
              <w:t>der henviser til, at de medlemsstater, der har solide tosporede erhvervsuddannelsessystemer, har de laveste ungdomsarbejdsløshedsfrekvenser i EU;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en effektiv gennemførelse af den styrkede ungdomsgaranti kræver målrettede, integrerede og familieorienterede foranstaltninger, navnlig for unge forældre, som kombinerer beskæftigelsesstøtte med adgang til uddannelse, børnepasning, sociale tjenester og, hvor det er relevant, passende indkomststøtte, for at sikre varig integration på arbejdsmarkedet, forhindre langvarig eksklusion, fremme ligestilling mellem kønnene og understøtte en bæredygtig balance mellem arbejdsliv og privatliv;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dokumentation fra Den Europæiske Revisionsret peger på, at velfinansierede, inklusive og rettighedsbaserede ungdomspolitikker – deriblandt den styrkede ungdomsgaranti – bidrager positivt til at forbedre unges adgang til beskæftigelse og uddannelse af høj kvalitet;</w:t>
            </w:r>
            <w:r>
              <w:t xml:space="preserve"> </w:t>
            </w:r>
            <w:r>
              <w:rPr>
                <w:b/>
                <w:i/>
              </w:rPr>
              <w:t>der henviser til, at stærkere overvågning, opdelt dataindsamling og konsekvensvurderinger er afgørende for at få et fuldt overblik over dens resultater, navnlig for sårbare og marginaliserede grupper;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der næsten er lige så mange gennemførelsesmodeller for ungdomsgarantien, som der er medlemsstater;</w:t>
            </w:r>
            <w:r>
              <w:t xml:space="preserve"> </w:t>
            </w:r>
            <w:r>
              <w:rPr>
                <w:b/>
                <w:i/>
              </w:rPr>
              <w:t>der henviser til, at de institutionelle ordninger for dens gennemførelse spænder fra at integrere ungdomsgarantien i eksisterende nationale systemer til at skabe en særskilt national model;</w:t>
            </w:r>
            <w:r>
              <w:t xml:space="preserve"> </w:t>
            </w:r>
            <w:r>
              <w:rPr>
                <w:b/>
                <w:i/>
              </w:rPr>
              <w:t>der henviser til, at forvaltningsordningerne også varierer mellem centraliserede modeller, der koordineres på nationalt plan, og fuldt ud decentraliserede modeller på lokalt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Rådet i sin henstilling af 16. juni 2022 om en europæisk tilgang til mikroeksamensbeviser anerkender mikroeksamensbeviser som et central værktøj for fleksible, inklusive og målrettede læringsforløb, der gør det muligt for enkeltpersoner at opnå, ajourføre og certificere deres færdigheder på en modulbaseret måde, navnlig som reaktion på arbejdsmarkedsbehov og den grønne og den digitale omstilling;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investeringer i unge gennem den styrkede ungdomsgaranti udgør en investering i Unionens fremtid og styrker den sociale samhørighed, ligheden mellem generationerne og solidariteten, nedbringer fattigdom og social udstødelse og bidrager til en modstandsdygtig arbejdsstyrke og en konkurrencedygtig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effektiviteten af den styrkede ungdomsgaranti afhænger af en gennemsigtig og effektiv anvendelse af EU-midler og nationale midler samt solide overvågnings- og evalueringssystemer, der er egnede til at måle langsigtede beskæftigelsesresultater for unge støttemodtagere;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ungdomsarbejdsløshed og usikre ansættelsesforhold er direkte knyttet til strukturelle uligheder, sparepolitikker, deregulering af arbejdsmarkedet og underfinansiering af offentlige tjenester;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der henviser til, at et klart flertal af medlemsstaterne følger en strategi, der prioriterer beskæftigelse, mens andre prioriterer en uddannelsesorienteret tilgang;</w:t>
            </w:r>
            <w:r>
              <w:t xml:space="preserve"> </w:t>
            </w:r>
            <w:r>
              <w:rPr>
                <w:b/>
                <w:i/>
              </w:rPr>
              <w:t>der henviser til, at 35,2 % af positive og rettidige afslutninger af ungdomsgarantiens forberedende fase i 2024 førte til beskæftigelse, mens 6,5 % førte til uddannelse, 2,5 % førte til praktikophold, og 1,6 % førte til lærlingeuddannelser</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Europa-Kommissionen, Generaldirektoratet for Beskæftigelse, Sociale Anliggender, Arbejdsmarkedsforhold og Inklusion, datatabel med direkte indikatorer for ungdomsgarantien, februar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der henviser til, at Eurofound anslår, at manglende engagement blandt unge og den manglende integration af NEET'er på arbejdsmarkedet koster Unionen næsten 100 mia. EUR om året</w:t>
            </w:r>
            <w:r>
              <w:rPr>
                <w:b/>
                <w:i/>
                <w:vertAlign w:val="superscript"/>
              </w:rPr>
              <w:t>1a</w:t>
            </w:r>
            <w:r>
              <w:rPr>
                <w:b/>
                <w:i/>
              </w:rPr>
              <w:t>, hvilket vidner om, at det fra et økonomisk og socialt perspektiv er presserende nødvendigt at sikre en reel styrkelse af den styrkede ungdomsgaranti;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der henviser til, at ESF+ har været det vigtigste instrument til at finansiere den styrkede ungdomsgaranti for perioden 2021-2027;</w:t>
            </w:r>
            <w:r>
              <w:t xml:space="preserve"> </w:t>
            </w:r>
            <w:r>
              <w:rPr>
                <w:b/>
                <w:i/>
              </w:rPr>
              <w:t>der henviser til, at forvaltningsmyndighederne er nødt til at forbedre deres absorptionskapacitet, især i fjerntliggende områder;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der henviser til, at en stor andel unge har midlertidige, lavtlønnede og usikre job uden fulde arbejdstagerrettigheder og sociale rettigheder;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der henviser til, at unge i stigende grad er nødsagede til at udvise fleksibilitet og geografisk mobilitet i forbindelse med deres uddannelse og i deres karrierer;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der henviser til, at ungdomsgarantiordninger ikke må erstatte retten til stabil beskæftigelse med fulde rettigheder eller legitimere udbredelsen af ubetalt eller underbetalt arbejde gennem "praktikprogrammer" eller "uddannelsesprogrammer";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der henviser til, at inaktive og sårbare NEET'er oftest udelades fra initiativer under ungdomsgarantien, da den hovedsagelig gavner unge, som er tættere på jobmarkedet – også kaldet "creaming-effekten" – og at den reelle indvirkning af den styrkede ungdomsgaranti på den samlede NEET-gruppe derfor overvurderes;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der henviser til, at Unionens konkurrenceevne også afhænger af færdighederne i dens arbejdsstyrke og dens evne til at aktivere unge i den erhvervsaktive alder for at afhjælpe manglen på arbejdskraft og færdigheder;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der henviser til, at adgang til økonomisk overkommelige og passende boliger af høj kvalitet er en forudsætning for vellykket deltagelse i uddannelse, lærlingeuddannelser, praktikophold og beskæftigelse;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der henviser til, at der fortsat er institutionelle og strukturelle hindringer for operationaliseringen af ungdomsgarantien og dens praktiske gennemførelse i medlemsstaterne og på lokalt plan, bl.a. hindringer for udveksling af data mellem tjenester, misforhold mellem uddannelsestilbud og arbejdsmarkedet samt de socioøkonomiske ulemper, som sårbare grupper lider under;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der henviser til, at ungdomsgarantiens effektivitet ikke kun bør måles på unges øjeblikkelige indtræden i beskæftigelse eller uddannelse, men også på kvaliteten, bæredygtigheden og de langsigtede karriereperspektiver ved sådanne muligheder;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der henviser til, at unge fra etniske, racemæssige eller religiøse mindretal, har større sandsynlighed for at stå i en situation med et misforhold mellem deres færdigheder og deres beskæftigelse;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der henviser til, at ungdomspolitikker ikke kun bør anerkendes som en social prioritet, men også som en strategisk investering i EU's menneskelige kapital, konkurrenceevne og langsigtede økonomiske modstandsdygtighed;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der henviser til, at unge NEET'er, unge forældre, navnlig enlige forældre, og sårbare unge oplever en højere risiko for psykisk overlast og langvarig udelukkelse fra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der henviser til, at mental sundhed og trivsel er afgørende for deltagelse på arbejdsmarkedet og kan styrkes gennem præventive, tidlige psykosociale foranstaltninger som led i aktivering, uden at det berører medlemsstaternes ansvar for sundhedspleje;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h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der henviser til, at automatisering og AI er i gang med at omforme arbejdsmarkederne, hvilket medfører en risiko for, at unge uden grundlæggende AI-færdigheder udelukkes;</w:t>
            </w:r>
            <w:r>
              <w:t xml:space="preserve"> </w:t>
            </w:r>
            <w:r>
              <w:rPr>
                <w:b/>
                <w:i/>
              </w:rPr>
              <w:t>der henviser til, at ungdomsgarantien aktivt skal tage fat på dette spørgsmål for at sikre deres beskæftigelsesegnethed;</w:t>
            </w:r>
            <w:r>
              <w:t xml:space="preserve"> </w:t>
            </w:r>
            <w:r>
              <w:rPr>
                <w:b/>
                <w:i/>
              </w:rPr>
              <w:t>der henviser til, at AI kan bidrage til at overvinde (læringsmæssige) hindringer (via hjælpeteknologi), hvis unge erhverver sig digitale færdigheder og grundlæggende AI-færdigheder tidligt;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i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der henviser til, at ungdomsgarantien er baseret på princippet om gensidig forpligtelse, i henhold til hvilket unge ikke kun har ret til tilbud af høj kvalitet, men også har pligt til aktivt at deltage i og acceptere rimelige beskæftigelses- eller uddannelsesmuligheder;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 j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der henviser til, at medlemsstaterne derfor skal sikre, at der i tilfælde af gentagne og uberettigede afslag på rimelige tilbud kan træffes passende foranstaltninger i overensstemmelse med national ret for at forhindre passivitet og fremme personligt ansvar hos unge;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AM\1342335DA.docx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AM\1342335DA.docx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AM\1342335DA.docx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6725</Words>
  <Characters>42977</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507410</vt:lpwstr>
  </property>
  <property fmtid="{D5CDD505-2E9C-101B-9397-08002B2CF9AE}" pid="7" name="dmxml.render.traceId">
    <vt:lpwstr>6a15abd827c1f5df8bae760aacae533b</vt:lpwstr>
  </property>
  <property fmtid="{D5CDD505-2E9C-101B-9397-08002B2CF9AE}" pid="8" name="FooterPath">
    <vt:lpwstr>AM\1342335DA.docx</vt:lpwstr>
  </property>
  <property fmtid="{D5CDD505-2E9C-101B-9397-08002B2CF9AE}" pid="9" name="PE Number">
    <vt:lpwstr>787.791</vt:lpwstr>
  </property>
  <property fmtid="{D5CDD505-2E9C-101B-9397-08002B2CF9AE}" pid="10" name="UID">
    <vt:lpwstr>eu.europa.europarl-DIN1-2026-0000110653_01.00-da-01.00_text-xml</vt:lpwstr>
  </property>
</Properties>
</file>