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Ευρωπαϊκό Κοινοβούλιο</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Επιτροπή Απασχόλησης και Κοινωνικών Υποθέσεων</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ΤΡΟΠΟΛΟΓΙΕΣ</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Σχέδιο έκθεσης</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Εφαρμογή της σύστασης του Συμβουλίου, της 30ής Οκτωβρίου 2020, για «μια γέφυρα προς την απασχόληση — ενίσχυση των εγγυήσεων για τη νεολαία» και για την κατάργηση της σύστασης του Συμβουλίου, της 22ας Απριλίου 2013, για τη θέσπιση εγγυήσεων για τη νεολαία</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Τροπολογία</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τους στόχους κοινωνικής πολιτικής των άρθρων 151 και 153 ΣΛΕΕ σε συνδυασμό με το άρθρο 3 του κανονισμού (ΕΚ) αριθ. 883/2004 για την κοινωνική ασφάλεια και τις συναφείς παροχές,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έχοντας υπόψη τον ευρωπαϊκό πυλώνα κοινωνικών δικαιωμάτων που διακηρύχθηκε και υπογράφηκε από το Συμβούλιο, το Κοινοβούλιο και την Επιτροπή στις 17 Νοεμβρίου 2017, και ιδίως τις αρχές 1, 3 και 4,</w:t>
            </w:r>
          </w:p>
        </w:tc>
        <w:tc>
          <w:tcPr>
            <w:tcW w:w="4876" w:type="dxa"/>
            <w:tcBorders>
              <w:top w:val="nil"/>
              <w:left w:val="nil"/>
              <w:bottom w:val="nil"/>
              <w:right w:val="nil"/>
            </w:tcBorders>
          </w:tcPr>
          <w:p>
            <w:pPr>
              <w:pStyle w:val="Normal6a"/>
            </w:pPr>
            <w:r>
              <w:rPr>
                <w:b/>
                <w:i/>
              </w:rPr>
              <w:t>–</w:t>
            </w:r>
            <w:r>
              <w:tab/>
            </w:r>
            <w:r>
              <w:t xml:space="preserve">έχοντας υπόψη τον ευρωπαϊκό πυλώνα κοινωνικών δικαιωμάτων που διακηρύχθηκε και υπογράφηκε από το Συμβούλιο, το Κοινοβούλιο και την Επιτροπή στις 17 Νοεμβρίου 2017, και ιδίως τις αρχές 1, 3 και 4, </w:t>
            </w:r>
            <w:r>
              <w:rPr>
                <w:b/>
                <w:i/>
              </w:rPr>
              <w:t>καθώς και τον στόχο του για τη μείωση του ποσοστού των ΕΑΕΚ σε 9 % έως το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έχοντας υπόψη τον ευρωπαϊκό πυλώνα κοινωνικών δικαιωμάτων που διακηρύχθηκε και υπογράφηκε από το Συμβούλιο, το Κοινοβούλιο και την Επιτροπή στις 17 Νοεμβρίου 2017, και ιδίως τις αρχές 1, 3 και 4,</w:t>
            </w:r>
          </w:p>
        </w:tc>
        <w:tc>
          <w:tcPr>
            <w:tcW w:w="4876" w:type="dxa"/>
            <w:tcBorders>
              <w:top w:val="nil"/>
              <w:left w:val="nil"/>
              <w:bottom w:val="nil"/>
              <w:right w:val="nil"/>
            </w:tcBorders>
          </w:tcPr>
          <w:p>
            <w:pPr>
              <w:pStyle w:val="Normal6a"/>
            </w:pPr>
            <w:r>
              <w:rPr>
                <w:b/>
                <w:i/>
              </w:rPr>
              <w:t>–</w:t>
            </w:r>
            <w:r>
              <w:tab/>
            </w:r>
            <w:r>
              <w:t xml:space="preserve">έχοντας υπόψη τον ευρωπαϊκό πυλώνα κοινωνικών δικαιωμάτων που διακηρύχθηκε και υπογράφηκε από το Συμβούλιο, το Κοινοβούλιο και την Επιτροπή στις 17 Νοεμβρίου 2017, και ιδίως τις αρχές 1, 3 και 4, </w:t>
            </w:r>
            <w:r>
              <w:rPr>
                <w:b/>
                <w:i/>
              </w:rPr>
              <w:t>καθώς και τον στόχο του για τη μείωση του ποσοστού των ΕΑΕΚ σε 9 % έως το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5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τα άρθρα 7 και 17 του αναθεωρημένου Ευρωπαϊκού Κοινωνικού Χάρτη,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τα συμπεράσματα του Συμβουλίου σχετικά με τον ρόλο των κοινωνικομορφωτικών δραστηριοτήτων για τους νέους στη στήριξη της ανάπτυξης βασικών δεξιοτήτων ζωής οι οποίες διευκολύνουν την επιτυχή μετάβασή τους στον ενήλικο και στον επαγγελματικό βίο και στην ενεργό συμμετοχή στα κοινά (2017/C 189/06)</w:t>
            </w:r>
            <w:r>
              <w:rPr>
                <w:b/>
                <w:i/>
                <w:vertAlign w:val="superscript"/>
              </w:rPr>
              <w:t>2α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2α</w:t>
            </w:r>
            <w:r>
              <w:t xml:space="preserve"> </w:t>
            </w:r>
            <w:r>
              <w:rPr>
                <w:b/>
                <w:i/>
              </w:rPr>
              <w:t>ΕΕ C 189 της 15.6.2017, σ. 30–34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εφαρμογή της στρατηγικής της ΕΕ για τη νεολαία (2019-2021) (2021/C 504 I/02)</w:t>
            </w:r>
            <w:r>
              <w:rPr>
                <w:b/>
                <w:i/>
                <w:vertAlign w:val="superscript"/>
              </w:rPr>
              <w:t>2β</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2β</w:t>
            </w:r>
            <w:r>
              <w:t xml:space="preserve"> </w:t>
            </w:r>
            <w:r>
              <w:rPr>
                <w:b/>
                <w:i/>
              </w:rPr>
              <w:t>OJ C 504I της 14.12.2021, σ. 10–11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6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ανακοίνωση της Ευρωπαϊκής Επιτροπής, της 20ής Ιανουαρίου 2026, με τίτλο «Ένωση ισότητας:</w:t>
            </w:r>
            <w:r>
              <w:t xml:space="preserve"> </w:t>
            </w:r>
            <w:r>
              <w:rPr>
                <w:b/>
                <w:i/>
              </w:rPr>
              <w:t>στρατηγική για την καταπολέμηση του ρατσισμού 2026-2030» (COM(2026)0012)</w:t>
            </w:r>
            <w:r>
              <w:rPr>
                <w:b/>
                <w:i/>
                <w:vertAlign w:val="superscript"/>
              </w:rPr>
              <w:t>2γ</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2γ</w:t>
            </w:r>
            <w:r>
              <w:t xml:space="preserve"> </w:t>
            </w:r>
            <w:r>
              <w:rPr>
                <w:b/>
                <w:i/>
              </w:rPr>
              <w:t>COM(2026)012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6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έκθεση του FRA με τίτλο «Being Black in the EU — Experiences of people of African descent» [Πώς είναι να ζεις ως μαύρος στην ΕΕ — Εμπειρίες ατόμων αφρικανικής καταγωγής]</w:t>
            </w:r>
            <w:r>
              <w:rPr>
                <w:b/>
                <w:i/>
                <w:vertAlign w:val="superscript"/>
              </w:rPr>
              <w:t>2δ</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2δ</w:t>
            </w:r>
            <w:r>
              <w:t xml:space="preserve"> </w:t>
            </w:r>
            <w:r>
              <w:rPr>
                <w:b/>
                <w:i/>
              </w:rPr>
              <w:t>https://fra.europa.eu/el/publication/2023/being-black-eu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6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έκθεση του FRA με τίτλο «Being Muslim in the EU – Experiences of Muslims» [Πώς είναι να ζεις ως μουσουλμάνος στην ΕΕ – Εμπειρίες μουσουλμάνων]</w:t>
            </w:r>
            <w:r>
              <w:rPr>
                <w:b/>
                <w:i/>
                <w:vertAlign w:val="superscript"/>
              </w:rPr>
              <w:t>2ε</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2ε</w:t>
            </w:r>
            <w:r>
              <w:t xml:space="preserve"> </w:t>
            </w:r>
            <w:r>
              <w:rPr>
                <w:b/>
                <w:i/>
              </w:rPr>
              <w:t>https://fra.europa.eu/el/publication/2024/being-muslim-eu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τα βασικά μηνύματα της Επιτροπής Απασχόλησης (EMCO), που εγκρίθηκαν από το Συμβούλιο υπό την οικεία σύνθεση EPSCO το 2016, το 2018, το 2019, το 2021, το 2023, το 2025 και το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10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τους Στόχους Βιώσιμης Ανάπτυξης (ΣΒΑ) των Ηνωμένων Εθνών, και ιδίως τον στόχο 8, οι οποίοι υιοθετήθηκαν από τους παγκόσμιους ηγέτες τον Σεπτέμβριο του 2015 και εγκρίθηκαν από το Συμβούλιο,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12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τον Ευρωπαϊκό Κοινωνικό Χάρτη, και ιδίως τα άρθρα 7 και 17,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12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Ατζέντα του 2030 και τους στόχους βιώσιμης ανάπτυξης, και ιδίως τον στόχο 8 «Προώθηση της διαρκούς, χωρίς αποκλεισμούς και βιώσιμης οικονομικής ανάπτυξης, καθώς και της πλήρους και παραγωγικής απασχόλησης και της αξιοπρεπούς εργασίας για όλους»,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16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σύσταση του Συμβουλίου, της 9ης Μαρτίου 2026, σχετικά με το ανθρώπινο κεφάλαιο στην Ευρωπαϊκή Ένωση</w:t>
            </w:r>
            <w:r>
              <w:rPr>
                <w:b/>
                <w:i/>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OJ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16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γνωμοδότηση της Ευρωπαϊκής Επιτροπής των Περιφερειών, της 5ης Φεβρουαρίου 2021, με θέμα «Στήριξη της απασχόλησης των νέων —</w:t>
            </w:r>
            <w:r>
              <w:t xml:space="preserve"> </w:t>
            </w:r>
            <w:r>
              <w:rPr>
                <w:b/>
                <w:i/>
              </w:rPr>
              <w:t>Γέφυρα προς την απασχόληση για την επόμενη γενιά — Η ενίσχυση των εγγυήσεων για τη νεολαία</w:t>
            </w:r>
            <w:r>
              <w:rPr>
                <w:b/>
                <w:i/>
                <w:vertAlign w:val="superscript"/>
              </w:rPr>
              <w:t>2α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2α</w:t>
            </w:r>
            <w:r>
              <w:t xml:space="preserve"> </w:t>
            </w:r>
            <w:r>
              <w:rPr>
                <w:b/>
                <w:i/>
              </w:rPr>
              <w:t>ΕΕ C 106 της 26.3.2021, σ. 7–11.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γνωμοδότηση της Ευρωπαϊκής Οικονομικής και Κοινωνικής Επιτροπής, της 29ης Οκτωβρίου 2020, με τίτλο «Ενίσχυση των εγγυήσεων για τη νεολαία»,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17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έκθεση του Eurofound του 2024 με θέμα «Το πέρασμα στην ενήλικη ζωή: Οι νέοι σε έναν κόσμο μετά την πανδημία»</w:t>
            </w:r>
            <w:r>
              <w:rPr>
                <w:b/>
                <w:i/>
                <w:vertAlign w:val="superscript"/>
              </w:rPr>
              <w:t>3α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3α</w:t>
            </w:r>
            <w:r>
              <w:t xml:space="preserve"> </w:t>
            </w:r>
            <w:r>
              <w:rPr>
                <w:b/>
                <w:i/>
              </w:rPr>
              <w:t>Eurofound (2024), «Becoming adults:</w:t>
            </w:r>
            <w:r>
              <w:t xml:space="preserve"> </w:t>
            </w:r>
            <w:r>
              <w:rPr>
                <w:b/>
                <w:i/>
              </w:rPr>
              <w:t>Young people in a post-pandemic world», Υπηρεσία Εκδόσεων της Ευρωπαϊκής Ένωσης, Λουξεμβούργο.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17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την έκθεση του Eurofound του 2024 με θέμα «Οι νέοι στα Δυτικά Βαλκάνια»</w:t>
            </w:r>
            <w:r>
              <w:rPr>
                <w:b/>
                <w:i/>
                <w:vertAlign w:val="superscript"/>
              </w:rPr>
              <w:t>4α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4α</w:t>
            </w:r>
            <w:r>
              <w:t xml:space="preserve"> </w:t>
            </w:r>
            <w:r>
              <w:rPr>
                <w:b/>
                <w:i/>
              </w:rPr>
              <w:t>Eurofound (2024), «Young people in the Western Balkans», Υπηρεσία Εκδόσεων της Ευρωπαϊκής Ένωσης, Λουξεμβούργο.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17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δημοσίευση του CEDEFOP του 2023 με θέμα «Ευρωπαϊκές κατευθυντήριες γραμμές για την επικύρωση της μη τυπικής και της άτυπης μάθησης»</w:t>
            </w:r>
            <w:r>
              <w:rPr>
                <w:b/>
                <w:i/>
                <w:vertAlign w:val="superscript"/>
              </w:rPr>
              <w:t>5α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5α</w:t>
            </w:r>
            <w:r>
              <w:t xml:space="preserve"> </w:t>
            </w:r>
            <w:r>
              <w:rPr>
                <w:b/>
                <w:i/>
              </w:rPr>
              <w:t>Cedefop (2023).</w:t>
            </w:r>
            <w:r>
              <w:t xml:space="preserve"> </w:t>
            </w:r>
            <w:r>
              <w:rPr>
                <w:b/>
                <w:i/>
              </w:rPr>
              <w:t>«European guidelines for validating non-formal and informal learning».</w:t>
            </w:r>
            <w:r>
              <w:t xml:space="preserve"> </w:t>
            </w:r>
            <w:r>
              <w:rPr>
                <w:b/>
                <w:i/>
              </w:rPr>
              <w:t>Λουξεμβούργο:</w:t>
            </w:r>
            <w:r>
              <w:t xml:space="preserve"> </w:t>
            </w:r>
            <w:r>
              <w:rPr>
                <w:b/>
                <w:i/>
              </w:rPr>
              <w:t>Υπηρεσία Εκδόσεων.</w:t>
            </w:r>
            <w:r>
              <w:t xml:space="preserve"> </w:t>
            </w:r>
            <w:r>
              <w:rPr>
                <w:b/>
                <w:i/>
              </w:rPr>
              <w:t>Σειρά αναφοράς Cedefop:</w:t>
            </w:r>
            <w:r>
              <w:t xml:space="preserve"> </w:t>
            </w:r>
            <w:r>
              <w:rPr>
                <w:b/>
                <w:i/>
              </w:rPr>
              <w:t>αριθ.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17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δημοσίευση του Ευρωπαϊκού Ιδρύματος Επαγγελματικής Εκπαίδευσης του 2025 με θέμα «Επαφή με τους νέους που βρίσκονται εκτός απασχόλησης, εκπαίδευσης ή κατάρτισης:</w:t>
            </w:r>
            <w:r>
              <w:t xml:space="preserve"> </w:t>
            </w:r>
            <w:r>
              <w:rPr>
                <w:b/>
                <w:i/>
              </w:rPr>
              <w:t>Ένα πρακτικό εγχειρίδιο επαφών»</w:t>
            </w:r>
            <w:r>
              <w:rPr>
                <w:b/>
                <w:i/>
                <w:vertAlign w:val="superscript"/>
              </w:rPr>
              <w:t>6α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6α</w:t>
            </w:r>
            <w:r>
              <w:t xml:space="preserve"> </w:t>
            </w:r>
            <w:r>
              <w:rPr>
                <w:b/>
                <w:i/>
              </w:rPr>
              <w:t>Ευρωπαϊκό Ίδρυμα Επαγγελματικής Εκπαίδευσης (2025), «Outreach to Young People not in Employment, Education of Training:</w:t>
            </w:r>
            <w:r>
              <w:t xml:space="preserve"> </w:t>
            </w:r>
            <w:r>
              <w:rPr>
                <w:b/>
                <w:i/>
              </w:rPr>
              <w:t>A practical Manual for Outreach», Τορίνο, Ιταλία.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17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δημοσίευση του CEDEFOP του 2026 με θέμα «Πλαίσιο αναφοράς της ΕΕ για διά βίου καθοδήγηση: 18 κατευθυντήριες γραμμές για την ανάπτυξη πολιτικών και συστημάτων»</w:t>
            </w:r>
            <w:r>
              <w:rPr>
                <w:b/>
                <w:i/>
                <w:vertAlign w:val="superscript"/>
              </w:rPr>
              <w:t>7α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7α</w:t>
            </w:r>
            <w:r>
              <w:t xml:space="preserve"> </w:t>
            </w:r>
            <w:r>
              <w:rPr>
                <w:b/>
                <w:i/>
              </w:rPr>
              <w:t>Cedefop (2026).</w:t>
            </w:r>
            <w:r>
              <w:t xml:space="preserve"> </w:t>
            </w:r>
            <w:r>
              <w:rPr>
                <w:b/>
                <w:i/>
              </w:rPr>
              <w:t>«An EU reference framework for lifelong guidance:</w:t>
            </w:r>
            <w:r>
              <w:t xml:space="preserve"> </w:t>
            </w:r>
            <w:r>
              <w:rPr>
                <w:b/>
                <w:i/>
              </w:rPr>
              <w:t>18 guidelines for policy and systems development».</w:t>
            </w:r>
            <w:r>
              <w:t xml:space="preserve"> </w:t>
            </w:r>
            <w:r>
              <w:rPr>
                <w:b/>
                <w:i/>
              </w:rPr>
              <w:t>Σειρά αναφοράς Cedefop: 125.</w:t>
            </w:r>
            <w:r>
              <w:t xml:space="preserve"> </w:t>
            </w:r>
            <w:r>
              <w:rPr>
                <w:b/>
                <w:i/>
              </w:rPr>
              <w:t>Υπηρεσία Εκδόσεων της Ευρωπαϊκής Ένωσης.</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έχοντας υπόψη την ευρωπαϊκή αξιολόγηση εφαρμογής, της 18ης Δεκεμβρίου 2025, με τίτλο «The implementation of the reinforced Youth Guarantee – Trends in EU Member States, impact, EU funding and governance» (Η υλοποίηση των ενισχυμένων εγγυήσεων για τη νεολαία – Τάσεις στα κράτη μέλη της ΕΕ, αντίκτυπος, ενωσιακή χρηματοδότηση και διακυβέρνηση), που δημοσιεύθηκε από την Υπηρεσία Έρευνας του Ευρωπαϊκού Κοινοβουλίου,</w:t>
            </w:r>
          </w:p>
        </w:tc>
        <w:tc>
          <w:tcPr>
            <w:tcW w:w="4876" w:type="dxa"/>
            <w:tcBorders>
              <w:top w:val="nil"/>
              <w:left w:val="nil"/>
              <w:bottom w:val="nil"/>
              <w:right w:val="nil"/>
            </w:tcBorders>
          </w:tcPr>
          <w:p>
            <w:pPr>
              <w:pStyle w:val="Normal6a"/>
            </w:pPr>
            <w:r>
              <w:rPr>
                <w:b/>
                <w:i/>
              </w:rPr>
              <w:t>–</w:t>
            </w:r>
            <w:r>
              <w:tab/>
            </w:r>
            <w:r>
              <w:t>έχοντας υπόψη την ευρωπαϊκή αξιολόγηση εφαρμογής, της 18ης Δεκεμβρίου 2025, με τίτλο «The implementation of the reinforced Youth Guarantee – Trends in EU Member States, impact, EU funding and governance» (Η υλοποίηση των ενισχυμένων εγγυήσεων για τη νεολαία – Τάσεις στα κράτη μέλη της ΕΕ, αντίκτυπος, ενωσιακή χρηματοδότηση και διακυβέρνηση), που δημοσιεύθηκε από την Υπηρεσία Έρευνας του Ευρωπαϊκού Κοινοβουλίου</w:t>
            </w:r>
            <w:r>
              <w:rPr>
                <w:b/>
                <w:i/>
                <w:vertAlign w:val="superscript"/>
              </w:rPr>
              <w:t>8α</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8α</w:t>
            </w:r>
            <w:r>
              <w:t xml:space="preserve"> </w:t>
            </w:r>
            <w:r>
              <w:rPr>
                <w:b/>
                <w:i/>
              </w:rPr>
              <w:t>https://www.europarl.europa.eu/thinktank/el/document/EPRS_STU(2025)774714.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18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μελέτη που δημοσίευσε η Ευρωπαϊκή Επιτροπή των Περιφερειών τον Ιούνιο του 2022 με τίτλο «The local implementation of the Reinforced Youth Guarantee» [Η τοπική εφαρμογή των ενισχυμένων εγγυήσεων για τη νεολαία],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18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τη θέση του Ευρωπαϊκού Φόρουμ Νεολαίας, της 13ης Μαρτίου 2025 με τίτλο «Youth Guarantee: How to support young people finding a pathway» [Εγγυήσεις για τη νεολαία: Τρόποι στήριξης των νέων στην ανεύρεση πορείας],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ψήφισμα του Ευρωπαϊκού Κοινοβουλίου, της 21ης Νοεμβρίου 2023, σχετικά με τη μείωση των ανισοτήτων και την προώθηση της κοινωνικής ένταξης σε περιόδους κρίσης για τα παιδιά και τις οικογένειές τους</w:t>
            </w:r>
            <w:r>
              <w:rPr>
                <w:b/>
                <w:i/>
                <w:vertAlign w:val="superscript"/>
              </w:rPr>
              <w:t>1α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https://eur-lex.europa.eu/eli/C/2024/4211/oj/ell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19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ψήφισμά του της 17ης Φεβρουαρίου 2022 σχετικά με την ενδυνάμωση της ευρωπαϊκής νεολαίας:</w:t>
            </w:r>
            <w:r>
              <w:t xml:space="preserve"> </w:t>
            </w:r>
            <w:r>
              <w:rPr>
                <w:b/>
                <w:i/>
              </w:rPr>
              <w:t>απασχόληση και κοινωνική ανάκαμψη μετά την πανδημία</w:t>
            </w:r>
            <w:r>
              <w:rPr>
                <w:b/>
                <w:i/>
                <w:vertAlign w:val="superscript"/>
              </w:rPr>
              <w:t>9α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9α</w:t>
            </w:r>
            <w:r>
              <w:t xml:space="preserve"> </w:t>
            </w:r>
            <w:r>
              <w:rPr>
                <w:b/>
                <w:i/>
              </w:rPr>
              <w:t>ΕΕ C 342 της 6.9.2022, σ. 265–275.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19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ψήφισμά του της 11ης Μαρτίου 2025 σχετικά με το Ευρωπαϊκό Κοινωνικό Ταμείο+ μετά το 2027</w:t>
            </w:r>
            <w:r>
              <w:rPr>
                <w:b/>
                <w:i/>
                <w:vertAlign w:val="superscript"/>
              </w:rPr>
              <w:t>10α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10α</w:t>
            </w:r>
            <w:r>
              <w:t xml:space="preserve"> </w:t>
            </w:r>
            <w:r>
              <w:rPr>
                <w:b/>
                <w:i/>
              </w:rPr>
              <w:t>ΕΕ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αναφορά 19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έχοντας υπόψη το ψήφισμά του της 27ης Νοεμβρίου 2025 σχετικά με τη στρατηγική της ΕΕ για τα δικαιώματα των ατόμων με αναπηρία μετά το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λαμβάνοντας υπόψη ότι οι ενισχυμένες εγγυήσεις για τη νεολαία (ΕΕΝ) αποτελούν δέσμευση που αναλαμβάνουν τα κράτη μέλη προς τους νέους ηλικίας κάτω των 30 ετών να τους προσφέρουν ποιοτική απασχόληση, συνεχή εκπαίδευση, μαθητεία ή άσκηση εντός τεσσάρων μηνών από τη στιγμή που θα μείνουν άνεργοι ή θα τελειώσουν την εκπαίδευση·</w:t>
            </w:r>
          </w:p>
        </w:tc>
        <w:tc>
          <w:tcPr>
            <w:tcW w:w="4876" w:type="dxa"/>
            <w:tcBorders>
              <w:top w:val="nil"/>
              <w:left w:val="nil"/>
              <w:bottom w:val="nil"/>
              <w:right w:val="nil"/>
            </w:tcBorders>
          </w:tcPr>
          <w:p>
            <w:pPr>
              <w:pStyle w:val="Normal6a"/>
            </w:pPr>
            <w:r>
              <w:t>Α.</w:t>
            </w:r>
            <w:r>
              <w:tab/>
            </w:r>
            <w:r>
              <w:t xml:space="preserve">λαμβάνοντας υπόψη ότι οι ενισχυμένες εγγυήσεις για τη νεολαία (ΕΕΝ) αποτελούν δέσμευση που αναλαμβάνουν τα κράτη μέλη προς τους νέους </w:t>
            </w:r>
            <w:r>
              <w:rPr>
                <w:b/>
                <w:i/>
              </w:rPr>
              <w:t>πολίτες</w:t>
            </w:r>
            <w:r>
              <w:t xml:space="preserve"> ηλικίας κάτω των 30 ετών να τους προσφέρουν</w:t>
            </w:r>
            <w:r>
              <w:rPr>
                <w:b/>
                <w:i/>
              </w:rPr>
              <w:t>, θεωρητικά,</w:t>
            </w:r>
            <w:r>
              <w:t xml:space="preserve"> ποιοτική απασχόληση, συνεχή εκπαίδευση, μαθητεία ή άσκηση εντός τεσσάρων μηνών από τη στιγμή που θα μείνουν άνεργοι ή θα τελειώσουν την εκπαίδευση· </w:t>
            </w:r>
            <w:r>
              <w:rPr>
                <w:b/>
                <w:i/>
              </w:rPr>
              <w:t>λαμβάνοντας υπόψη ότι η δέσμευση αυτή στην πράξη προσκρούει σε φραγμούς, έχει δε αποδειχθεί γραφειοκρατική χίμαιρα, καθώς περισσότεροι από το ήμισυ των νέων στην Ένωση εξακολουθούν να αναμένουν προσφορά και πέραν του εν λόγω χρονικού πλαισίου·</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λαμβάνοντας υπόψη ότι οι ενισχυμένες εγγυήσεις για τη νεολαία (ΕΕΝ) αποτελούν δέσμευση που αναλαμβάνουν τα κράτη μέλη προς τους νέους ηλικίας κάτω των 30 ετών να τους προσφέρουν ποιοτική απασχόληση, συνεχή εκπαίδευση, μαθητεία ή άσκηση εντός τεσσάρων μηνών από τη στιγμή που θα μείνουν άνεργοι ή θα τελειώσουν την εκπαίδευση·</w:t>
            </w:r>
          </w:p>
        </w:tc>
        <w:tc>
          <w:tcPr>
            <w:tcW w:w="4876" w:type="dxa"/>
            <w:tcBorders>
              <w:top w:val="nil"/>
              <w:left w:val="nil"/>
              <w:bottom w:val="nil"/>
              <w:right w:val="nil"/>
            </w:tcBorders>
          </w:tcPr>
          <w:p>
            <w:pPr>
              <w:pStyle w:val="Normal6a"/>
            </w:pPr>
            <w:r>
              <w:t>Α.</w:t>
            </w:r>
            <w:r>
              <w:tab/>
            </w:r>
            <w:r>
              <w:t xml:space="preserve">λαμβάνοντας υπόψη ότι οι ενισχυμένες εγγυήσεις για τη νεολαία (ΕΕΝ) αποτελούν δέσμευση που αναλαμβάνουν τα κράτη μέλη προς τους νέους ηλικίας κάτω των 30 ετών να τους προσφέρουν ποιοτική απασχόληση, συνεχή εκπαίδευση, μαθητεία ή άσκηση εντός τεσσάρων μηνών από τη στιγμή που θα μείνουν άνεργοι ή θα τελειώσουν την εκπαίδευση· </w:t>
            </w:r>
            <w:r>
              <w:rPr>
                <w:b/>
                <w:i/>
              </w:rPr>
              <w:t>λαμβάνοντας υπόψη ότι, από την ίδρυσή τους το 2013, περίπου 60 εκατομμύρια νέοι Ευρωπαίοι ξεκίνησαν μια προσφορά στο πλαίσιο προγραμμάτων εγγυήσεων για τη νεολαία·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Α.</w:t>
            </w:r>
            <w:r>
              <w:tab/>
            </w:r>
            <w:r>
              <w:t xml:space="preserve">λαμβάνοντας υπόψη ότι οι </w:t>
            </w:r>
            <w:r>
              <w:rPr>
                <w:b/>
                <w:i/>
              </w:rPr>
              <w:t>ενισχυμένες</w:t>
            </w:r>
            <w:r>
              <w:t xml:space="preserve"> εγγυήσεις για τη νεολαία </w:t>
            </w:r>
            <w:r>
              <w:rPr>
                <w:b/>
                <w:i/>
              </w:rPr>
              <w:t>(ΕΕΝ)</w:t>
            </w:r>
            <w:r>
              <w:t xml:space="preserve"> αποτελούν δέσμευση που αναλαμβάνουν τα κράτη μέλη προς τους νέους ηλικίας κάτω των 30 ετών να τους προσφέρουν ποιοτική απασχόληση, συνεχή εκπαίδευση, μαθητεία ή άσκηση εντός τεσσάρων μηνών από τη στιγμή που θα μείνουν άνεργοι ή θα τελειώσουν την εκπαίδευση·</w:t>
            </w:r>
          </w:p>
        </w:tc>
        <w:tc>
          <w:tcPr>
            <w:tcW w:w="4876" w:type="dxa"/>
            <w:tcBorders>
              <w:top w:val="nil"/>
              <w:left w:val="nil"/>
              <w:bottom w:val="nil"/>
              <w:right w:val="nil"/>
            </w:tcBorders>
          </w:tcPr>
          <w:p>
            <w:pPr>
              <w:pStyle w:val="Normal6a"/>
            </w:pPr>
            <w:r>
              <w:t>Α.</w:t>
            </w:r>
            <w:r>
              <w:tab/>
            </w:r>
            <w:r>
              <w:t xml:space="preserve">λαμβάνοντας υπόψη ότι οι εγγυήσεις για τη νεολαία </w:t>
            </w:r>
            <w:r>
              <w:rPr>
                <w:b/>
                <w:i/>
              </w:rPr>
              <w:t>θεσπίστηκαν το 2013 και ενισχύθηκαν το 2020·</w:t>
            </w:r>
            <w:r>
              <w:t xml:space="preserve"> </w:t>
            </w:r>
            <w:r>
              <w:rPr>
                <w:b/>
                <w:i/>
              </w:rPr>
              <w:t>λαμβάνοντας υπόψη ότι</w:t>
            </w:r>
            <w:r>
              <w:t xml:space="preserve"> αποτελούν δέσμευση που αναλαμβάνουν τα κράτη μέλη προς τους νέους ηλικίας κάτω των 30 ετών να τους προσφέρουν ποιοτική απασχόληση, συνεχή εκπαίδευση, μαθητεία ή άσκηση εντός τεσσάρων μηνών από τη στιγμή που θα μείνουν άνεργοι ή θα τελειώσουν την εκπαίδευση·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Αα.</w:t>
            </w:r>
            <w:r>
              <w:tab/>
            </w:r>
            <w:r>
              <w:rPr>
                <w:b/>
                <w:i/>
              </w:rPr>
              <w:t>λαμβάνοντας υπόψη ότι στόχος των ΕΕΝ είναι η καταπολέμηση της ανεργίας, της αεργίας και της υποαπασχόλησης των νέων και η στήριξη της βιώσιμης ένταξης των νέων σε ποιοτική εκπαίδευση και κατάρτιση και στην αγορά εργασίας·</w:t>
            </w:r>
            <w:r>
              <w:t xml:space="preserve"> </w:t>
            </w:r>
            <w:r>
              <w:rPr>
                <w:b/>
                <w:i/>
              </w:rPr>
              <w:t>λαμβάνοντας υπόψη ότι οι στόχοι των ΕΕΝ αντικατοπτρίζουν τις κοινές πολιτικές προτεραιότητες του Ευρωπαϊκού Κοινοβουλίου, της Επιτροπής και των κρατών μελών στο πλαίσιο του τρέχοντος πολυετούς δημοσιονομικού πλαισίου (ΠΔΠ), συμβάλλοντας στον στόχο της Ένωσης για βιώσιμη οικονομική μεγέθυνση και για δημιουργία ποιοτικών θέσεων εργασίας σε ευθυγράμμιση με τον ευρωπαϊκό πυλώνα κοινωνικών δικαιωμάτων·</w:t>
            </w:r>
            <w:r>
              <w:t xml:space="preserve"> </w:t>
            </w:r>
            <w:r>
              <w:rPr>
                <w:b/>
                <w:i/>
              </w:rPr>
              <w:t>λαμβάνοντας υπόψη ότι τα επίμονα προβλήματα και οι νέες ταχέως εξελισσόμενες προκλήσεις για την ένταξη των νέων στην αγορά εργασίας απαιτούν τη διατήρηση των προτεραιοτήτων αυτών πέραν της τρέχουσας περιόδου προγραμματισμού·</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Αα.</w:t>
            </w:r>
            <w:r>
              <w:tab/>
            </w:r>
            <w:r>
              <w:rPr>
                <w:b/>
                <w:i/>
              </w:rPr>
              <w:t>λαμβάνοντας υπόψη ότι τα κράτη μέλη διατηρούν, σε γενικές γραμμές, ισχυρή πολιτική δέσμευση όσον αφορά την εφαρμογή των εγγυήσεων για τη νεολαία και των οικείων εθνικών σχεδίων εφαρμογής·</w:t>
            </w:r>
            <w:r>
              <w:t xml:space="preserve"> </w:t>
            </w:r>
            <w:r>
              <w:rPr>
                <w:b/>
                <w:i/>
              </w:rPr>
              <w:t>λαμβάνοντας υπόψη ότι έχουν καταβληθεί ιδιαίτερες προσπάθειες για την ενίσχυση των ικανοτήτων στήριξης των ΕΑΕΚ και την αμοιβαία μάθηση μέσω συνεδριάσεων των εθνικών συντονιστών σε επίπεδο ΕΕ ή πέραν αυτής·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Αα.</w:t>
            </w:r>
            <w:r>
              <w:tab/>
            </w:r>
            <w:r>
              <w:rPr>
                <w:b/>
                <w:i/>
              </w:rPr>
              <w:t>λαμβάνοντας υπόψη ότι, σύμφωνα με έρευνα του Eurofound, ο πληθυσμός των ΕΑΕΚ είναι εξαιρετικά ετερογενής και απαρτίζεται από διακριτές υποομάδες, καθεμία από τις οποίες βρίσκεται αντιμέτωπη με μοναδικούς διαρθρωτικούς φραγμούς και ανάγκες που εμποδίζουν την επιτυχή ένταξη στην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Αα.</w:t>
            </w:r>
            <w:r>
              <w:tab/>
            </w:r>
            <w:r>
              <w:rPr>
                <w:b/>
                <w:i/>
              </w:rPr>
              <w:t>λαμβάνοντας υπόψη ότι ο σχεδιασμός και η εφαρμογή των εν λόγω μέτρων θα πρέπει να σέβονται πλήρως την αρχή της επικουρικότητας και τις αρμοδιότητες των κρατών μελών στους τομείς των πολιτικών εκπαίδευσης, κατάρτισης και απασχόλησης·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Αβ.</w:t>
            </w:r>
            <w:r>
              <w:tab/>
            </w:r>
            <w:r>
              <w:rPr>
                <w:b/>
                <w:i/>
              </w:rPr>
              <w:t>λαμβάνοντας υπόψη ότι το ποσοστό ΕΑΕΚ στην ΕΕ άρχισε και πάλι να φθίνει μετά την περίοδο που ακολούθησε την πανδημία·</w:t>
            </w:r>
            <w:r>
              <w:t xml:space="preserve"> </w:t>
            </w:r>
            <w:r>
              <w:rPr>
                <w:b/>
                <w:i/>
              </w:rPr>
              <w:t>λαμβάνοντας υπόψη ότι το σχέδιο δράσης για τον ευρωπαϊκό πυλώνα κοινωνικών δικαιωμάτων περιλαμβάνει τον στόχο της μείωσης του ποσοστού ΕΑΕΚ στο 9 % των ατόμων ηλικίας 15-29 ετών έως το 2030·</w:t>
            </w:r>
            <w:r>
              <w:t xml:space="preserve"> </w:t>
            </w:r>
            <w:r>
              <w:rPr>
                <w:b/>
                <w:i/>
              </w:rPr>
              <w:t>λαμβάνοντας υπόψη ότι η επίτευξη του στόχου αυτού βρίσκεται σε καλό δρόμο, παρά τις σημαντικές αποκλίσεις μεταξύ των κρατών μελών και των περιφερειών</w:t>
            </w:r>
            <w:r>
              <w:rPr>
                <w:b/>
                <w:i/>
                <w:vertAlign w:val="superscript"/>
              </w:rPr>
              <w:t>11α</w:t>
            </w:r>
            <w:r>
              <w:rPr>
                <w:b/>
                <w:i/>
              </w:rPr>
              <w:t>, και λαμβάνοντας υπόψη ότι η επίτευξη του στόχου αυτού αναμένεται να συνεχίσει να αφήνει σημαντικό αριθμό νέων σε επισφαλή θέση·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11α</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Αβ.</w:t>
            </w:r>
            <w:r>
              <w:tab/>
            </w:r>
            <w:r>
              <w:rPr>
                <w:b/>
                <w:i/>
              </w:rPr>
              <w:t>λαμβάνοντας υπόψη ότι οι νέοι που βρίσκονται εκτός απασχόλησης, εκπαίδευσης ή κατάρτισης (ΕΑΕΚ) αποτελούν μια ποικιλόμορφη ομάδα νέων με διαφορετικά βιώματα·</w:t>
            </w:r>
            <w:r>
              <w:t xml:space="preserve"> </w:t>
            </w:r>
            <w:r>
              <w:rPr>
                <w:b/>
                <w:i/>
              </w:rPr>
              <w:t>λαμβάνοντας υπόψη ότι, σύμφωνα με έρευνα του Eurofound</w:t>
            </w:r>
            <w:r>
              <w:rPr>
                <w:b/>
                <w:i/>
                <w:vertAlign w:val="superscript"/>
              </w:rPr>
              <w:t>1α</w:t>
            </w:r>
            <w:r>
              <w:rPr>
                <w:b/>
                <w:i/>
              </w:rPr>
              <w:t>, ο πληθυσμός των ΕΑΕΚ είναι εξαιρετικά ετερογενής και απαρτίζεται από διακριτές υποομάδες, καθεμία από τις οποίες βρίσκεται αντιμέτωπη με μοναδικούς διαρθρωτικούς φραγμούς που εμποδίζουν την επιτυχή ένταξη στην αγορά εργασίας, με αποτέλεσμα να απαιτείται προσαρμοσμένη, εξατομικευμένη στήριξη ώστε να καλυφθούν οι συγκεκριμένες ανάγκες τους·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Eurofound, «Exploring the diversity of NEETs», Υπηρεσία Εκδόσεων της Ευρωπαϊκής Ένωσης, Λουξεμβούργο,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Αγ.</w:t>
            </w:r>
            <w:r>
              <w:tab/>
            </w:r>
            <w:r>
              <w:rPr>
                <w:b/>
                <w:i/>
              </w:rPr>
              <w:t>λαμβάνοντας υπόψη ότι η εφαρμογή και βελτίωση των εγγυήσεων για τη νεολαία πρέπει να δώσει ιδιαίτερη προσοχή στους ΕΑΕΚ που βρίσκονται σε ευάλωτη θέση και σε εκείνους που είναι περισσότερο απομακρυσμένοι από την αγορά εργασίας, καθώς συχνά είναι δυσπρόσιτοι·</w:t>
            </w:r>
            <w:r>
              <w:t xml:space="preserve"> </w:t>
            </w:r>
            <w:r>
              <w:rPr>
                <w:b/>
                <w:i/>
              </w:rPr>
              <w:t>λαμβάνοντας υπόψη ότι τούτο περιλαμβάνει γυναίκες, άτομα με διαφορετικό εθνοτικό υπόβαθρο, κοινότητες Ρομά και Πλανόβιων, άστεγους νέους, νέους που αποχωρούν από δομές ιδρυματικής φροντίδας, άτομα ΛΟΑΤΚΙ+, νέους με καθεστώς μετανάστη ή πρόσφυγα, νέους με αναπηρία, νέους που αντιμετωπίζουν διακρίσεις λόγω θρησκείας ή πεποιθήσεων, νέους που αντιμετωπίζουν χρόνιες παθήσεις ή εθισμό, νέους γονείς, καθώς και νέους με ρόλο άτυπου φροντιστή·</w:t>
            </w:r>
            <w:r>
              <w:t xml:space="preserve"> </w:t>
            </w:r>
            <w:r>
              <w:rPr>
                <w:b/>
                <w:i/>
              </w:rPr>
              <w:t>λαμβάνοντας υπόψη ότι πρέπει να γίνεται σαφής διάκριση μεταξύ των ΕΑΕΚ που αποκλείονται ακουσίως από την εκπαίδευση, την απασχόληση ή την κατάρτιση και εκείνων που είναι εθελοντικά ανενεργοί·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Αγ.</w:t>
            </w:r>
            <w:r>
              <w:tab/>
            </w:r>
            <w:r>
              <w:rPr>
                <w:b/>
                <w:i/>
              </w:rPr>
              <w:t>λαμβάνοντας υπόψη το επίμονο χάσμα μεταξύ των φύλων όσον αφορά τους ΕΑΕΚ, καθώς το ποσοστό των νέων γυναικών ΕΑΕΚ υπερβαίνει σταθερά εκείνο των νέων ανδρών ΕΑΕΚ στην ΕΕ</w:t>
            </w:r>
            <w:r>
              <w:rPr>
                <w:b/>
                <w:i/>
                <w:vertAlign w:val="superscript"/>
              </w:rPr>
              <w:t>12α</w:t>
            </w:r>
            <w:r>
              <w:rPr>
                <w:b/>
                <w:i/>
              </w:rPr>
              <w:t>·</w:t>
            </w:r>
            <w:r>
              <w:t xml:space="preserve"> </w:t>
            </w:r>
            <w:r>
              <w:rPr>
                <w:b/>
                <w:i/>
              </w:rPr>
              <w:t>λαμβάνοντας υπόψη ότι η κατάσταση αυτή μπορεί να εξηγηθεί εν μέρει από την άνιση κατανομή των ευθυνών φροντίδας των παιδιών και τα κοινωνικά πρότυπα·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12α</w:t>
            </w:r>
            <w:r>
              <w:t xml:space="preserve"> </w:t>
            </w:r>
            <w:r>
              <w:rPr>
                <w:b/>
                <w:i/>
              </w:rPr>
              <w:t>https://www.eurofound.europa.eu/el/surveys-and-data/data-catalogue/neet-rates-gender-15-29-age-group.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Αδ.</w:t>
            </w:r>
            <w:r>
              <w:tab/>
            </w:r>
            <w:r>
              <w:rPr>
                <w:b/>
                <w:i/>
              </w:rPr>
              <w:t>λαμβάνοντας υπόψη ότι η ένταξη των ΕΑΕΚ στην αγορά εργασίας καθίσταται ολοένα και πιο περίπλοκη, λόγω παραγόντων όπως η ανάπτυξη της οικονομίας της περιστασιακής απασχόλησης και η αύξηση των επισφαλών και άτυπων μορφών απασχόλησης, η ανάδυση της τεχνητής νοημοσύνης και της ψηφιοποίησης, και η κρίση του κόστους ζωής, συμπεριλαμβανομένης της αύξησης του κόστους στέγασης·</w:t>
            </w:r>
            <w:r>
              <w:t xml:space="preserve"> </w:t>
            </w:r>
            <w:r>
              <w:rPr>
                <w:b/>
                <w:i/>
              </w:rPr>
              <w:t>λαμβάνοντας υπόψη ότι οι εξελίξεις αυτές εγείρουν διαρθρωτικούς φραγμούς στη βιώσιμη απασχόληση και επιδεινώνουν τις ανισότητες που αφήνουν στο περιθώριο τους ευάλωτους ΕΑΕΚ·</w:t>
            </w:r>
            <w:r>
              <w:t xml:space="preserve"> </w:t>
            </w:r>
            <w:r>
              <w:rPr>
                <w:b/>
                <w:i/>
              </w:rPr>
              <w:t>λαμβάνοντας υπόψη ότι πρέπει να μεταρρυθμιστεί και να ενισχυθεί η εφαρμογή των εγγυήσεων για τη νεολαία ώστε να ανταποκριθεί αποτελεσματικά στις προκλήσεις αυτές και να δώσει προτεραιότητα στους ΕΑΕΚ που είναι περισσότερο απομακρυσμένοι από 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Αδ.</w:t>
            </w:r>
            <w:r>
              <w:tab/>
            </w:r>
            <w:r>
              <w:rPr>
                <w:b/>
                <w:i/>
              </w:rPr>
              <w:t>λαμβάνοντας υπόψη ότι οι Ρομά είναι η ομάδα με το υψηλότερο ποσοστό ΕΑΕΚ στην ΕΕ, ήτοι 47 % για τα άτομα ηλικίας 16-24 ετών, σε σύγκριση με τον μέσο όρο της ΕΕ που είναι 9 % για την ίδια ηλικιακή ομάδα</w:t>
            </w:r>
            <w:r>
              <w:rPr>
                <w:b/>
                <w:i/>
                <w:vertAlign w:val="superscript"/>
              </w:rPr>
              <w:t>13α</w:t>
            </w:r>
            <w:r>
              <w:rPr>
                <w:b/>
                <w:i/>
              </w:rPr>
              <w:t>·</w:t>
            </w:r>
            <w:r>
              <w:t xml:space="preserve"> </w:t>
            </w:r>
            <w:r>
              <w:rPr>
                <w:b/>
                <w:i/>
              </w:rPr>
              <w:t>λαμβάνοντας υπόψη ότι κανένα από τα κράτη μέλη που συμμετείχαν στην έρευνα δεν βρίσκεται κοντά στην επίτευξη των στόχων που ορίζονται στο στρατηγικό πλαίσιο της ΕΕ για τους Ρομά</w:t>
            </w:r>
            <w:r>
              <w:rPr>
                <w:b/>
                <w:i/>
                <w:vertAlign w:val="superscript"/>
              </w:rPr>
              <w:t>14α</w:t>
            </w:r>
            <w:r>
              <w:rPr>
                <w:b/>
                <w:i/>
              </w:rPr>
              <w:t>, και λαμβάνοντας υπόψη ότι, χωρίς στοχευμένη και στρατηγική προσέγγιση από τα κράτη μέλη, η ΕΕ κινδυνεύει να αφήσει μια γενιά νέων Ρομά και Πλανόβιων εκτεθειμένη στον κίνδυνο αποκλεισμού από την εκπαίδευση, την κατάρτιση και την αγορά εργασίας·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13α</w:t>
            </w:r>
            <w:r>
              <w:t xml:space="preserve"> </w:t>
            </w:r>
            <w:r>
              <w:rPr>
                <w:b/>
                <w:i/>
              </w:rPr>
              <w:t>«Rights of Roma and Travellers in 13 European countries - Perspectives from the Roma Survey 2024», Οργανισμός Θεμελιωδών Δικαιωμάτων της Ευρωπαϊκής Ένωσης (FRA), 2 Οκτωβρίου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14α</w:t>
            </w:r>
            <w:r>
              <w:t xml:space="preserve"> </w:t>
            </w:r>
            <w:r>
              <w:rPr>
                <w:b/>
                <w:i/>
              </w:rPr>
              <w:t>Ευρωπαϊκή Επιτροπή (7 Οκτωβρίου 2020).</w:t>
            </w:r>
            <w:r>
              <w:t xml:space="preserve"> </w:t>
            </w:r>
            <w:r>
              <w:rPr>
                <w:b/>
                <w:i/>
              </w:rPr>
              <w:t>Στρατηγικό πλαίσιο της ΕΕ για την ισότητα, την ένταξη και τη συμμετοχή των Ρομά για την περίοδο 2020-2030 (COM(2020)620 final). https://commission.europa.eu/document/download/99cc0720-68c2-4300-854f-592bf21dceaf_en?filename=eu_roma_strategic_framework_for_equality_inclusion_and_participation_for_2020_-_2030.pdf.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Αε.</w:t>
            </w:r>
            <w:r>
              <w:tab/>
            </w:r>
            <w:r>
              <w:rPr>
                <w:b/>
                <w:i/>
              </w:rPr>
              <w:t>λαμβάνοντας υπόψη ότι η μετάβαση από την εκπαίδευση στην αγορά εργασίας έχει καταστεί μεγαλύτερη σε διάρκεια, λιγότερο ευθεία και ολοένα και πιο επισφαλής για τους νέους, πολλοί εξ αυτών δε αμφιταλαντεύονται μεταξύ απασχόλησης, ανεργίας και αεργίας ή παγιδεύονται σε άτυπες μορφές εργασίας·</w:t>
            </w:r>
            <w:r>
              <w:t xml:space="preserve"> </w:t>
            </w:r>
            <w:r>
              <w:rPr>
                <w:b/>
                <w:i/>
              </w:rPr>
              <w:t>λαμβάνοντας υπόψη ότι οι ΕΕΝ δεν έχουν προσαρμοστεί επαρκώς στις κατακερματισμένες αυτές οδούς και εξακολουθούν να βασίζονται σε άκαμπτα, έκτακτα μέτρα·</w:t>
            </w:r>
            <w:r>
              <w:t xml:space="preserve"> </w:t>
            </w:r>
            <w:r>
              <w:rPr>
                <w:b/>
                <w:i/>
              </w:rPr>
              <w:t>λαμβάνοντας υπόψη ότι η αποτελεσματική ένταξη στην αγορά εργασίας, ιδίως για τους ευάλωτους ΕΑΕΚ, απαιτεί ευέλικτη, εξατομικευμένη και μακροπρόθεσμη στήριξη·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Αε.</w:t>
            </w:r>
            <w:r>
              <w:tab/>
            </w:r>
            <w:r>
              <w:rPr>
                <w:b/>
                <w:i/>
              </w:rPr>
              <w:t>λαμβάνοντας υπόψη ότι, σύμφωνα με την έρευνα του Οργανισμού Θεμελιωδών Δικαιωμάτων της Ευρωπαϊκής Ένωσης του 2021 για τους Ρομά, το 19 % των γυναικών Ρομά δεν έχει φοιτήσει ποτέ στο σχολείο, σε σύγκριση με το 14 % των ανδρών Ρομά, ενώ μόνο το 23 % των γυναικών Ρομά παραμένει στην εκπαίδευση μετά την ηλικία των 16 ετών σε σύγκριση με το 32 % των ανδρών Ρομά</w:t>
            </w:r>
            <w:r>
              <w:rPr>
                <w:b/>
                <w:i/>
                <w:vertAlign w:val="superscript"/>
              </w:rPr>
              <w:t>15α</w:t>
            </w:r>
            <w:r>
              <w:rPr>
                <w:b/>
                <w:i/>
              </w:rPr>
              <w:t>·</w:t>
            </w:r>
            <w:r>
              <w:t xml:space="preserve"> </w:t>
            </w:r>
            <w:r>
              <w:rPr>
                <w:b/>
                <w:i/>
              </w:rPr>
              <w:t>λαμβάνοντας υπόψη ότι, σύμφωνα με τα δεδομένα ανά φύλο, κατά μέσο όρο το 61 % των νεαρών γυναικών Ρομά και Πλανόβιων είναι ΕΑΕΚ, σε σύγκριση με το 33 % των νέων ανδρών Ρομά</w:t>
            </w:r>
            <w:r>
              <w:rPr>
                <w:b/>
                <w:i/>
                <w:vertAlign w:val="superscript"/>
              </w:rPr>
              <w:t>16α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15α</w:t>
            </w:r>
            <w:r>
              <w:t xml:space="preserve"> </w:t>
            </w:r>
            <w:r>
              <w:rPr>
                <w:b/>
                <w:i/>
              </w:rPr>
              <w:t>Συμβούλιο της Ευρώπης (2025).</w:t>
            </w:r>
            <w:r>
              <w:t xml:space="preserve"> </w:t>
            </w:r>
            <w:r>
              <w:rPr>
                <w:b/>
                <w:i/>
              </w:rPr>
              <w:t>«Equality of Roma and Traveller women and girls» (Αριθ. αναφ. 094724GBR).</w:t>
            </w:r>
            <w:r>
              <w:t xml:space="preserve"> </w:t>
            </w:r>
            <w:r>
              <w:rPr>
                <w:b/>
                <w:i/>
              </w:rPr>
              <w:t>Συμβούλιο της Ευρώπης. https://edoc.coe.int/en/roma-and-travellers/12078-equality-of-roma-and-traveller-women-and-girls.html·</w:t>
            </w:r>
            <w:r>
              <w:t xml:space="preserve"> </w:t>
            </w:r>
            <w:r>
              <w:rPr>
                <w:b/>
                <w:i/>
              </w:rPr>
              <w:t>Οργανισμός Θεμελιωδών Δικαιωμάτων της Ευρωπαϊκής Ένωσης (2020).</w:t>
            </w:r>
            <w:r>
              <w:t xml:space="preserve"> </w:t>
            </w:r>
            <w:r>
              <w:rPr>
                <w:b/>
                <w:i/>
              </w:rPr>
              <w:t>«Roma and Travellers in six countries:</w:t>
            </w:r>
            <w:r>
              <w:t xml:space="preserve"> </w:t>
            </w:r>
            <w:r>
              <w:rPr>
                <w:b/>
                <w:i/>
              </w:rPr>
              <w:t>Roma and Travellers survey» (έκθεση του FRA).</w:t>
            </w:r>
            <w:r>
              <w:t xml:space="preserve"> </w:t>
            </w:r>
            <w:r>
              <w:rPr>
                <w:b/>
                <w:i/>
              </w:rPr>
              <w:t>Υπηρεσία Εκδόσεων της Ευρωπαϊκής Ένωσης.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16α</w:t>
            </w:r>
            <w:r>
              <w:t xml:space="preserve"> </w:t>
            </w:r>
            <w:r>
              <w:rPr>
                <w:b/>
                <w:i/>
              </w:rPr>
              <w:t>Οργανισμός Θεμελιωδών Δικαιωμάτων της Ευρωπαϊκής Ένωσης (2025).</w:t>
            </w:r>
            <w:r>
              <w:t xml:space="preserve"> </w:t>
            </w:r>
            <w:r>
              <w:rPr>
                <w:b/>
                <w:i/>
              </w:rPr>
              <w:t>«Rights of Roma and Travellers in 13 European countries – Perspectives from the Roma Survey 2024».</w:t>
            </w:r>
            <w:r>
              <w:t xml:space="preserve"> </w:t>
            </w:r>
            <w:r>
              <w:rPr>
                <w:b/>
                <w:i/>
              </w:rPr>
              <w:t>FRA. https://fra.europa.eu/en/publication/2025/roma-survey-2024.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Αστ.</w:t>
            </w:r>
            <w:r>
              <w:tab/>
            </w:r>
            <w:r>
              <w:rPr>
                <w:b/>
                <w:i/>
              </w:rPr>
              <w:t>λαμβάνοντας υπόψη ότι οι νέοι είναι δυσανάλογα εκτεθειμένοι σε χαμηλά αμειβόμενη εργασία</w:t>
            </w:r>
            <w:r>
              <w:rPr>
                <w:b/>
                <w:i/>
                <w:vertAlign w:val="superscript"/>
              </w:rPr>
              <w:t>1α</w:t>
            </w:r>
            <w:r>
              <w:rPr>
                <w:b/>
                <w:i/>
              </w:rPr>
              <w:t>, καθώς και σε επισφαλείς και άτυπες μορφές απασχόλησης, συμπεριλαμβανομένων των συμβάσεων ορισμένου χρόνου, των συμβάσεων μηδενικών ωρών εργασίας και της ψευδούς αυτοαπασχόλησης</w:t>
            </w:r>
            <w:r>
              <w:rPr>
                <w:b/>
                <w:i/>
                <w:vertAlign w:val="superscript"/>
              </w:rPr>
              <w:t>1β</w:t>
            </w:r>
            <w:r>
              <w:rPr>
                <w:b/>
                <w:i/>
              </w:rPr>
              <w:t>·</w:t>
            </w:r>
            <w:r>
              <w:t xml:space="preserve"> </w:t>
            </w:r>
            <w:r>
              <w:rPr>
                <w:b/>
                <w:i/>
              </w:rPr>
              <w:t>λαμβάνοντας υπόψη ότι συχνά δεν έχουν πρόσβαση σε επαρκή προστασία της απασχόλησης και κοινωνικές παροχές·</w:t>
            </w:r>
            <w:r>
              <w:t xml:space="preserve"> </w:t>
            </w:r>
            <w:r>
              <w:rPr>
                <w:b/>
                <w:i/>
              </w:rPr>
              <w:t>λαμβάνοντας υπόψη ότι οι νέοι διατρέχουν επίσης υψηλότερο κίνδυνο απόλυσης λόγω της αυτοματοποίησης·</w:t>
            </w:r>
            <w:r>
              <w:t xml:space="preserve"> </w:t>
            </w:r>
            <w:r>
              <w:rPr>
                <w:b/>
                <w:i/>
              </w:rPr>
              <w:t>λαμβάνοντας υπόψη ότι οι συνθήκες αυτές παρέχουν περιορισμένη οικονομική ασφάλεια και υπονομεύουν την πορεία προς τη βιώσιμη ένταξη στην αγορά εργασίας·</w:t>
            </w:r>
            <w:r>
              <w:t xml:space="preserve"> </w:t>
            </w:r>
            <w:r>
              <w:rPr>
                <w:b/>
                <w:i/>
              </w:rPr>
              <w:t>λαμβάνοντας υπόψη ότι αυτό επηρεάζει ιδιαίτερα τους ευάλωτους ΕΑΕΚ που είναι δυσανάλογα συγκεντρωμένοι σε θέσεις εργασίας χαμηλής ειδίκευσης και χαμηλής ποιότητας·</w:t>
            </w:r>
            <w:r>
              <w:t xml:space="preserve"> </w:t>
            </w:r>
            <w:r>
              <w:rPr>
                <w:b/>
                <w:i/>
              </w:rPr>
              <w:t>λαμβάνοντας υπόψη ότι οι ΕΕΝ πρέπει να αντιμετωπίσουν ενεργά την επισφάλεια και τις χαμηλές αμοιβές και να εστιάσουν στην αμειβόμενη απασχόληση, και όχι στον εθελοντισμό·</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Eurostat, «Proportion of low-paid workers in EU countries», 2022.</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1β</w:t>
            </w:r>
            <w:r>
              <w:t xml:space="preserve"> </w:t>
            </w:r>
            <w:r>
              <w:rPr>
                <w:b/>
                <w:i/>
              </w:rPr>
              <w:t>Eurostat, «Young people on the labour market — statistics», 2018.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Αστ.</w:t>
            </w:r>
            <w:r>
              <w:tab/>
            </w:r>
            <w:r>
              <w:rPr>
                <w:b/>
                <w:i/>
              </w:rPr>
              <w:t>λαμβάνοντας υπόψη ότι οι αποχωρούντες από δομές φροντίδας είναι μια ομάδα που διατρέχει ιδιαίτερο κίνδυνο να βρεθεί σε κατάσταση ΕΑΕΚ, ωστόσο, λόγω ανεπαρκών αξιόπιστων δεδομένων, παραμένει ασαφής ο αριθμός τους σε επίπεδο ΕΕ, όπως και τα μέτρα επαφής που εφαρμόζονται για τη στήριξή τους και οι ευκαιρίες που έχουν στη διάθεσή τους μετά την αποχώρησή τους από τις δομές φροντίδας·</w:t>
            </w:r>
            <w:r>
              <w:t xml:space="preserve"> </w:t>
            </w:r>
            <w:r>
              <w:rPr>
                <w:b/>
                <w:i/>
              </w:rPr>
              <w:t>λαμβάνοντας υπόψη ότι οι νέοι που εγκαταλείπουν την ιδρυματική φροντίδα συχνά βρίσκονται αντιμέτωποι με μια απότομη μετάβαση στην ανεξαρτησία, χωρίς επαρκή εκπαιδευτική συνέχεια, σταθερή στέγαση ή επαγγελματική καθοδήγηση, με αποτέλεσμα να αυξάνεται ο κίνδυνος ανεργίας, φτώχειας και κοινωνικού αποκλεισμού·</w:t>
            </w:r>
            <w:r>
              <w:t xml:space="preserve"> </w:t>
            </w:r>
            <w:r>
              <w:rPr>
                <w:b/>
                <w:i/>
              </w:rPr>
              <w:t>λαμβάνοντας υπόψη ότι η εφαρμογή των ενισχυμένων εγγυήσεων για τη νεολαία θα μπορούσε να αντιμετωπίσει αυτά τα κενά μετάβασης μέσω προσαρμοσμένων μηχανισμών στήριξης·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Αζ.</w:t>
            </w:r>
            <w:r>
              <w:tab/>
            </w:r>
            <w:r>
              <w:rPr>
                <w:b/>
                <w:i/>
              </w:rPr>
              <w:t>λαμβάνοντας υπόψη ότι αυξάνεται η υποαπασχόληση των νέων, καθώς η μερική απασχόληση είναι σημαντικά υψηλότερη για τους νέους απ’ ό,τι για τον γενικό εργαζόμενο πληθυσμό</w:t>
            </w:r>
            <w:r>
              <w:rPr>
                <w:b/>
                <w:i/>
                <w:vertAlign w:val="superscript"/>
              </w:rPr>
              <w:t>1α</w:t>
            </w:r>
            <w:r>
              <w:rPr>
                <w:b/>
                <w:i/>
              </w:rPr>
              <w:t>·</w:t>
            </w:r>
            <w:r>
              <w:t xml:space="preserve"> </w:t>
            </w:r>
            <w:r>
              <w:rPr>
                <w:b/>
                <w:i/>
              </w:rPr>
              <w:t>λαμβάνοντας υπόψη ότι η διαφορά αυτή είναι ακόμη πιο έντονη όσον αφορά τις νέες γυναίκες·</w:t>
            </w:r>
            <w:r>
              <w:t xml:space="preserve"> </w:t>
            </w:r>
            <w:r>
              <w:rPr>
                <w:b/>
                <w:i/>
              </w:rPr>
              <w:t>λαμβάνοντας υπόψη ότι μεγάλο ποσοστό των ρυθμίσεων μερικής απασχόλησης είναι ακούσιες, γεγονός που αντικατοπτρίζει τη διαρθρωτική αδυναμία της αγοράς εργασίας να παρέχει επαρκείς ευκαιρίες πλήρους απασχόλησης·</w:t>
            </w:r>
            <w:r>
              <w:t xml:space="preserve"> </w:t>
            </w:r>
            <w:r>
              <w:rPr>
                <w:b/>
                <w:i/>
              </w:rPr>
              <w:t>λαμβάνοντας υπόψη ότι η ακούσια μερική απασχόληση υπονομεύει τις δυνατότητες βιοπορισμού, την εξέλιξη της σταδιοδρομίας, την πρόσβαση στην κοινωνική προστασία και τα συνταξιοδοτικά δικαιώματα·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Eurostat, «Part-time and full-time employment — statistics»,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Αζ.</w:t>
            </w:r>
            <w:r>
              <w:tab/>
            </w:r>
            <w:r>
              <w:rPr>
                <w:b/>
                <w:i/>
              </w:rPr>
              <w:t>λαμβάνοντας υπόψη ότι η μεροληψία, ο στιγματισμός και τα επίμονα στερεότυπα μπορούν να περιορίσουν την πρόσβαση σε περιόδους πρακτικής άσκησης και μαθητείας των νέων με υπόβαθρο ιδρυματικής φροντίδας, των νέων με σωματική ή διανοητική αναπτυξιακή αναπηρία και των νέων Ρομά·</w:t>
            </w:r>
            <w:r>
              <w:t xml:space="preserve"> </w:t>
            </w:r>
            <w:r>
              <w:rPr>
                <w:b/>
                <w:i/>
              </w:rPr>
              <w:t>λαμβάνοντας υπόψη ότι η αντιμετώπιση των φραγμών αυτών και η προώθηση συμπεριληπτικών πρακτικών πρόσληψης είναι απαραίτητες για τη διασφάλιση της ίσης πρόσβασης σε ποιοτικές πρώτες εργασιακές εμπειρίες·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Αη.</w:t>
            </w:r>
            <w:r>
              <w:tab/>
            </w:r>
            <w:r>
              <w:rPr>
                <w:b/>
                <w:i/>
              </w:rPr>
              <w:t>λαμβάνοντας υπόψη ότι οι παραδοσιακές οδοί από την εκπαίδευση στην απασχόληση διαβρώνονται από τη διαρθρωτική έλλειψη ποιοτικών θέσεων εργασίας στην κατώτερη βαθμίδα·</w:t>
            </w:r>
            <w:r>
              <w:t xml:space="preserve"> </w:t>
            </w:r>
            <w:r>
              <w:rPr>
                <w:b/>
                <w:i/>
              </w:rPr>
              <w:t>λαμβάνοντας υπόψη ότι πολλοί νέοι, παρότι διαθέτουν υψηλό μορφωτικό επίπεδο και δεξιότητες, δυσκολεύονται να μετατρέψουν τα προσόντα τους σε σταθερή απασχόληση·</w:t>
            </w:r>
            <w:r>
              <w:t xml:space="preserve"> </w:t>
            </w:r>
            <w:r>
              <w:rPr>
                <w:b/>
                <w:i/>
              </w:rPr>
              <w:t>λαμβάνοντας υπόψη ότι μειώνεται το ποσοστό απασχόλησης των πρόσφατων αποφοίτων</w:t>
            </w:r>
            <w:r>
              <w:rPr>
                <w:b/>
                <w:i/>
                <w:vertAlign w:val="superscript"/>
              </w:rPr>
              <w:t>1α</w:t>
            </w:r>
            <w:r>
              <w:t xml:space="preserve"> </w:t>
            </w:r>
            <w:r>
              <w:rPr>
                <w:b/>
                <w:i/>
              </w:rPr>
              <w:t>και ότι αυξάνεται ο αριθμός των νέων σε θέσεις εργασίας πολύ κατώτερες από το επίπεδο των προσόντων τους</w:t>
            </w:r>
            <w:r>
              <w:rPr>
                <w:b/>
                <w:i/>
                <w:vertAlign w:val="superscript"/>
              </w:rPr>
              <w:t>1β</w:t>
            </w:r>
            <w:r>
              <w:rPr>
                <w:b/>
                <w:i/>
              </w:rPr>
              <w:t>·</w:t>
            </w:r>
            <w:r>
              <w:t xml:space="preserve"> </w:t>
            </w:r>
            <w:r>
              <w:rPr>
                <w:b/>
                <w:i/>
              </w:rPr>
              <w:t>λαμβάνοντας υπόψη ότι έτσι δημιουργείται ένα φαινόμενο μετατόπισης το οποίο περιορίζει περαιτέρω τις ευκαιρίες για ευάλωτους ΕΑΕΚ που δεν διαθέτουν προσόντα·</w:t>
            </w:r>
            <w:r>
              <w:t xml:space="preserve"> </w:t>
            </w:r>
            <w:r>
              <w:rPr>
                <w:b/>
                <w:i/>
              </w:rPr>
              <w:t>λαμβάνοντας υπόψη ότι τα αυξανόμενα εμπόδια στην ένταξη των νέων στην αγορά εργασίας υπονομεύουν την κοινωνική συνοχή και τη θεσμική εμπιστοσύνη·</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Eurostat, «Employment rates of recent graduates»,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1β</w:t>
            </w:r>
            <w:r>
              <w:t xml:space="preserve"> </w:t>
            </w:r>
            <w:r>
              <w:rPr>
                <w:b/>
                <w:i/>
              </w:rPr>
              <w:t>Eurostat, «Young people — qualifications, skills and job alignment»,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θ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Αθ.</w:t>
            </w:r>
            <w:r>
              <w:tab/>
            </w:r>
            <w:r>
              <w:rPr>
                <w:b/>
                <w:i/>
              </w:rPr>
              <w:t>λαμβάνοντας υπόψη ότι σχεδόν ένας στους τέσσερις νέους στην Ένωση διέτρεχε κίνδυνο φτώχειας ή κοινωνικού αποκλεισμού το 2024, ποσοστό κατά 3,1 ποσοστιαίες μονάδες υψηλότερο απ’ ό,τι για το σύνολο του πληθυσμού</w:t>
            </w:r>
            <w:r>
              <w:rPr>
                <w:b/>
                <w:i/>
                <w:vertAlign w:val="superscript"/>
              </w:rPr>
              <w:t>1α</w:t>
            </w:r>
            <w:r>
              <w:rPr>
                <w:b/>
                <w:i/>
              </w:rPr>
              <w:t>·</w:t>
            </w:r>
            <w:r>
              <w:t xml:space="preserve"> </w:t>
            </w:r>
            <w:r>
              <w:rPr>
                <w:b/>
                <w:i/>
              </w:rPr>
              <w:t>λαμβάνοντας υπόψη ότι οι διαρθρωτικές ανισότητες, όπως η υλική στέρηση και τα επίμονα κοινωνικά μειονεκτήματα, υπονομεύουν την ικανότητα πρόσβασης στην αγορά εργασίας και ανεξάρτητης διαβίωσης·</w:t>
            </w:r>
            <w:r>
              <w:t xml:space="preserve"> </w:t>
            </w:r>
            <w:r>
              <w:rPr>
                <w:b/>
                <w:i/>
              </w:rPr>
              <w:t>λαμβάνοντας υπόψη ότι η ενεργοποίηση της απασχόλησης δεν μπορεί να επιτευχθεί χωρίς πρόσβαση σε βασικές ευνοϊκές συνθήκες, όπως η στέγαση, οι μεταφορές, η παιδική μέριμνα και η στήριξη της φροντίδας·</w:t>
            </w:r>
            <w:r>
              <w:t xml:space="preserve"> </w:t>
            </w:r>
            <w:r>
              <w:rPr>
                <w:b/>
                <w:i/>
              </w:rPr>
              <w:t>λαμβάνοντας υπόψη ότι η βιώσιμη ένταξη στην αγορά εργασίας απαιτεί μια ολιστική προσέγγιση για την αντιμετώπιση τυχόν ενισχυόμενων φραγμών·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Eurostat, «Young people — social inclusion»,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ι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Αι.</w:t>
            </w:r>
            <w:r>
              <w:tab/>
            </w:r>
            <w:r>
              <w:rPr>
                <w:b/>
                <w:i/>
              </w:rPr>
              <w:t>λαμβάνοντας υπόψη ότι οι ευάλωτοι ΕΑΕΚ ενδέχεται να μην διαθέτουν τον λειτουργικό γραμματισμό, τον αριθμητισμό και τις ψηφιακές δεξιότητες που απαιτούνται για την πρόσβαση σε ποιοτική εκπαίδευση και κατάρτιση ή στην αγορά εργασίας·</w:t>
            </w:r>
            <w:r>
              <w:t xml:space="preserve"> </w:t>
            </w:r>
            <w:r>
              <w:rPr>
                <w:b/>
                <w:i/>
              </w:rPr>
              <w:t>λαμβάνοντας υπόψη ότι οι ΕΕΝ συχνά θεωρούν δεδομένες τις δεξιότητες αυτές, με αποτέλεσμα να περιορίζεται η δυνατότητα των ευάλωτων ΕΑΕΚ να έχουν πρόσβαση σε μέτρα απασχόλησης και κατάρτισης και να επωφελούνται από αυτά·</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A ια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Αια.</w:t>
            </w:r>
            <w:r>
              <w:tab/>
            </w:r>
            <w:r>
              <w:rPr>
                <w:b/>
                <w:i/>
              </w:rPr>
              <w:t>λαμβάνοντας υπόψη ότι μειώνονται οι επιδόσεις των νέων στην ανάγνωση, τα μαθηματικά και τις θετικές επιστήμες σε ολόκληρη την Ένωση και ότι οι νέοι με μειονεκτούν κοινωνικοοικονομικό υπόβαθρο είναι πάνω από έξι φορές πιθανότερο να υστερούν σε σχέση με τους συνομηλίκους τους</w:t>
            </w:r>
            <w:r>
              <w:rPr>
                <w:b/>
                <w:i/>
                <w:vertAlign w:val="superscript"/>
              </w:rPr>
              <w:t>1α</w:t>
            </w:r>
            <w:r>
              <w:rPr>
                <w:b/>
                <w:i/>
              </w:rPr>
              <w:t>·</w:t>
            </w:r>
            <w:r>
              <w:t xml:space="preserve"> </w:t>
            </w:r>
            <w:r>
              <w:rPr>
                <w:b/>
                <w:i/>
              </w:rPr>
              <w:t>λαμβάνοντας υπόψη ότι οι ΕΕΝ πρέπει να συνεκτιμούν ενεργά τις ανησυχητικές αυτές τάσεις ώστε να προληφθεί η επιδείνωση των κοινωνικών χασμάτων και να διασφαλιστεί η ίση πρόσβαση στην εκπαίδευση και σε μελλοντικές ευκαιρίες απασχόλησης·</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Ευρωπαϊκή Επιτροπή, Έκθεση παρακολούθησης της εκπαίδευσης και της κατάρτισης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 xml:space="preserve">λαμβάνοντας υπόψη ότι είναι </w:t>
            </w:r>
            <w:r>
              <w:rPr>
                <w:b/>
                <w:i/>
              </w:rPr>
              <w:t>δύσκολο</w:t>
            </w:r>
            <w:r>
              <w:t xml:space="preserve"> να τεκμηριωθεί άμεση αιτιώδης συνάφεια μεταξύ της εφαρμογής των ΕΕΝ και των καταγεγραμμένων αποτελεσμάτων όσον αφορά τη μείωση του ποσοστού ΕΑΕΚ και της ανεργίας των νέων·</w:t>
            </w:r>
          </w:p>
        </w:tc>
        <w:tc>
          <w:tcPr>
            <w:tcW w:w="4876" w:type="dxa"/>
            <w:tcBorders>
              <w:top w:val="nil"/>
              <w:left w:val="nil"/>
              <w:bottom w:val="nil"/>
              <w:right w:val="nil"/>
            </w:tcBorders>
          </w:tcPr>
          <w:p>
            <w:pPr>
              <w:pStyle w:val="Normal6a"/>
            </w:pPr>
            <w:r>
              <w:t>Β.</w:t>
            </w:r>
            <w:r>
              <w:tab/>
            </w:r>
            <w:r>
              <w:t xml:space="preserve">λαμβάνοντας υπόψη ότι είναι </w:t>
            </w:r>
            <w:r>
              <w:rPr>
                <w:b/>
                <w:i/>
              </w:rPr>
              <w:t>αδύνατον</w:t>
            </w:r>
            <w:r>
              <w:t xml:space="preserve"> να τεκμηριωθεί άμεση αιτιώδης συνάφεια μεταξύ της εφαρμογής των ΕΕΝ και των καταγεγραμμένων αποτελεσμάτων όσον αφορά τη μείωση του ποσοστού ΕΑΕΚ και της ανεργίας των νέων</w:t>
            </w:r>
            <w:r>
              <w:rPr>
                <w:b/>
                <w:i/>
              </w:rPr>
              <w:t>, γεγονός που καταδεικνύει τη διαρθρωτική αναποτελεσματικότητα της ευρωπαϊκής κοινωνικής μηχανικής</w:t>
            </w:r>
            <w:r>
              <w:t xml:space="preserve">· </w:t>
            </w:r>
            <w:r>
              <w:rPr>
                <w:b/>
                <w:i/>
              </w:rPr>
              <w:t>λαμβάνοντας υπόψη δεν είναι οι κεντρικές οδηγίες που δημιουργούν θέσεις εργασίας για τους νέους, αλλά πρωτίστως η φορολογική κυριαρχία των κρατών μελών, μια εύρωστη εγχώρια οικονομία και ανταγωνιστικές ΜΜΕ·</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είναι δύσκολο να τεκμηριωθεί άμεση αιτιώδης συνάφεια μεταξύ της εφαρμογής των ΕΕΝ και των καταγεγραμμένων αποτελεσμάτων όσον αφορά τη μείωση του ποσοστού ΕΑΕΚ και της ανεργίας των νέων·</w:t>
            </w:r>
          </w:p>
        </w:tc>
        <w:tc>
          <w:tcPr>
            <w:tcW w:w="4876" w:type="dxa"/>
            <w:tcBorders>
              <w:top w:val="nil"/>
              <w:left w:val="nil"/>
              <w:bottom w:val="nil"/>
              <w:right w:val="nil"/>
            </w:tcBorders>
          </w:tcPr>
          <w:p>
            <w:pPr>
              <w:pStyle w:val="Normal6a"/>
            </w:pPr>
            <w:r>
              <w:t>Β.</w:t>
            </w:r>
            <w:r>
              <w:tab/>
            </w:r>
            <w:r>
              <w:t xml:space="preserve">λαμβάνοντας υπόψη ότι είναι δύσκολο να τεκμηριωθεί άμεση αιτιώδης συνάφεια μεταξύ της εφαρμογής των ΕΕΝ και των καταγεγραμμένων αποτελεσμάτων όσον αφορά τη μείωση του ποσοστού ΕΑΕΚ και της ανεργίας των νέων· </w:t>
            </w:r>
            <w:r>
              <w:rPr>
                <w:b/>
                <w:i/>
              </w:rPr>
              <w:t>λαμβάνοντας υπόψη ότι τούτο αναδεικνύει την ανάγκη να δοθεί μεγαλύτερη έμφαση σε απτά αποτελέσματα για τους νέους, στην καλύτερη ευθυγράμμιση με τις ανάγκες των εθνικών αγορών εργασίας και σε στενότερες συνέργειες με ενωσιακά προγράμματα όπως το Ευρωπαϊκό Κοινωνικό Ταμείο+ (ΕΚΤ+), το Erasmus+ και το Ευρωπαϊκό Σώμα Αλληλεγγύης·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Β.</w:t>
            </w:r>
            <w:r>
              <w:tab/>
            </w:r>
            <w:r>
              <w:t>λαμβάνοντας υπόψη ότι είναι δύσκολο να τεκμηριωθεί άμεση αιτιώδης συνάφεια μεταξύ της εφαρμογής των ΕΕΝ και των καταγεγραμμένων αποτελεσμάτων όσον αφορά τη μείωση του ποσοστού ΕΑΕΚ και της ανεργίας των νέων·</w:t>
            </w:r>
          </w:p>
        </w:tc>
        <w:tc>
          <w:tcPr>
            <w:tcW w:w="4876" w:type="dxa"/>
            <w:tcBorders>
              <w:top w:val="nil"/>
              <w:left w:val="nil"/>
              <w:bottom w:val="nil"/>
              <w:right w:val="nil"/>
            </w:tcBorders>
          </w:tcPr>
          <w:p>
            <w:pPr>
              <w:pStyle w:val="Normal6a"/>
            </w:pPr>
            <w:r>
              <w:t>Β.</w:t>
            </w:r>
            <w:r>
              <w:tab/>
            </w:r>
            <w:r>
              <w:t>λαμβάνοντας υπόψη ότι είναι δύσκολο να τεκμηριωθεί άμεση αιτιώδης συνάφεια μεταξύ της εφαρμογής των ΕΕΝ και των καταγεγραμμένων αποτελεσμάτων όσον αφορά τη μείωση του ποσοστού ΕΑΕΚ και της ανεργίας των νέων</w:t>
            </w:r>
            <w:r>
              <w:rPr>
                <w:b/>
                <w:i/>
              </w:rPr>
              <w:t>, ιδίως όταν τα προγράμματα ΕΕΝ ενσωματώνονται σε ευρύτερες εθνικές πολιτικές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Βα.</w:t>
            </w:r>
            <w:r>
              <w:tab/>
            </w:r>
            <w:r>
              <w:rPr>
                <w:b/>
                <w:i/>
              </w:rPr>
              <w:t>λαμβάνοντας υπόψη ότι, σύμφωνα με ευρωπαϊκά δεδομένα, οι διαδρομές αρχικής επαγγελματικής εκπαίδευσης και κατάρτισης (ΑΕΕΚ) που περιλαμβάνουν μια ισχυρή συνιστώσα μάθησης στον χώρο εργασίας αποτελούν το πλέον αποτελεσματικό μέσο για να αποτραπεί το ενδεχόμενο τα άτομα να καταλήγουν σε καταστάσεις ΕΑΕΚ, δεδομένου ότι για τους νέους που ολοκληρώνουν διαδρομές μάθησης στον χώρο εργασίας τουλάχιστον επτάμηνης διάρκειας σημειώνονται ποσοστά απασχόλησης έως και 90,5 %, έναντι 69,7 % για όσους δεν έχουν πρόσβαση στις διαδρομές αυτές·</w:t>
            </w:r>
            <w:r>
              <w:t xml:space="preserve"> </w:t>
            </w:r>
            <w:r>
              <w:rPr>
                <w:b/>
                <w:i/>
              </w:rPr>
              <w:t>λαμβάνοντας υπόψη ότι τα διττά συστήματα επαγγελματικής εκπαίδευσης και κατάρτισης χρησιμοποιούν μια διαρθρωμένη εναλλαγή μεταξύ σχολής και εργασίας για τη δημιουργία εμπορεύσιμων δεξιοτήτων και τη σημαντική μείωση του χάσματος μεταξύ ζήτησης και προσφοράς εργασίας·</w:t>
            </w:r>
            <w:r>
              <w:t xml:space="preserve"> </w:t>
            </w:r>
            <w:r>
              <w:rPr>
                <w:b/>
                <w:i/>
              </w:rPr>
              <w:t>λαμβάνοντας υπόψη ότι στα κράτη μέλη με εύρωστα διττά συστήματα επαγγελματικής εκπαίδευσης και κατάρτισης σημειώνονται τα πλέον χαμηλά ποσοστά ανεργίας των νέων στην ΕΕ·</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Βα.</w:t>
            </w:r>
            <w:r>
              <w:tab/>
            </w:r>
            <w:r>
              <w:rPr>
                <w:b/>
                <w:i/>
              </w:rPr>
              <w:t>λαμβάνοντας υπόψη ότι η αποτελεσματική εφαρμογή των ενισχυμένων εγγυήσεων για τη νεολαία απαιτεί στοχευμένα, ολοκληρωμένα και ευαίσθητα ως προς την οικογένεια μέτρα, ιδίως για τους νέους γονείς, τα οποία να συνδυάζουν τη στήριξη της απασχόλησης με την πρόσβαση σε εκπαίδευση και κατάρτιση, παιδική μέριμνα, κοινωνικές υπηρεσίες και, κατά περίπτωση, επαρκή εισοδηματική στήριξη, προκειμένου να διασφαλίζεται η μακροπρόθεσμη ένταξη στην αγορά εργασίας, να αποτρέπεται ο μακροπρόθεσμος αποκλεισμός, να προωθείται η ισότητα των φύλων και να υποστηρίζεται η βιώσιμη ισορροπία μεταξύ επαγγελματικής και προσωπικής ζωής·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Βα.</w:t>
            </w:r>
            <w:r>
              <w:tab/>
            </w:r>
            <w:r>
              <w:rPr>
                <w:b/>
                <w:i/>
              </w:rPr>
              <w:t>λαμβάνοντας υπόψη ότι, σύμφωνα με στοιχεία του Ευρωπαϊκού Ελεγκτικού Συνεδρίου, οι καλά χρηματοδοτούμενες, χωρίς αποκλεισμούς και βασιζόμενες στα δικαιώματα πολιτικές για τη νεολαία —συμπεριλαμβανομένων των ΕΕΝ— συμβάλλουν θετικά στη βελτίωση της πρόσβασης των νέων σε ποιοτική απασχόληση, εκπαίδευση και κατάρτιση·</w:t>
            </w:r>
            <w:r>
              <w:t xml:space="preserve"> </w:t>
            </w:r>
            <w:r>
              <w:rPr>
                <w:b/>
                <w:i/>
              </w:rPr>
              <w:t>λαμβάνοντας υπόψη ότι η βελτιωμένη παρακολούθηση, συλλογή αναλυτικών δεδομένων και εκτίμηση επιπτώσεων είναι ουσιαστικής σημασίας για την πλήρη αποτύπωση των αποτελεσμάτων των εν λόγω πολιτικών, ιδίως για τις ευάλωτες και περιθωριοποιημένες ομάδες·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Βα.</w:t>
            </w:r>
            <w:r>
              <w:tab/>
            </w:r>
            <w:r>
              <w:rPr>
                <w:b/>
                <w:i/>
              </w:rPr>
              <w:t>λαμβάνοντας υπόψη ότι υπάρχουν σχεδόν τόσα μοντέλα για την υλοποίηση των εγγυήσεων για τη νεολαία όσα και κράτη μέλη·</w:t>
            </w:r>
            <w:r>
              <w:t xml:space="preserve"> </w:t>
            </w:r>
            <w:r>
              <w:rPr>
                <w:b/>
                <w:i/>
              </w:rPr>
              <w:t>λαμβάνοντας υπόψη ότι οι θεσμικές ρυθμίσεις για την εφαρμογή τους κυμαίνονται από την ενσωμάτωση των εγγυήσεων για τη νεολαία σε υφιστάμενα εθνικά συστήματα έως τη δημιουργία χωριστού εθνικού μοντέλου·</w:t>
            </w:r>
            <w:r>
              <w:t xml:space="preserve"> </w:t>
            </w:r>
            <w:r>
              <w:rPr>
                <w:b/>
                <w:i/>
              </w:rPr>
              <w:t>λαμβάνοντας υπόψη ότι οι ρυθμίσεις διακυβέρνησης επίσης κυμαίνονται από κεντρικά μοντέλα που συντονίζονται σε εθνικό επίπεδο έως πλήρως αποκεντρωμένα μοντέλα σε τοπικό επίπεδο·</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Βα.</w:t>
            </w:r>
            <w:r>
              <w:tab/>
            </w:r>
            <w:r>
              <w:rPr>
                <w:b/>
                <w:i/>
              </w:rPr>
              <w:t>λαμβάνοντας υπόψη ότι η σύσταση του Συμβουλίου, της 16ης Ιουνίου 2022, σχετικά με μια ευρωπαϊκή προσέγγιση για τα μικροδιαπιστευτήρια αναγνωρίζει τα μικροδιαπιστευτήρια ως βασικό εργαλείο για ευέλικτες, συμπεριληπτικές και στοχευμένες μαθησιακές διαδρομές, καθώς επιτρέπουν στα άτομα να αποκτούν, να επικαιροποιούν και να πιστοποιούν τις δεξιότητές τους τμηματικά, ιδίως έναντι των αναγκών της αγοράς εργασίας και της πράσινης και ψηφιακής μετάβασης·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Βα.</w:t>
            </w:r>
            <w:r>
              <w:tab/>
            </w:r>
            <w:r>
              <w:rPr>
                <w:b/>
                <w:i/>
              </w:rPr>
              <w:t>λαμβάνοντας υπόψη ότι οι επενδύσεις στους νέους μέσω των ΕΕΝ αποτελούν επένδυση στο μέλλον της Ένωσης, καθώς ενισχύουν την κοινωνική συνοχή και τη διαγενεακή δικαιοσύνη και αλληλεγγύη, μειώνουν τη φτώχεια και τον κοινωνικό αποκλεισμό και συμβάλλουν σε ένα ανθεκτικό εργατικό δυναμικό και σε μια ανταγωνιστική οικονομία·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Γεάδης Γεάδη</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Βα.</w:t>
            </w:r>
            <w:r>
              <w:tab/>
            </w:r>
            <w:r>
              <w:rPr>
                <w:b/>
                <w:i/>
              </w:rPr>
              <w:t>λαμβάνοντας υπόψη ότι η αποτελεσματικότητα των ενισχυμένων εγγυήσεων για τη νεολαία εξαρτάται από τη διαφανή και αποδοτική χρήση των ενωσιακών και εθνικών κονδυλίων, καθώς και από εύρωστα συστήματα παρακολούθησης και αξιολόγησης ικανά να μετρούν τα μακροπρόθεσμα αποτελέσματα στον τομέα της απασχόλησης για τους νέους δικαιούχους·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Β α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α.</w:t>
            </w:r>
            <w:r>
              <w:tab/>
            </w:r>
            <w:r>
              <w:rPr>
                <w:b/>
                <w:i/>
              </w:rPr>
              <w:t>λαμβάνοντας υπόψη ότι η ανεργία των νέων και η επισφαλής εργασία συνδέονται άμεσα με διαρθρωτικές ανισότητες, τη λιτότητα, την απορρύθμιση των αγορών εργασίας και την υποχρηματοδότηση των δημόσιων υπηρεσιών·</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Ββ.</w:t>
            </w:r>
            <w:r>
              <w:tab/>
            </w:r>
            <w:r>
              <w:rPr>
                <w:b/>
                <w:i/>
              </w:rPr>
              <w:t>λαμβάνοντας υπόψη ότι η σαφής πλειονότητα των κρατών μελών βασίζεται σε μια στρατηγική που δίνει προτεραιότητα στην απασχόληση, ενώ άλλα κράτη μέλη δίνουν προτεραιότητα σε μια προσέγγιση που εστιάζει στην κατάρτιση·</w:t>
            </w:r>
            <w:r>
              <w:t xml:space="preserve"> </w:t>
            </w:r>
            <w:r>
              <w:rPr>
                <w:b/>
                <w:i/>
              </w:rPr>
              <w:t>λαμβάνοντας υπόψη ότι το 2024 το 35,2 % των θετικών και έγκαιρων αποχωρήσεων από το προπαρασκευαστικό στάδιο των εγγυήσεων για τη νεολαία οδήγησε σε απασχόληση, το 6,5 % σε εκπαίδευση, το 2,5 % σε πρακτική άσκηση και το 1,6 % σε μαθητεία</w:t>
            </w:r>
            <w:r>
              <w:rPr>
                <w:b/>
                <w:i/>
                <w:vertAlign w:val="superscript"/>
              </w:rPr>
              <w:t>17α</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17α</w:t>
            </w:r>
            <w:r>
              <w:t xml:space="preserve"> </w:t>
            </w:r>
            <w:r>
              <w:rPr>
                <w:b/>
                <w:i/>
              </w:rPr>
              <w:t>Ευρωπαϊκή Επιτροπή, Γενική Διεύθυνση Απασχόλησης, Κοινωνικών Υποθέσεων και Ένταξης, Πίνακας δεδομένων με τους άμεσους δείκτες των εγγυήσεων για τη νεολαία, Φεβρουάριος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Ββ.</w:t>
            </w:r>
            <w:r>
              <w:tab/>
            </w:r>
            <w:r>
              <w:rPr>
                <w:b/>
                <w:i/>
              </w:rPr>
              <w:t>λαμβάνοντας υπόψη ότι, σύμφωνα με εκτιμήσεις του Eurofound, η απεμπλοκή των νέων και η αδυναμία ένταξης των ΕΑΕΚ στην αγορά εργασίας κοστίζουν στην Ένωση σχεδόν 100 δισεκατομμύρια EUR ετησίως</w:t>
            </w:r>
            <w:r>
              <w:rPr>
                <w:b/>
                <w:i/>
                <w:vertAlign w:val="superscript"/>
              </w:rPr>
              <w:t>1α</w:t>
            </w:r>
            <w:r>
              <w:rPr>
                <w:b/>
                <w:i/>
              </w:rPr>
              <w:t>, γεγονός που τονίζει την επείγουσα οικονομική και κοινωνική επιταγή να διασφαλιστεί η αποτελεσματική ενίσχυση των ΕΕΝ·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1α</w:t>
            </w:r>
            <w:r>
              <w:t xml:space="preserve"> </w:t>
            </w:r>
            <w:r>
              <w:rPr>
                <w:b/>
                <w:i/>
              </w:rPr>
              <w:t>Eurofound, «Employment and social developments in Europe»,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Ββ.</w:t>
            </w:r>
            <w:r>
              <w:tab/>
            </w:r>
            <w:r>
              <w:rPr>
                <w:b/>
                <w:i/>
              </w:rPr>
              <w:t>λαμβάνοντας υπόψη ότι το ΕΚΤ+ υπήρξε το κύριο μέσο χρηματοδότησης των ΕΕΝ για την περίοδο 2021–2027·</w:t>
            </w:r>
            <w:r>
              <w:t xml:space="preserve"> </w:t>
            </w:r>
            <w:r>
              <w:rPr>
                <w:b/>
                <w:i/>
              </w:rPr>
              <w:t>λαμβάνοντας υπόψη ότι οι διαχειριστικές αρχές πρέπει να βελτιώσουν τις οικείες ικανότητες απορρόφησης, ειδικότερα σε απομακρυσμένες περιοχές·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Β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β.</w:t>
            </w:r>
            <w:r>
              <w:tab/>
            </w:r>
            <w:r>
              <w:rPr>
                <w:b/>
                <w:i/>
              </w:rPr>
              <w:t>λαμβάνοντας υπόψη ότι μεγάλο ποσοστό των νέων απασχολείται σε προσωρινές, χαμηλά αμειβόμενες και επισφαλείς θέσεις εργασίας, χωρίς πλήρη εργασιακά και κοινωνικά δικαιώματα·</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β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Ββ.</w:t>
            </w:r>
            <w:r>
              <w:tab/>
            </w:r>
            <w:r>
              <w:rPr>
                <w:b/>
                <w:i/>
              </w:rPr>
              <w:t>λαμβάνοντας υπόψη ότι οι νέοι καλούνται ολοένα και περισσότερο να επιδείξουν ευελιξία και γεωγραφική κινητικότητα στην εκπαίδευση, την κατάρτιση και την επαγγελματική τους σταδιοδρομία·</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Μαρία Ζαχαρία</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Β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 γ.</w:t>
            </w:r>
            <w:r>
              <w:tab/>
            </w:r>
            <w:r>
              <w:rPr>
                <w:b/>
                <w:i/>
              </w:rPr>
              <w:t>λαμβάνοντας υπόψη ότι οι εγγυήσεις για τη νεολαία δεν μπορούν να υποκαταστήσουν το δικαίωμα στη σταθερή εργασία με πλήρη δικαιώματα, ούτε να νομιμοποιήσουν την επέκταση της απλήρωτης ή υποαμειβόμενης εργασίας μέσω προγραμμάτων “πρακτικής άσκησης” και “μαθητείας”</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Βγ.</w:t>
            </w:r>
            <w:r>
              <w:tab/>
            </w:r>
            <w:r>
              <w:rPr>
                <w:b/>
                <w:i/>
              </w:rPr>
              <w:t>λαμβάνοντας υπόψη ότι οι οικονομικά μη ενεργοί και ευάλωτοι ΕΑΕΚ συνήθως αποκλείονται από τις πρωτοβουλίες των εγγυήσεων για τη νεολαία, καθώς αυτές ωφελούν κυρίως τους νέους που βρίσκονται πιο κοντά στην αγορά εργασίας, το αποκαλούμενο «φαινόμενο της αφρόκρεμας», με αποτέλεσμα να υπερεκτιμάται ο πραγματικός αντίκτυπος των ΕΕΝ στον συνολικό πληθυσμό ΕΑΕΚ·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Βγ.</w:t>
            </w:r>
            <w:r>
              <w:tab/>
            </w:r>
            <w:r>
              <w:rPr>
                <w:b/>
                <w:i/>
              </w:rPr>
              <w:t>λαμβάνοντας υπόψη ότι η ανταγωνιστικότητα της Ένωσης εξαρτάται επίσης από τις δεξιότητες του εργατικού δυναμικού της και την ικανότητά της να ενεργοποιεί τους νέους σε ηλικία εργασίας προκειμένου να αντιμετωπιστούν οι ελλείψεις εργατικού δυναμικού και δεξιοτήτων·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γ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Βγ.</w:t>
            </w:r>
            <w:r>
              <w:tab/>
            </w:r>
            <w:r>
              <w:rPr>
                <w:b/>
                <w:i/>
              </w:rPr>
              <w:t>λαμβάνοντας υπόψη ότι η πρόσβαση σε οικονομικά προσιτή, επαρκή και ποιοτική στέγαση αποτελεί προϋπόθεση για την επιτυχή συμμετοχή στην εκπαίδευση, τη μαθητεία, την πρακτική άσκηση και την απασχόληση·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Βδ.</w:t>
            </w:r>
            <w:r>
              <w:tab/>
            </w:r>
            <w:r>
              <w:rPr>
                <w:b/>
                <w:i/>
              </w:rPr>
              <w:t>λαμβάνοντας υπόψη ότι εξακολουθούν να υπάρχουν θεσμικοί και διαρθρωτικοί φραγμοί στην επιχειρησιακή εφαρμογή των εγγυήσεων για τη νεολαία και στην πρακτική εφαρμογή τους στα κράτη μέλη και σε τοπικό επίπεδο, όπως εμπόδια στην ανταλλαγή δεδομένων μεταξύ υπηρεσιών, η αναντιστοιχία μεταξύ της παροχής εκπαίδευσης και κατάρτισης και της αγοράς εργασίας, και τα κοινωνικοοικονομικά μειονεκτήματα με τα οποία βρίσκονται αντιμέτωπες οι ευάλωτες ομάδες·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Βδ.</w:t>
            </w:r>
            <w:r>
              <w:tab/>
            </w:r>
            <w:r>
              <w:rPr>
                <w:b/>
                <w:i/>
              </w:rPr>
              <w:t>λαμβάνοντας υπόψη ότι η αποτελεσματικότητα των εγγυήσεων για τη νεολαία θα πρέπει να μετράται όχι μόνο με την άμεση είσοδο των νέων στην απασχόληση, την εκπαίδευση ή την κατάρτιση, αλλά και με την ποιότητα, τη βιωσιμότητα και τις μακροπρόθεσμες προοπτικές σταδιοδρομίας των ευκαιριών αυτών·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εξ ονόματος της Ομάδας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δ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Βδ.</w:t>
            </w:r>
            <w:r>
              <w:tab/>
            </w:r>
            <w:r>
              <w:rPr>
                <w:b/>
                <w:i/>
              </w:rPr>
              <w:t>λαμβάνοντας υπόψη ότι οι νέοι από εθνοτικές, φυλετικές ή θρησκευτικές μειονότητες είναι πιθανότερο να βρεθούν σε κατάσταση αναντιστοιχίας μεταξύ των δεξιοτήτων τους και της απασχόλησής τους·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ε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Βε.</w:t>
            </w:r>
            <w:r>
              <w:tab/>
            </w:r>
            <w:r>
              <w:rPr>
                <w:b/>
                <w:i/>
              </w:rPr>
              <w:t>λαμβάνοντας υπόψη ότι η πολιτική για τη νεολαία θα πρέπει να αναγνωριστεί όχι μόνο ως κοινωνική προτεραιότητα, αλλά και ως στρατηγική επένδυση στο ανθρώπινο κεφάλαιο, την ανταγωνιστικότητα και τη μακροπρόθεσμη οικονομική ανθεκτικότητα της ΕΕ·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στ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Βστ.</w:t>
            </w:r>
            <w:r>
              <w:tab/>
            </w:r>
            <w:r>
              <w:rPr>
                <w:b/>
                <w:i/>
              </w:rPr>
              <w:t>λαμβάνοντας υπόψη ότι οι νέοι ΕΑΕΚ, οι νέοι γονείς, ιδίως οι μονογονεϊκές οικογένειες, και οι ευάλωτοι νέοι διατρέχουν υψηλότερο κίνδυνο ψυχολογικής δυσφορίας και μακροχρόνιου αποκλεισμού από την αγορά εργασίας·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ζ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Βζ.</w:t>
            </w:r>
            <w:r>
              <w:tab/>
            </w:r>
            <w:r>
              <w:rPr>
                <w:b/>
                <w:i/>
              </w:rPr>
              <w:t>λαμβάνοντας υπόψη ότι η ψυχική υγεία και ευεξία είναι απαραίτητη για τη συμμετοχή στην αγορά εργασίας και μπορεί να ενισχυθεί μέσω προληπτικών, έγκαιρων ψυχοκοινωνικών μέτρων στο πλαίσιο της ενεργοποίησης, χωρίς να επηρεάζεται η ευθύνη των κρατών μελών ως προς την υγειονομική περίθαλψη·</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η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Βη.</w:t>
            </w:r>
            <w:r>
              <w:tab/>
            </w:r>
            <w:r>
              <w:rPr>
                <w:b/>
                <w:i/>
              </w:rPr>
              <w:t>λαμβάνοντας υπόψη ότι η αυτοματοποίηση και η ΤΝ αναδιαμορφώνουν τις αγορές εργασίας, με κίνδυνο να αποκλειστούν οι νέοι που δεν διαθέτουν βασικές δεξιότητες ΤΝ·</w:t>
            </w:r>
            <w:r>
              <w:t xml:space="preserve"> </w:t>
            </w:r>
            <w:r>
              <w:rPr>
                <w:b/>
                <w:i/>
              </w:rPr>
              <w:t>λαμβάνοντας υπόψη ότι οι εγγυήσεις για τη νεολαία πρέπει να αντιμετωπίσουν προορατικά το ζήτημα αυτό, ώστε να διασφαλιστεί η απασχολησιμότητα των εν λόγω νέων·</w:t>
            </w:r>
            <w:r>
              <w:t xml:space="preserve"> </w:t>
            </w:r>
            <w:r>
              <w:rPr>
                <w:b/>
                <w:i/>
              </w:rPr>
              <w:t>λαμβάνοντας επίσης υπόψη ότι η ΤΝ μπορεί να συμβάλει στην υπέρβαση των (μαθησιακών) φραγμών (μέσω υποστηρικτικών τεχνολογιών), εφόσον οι νέοι αποκτήσουν εγκαίρως ψηφιακό γραμματισμό και βασικές δεξιότητες ΤΝ·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θ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Βθ.</w:t>
            </w:r>
            <w:r>
              <w:tab/>
            </w:r>
            <w:r>
              <w:rPr>
                <w:b/>
                <w:i/>
              </w:rPr>
              <w:t>λαμβάνοντας υπόψη ότι οι εγγυήσεις για τη νεολαία βασίζονται στην αρχή της αμοιβαίας υποχρέωσης, σύμφωνα με την οποία οι νέοι έχουν όχι μόνο το δικαίωμα σε ποιοτική προσφορά, αλλά και το καθήκον να συμμετέχουν ενεργά και να αποδέχονται εύλογες ευκαιρίες απασχόλησης, κατάρτισης ή εκπαίδευσης·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Τροπολογία</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Πρόταση ψηφίσματος</w:t>
      </w:r>
      <w:r>
        <w:rPr>
          <w:rStyle w:val="HideTWBExt"/>
        </w:rPr>
        <w:t>&lt;/DocAmend&gt;</w:t>
      </w:r>
    </w:p>
    <w:p>
      <w:pPr>
        <w:pStyle w:val="NormalBold"/>
      </w:pPr>
      <w:r>
        <w:rPr>
          <w:rStyle w:val="HideTWBExt"/>
        </w:rPr>
        <w:t>&lt;Article&gt;</w:t>
      </w:r>
      <w:r>
        <w:t>Αιτιολογική σκέψη B ι (νέα)</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Πρόταση ψηφίσματος</w:t>
            </w:r>
          </w:p>
        </w:tc>
        <w:tc>
          <w:tcPr>
            <w:tcW w:w="4876" w:type="dxa"/>
            <w:tcBorders>
              <w:top w:val="nil"/>
              <w:left w:val="nil"/>
              <w:bottom w:val="nil"/>
              <w:right w:val="nil"/>
            </w:tcBorders>
          </w:tcPr>
          <w:p>
            <w:pPr>
              <w:pStyle w:val="AmColumnHeading"/>
            </w:pPr>
            <w:r>
              <w:t>Τροπολογία</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Βι.</w:t>
            </w:r>
            <w:r>
              <w:tab/>
            </w:r>
            <w:r>
              <w:rPr>
                <w:b/>
                <w:i/>
              </w:rPr>
              <w:t>λαμβάνοντας υπόψη ότι τα κράτη μέλη πρέπει, επομένως, να μεριμνούν ώστε, σε περιπτώσεις επανειλημμένης και αδικαιολόγητης άρνησης εύλογων προσφορών, να μπορούν να εφαρμόζονται κατάλληλα μέτρα, σύμφωνα με το εθνικό δίκαιο, για την πρόληψη της παθητικότητας και την προώθηση της προσωπικής ευθύνης των νέων·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45</w:t>
    </w:r>
    <w:r>
      <w:fldChar w:fldCharType="end"/>
    </w:r>
    <w:r>
      <w:tab/>
    </w:r>
    <w:r>
      <w:rPr>
        <w:rStyle w:val="HideTWBExt"/>
      </w:rPr>
      <w:t>&lt;PathFdR&gt;</w:t>
    </w:r>
    <w:r>
      <w:t>AM\1342335EL.docx</w:t>
    </w:r>
    <w:r>
      <w:rPr>
        <w:rStyle w:val="HideTWBExt"/>
      </w:rPr>
      <w:t>&lt;/PathFdR&gt;</w:t>
    </w:r>
  </w:p>
  <w:p>
    <w:pPr>
      <w:pStyle w:val="EPFooter2"/>
    </w:pPr>
    <w:r>
      <w:t>EL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AM\1342335EL.docx</w:t>
    </w:r>
    <w:r>
      <w:rPr>
        <w:rStyle w:val="HideTWBExt"/>
      </w:rPr>
      <w:t>&lt;/PathFdR&gt;</w:t>
    </w:r>
    <w:r>
      <w:tab/>
    </w:r>
    <w:r>
      <w:fldChar w:fldCharType="begin"/>
    </w:r>
    <w:r>
      <w:instrText xml:space="preserve"> PAGE </w:instrText>
    </w:r>
    <w:r>
      <w:fldChar w:fldCharType="separate"/>
    </w:r>
    <w:r>
      <w:t>45</w:t>
    </w:r>
    <w:r>
      <w:fldChar w:fldCharType="end"/>
    </w:r>
    <w:r>
      <w:t>/</w:t>
    </w:r>
    <w:r>
      <w:fldChar w:fldCharType="begin"/>
    </w:r>
    <w:r>
      <w:instrText xml:space="preserve"> NUMPAGES </w:instrText>
    </w:r>
    <w:r>
      <w:fldChar w:fldCharType="separate"/>
    </w:r>
    <w:r>
      <w:t>45</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EL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AM\1342335EL.docx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EL</w:t>
    </w:r>
    <w:r>
      <w:tab/>
    </w:r>
    <w:r>
      <w:rPr>
        <w:rStyle w:val="EPFooter2Motto"/>
      </w:rPr>
      <w:t>Eνωμένη στην πολυμορφία</w:t>
    </w:r>
    <w:r>
      <w:tab/>
    </w:r>
    <w:r>
      <w:t>EL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45</Pages>
  <Words>7089</Words>
  <Characters>43722</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508647</vt:lpwstr>
  </property>
  <property fmtid="{D5CDD505-2E9C-101B-9397-08002B2CF9AE}" pid="7" name="dmxml.render.traceId">
    <vt:lpwstr>6a16f7bbaed86e868a7f5ff4d0e99b7c</vt:lpwstr>
  </property>
  <property fmtid="{D5CDD505-2E9C-101B-9397-08002B2CF9AE}" pid="8" name="FooterPath">
    <vt:lpwstr>AM\1342335EL.docx</vt:lpwstr>
  </property>
  <property fmtid="{D5CDD505-2E9C-101B-9397-08002B2CF9AE}" pid="9" name="PE Number">
    <vt:lpwstr>787.791</vt:lpwstr>
  </property>
  <property fmtid="{D5CDD505-2E9C-101B-9397-08002B2CF9AE}" pid="10" name="UID">
    <vt:lpwstr>eu.europa.europarl-DIN1-2026-0000110653_01.00-el-01.00_text-xml</vt:lpwstr>
  </property>
</Properties>
</file>