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Tööhõive- ja sotsiaalkomisjon</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Nõukogu 30. oktoobri 2020. aasta soovituse (mis käsitleb algatust „Töösild – noorte tööhõive tugevdamine“ ja millega asendatakse nõukogu 22. aprilli 2013. aasta soovitus noortegarantii loomise kohta) rakendamine</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sotsiaalpoliitika eesmärke, mis on sätestatud ELi toimimise lepingu artiklites 151 ja 153 koostoimes sotsiaalkindlustust ja -hüvitisi käsitleva määruse (EÜ) nr 883/2004 artikliga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võttes arvesse Euroopa sotsiaalõiguste sammast, mille nõukogu, Euroopa Parlament ja komisjon kuulutasid välja ja allkirjastasid 17. novembril 2017, eriti selle 1., 3. ja 4. põhimõtet,</w:t>
            </w:r>
          </w:p>
        </w:tc>
        <w:tc>
          <w:tcPr>
            <w:tcW w:w="4876" w:type="dxa"/>
            <w:tcBorders>
              <w:top w:val="nil"/>
              <w:left w:val="nil"/>
              <w:bottom w:val="nil"/>
              <w:right w:val="nil"/>
            </w:tcBorders>
          </w:tcPr>
          <w:p>
            <w:pPr>
              <w:pStyle w:val="Normal6a"/>
            </w:pPr>
            <w:r>
              <w:t>–</w:t>
            </w:r>
            <w:r>
              <w:tab/>
            </w:r>
            <w:r>
              <w:t>võttes arvesse Euroopa sotsiaalõiguste sammast, mille nõukogu, Euroopa Parlament ja komisjon kuulutasid välja ja allkirjastasid 17. novembril 2017, eriti selle 1., 3. ja 4. põhimõtet</w:t>
            </w:r>
            <w:r>
              <w:rPr>
                <w:b/>
                <w:i/>
              </w:rPr>
              <w:t> ning selle eesmärki vähendada NEET-noorte osakaalu 2030. aastaks 9 %-ni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võttes arvesse Euroopa sotsiaalõiguste sammast, mille nõukogu, Euroopa Parlament ja komisjon kuulutasid välja ja allkirjastasid 17. novembril 2017, eriti selle 1., 3. ja 4. põhimõtet,</w:t>
            </w:r>
          </w:p>
        </w:tc>
        <w:tc>
          <w:tcPr>
            <w:tcW w:w="4876" w:type="dxa"/>
            <w:tcBorders>
              <w:top w:val="nil"/>
              <w:left w:val="nil"/>
              <w:bottom w:val="nil"/>
              <w:right w:val="nil"/>
            </w:tcBorders>
          </w:tcPr>
          <w:p>
            <w:pPr>
              <w:pStyle w:val="Normal6a"/>
            </w:pPr>
            <w:r>
              <w:t>–</w:t>
            </w:r>
            <w:r>
              <w:tab/>
            </w:r>
            <w:r>
              <w:t>võttes arvesse Euroopa sotsiaalõiguste sammast, mille nõukogu, Euroopa Parlament ja komisjon kuulutasid välja ja allkirjastasid 17. novembril 2017, eriti selle 1., 3. ja 4. põhimõtet</w:t>
            </w:r>
            <w:r>
              <w:rPr>
                <w:b/>
                <w:i/>
              </w:rPr>
              <w:t> ning selle eesmärki vähendada NEET-noorte osakaalu 2030. aastaks 9 %-ni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muudetud Euroopa sotsiaalharta artikleid 7 ja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nõukogu järeldusi noorsootöö rolli kohta selliste oluliste eluks vajalike oskuste arendamise toetamisel, mis hõlbustavad noorte edukat üleminekut täiskasvanuikka, kodanikuaktiivsusesse ja tööellu (2017/C 189/06),</w:t>
            </w:r>
            <w:r>
              <w:rPr>
                <w:b/>
                <w:i/>
                <w:vertAlign w:val="superscript"/>
              </w:rPr>
              <w:t>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ELT C 189, 15.6.2017, lk 30–34.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ELi noortestrateegia (2019–2021) rakendamist (2021/C 504 1/02),</w:t>
            </w:r>
            <w:r>
              <w:rPr>
                <w:b/>
                <w:i/>
                <w:vertAlign w:val="superscript"/>
              </w:rPr>
              <w:t>2b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w:t>
            </w:r>
            <w:r>
              <w:t xml:space="preserve"> </w:t>
            </w:r>
            <w:r>
              <w:rPr>
                <w:b/>
                <w:i/>
              </w:rPr>
              <w:t>ELT C 504I, 14.12.2021, lk 10–11.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6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Komisjoni 20. jaanuari 2026. aasta teatist „Võrdõiguslikkuse liit:</w:t>
            </w:r>
            <w:r>
              <w:t xml:space="preserve"> </w:t>
            </w:r>
            <w:r>
              <w:rPr>
                <w:b/>
                <w:i/>
              </w:rPr>
              <w:t>rassismivastane strateegia 2026–2030“ (COM(2026)0012),</w:t>
            </w:r>
            <w:r>
              <w:rPr>
                <w:b/>
                <w:i/>
                <w:vertAlign w:val="superscript"/>
              </w:rPr>
              <w:t>2c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2c</w:t>
            </w:r>
            <w:r>
              <w:t xml:space="preserve"> </w:t>
            </w:r>
            <w:r>
              <w:rPr>
                <w:b/>
                <w:i/>
              </w:rPr>
              <w:t>COM/2026/12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6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FRA aruannet „Being Black in the EU – Experiences of people of African descent“ (Mustanahalisena ELis – Aafrika päritolu inimeste kogemused)</w:t>
            </w:r>
            <w:r>
              <w:rPr>
                <w:b/>
                <w:i/>
                <w:vertAlign w:val="superscript"/>
              </w:rPr>
              <w:t>2d</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2d</w:t>
            </w:r>
            <w:r>
              <w:t xml:space="preserve"> </w:t>
            </w:r>
            <w:r>
              <w:rPr>
                <w:b/>
                <w:i/>
              </w:rPr>
              <w:t>https:l/fra.europa.eu/en/publication/2023/being-black-eu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6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FRA aruannet „Being Muslim in the EU – Experiences of Muslims“ (Moslemina ELis – moslemite kogemused),</w:t>
            </w:r>
            <w:r>
              <w:rPr>
                <w:b/>
                <w:i/>
                <w:vertAlign w:val="superscript"/>
              </w:rPr>
              <w:t>2e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2e</w:t>
            </w:r>
            <w:r>
              <w:t xml:space="preserve"> </w:t>
            </w:r>
            <w:r>
              <w:rPr>
                <w:b/>
                <w:i/>
              </w:rPr>
              <w:t>https://fra.europa.eu/en/publication/2024/being-muslim-eu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tööhõivekomitee (EMCO) põhisõnumeid, mille nõukogu tööhõive, sotsiaalpoliitika, tervise- ja tarbijakaitseküsimuste (EPSCO) koosseisus 2016., 2018., 2019., 2021., 2023., 2025. ja 2026. aastal heaks kiitis,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ÜRO kestliku arengu eesmärke, eelkõige 8. eesmärki, mille maailma liidrid võtsid vastu 2015. aasta septembris ja mille nõukogu heaks kiitis,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sotsiaalhartat, eriti selle artikleid 7 ja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kestliku arengu tegevuskava aastani 2030 ja kestliku arengu eesmärke, eelkõige 8. eesmärki toetada kestvat, kaasavat ja kestlikku majanduskasvu, täielikku ja tootlikku tööhõivet ning inimväärset tööd kõigile,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nõukogu 9. märtsi 2026. aasta soovitust inimkapitali kohta Euroopa Liidus,</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ELT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Regioonide Komitee 5. veebruari 2021. aasta arvamust „Noorte tööhõive toetus:</w:t>
            </w:r>
            <w:r>
              <w:t xml:space="preserve"> </w:t>
            </w:r>
            <w:r>
              <w:rPr>
                <w:b/>
                <w:i/>
              </w:rPr>
              <w:t>töösild järgmise põlvkonna jaoks“.</w:t>
            </w:r>
            <w:r>
              <w:rPr>
                <w:b/>
                <w:i/>
                <w:vertAlign w:val="superscript"/>
              </w:rPr>
              <w:t>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ELT C 106, 26.3.2021, lk 7–11.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Majandus- ja Sotsiaalkomitee 29. oktoobri 2020. aasta arvamust „Noortegarantii tugevdamine“,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Eurofoundi 2024. aasta aruannet „Becoming adults: Young people in a post-pandemic world“ (Täiskasvanuks saamine: noored pandeemiajärgses maailmas)</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 (2024), „Becoming adults:</w:t>
            </w:r>
            <w:r>
              <w:t xml:space="preserve"> </w:t>
            </w:r>
            <w:r>
              <w:rPr>
                <w:b/>
                <w:i/>
              </w:rPr>
              <w:t>„Young people in a post-pandemic world“ (Täiskasvanuks saamine: noored pandeemiajärgses maailmas), Euroopa Liidu Väljaannete Talitus, Luxembourg.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Eurofoundi 2024. aasta aruannet „Young people in the Western Balkans“ (Lääne-Balkani noored)</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(2024), „Young people in the Western Balkans“ (Lääne-Balkani noored), Euroopa Liidu Väljaannete Talitus, Luxembourg.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Kutseõppe Arenduskeskuse (Cedefop) 2023. aasta väljaannet „European guidelines for validating non-formal and informal learning“ (Euroopa suunised mitteformaalse ja informaalse õppe valideerimise kohta)</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Cedefop (2023).</w:t>
            </w:r>
            <w:r>
              <w:t xml:space="preserve"> </w:t>
            </w:r>
            <w:r>
              <w:rPr>
                <w:b/>
                <w:i/>
              </w:rPr>
              <w:t>European guidelines for validating non-formal and informal learning (Euroopa suunised mitteformaalse ja informaalse õppe valideerimise kohta).</w:t>
            </w:r>
            <w:r>
              <w:t xml:space="preserve"> </w:t>
            </w:r>
            <w:r>
              <w:rPr>
                <w:b/>
                <w:i/>
              </w:rPr>
              <w:t>Luxembourg:</w:t>
            </w:r>
            <w:r>
              <w:t xml:space="preserve"> </w:t>
            </w:r>
            <w:r>
              <w:rPr>
                <w:b/>
                <w:i/>
              </w:rPr>
              <w:t>Väljaannete Talitus.</w:t>
            </w:r>
            <w:r>
              <w:t xml:space="preserve"> </w:t>
            </w:r>
            <w:r>
              <w:rPr>
                <w:b/>
                <w:i/>
              </w:rPr>
              <w:t>Cedefopi viiteseeriad;</w:t>
            </w:r>
            <w:r>
              <w:t xml:space="preserve"> </w:t>
            </w:r>
            <w:r>
              <w:rPr>
                <w:b/>
                <w:i/>
              </w:rPr>
              <w:t>nr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17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Koolitusfondi 2025. aasta väljaannet „Outreach to Young People not in Employment, Education or Training:</w:t>
            </w:r>
            <w:r>
              <w:t xml:space="preserve"> </w:t>
            </w:r>
            <w:r>
              <w:rPr>
                <w:b/>
                <w:i/>
              </w:rPr>
              <w:t>A practical Manual for Outreach” (Mittetöötavate ja mitteõppivate noorteni jõudmine: praktiline juhend teavitustegevuseks)”</w:t>
            </w:r>
            <w:r>
              <w:rPr>
                <w:b/>
                <w:i/>
                <w:vertAlign w:val="superscript"/>
              </w:rPr>
              <w:t>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Euroopa Koolitusfond (2025), Outreach to Young People not in Employment, Education of Training:</w:t>
            </w:r>
            <w:r>
              <w:t xml:space="preserve"> </w:t>
            </w:r>
            <w:r>
              <w:rPr>
                <w:b/>
                <w:i/>
              </w:rPr>
              <w:t>A practical Manual for Outreach (Mittetöötavate ja mitteõppivate noorteni jõudmine: praktiline juhend teavitustegevuseks), Torino, Itaalia.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17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Cedefopi 2026. aasta väljaannet „An EU reference framework for lifelong guidance: 18 guidelines for policy and system development” (ELi võrdlusraamistik elukestvaks nõustamiseks: 18 suunist poliitika ja süsteemide väljatöötamiseks)</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Cedefop (2026).</w:t>
            </w:r>
            <w:r>
              <w:t xml:space="preserve"> </w:t>
            </w:r>
            <w:r>
              <w:rPr>
                <w:b/>
                <w:i/>
              </w:rPr>
              <w:t>An EU reference framework for lifelong guidance.</w:t>
            </w:r>
            <w:r>
              <w:t xml:space="preserve"> </w:t>
            </w:r>
            <w:r>
              <w:rPr>
                <w:b/>
                <w:i/>
              </w:rPr>
              <w:t>18 guidelines for policy and systems development (ELi võrdlusraamistik elukestvaks nõustamiseks: 18 suunist poliitika ja süsteemide väljatöötamiseks).</w:t>
            </w:r>
            <w:r>
              <w:t xml:space="preserve"> </w:t>
            </w:r>
            <w:r>
              <w:rPr>
                <w:b/>
                <w:i/>
              </w:rPr>
              <w:t>Cedefopi viiteseeria, 125.</w:t>
            </w:r>
            <w:r>
              <w:t xml:space="preserve"> </w:t>
            </w:r>
            <w:r>
              <w:rPr>
                <w:b/>
                <w:i/>
              </w:rPr>
              <w:t>Euroopa Liidu Väljaannete Talitus.</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võttes arvesse Euroopa Parlamendi uuringuteenistuse 18. detsembri 2025. aasta detsembri Euroopa rakendamishinnangut „The implementation of the reinforced Youth Guarantee – Trends in EU Member States, impact, EU funding and governance“ (Tugevdatud noortegarantii rakendamine – suundumused ELi liikmesriikides, mõju, ELi rahastamine ja juhtimine),</w:t>
            </w:r>
          </w:p>
        </w:tc>
        <w:tc>
          <w:tcPr>
            <w:tcW w:w="4876" w:type="dxa"/>
            <w:tcBorders>
              <w:top w:val="nil"/>
              <w:left w:val="nil"/>
              <w:bottom w:val="nil"/>
              <w:right w:val="nil"/>
            </w:tcBorders>
          </w:tcPr>
          <w:p>
            <w:pPr>
              <w:pStyle w:val="Normal6a"/>
            </w:pPr>
            <w:r>
              <w:t>–</w:t>
            </w:r>
            <w:r>
              <w:tab/>
            </w:r>
            <w:r>
              <w:t>võttes arvesse Euroopa Parlamendi uuringuteenistuse 18. detsembri 2025. aasta detsembri Euroopa rakendamishinnangut „The implementation of the reinforced Youth Guarantee – Trends in EU Member States, impact, EU funding and governance“ (Tugevdatud noortegarantii rakendamine – suundumused ELi liikmesriikides, mõju, ELi rahastamine ja juhtimine)</w:t>
            </w:r>
            <w:r>
              <w:rPr>
                <w:b/>
                <w:i/>
                <w:vertAlign w:val="superscript"/>
              </w:rPr>
              <w:t>8a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https://www.europarl.europa.eu/thinktank/en/document/EPRS_STU(2025)774714.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Regioonide Komitee 2022. aasta juunis avaldatud uuringut „The local implementation of the Reinforced Youth Guarantee“ (Tugevdatud noortegarantii kohalik rakendamine),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Noortefoorumi 13. märtsi 2025. aasta seisukohadokumenti „Youth Guarantee: How to support young people finding a pathway“ (Noortegarantii: kuidas toetada noori oma tee leidmisel),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Parlamendi 21. novembri 2023. aasta resolutsiooni laste ja nende perede ebavõrdsuse vähendamise ja sotsiaalse kaasatuse edendamise kohta kriisi ajal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https://eur-lex.europa.eu/eli/C/2024/4211/oj/eng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17. veebruari 2022. aasta resolutsiooni Euroopa noorte võimestamise kohta:</w:t>
            </w:r>
            <w:r>
              <w:t xml:space="preserve"> </w:t>
            </w:r>
            <w:r>
              <w:rPr>
                <w:b/>
                <w:i/>
              </w:rPr>
              <w:t>pandeemiajärgne tööhõive ja sotsiaalne taaste</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ELT C 342, 6.9.2022, lk 265–275.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11. märtsi 2025. aasta resolutsiooni Euroopa Sotsiaalfond+ kohta pärast 2027. aastat</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ELT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19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27. novembri 2025. aasta resolutsiooni ELi puuetega inimeste õiguste strateegia kohta pärast 2024. aastat,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tugevdatud noortegarantii on liikmesriikide lubadus alla 30aastastele noortele, et neile pakutakse nelja kuu jooksul pärast töötuks jäämist või haridussüsteemist lahkumist head töökohta, jätkuõppe, töökohapõhise õppe või praktika võimalust;</w:t>
            </w:r>
          </w:p>
        </w:tc>
        <w:tc>
          <w:tcPr>
            <w:tcW w:w="4876" w:type="dxa"/>
            <w:tcBorders>
              <w:top w:val="nil"/>
              <w:left w:val="nil"/>
              <w:bottom w:val="nil"/>
              <w:right w:val="nil"/>
            </w:tcBorders>
          </w:tcPr>
          <w:p>
            <w:pPr>
              <w:pStyle w:val="Normal6a"/>
            </w:pPr>
            <w:r>
              <w:t>A.</w:t>
            </w:r>
            <w:r>
              <w:tab/>
            </w:r>
            <w:r>
              <w:t xml:space="preserve">arvestades, et tugevdatud noortegarantii on liikmesriikide lubadus alla 30aastastele noortele </w:t>
            </w:r>
            <w:r>
              <w:rPr>
                <w:b/>
                <w:i/>
              </w:rPr>
              <w:t>kodanikele</w:t>
            </w:r>
            <w:r>
              <w:t xml:space="preserve">, et neile pakutakse nelja kuu jooksul pärast töötuks jäämist või haridussüsteemist lahkumist </w:t>
            </w:r>
            <w:r>
              <w:rPr>
                <w:b/>
                <w:i/>
              </w:rPr>
              <w:t>teoreetililselt</w:t>
            </w:r>
            <w:r>
              <w:t xml:space="preserve"> head töökohta, jätkuõppe, töökohapõhise õppe või praktika võimalust; </w:t>
            </w:r>
            <w:r>
              <w:rPr>
                <w:b/>
                <w:i/>
              </w:rPr>
              <w:t>arvestades, et seda lubadust on tegelikkuses saatnud takistused ja see on osutunud bürokraatlikuks illusiooniks, kusjuures üle poole liidu noortest ootab pärast seda tähtaega endiselt pakkumist;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tugevdatud noortegarantii on liikmesriikide lubadus alla 30aastastele noortele, et neile pakutakse nelja kuu jooksul pärast töötuks jäämist või haridussüsteemist lahkumist head töökohta, jätkuõppe, töökohapõhise õppe või praktika võimalust;</w:t>
            </w:r>
          </w:p>
        </w:tc>
        <w:tc>
          <w:tcPr>
            <w:tcW w:w="4876" w:type="dxa"/>
            <w:tcBorders>
              <w:top w:val="nil"/>
              <w:left w:val="nil"/>
              <w:bottom w:val="nil"/>
              <w:right w:val="nil"/>
            </w:tcBorders>
          </w:tcPr>
          <w:p>
            <w:pPr>
              <w:pStyle w:val="Normal6a"/>
            </w:pPr>
            <w:r>
              <w:t>A.</w:t>
            </w:r>
            <w:r>
              <w:tab/>
            </w:r>
            <w:r>
              <w:t xml:space="preserve">arvestades, et tugevdatud noortegarantii on liikmesriikide lubadus alla 30aastastele noortele, et neile pakutakse nelja kuu jooksul pärast töötuks jäämist või haridussüsteemist lahkumist head töökohta, jätkuõppe, töökohapõhise õppe või praktika võimalust; </w:t>
            </w:r>
            <w:r>
              <w:rPr>
                <w:b/>
                <w:i/>
              </w:rPr>
              <w:t>arvestades, et alates selle loomisest 2013. aastal on ligikaudu 60 miljonit Euroopa noort noortegarantii kavade raames pakkumise saanud;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tugevdatud noortegarantii on liikmesriikide lubadus alla 30aastastele noortele, et neile pakutakse nelja kuu jooksul pärast töötuks jäämist või haridussüsteemist lahkumist head töökohta, jätkuõppe, töökohapõhise õppe või praktika võimalust;</w:t>
            </w:r>
          </w:p>
        </w:tc>
        <w:tc>
          <w:tcPr>
            <w:tcW w:w="4876" w:type="dxa"/>
            <w:tcBorders>
              <w:top w:val="nil"/>
              <w:left w:val="nil"/>
              <w:bottom w:val="nil"/>
              <w:right w:val="nil"/>
            </w:tcBorders>
          </w:tcPr>
          <w:p>
            <w:pPr>
              <w:pStyle w:val="Normal6a"/>
            </w:pPr>
            <w:r>
              <w:t>A.</w:t>
            </w:r>
            <w:r>
              <w:tab/>
            </w:r>
            <w:r>
              <w:t xml:space="preserve">arvestades, et </w:t>
            </w:r>
            <w:r>
              <w:rPr>
                <w:b/>
                <w:i/>
              </w:rPr>
              <w:t>noortegarantii loodi 2013. aastal ja seda tugevdati 2020. aastal (</w:t>
            </w:r>
            <w:r>
              <w:t>tugevdatud noortegarantii</w:t>
            </w:r>
            <w:r>
              <w:rPr>
                <w:b/>
                <w:i/>
              </w:rPr>
              <w:t>);</w:t>
            </w:r>
            <w:r>
              <w:t xml:space="preserve"> </w:t>
            </w:r>
            <w:r>
              <w:rPr>
                <w:b/>
                <w:i/>
              </w:rPr>
              <w:t>arvestades, et see</w:t>
            </w:r>
            <w:r>
              <w:t xml:space="preserve"> on liikmesriikide lubadus alla 30aastastele noortele, et neile pakutakse nelja kuu jooksul pärast töötuks jäämist või haridussüsteemist lahkumist head töökohta, jätkuõppe, töökohapõhise õppe või praktika võimalust;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tugevdatud noortegarantii eesmärk on võidelda noorte töötuse, tööturult kõrvalejäämise ja vaeghõive vastu ning toetada noorte jätkusuutlikku kaasamist kvaliteetsesse haridusse, koolitusse ja tööturule;</w:t>
            </w:r>
            <w:r>
              <w:t xml:space="preserve"> </w:t>
            </w:r>
            <w:r>
              <w:rPr>
                <w:b/>
                <w:i/>
              </w:rPr>
              <w:t>arvestades, et tugevdatud noortegarantii eesmärgid kajastavad Euroopa Parlamendi, komisjoni ja liikmesriikide ühiseid poliitilisi prioriteete kehtiva mitmeaastase finantsraamistiku raames, aidates kaasa liidu kestliku majanduskasvu eesmärgi saavutamisele ja kvaliteetsete töökohtade loomisele kooskõlas Euroopa sotsiaalõiguste sambaga;</w:t>
            </w:r>
            <w:r>
              <w:t xml:space="preserve"> </w:t>
            </w:r>
            <w:r>
              <w:rPr>
                <w:b/>
                <w:i/>
              </w:rPr>
              <w:t>arvestades, et püsivate probleemide ja uute kiiresti muutuvate raskuste tõttu noorte tööturule integreerimisel tuleb need prioriteedid säilitada ka pärast praegust programmitöö perioodi;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liikmesriigid on üldiselt säilitanud tugeva poliitilise soovi rakendada noortegarantiid ja oma riiklikke rakenduskavasid;</w:t>
            </w:r>
            <w:r>
              <w:t xml:space="preserve"> </w:t>
            </w:r>
            <w:r>
              <w:rPr>
                <w:b/>
                <w:i/>
              </w:rPr>
              <w:t>arvestades, et erilisi jõupingutusi on tehtud NEET-noorte toetussuutlikkuse tugevdamiseks ja vastastikuseks õppimiseks riiklike koordinaatorite kohtumiste kaudu ELi tasandil või mujal;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Eurofoundi uuringus rõhutatakse, et NEET-noorte kategooria on väga heterogeenne ja koosneb eraldi alarühmadest, millest igaühel on omamoodi struktuursed tõkked ja vajadused, mis takistavad nende edukat tööturule integreerimist;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selliste meetmete kavandamisel ja rakendamisel tuleks täielikult järgida subsidiaarsuse põhimõtet ning liikmesriikide pädevust haridus-, koolitus- ja tööhõivepoliitika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arvestades, et NEET-noorte osakaal ELis on pandeemiajärgsel perioodil taas vähenenud;</w:t>
            </w:r>
            <w:r>
              <w:t xml:space="preserve"> </w:t>
            </w:r>
            <w:r>
              <w:rPr>
                <w:b/>
                <w:i/>
              </w:rPr>
              <w:t>arvestades, et Euroopa sotsiaalõiguste samba tegevuskava sisaldab eesmärki vähendada NEET-noorte osakaal 15–29aastaste seas 2030. aastaks 9 protsendini;</w:t>
            </w:r>
            <w:r>
              <w:t xml:space="preserve"> </w:t>
            </w:r>
            <w:r>
              <w:rPr>
                <w:b/>
                <w:i/>
              </w:rPr>
              <w:t>arvestades, et selle eesmärgi saavutamine kulgeb kavakohaselt, hoolimata märkimisväärsetest erinevustest liikmesriikide ja piirkondade vahel</w:t>
            </w:r>
            <w:r>
              <w:rPr>
                <w:b/>
                <w:i/>
                <w:vertAlign w:val="superscript"/>
              </w:rPr>
              <w:t>11a</w:t>
            </w:r>
            <w:r>
              <w:rPr>
                <w:b/>
                <w:i/>
              </w:rPr>
              <w:t>, ning arvestades, et selle eesmärgi saavutamine jätaks ikkagi suure hulga noori ebakindlasse olukorda;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arvestades, et noored, kes ei tööta, ei õpi ega osale koolitusel (NEET-noored) moodustavad mitmekesise rühma erineva kogemusega noortest;</w:t>
            </w:r>
            <w:r>
              <w:t xml:space="preserve"> </w:t>
            </w:r>
            <w:r>
              <w:rPr>
                <w:b/>
                <w:i/>
              </w:rPr>
              <w:t>arvestades, et Eurofoundi uuringus</w:t>
            </w:r>
            <w:r>
              <w:rPr>
                <w:b/>
                <w:i/>
                <w:vertAlign w:val="superscript"/>
              </w:rPr>
              <w:t>1a</w:t>
            </w:r>
            <w:r>
              <w:t xml:space="preserve"> </w:t>
            </w:r>
            <w:r>
              <w:rPr>
                <w:b/>
                <w:i/>
              </w:rPr>
              <w:t>rõhutatakse, et NEET-noorte kategooria on väga heterogeenne ja koosneb eraldi alarühmadest, millest igaüks seisab silmitsi omamoodi struktuursete tõketega, mis takistavad nende edukat integreerumist tööturule, ning seetõttu vajavad nad kohandatud ja individuaalset toetust, mis vastab nende konkreetsetele vajadustele;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„Exploring the diversity of NEETs“ (NEET-noorte erisuste uurimine), Euroopa Liidu Väljaannete Talitus, Luxembourg,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arvestades, et tugevdatud noortegarantii rakendamisel ja täiustamisel tuleb pöörata erilist tähelepanu haavatavas olukorras olevatele ja tööturult enim tõrjutud NEET-noortele, kelleni on sageli raske jõuda;</w:t>
            </w:r>
            <w:r>
              <w:t xml:space="preserve"> </w:t>
            </w:r>
            <w:r>
              <w:rPr>
                <w:b/>
                <w:i/>
              </w:rPr>
              <w:t>arvestades, et siia hulka kuuluvad naised, erineva etnilise taustaga inimesed, romade ja traveller'ide kogukonnad, kodutud noored, hoolekandeasutusest lahkunud noored, LGBTQIA+-inimesed, sisserändaja või pagulase staatusega noored, puuetega noored, usutunnistuse või veendumuste alusel diskrimineerimist kogevad noored, krooniliste haiguste või sõltuvuste all kannatavad noored, noored lapsevanemad ja mitteametlike hooldajatena tegutsevad noored;</w:t>
            </w:r>
            <w:r>
              <w:t xml:space="preserve"> </w:t>
            </w:r>
            <w:r>
              <w:rPr>
                <w:b/>
                <w:i/>
              </w:rPr>
              <w:t>arvestades, et tuleb teha selget vahet enda tahte vastaselt haridusest, tööhõivest või koolitusest kõrvale jäetud NEET-noorte ja vabatahtlikult mitteaktiivsete NEET-noorte vahel;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arvestades, et NEET-noorte seas valitseb püsiv sooline ebavõrdsus, nii et ELis on noorte naiste määr nende seas püsivalt suurem kui noorte meeste määr</w:t>
            </w:r>
            <w:r>
              <w:rPr>
                <w:b/>
                <w:i/>
                <w:vertAlign w:val="superscript"/>
              </w:rPr>
              <w:t>12a</w:t>
            </w:r>
            <w:r>
              <w:rPr>
                <w:b/>
                <w:i/>
              </w:rPr>
              <w:t>;</w:t>
            </w:r>
            <w:r>
              <w:t xml:space="preserve"> </w:t>
            </w:r>
            <w:r>
              <w:rPr>
                <w:b/>
                <w:i/>
              </w:rPr>
              <w:t>arvestades, et seda olukorda saab osaliselt seletada lapsehoiukohustuste ja sotsiaalsete normide ebavõrdse jaotusega;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https://www.eurofound.europa.eu/en/surveys-and-data/data-catalogue/neet-rates-gender-15-29-age-group.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arvestades, et NEET-noorte tööturule integreerimine on muutunud üha keerulisemaks selliste tegurite tõttu nagu juhutöömajanduse kasv ning ebakindlate ja mittestandardsete tööhõivevormide hulga suurenemine, tehisintellekti ja digitaliseerimise võidukäik ning elukalliduse kriis, sealhulgas suurenevad eluasemekulud;</w:t>
            </w:r>
            <w:r>
              <w:t xml:space="preserve"> </w:t>
            </w:r>
            <w:r>
              <w:rPr>
                <w:b/>
                <w:i/>
              </w:rPr>
              <w:t>arvestades, et need suundumused tekitavad struktuurseid tõkkeid püsivale tööhõivele ja süvendavad ebavõrdsust, mis jätab haavatavad NEET-noored kõrvale;</w:t>
            </w:r>
            <w:r>
              <w:t xml:space="preserve"> </w:t>
            </w:r>
            <w:r>
              <w:rPr>
                <w:b/>
                <w:i/>
              </w:rPr>
              <w:t>arvestades, et tugevdatud noortegarantii rakendamist tuleb reformida ja veelgi tugevdada, et need probleemid lahendada ja seada esikohale tööturult enim tõrjutud NEET-noored;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arvestades, et romad on ELi kõrgeima NEET-noorte osakaaluga rühm, moodustades 16–24-aastaste hulgas 47%, samas kui ELi keskmine samas vanuserühmas on 9%</w:t>
            </w:r>
            <w:r>
              <w:rPr>
                <w:b/>
                <w:i/>
                <w:vertAlign w:val="superscript"/>
              </w:rPr>
              <w:t>13a</w:t>
            </w:r>
            <w:r>
              <w:rPr>
                <w:b/>
                <w:i/>
              </w:rPr>
              <w:t>;</w:t>
            </w:r>
            <w:r>
              <w:t xml:space="preserve"> </w:t>
            </w:r>
            <w:r>
              <w:rPr>
                <w:b/>
                <w:i/>
              </w:rPr>
              <w:t>arvestades, et ükski uuringus osalenud liikmesriikidest ei ole romasid käsitlevas ELi strateegilises raamistikus</w:t>
            </w:r>
            <w:r>
              <w:rPr>
                <w:b/>
                <w:i/>
                <w:vertAlign w:val="superscript"/>
              </w:rPr>
              <w:t>14a</w:t>
            </w:r>
            <w:r>
              <w:t xml:space="preserve"> </w:t>
            </w:r>
            <w:r>
              <w:rPr>
                <w:b/>
                <w:i/>
              </w:rPr>
              <w:t>sätestatud eesmärkide saavutamisele lähedal, ning arvestades, et ilma liikmesriikide sihipärase ja strateegilise tegutsemiseta on oht, et ELis jääb üks põlvkond noori romasid ja traveller'e haridusest, koolitusest ja tööturust kõrvale;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„The rights of Roma and Travellers in 13 European countries – Perspectives from the Roma Survey 2024“ (Romade ja traveller’ide õigused 13 Euroopa riigis – väljavaated romade 2024. aasta uuringu põhjal), Euroopa Liidu Põhiõiguste Amet (FRA), 2. oktoober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Euroopa Komisjon. (7. oktoober 2020).</w:t>
            </w:r>
            <w:r>
              <w:t xml:space="preserve"> </w:t>
            </w:r>
            <w:r>
              <w:rPr>
                <w:b/>
                <w:i/>
              </w:rPr>
              <w:t>Romade võrdõiguslikkust, kaasamist ja osalemist käsitlev ELi strateegiline raamistik aastateks 2020–2030 (COM(2020) 620 final). https://commission.europa.eu/document/download/99cc0720-68c2-4300-854f-592bf21dceaf_en?filename=eu_roma_strategic_framework_for_equality_inclusion_and_participation_for_2020_-_2030.pdf.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arvestades, et üleminek hariduse omandamiselt tööturule on muutunud noorte jaoks pikemaks, vähem sirgjooneliseks ja üha ebakindlamaks, kuna paljud liiguvad tööhõive, töötuse ja mitteaktiivsuse vahel või on lõksus ebatüüpilistes töövormides;</w:t>
            </w:r>
            <w:r>
              <w:t xml:space="preserve"> </w:t>
            </w:r>
            <w:r>
              <w:rPr>
                <w:b/>
                <w:i/>
              </w:rPr>
              <w:t>arvestades, et tugevdatud noortegarantiid ei ole nende katkendlike arenguteedega piisavalt kohandatud ja see tugineb jätkuvalt jäikadele ühekordsetele meetmetele;</w:t>
            </w:r>
            <w:r>
              <w:t xml:space="preserve"> </w:t>
            </w:r>
            <w:r>
              <w:rPr>
                <w:b/>
                <w:i/>
              </w:rPr>
              <w:t>arvestades, et tõhus tööturule integreerimine, eelkõige haavatavate NEET-noorte puhul, nõuab paindlikku, individuaalset ja pikaajalist toetust;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arvestades, et Euroopa Liidu Põhiõiguste Ameti romasid käsitleva uuringu (2021) kohaselt ei ole 19 % roma naistest ja 14 % roma meestest kunagi koolis käinud ning pärast 16. eluaastat jätkab haridusteed ainult 23 % roma naistest, kusjuures meeste seas on see osakaal 32 %</w:t>
            </w:r>
            <w:r>
              <w:rPr>
                <w:b/>
                <w:i/>
                <w:vertAlign w:val="superscript"/>
              </w:rPr>
              <w:t>15a</w:t>
            </w:r>
            <w:r>
              <w:rPr>
                <w:b/>
                <w:i/>
              </w:rPr>
              <w:t>;</w:t>
            </w:r>
            <w:r>
              <w:t xml:space="preserve"> </w:t>
            </w:r>
            <w:r>
              <w:rPr>
                <w:b/>
                <w:i/>
              </w:rPr>
              <w:t>arvestades, et sooliselt eristatud andmete kohaselt kuulub NEET-noorte hulka keskmiselt 61 % roma ja traveller'ide noortest naistest, samas kui roma noormeeste seas on see näitaja 33 %</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Euroopa Nõukogu. (2025).</w:t>
            </w:r>
            <w:r>
              <w:t xml:space="preserve"> </w:t>
            </w:r>
            <w:r>
              <w:rPr>
                <w:b/>
                <w:i/>
              </w:rPr>
              <w:t>Equality of Roma and Traveller women and girls (Naiste ja tütarlaste võrdõiguslikkus romade ja traveller'ide kogukonnas), (viitenumber 094724GBR).</w:t>
            </w:r>
            <w:r>
              <w:t xml:space="preserve"> </w:t>
            </w:r>
            <w:r>
              <w:rPr>
                <w:b/>
                <w:i/>
              </w:rPr>
              <w:t>Euroopa Nõukogu. https://edoc.coe.int/en/roma-and-travellers/12078-equality-of-roma-and-traveller-women-and-girls.html;</w:t>
            </w:r>
            <w:r>
              <w:t xml:space="preserve"> </w:t>
            </w:r>
            <w:r>
              <w:rPr>
                <w:b/>
                <w:i/>
              </w:rPr>
              <w:t>Euroopa Liidu Põhiõiguste Amet. (2020).</w:t>
            </w:r>
            <w:r>
              <w:t xml:space="preserve"> </w:t>
            </w:r>
            <w:r>
              <w:rPr>
                <w:b/>
                <w:i/>
              </w:rPr>
              <w:t>Roma and Travellers in six countries:</w:t>
            </w:r>
            <w:r>
              <w:t xml:space="preserve"> </w:t>
            </w:r>
            <w:r>
              <w:rPr>
                <w:b/>
                <w:i/>
              </w:rPr>
              <w:t>Roma and Travellers survey (Romad ja traveller'id kuues riigis: romasid ja traveller'e käsitlev uuring) (FRA aruanne).</w:t>
            </w:r>
            <w:r>
              <w:t xml:space="preserve"> </w:t>
            </w:r>
            <w:r>
              <w:rPr>
                <w:b/>
                <w:i/>
              </w:rPr>
              <w:t>Euroopa Liidu Väljaannete Talitus,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Euroopa Liidu Põhiõiguste Amet. (2025).</w:t>
            </w:r>
            <w:r>
              <w:t xml:space="preserve"> </w:t>
            </w:r>
            <w:r>
              <w:rPr>
                <w:b/>
                <w:i/>
              </w:rPr>
              <w:t>Rights of Roma and Travellers in 13 European countries – Perspectives from the Roma Survey 2024 (Romade ja traveller’ide õigused 13 Euroopa riigis – väljavaated romade 2024. aasta uuringu põhjal).</w:t>
            </w:r>
            <w:r>
              <w:t xml:space="preserve"> </w:t>
            </w:r>
            <w:r>
              <w:rPr>
                <w:b/>
                <w:i/>
              </w:rPr>
              <w:t>FRA. https://fra.europa.eu/en/publication/2025/roma-survey-2024.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arvestades, et noored puutuvad ebaproportsionaalselt palju kokku madalapalgalise tööga</w:t>
            </w:r>
            <w:r>
              <w:rPr>
                <w:b/>
                <w:i/>
                <w:vertAlign w:val="superscript"/>
              </w:rPr>
              <w:t>1a</w:t>
            </w:r>
            <w:r>
              <w:t xml:space="preserve"> </w:t>
            </w:r>
            <w:r>
              <w:rPr>
                <w:b/>
                <w:i/>
              </w:rPr>
              <w:t>ning ebakindlate ja ebatüüpiliste tööhõivevormidega, nagu tähtajalised lepingud, nulltunnilepingud ja fiktiivne iseenda tööandjana tegutsemine</w:t>
            </w:r>
            <w:r>
              <w:rPr>
                <w:b/>
                <w:i/>
                <w:vertAlign w:val="superscript"/>
              </w:rPr>
              <w:t>1b</w:t>
            </w:r>
            <w:r>
              <w:rPr>
                <w:b/>
                <w:i/>
              </w:rPr>
              <w:t>;</w:t>
            </w:r>
            <w:r>
              <w:t xml:space="preserve"> </w:t>
            </w:r>
            <w:r>
              <w:rPr>
                <w:b/>
                <w:i/>
              </w:rPr>
              <w:t>arvestades, et sageli ei saa nad piisavat tööhõivekaitset ega sotsiaaltoetusi;</w:t>
            </w:r>
            <w:r>
              <w:t xml:space="preserve"> </w:t>
            </w:r>
            <w:r>
              <w:rPr>
                <w:b/>
                <w:i/>
              </w:rPr>
              <w:t>arvestades, et noortel on ka suurem oht, et nad koondatakse automatiseerimise tõttu;</w:t>
            </w:r>
            <w:r>
              <w:t xml:space="preserve"> </w:t>
            </w:r>
            <w:r>
              <w:rPr>
                <w:b/>
                <w:i/>
              </w:rPr>
              <w:t>arvestades, et sellised tingimused pakuvad vähest rahalist kindlust ja vähendavad võimalusi püsivaks tööturule integreerimiseks;</w:t>
            </w:r>
            <w:r>
              <w:t xml:space="preserve"> </w:t>
            </w:r>
            <w:r>
              <w:rPr>
                <w:b/>
                <w:i/>
              </w:rPr>
              <w:t>arvestades, et see mõjutab eelkõige haavatavaid NEET-noori, kes on ebaproportsionaalselt koondunud madala kvalifikatsiooniga ja madala kvaliteediga töökohtadele;</w:t>
            </w:r>
            <w:r>
              <w:t xml:space="preserve"> </w:t>
            </w:r>
            <w:r>
              <w:rPr>
                <w:b/>
                <w:i/>
              </w:rPr>
              <w:t>arvestades, et tugevdatud noortegarantii peab seisma aktiivselt ebakindluse ja madala palga vastu ning keskenduma pigem tasustatud tööle kui vabatahtlikule tegevusele;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„Proportion of low-paid workers in EU countries“ (Madalapalgaliste töötajate osakaal ELi riikides),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on the labour market – statistics“ (Noored tööturul – statistika),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arvestades, et hoolekandeasutusest lahkujad on rühm, keda NEET-noore staatus eriti ohustab, kuid usaldusväärsete andmete ebapiisavuse tõttu on nende arv ELi tasandil endiselt selgusetu, nagu ka nende toetamiseks mõeldud teavitusmeetmed ja nende võimalused pärast hoolekandeasutusest lahkumist;</w:t>
            </w:r>
            <w:r>
              <w:t xml:space="preserve"> </w:t>
            </w:r>
            <w:r>
              <w:rPr>
                <w:b/>
                <w:i/>
              </w:rPr>
              <w:t>arvestades, et hoolekandeasutusest lahkuvad noored peavad sageli järsult iseseisvale elule üle minema, ilma et oleks tagatud piisav hariduse järjepidevus, eluaseme stabiilsus või kutsenõustamine, mistõttu nende töötuse, vaesuse ja sotsiaalse tõrjutuse oht kasvab;</w:t>
            </w:r>
            <w:r>
              <w:t xml:space="preserve"> </w:t>
            </w:r>
            <w:r>
              <w:rPr>
                <w:b/>
                <w:i/>
              </w:rPr>
              <w:t>arvestades, et noortegarantii tõhusam rakendamine võiks need üleminekulüngad kohandatud toetusmehhanismide abil kõrvaldada;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arvestades, et noorte vaeghõive kasvab ja osalise tööajaga töötamine on noorte hulgas palju sagedasem kui töötava elanikkonna seas üldiselt</w:t>
            </w:r>
            <w:r>
              <w:rPr>
                <w:b/>
                <w:i/>
                <w:vertAlign w:val="superscript"/>
              </w:rPr>
              <w:t>1a</w:t>
            </w:r>
            <w:r>
              <w:rPr>
                <w:b/>
                <w:i/>
              </w:rPr>
              <w:t>;</w:t>
            </w:r>
            <w:r>
              <w:t xml:space="preserve"> </w:t>
            </w:r>
            <w:r>
              <w:rPr>
                <w:b/>
                <w:i/>
              </w:rPr>
              <w:t>arvestades, et see erinevus on veelgi suurem noorte naiste seas;</w:t>
            </w:r>
            <w:r>
              <w:t xml:space="preserve"> </w:t>
            </w:r>
            <w:r>
              <w:rPr>
                <w:b/>
                <w:i/>
              </w:rPr>
              <w:t>arvestades, et suur osa osalise tööajaga töötajaist on sundseisus, mis kajastab tööturu struktuurset suutmatust pakkuda piisavaid täistööajaga töötamise võimalusi;</w:t>
            </w:r>
            <w:r>
              <w:t xml:space="preserve"> </w:t>
            </w:r>
            <w:r>
              <w:rPr>
                <w:b/>
                <w:i/>
              </w:rPr>
              <w:t>arvestades, et mittevabatahtlik osalise tööajaga töö piirab rahateenimise potentsiaali, karjääri edenemist, sotsiaalkaitse kättesaadavust ja pensioniõigusi;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„Part-time and full-time employment – statistics“ (Osalise ja täistööajaga tööhõive – statistika),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arvestades, et eelarvamused, häbimärgistamine ja püsivad stereotüübid võivad piirata hoolekandeasutustest pärit noorte, füüsilise või intellektipuudega noorte ja noorte romade juurdepääsu praktikale ja töökohapõhisele õppele;</w:t>
            </w:r>
            <w:r>
              <w:t xml:space="preserve"> </w:t>
            </w:r>
            <w:r>
              <w:rPr>
                <w:b/>
                <w:i/>
              </w:rPr>
              <w:t>arvestades, et selliste takistuste kõrvaldamine ja kaasavate värbamistavade edendamine on oluline, et tagada võrdsed võimalused saada kvaliteetseid esmaseid töökogemusi;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h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arvestades, et kvaliteetsete algtaseme töökohtade struktuurse nappuse tõttu jääb traditsioonilisi võimalusi pärast hariduse omandamist tööellu siirdumiseks järjest vähemaks;</w:t>
            </w:r>
            <w:r>
              <w:t xml:space="preserve"> </w:t>
            </w:r>
            <w:r>
              <w:rPr>
                <w:b/>
                <w:i/>
              </w:rPr>
              <w:t>arvestades, et paljudel noortel, isegi kui nad on kõrgelt haritud ja kvalifitseeritud, on raskusi oma kvalifikatsioonile vastava stabiilse töökoha leidmisel;</w:t>
            </w:r>
            <w:r>
              <w:t xml:space="preserve"> </w:t>
            </w:r>
            <w:r>
              <w:rPr>
                <w:b/>
                <w:i/>
              </w:rPr>
              <w:t>arvestades, et äsja kõrgkooli lõpetanute tööhõive määr langeb</w:t>
            </w:r>
            <w:r>
              <w:rPr>
                <w:b/>
                <w:i/>
                <w:vertAlign w:val="superscript"/>
              </w:rPr>
              <w:t>1a</w:t>
            </w:r>
            <w:r>
              <w:t xml:space="preserve"> </w:t>
            </w:r>
            <w:r>
              <w:rPr>
                <w:b/>
                <w:i/>
              </w:rPr>
              <w:t>ja üha rohkem noori töötab ametikohtadel, mis eeldavad nende omast palju madalamat kvalifikatsiooni</w:t>
            </w:r>
            <w:r>
              <w:rPr>
                <w:b/>
                <w:i/>
                <w:vertAlign w:val="superscript"/>
              </w:rPr>
              <w:t>1b</w:t>
            </w:r>
            <w:r>
              <w:rPr>
                <w:b/>
                <w:i/>
              </w:rPr>
              <w:t>;</w:t>
            </w:r>
            <w:r>
              <w:t xml:space="preserve"> </w:t>
            </w:r>
            <w:r>
              <w:rPr>
                <w:b/>
                <w:i/>
              </w:rPr>
              <w:t>arvestades, et see tekitab tööturul nihke, mis piirab veelgi madala kvalifikatsiooniga haavatavate NEET-noorte võimalusi;</w:t>
            </w:r>
            <w:r>
              <w:t xml:space="preserve"> </w:t>
            </w:r>
            <w:r>
              <w:rPr>
                <w:b/>
                <w:i/>
              </w:rPr>
              <w:t>arvestades, et üha suuremad tõkked noorte tööturule integreerimisel õõnestavad sotsiaalset ühtekuuluvust ja usaldust institutsioonide vastu;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„Employment rates of recent graduates“ (Hiljuti kõrgkooli lõpetanute tööhõive määr),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 qualifications, skills and job alignment“ (Noored – kvalifikatsioonid ja oskused ning nende kooskõla ametikoha vajadustega),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i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arvestades, et 2024. aastal oli liidus vaesuse või sotsiaalse tõrjutuse ohus peaaegu iga neljas noor, mis on 3,1 protsendipunkti kõrgem määr kui kogu elanikkonna puhul</w:t>
            </w:r>
            <w:r>
              <w:rPr>
                <w:b/>
                <w:i/>
                <w:vertAlign w:val="superscript"/>
              </w:rPr>
              <w:t>1a</w:t>
            </w:r>
            <w:r>
              <w:rPr>
                <w:b/>
                <w:i/>
              </w:rPr>
              <w:t>;</w:t>
            </w:r>
            <w:r>
              <w:t xml:space="preserve"> </w:t>
            </w:r>
            <w:r>
              <w:rPr>
                <w:b/>
                <w:i/>
              </w:rPr>
              <w:t>arvestades, et struktuurne ebavõrdsus, sealhulgas materiaalne puudus ja püsiv sotsiaalne ebasoodne olukord, kahjustab tööturule juurdepääsu ja iseseisva elu võimalusi;</w:t>
            </w:r>
            <w:r>
              <w:t xml:space="preserve"> </w:t>
            </w:r>
            <w:r>
              <w:rPr>
                <w:b/>
                <w:i/>
              </w:rPr>
              <w:t>arvestades, et aktiivsemat osalemist tööturul ei ole võimalik saavutada ilma põhiliste eeltingimusteta, milleks on eluase, transport, lastehoid ja hooldustoetus;</w:t>
            </w:r>
            <w:r>
              <w:t xml:space="preserve"> </w:t>
            </w:r>
            <w:r>
              <w:rPr>
                <w:b/>
                <w:i/>
              </w:rPr>
              <w:t>arvestades, et püsiv tööturule integreerimine nõuab terviklikku strateegiat, mis pakuks võimalikele takistustele lahendusi;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„Young people – social inclusion“ (Noored – sotsiaalne kaasatus),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j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arvestades, et haavatavatel NEET-noortel võivad puududa funktsionaalsed kirja-, arvutus- ja digioskused, mis on vajalikud juurdepääsuks kvaliteetsele haridusele, koolitusele või tööturule;</w:t>
            </w:r>
            <w:r>
              <w:t xml:space="preserve"> </w:t>
            </w:r>
            <w:r>
              <w:rPr>
                <w:b/>
                <w:i/>
              </w:rPr>
              <w:t>arvestades, et tugevdatud noortegarantiis peetakse selliseid oskusi sageli enesestmõistetavaks, mis piirab haavatavate NEET-noorte võimalusi tööhõive- ja koolitusmeetmetele juurde pääseda ja neist kasu saada;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k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arvestades, et noorte tase lugemises, matemaatikas ja loodusteadustes on kogu liidus üha madalam ja ebasoodsa sotsiaal-majandusliku taustaga noortel on oma eakaaslastest üle kuue korra suurem tõenäosus keskmisest kehvemate tulemustega piirduda</w:t>
            </w:r>
            <w:r>
              <w:rPr>
                <w:b/>
                <w:i/>
                <w:vertAlign w:val="superscript"/>
              </w:rPr>
              <w:t>1a</w:t>
            </w:r>
            <w:r>
              <w:rPr>
                <w:b/>
                <w:i/>
              </w:rPr>
              <w:t>;</w:t>
            </w:r>
            <w:r>
              <w:t xml:space="preserve"> </w:t>
            </w:r>
            <w:r>
              <w:rPr>
                <w:b/>
                <w:i/>
              </w:rPr>
              <w:t>arvestades, et tugevdatud noortegarantii peab neid murettekitavaid suundumusi kindlalt arvesse võtma, et vältida sotsiaalsete lõhede süvenemist ning tagada võrdne juurdepääs haridusele ja tulevastele töövõimalustele;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Euroopa Komisjon, hariduse ja koolituse valdkonna 2024. aasta ülevaade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tugevdatud noortegarantii rakendamise ning NEET-noorte osakaalu ja noorte töötuse vähendamisel täheldatud tulemuste vahel </w:t>
            </w:r>
            <w:r>
              <w:rPr>
                <w:b/>
                <w:i/>
              </w:rPr>
              <w:t>on raske</w:t>
            </w:r>
            <w:r>
              <w:t xml:space="preserve"> luua otsest põhjuslikku seost;</w:t>
            </w:r>
          </w:p>
        </w:tc>
        <w:tc>
          <w:tcPr>
            <w:tcW w:w="4876" w:type="dxa"/>
            <w:tcBorders>
              <w:top w:val="nil"/>
              <w:left w:val="nil"/>
              <w:bottom w:val="nil"/>
              <w:right w:val="nil"/>
            </w:tcBorders>
          </w:tcPr>
          <w:p>
            <w:pPr>
              <w:pStyle w:val="Normal6a"/>
            </w:pPr>
            <w:r>
              <w:t>B.</w:t>
            </w:r>
            <w:r>
              <w:tab/>
            </w:r>
            <w:r>
              <w:t xml:space="preserve">arvestades, et tugevdatud noortegarantii rakendamise ning NEET-noorte osakaalu ja noorte töötuse vähendamisel täheldatud tulemuste vahel </w:t>
            </w:r>
            <w:r>
              <w:rPr>
                <w:b/>
                <w:i/>
              </w:rPr>
              <w:t>ei ole võimalik</w:t>
            </w:r>
            <w:r>
              <w:t xml:space="preserve"> luua otsest põhjuslikku seost</w:t>
            </w:r>
            <w:r>
              <w:rPr>
                <w:b/>
                <w:i/>
              </w:rPr>
              <w:t>, mis näitab Euroopa ühiskonna kujundamise struktuurset ebatõhusust</w:t>
            </w:r>
            <w:r>
              <w:t xml:space="preserve">; </w:t>
            </w:r>
            <w:r>
              <w:rPr>
                <w:b/>
                <w:i/>
              </w:rPr>
              <w:t>arvestades, et noortele mõeldud töökohti ei looda tsentraliseeritud direktiividega, vaid eelkõige liikmesriikide eelarvesuveräänsuse, riigisiseselt tugeva majanduse ja konkurentsivõimeliste VKEdega;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tugevdatud noortegarantii rakendamise ning NEET-noorte osakaalu ja noorte töötuse vähendamisel täheldatud tulemuste vahel on raske luua otsest põhjuslikku seost;</w:t>
            </w:r>
          </w:p>
        </w:tc>
        <w:tc>
          <w:tcPr>
            <w:tcW w:w="4876" w:type="dxa"/>
            <w:tcBorders>
              <w:top w:val="nil"/>
              <w:left w:val="nil"/>
              <w:bottom w:val="nil"/>
              <w:right w:val="nil"/>
            </w:tcBorders>
          </w:tcPr>
          <w:p>
            <w:pPr>
              <w:pStyle w:val="Normal6a"/>
            </w:pPr>
            <w:r>
              <w:t>B.</w:t>
            </w:r>
            <w:r>
              <w:tab/>
            </w:r>
            <w:r>
              <w:t xml:space="preserve">arvestades, et tugevdatud noortegarantii rakendamise ning NEET-noorte osakaalu ja noorte töötuse vähendamisel täheldatud tulemuste vahel on raske luua otsest põhjuslikku seost; </w:t>
            </w:r>
            <w:r>
              <w:rPr>
                <w:b/>
                <w:i/>
              </w:rPr>
              <w:t>arvestades, et see tähendab vajadust pöörata suuremat tähelepanu noorte jaoks reaalsete tulemuste saavutamisele, paremale kooskõlale riikide tööturu vajadustega ja tihedamale koostoimele selliste liidu programmidega nagu Euroopa Sotsiaalfond+ (ESF+), Erasmus+ ja Euroopa solidaarsuskorpus;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tugevdatud noortegarantii rakendamise ning NEET-noorte osakaalu ja noorte töötuse vähendamisel täheldatud tulemuste vahel on raske luua otsest põhjuslikku seost;</w:t>
            </w:r>
          </w:p>
        </w:tc>
        <w:tc>
          <w:tcPr>
            <w:tcW w:w="4876" w:type="dxa"/>
            <w:tcBorders>
              <w:top w:val="nil"/>
              <w:left w:val="nil"/>
              <w:bottom w:val="nil"/>
              <w:right w:val="nil"/>
            </w:tcBorders>
          </w:tcPr>
          <w:p>
            <w:pPr>
              <w:pStyle w:val="Normal6a"/>
            </w:pPr>
            <w:r>
              <w:t>B.</w:t>
            </w:r>
            <w:r>
              <w:tab/>
            </w:r>
            <w:r>
              <w:t>arvestades, et tugevdatud noortegarantii rakendamise ning NEET-noorte osakaalu ja noorte töötuse vähendamisel täheldatud tulemuste vahel on raske luua otsest põhjuslikku seost</w:t>
            </w:r>
            <w:r>
              <w:rPr>
                <w:b/>
                <w:i/>
              </w:rPr>
              <w:t>, eriti kui tugevdatud noortegarantii kavad on lõimitud laiemasse riiklikku poliitikasse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Euroopa andmed näitavad, et tugeva töökohapõhise õppe komponendiga esmakutseõppe võimalused on kõige tõhusam vahend, et vältida inimeste sattumist NEET-noorte olukorda, kuna vähemalt seitsmekuulise töökohapõhise õppe läbinud noorte tööhõive määr on kuni 90,5 %, võrreldes 69,7 %ga nende noorte puhul, kellel puudub nendele võimalustele juurdepääs;</w:t>
            </w:r>
            <w:r>
              <w:t xml:space="preserve"> </w:t>
            </w:r>
            <w:r>
              <w:rPr>
                <w:b/>
                <w:i/>
              </w:rPr>
              <w:t>arvestades, et duaalsetes kutseharidus- ja koolitussüsteemides kasutatakse kooli ja töö struktureeritud vaheldumist, et luua turustatavaid oskusi ning vähendada tuntavalt lõhet töökohtade nõudluse ja pakkumise vahel;</w:t>
            </w:r>
            <w:r>
              <w:t xml:space="preserve"> </w:t>
            </w:r>
            <w:r>
              <w:rPr>
                <w:b/>
                <w:i/>
              </w:rPr>
              <w:t>arvestades, et tugeva duaalse kutseharidus- ja koolitussüsteemiga liikmesriikides on noorte töötuse määr ELis kõige madalam;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tugevdatud noortegarantii tõhusaks rakendamiseks on vaja sihipäraseid, integreeritud ja peretundlikke meetmeid, eelkõige noorte lapsevanemate jaoks, kombineerides tööhõivetoetuse juurdepääsuga haridusele ja koolitusele, lapsehoiule, sotsiaalteenustele ja vajaduse korral piisavale sissetulekutoetusele, et tagada püsiv tööturule integreerimine, vältida pikaajalist tõrjutust, edendada soolist võrdõiguslikkust ning toetada jätkusuutlikku töö- ja eraelu tasakaalu;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Euroopa Kontrollikoja andmetest nähtub, et hästi rahastatud, kaasav ja õigustel põhinev noortepoliitika, sealhulgas tugevdatud noortegarantii, aitab parandada noorte juurdepääsu kvaliteetsele tööhõivele, haridusele ja koolitusele;</w:t>
            </w:r>
            <w:r>
              <w:t xml:space="preserve"> </w:t>
            </w:r>
            <w:r>
              <w:rPr>
                <w:b/>
                <w:i/>
              </w:rPr>
              <w:t>arvestades, et selle poliitika tulemustest selge ülevaate saamiseks on vajalik tugevam järelevalve, eristatud andmete kogumine ja mõju hindamine, eelkõige haavatavate ja tõrjutud rühmade puhul;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noortegarantii rakendamise mudeleid on peaaegu sama palju kui liikmesriike;</w:t>
            </w:r>
            <w:r>
              <w:t xml:space="preserve"> </w:t>
            </w:r>
            <w:r>
              <w:rPr>
                <w:b/>
                <w:i/>
              </w:rPr>
              <w:t>arvestades, et selle rakendamise institutsiooniline korraldus varieerub, ulatudes noortegarantii integreerimisest olemasolevatesse riiklikesse süsteemidesse kuni eraldi riikliku mudeli loomiseni;</w:t>
            </w:r>
            <w:r>
              <w:t xml:space="preserve"> </w:t>
            </w:r>
            <w:r>
              <w:rPr>
                <w:b/>
                <w:i/>
              </w:rPr>
              <w:t>arvestades, et ka selle haldamise korralduses on erinevusi, kuna kasutuses on nii riiklikul tasandil koordineeritud tsentraliseeritud mudelid kui ka kohalikul tasandil täielikult detsentraliseeritud mudelid;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nõukogu 16. juuni 2022. aasta soovituses, milles käsitletakse Euroopa lähenemisviisi mikrokvalifikatsioonitunnistustele, tõdetakse, et mikrokvalifikatsioonitunnistused on üks peamisi paindlike, kaasavate ja sihipäraste õppeviiside vahendeid, mis võimaldab inimestel omandada, ajakohastada ja tõendada oma oskusi moodulite kaupa, nii et need vastaksid tööturu ning rohe- ja digipöörde vajadustele;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tugevdatud noortegarantii kaudu noortesse investeerimine on investeering liidu tulevikku, kuna see tugevdab sotsiaalset ühtekuuluvust ning põlvkondadevahelist õiglust ja solidaarsust, vähendab vaesust ja sotsiaalset tõrjutust ning aitab kujundada paindlikku tööjõudu ja konkurentsivõimelist majandust;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tugevdatud noortegarantii tulemuslikkus sõltub ELi ja riiklike vahendite läbipaistvast ja tõhusast kasutamisest ning tugevatest järelevalve- ja hindamissüsteemidest, millega on võimalik mõõta noorte toetusesaajate pikaajalisi tööhõivetulemusi;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noorte töötus ja ebakindel töö on otseselt seotud struktuurse ebavõrdsuse, kokkuhoiumeetmete, tööturgude dereguleerimise ja avalike teenuste alarahastamisega;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selge enamik liikmesriike lähtub tööhõive esikohale seadmise strateegiast, samas kui teised seavad prioriteediks koolitusele keskendumise;</w:t>
            </w:r>
            <w:r>
              <w:t xml:space="preserve"> </w:t>
            </w:r>
            <w:r>
              <w:rPr>
                <w:b/>
                <w:i/>
              </w:rPr>
              <w:t>arvestades, et 2024. aastal viis 35,2 % positiivsete tulemusega ja õigeaegselt noortegarantii ettevalmistusetapist lahkumistest töökoha saamiseni, 6,5 % haridustee jätkamiseni, 2,5 % praktikani ja 1,6 % töökohapõhise õppeni</w:t>
            </w:r>
            <w:r>
              <w:rPr>
                <w:b/>
                <w:i/>
                <w:vertAlign w:val="superscript"/>
              </w:rPr>
              <w:t>17a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Euroopa Komisjon, tööhõive, sotsiaalküsimuste ja sotsiaalse kaasatuse peadirektoraat, „Data table on Youth Guarantee Direct indicators“ (Andmetabel noortegarantii otseste näitajate kohta), veebruar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Eurofoundi hinnangul läheb noorte mitteosalemine ja suutmatus NEET-noori tööturule integreerida liidule maksma peaaegu 100 miljardit eurot aastas</w:t>
            </w:r>
            <w:r>
              <w:rPr>
                <w:b/>
                <w:i/>
                <w:vertAlign w:val="superscript"/>
              </w:rPr>
              <w:t>1a</w:t>
            </w:r>
            <w:r>
              <w:rPr>
                <w:b/>
                <w:i/>
              </w:rPr>
              <w:t>, mis näitab tungivat majanduslikku ja sotsiaalset vajadust tagada noortegarantii tõhus tugevdamine;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„Employment and social developments in Europe“ (Tööhõive ja sotsiaalsed arengud Euroopas),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ESF+ on olnud peamine vahend tugevdatud noortegarantii rahastamiseks aastatel 2021–2027;</w:t>
            </w:r>
            <w:r>
              <w:t xml:space="preserve"> </w:t>
            </w:r>
            <w:r>
              <w:rPr>
                <w:b/>
                <w:i/>
              </w:rPr>
              <w:t>arvestades, et haldusasutused peavad parandama oma suutlikkust abi vastu võtta, eriti äärealadel;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suur osa noortest töötab ajutistel, madalapalgalistel ja ebakindlatel töökohtadel, kus puuduvad täielikud töö- ja sotsiaalõigused;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noortelt nõutakse hariduses, koolituses ja tööelus üha enam paindlikkust ja geograafilist liikuvust;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arvestades, et noortegarantii kavad ei saa asendada õigust stabiilsele tööhõivele täielike õigustega ega legaliseerida tasustamata või alatasustatud töö levikut praktika- ja koolitusprogrammide kaudu;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arvestades, et mitteaktiivsed ja haavatavad NEET-noored jäävad noortegarantii algatustest kõige sagedamini välja, kuna see toob peamiselt kasu tööturule lähemal seisvatele noortele ehk teisisõnu keskendub vaid parimatele, mistõttu on tugevdatud noortegarantii tegelik mõju kogu NEET-rühmale üle hinnatud;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arvestades, et liidu konkurentsivõime sõltub ka tööjõu oskustest ja liidu suutlikkusest tööealisi noori aktiveerida, et võidelda tööjõu ja oskuste nappusega;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arvestades, et taskukohase, piisava ja kvaliteetse eluaseme kättesaadavus on hariduses, töökohapõhises õppes, praktikal ja tööhõives eduka osalemise eeltingimus;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arvestades, et noortegarantii kasutuselevõtmisel ning selle praktilisel rakendamisel liikmesriikides ja kohalikul tasandil esineb endiselt institutsioonilisi ja struktuurseid takistusi, nagu tõkked andmete jagamisel eri teenuste vahel, hariduse ja koolituse pakkumise ning tööturu vaheline ebakõla ning haavatavate rühmade sotsiaal-majanduslikud ebasoodsad tingimused;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arvestades, et noortegarantii tõhusust tuleks mõõta mitte ainult noorte kohese sisenemisega tööturule, haridusse või koolitusse, vaid ka nende võimaluste kvaliteedi, jätkusuutlikkuse ja pikaajaliste karjääriväljavaadete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arvestades, et etnilistesse, rassilistesse või usuvähemustesse kuuluvad noored satuvad suurema tõenäosusega olukorda, kus nende oskused ei kattu nende ametikoha vajadustega;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arvestades, et noortepoliitikat tuleks käsitada mitte ainult sotsiaalse prioriteedina, vaid ka strateegilise investeeringuna ELi inimkapitali, konkurentsivõimesse ja pikaajalise majandusliku kerksuse saavutamisse;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arvestades, et NEET-noortel, noortel lapsevanematel, eelkõige üksikvanematel, ja haavatavatel noortel on suurem vaimse stressi ja pikaajalise tööturult tõrjutuse oht;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arvestades, et vaimne tervis ja heaolu on tööturul osalemiseks hädavajalikud ning neid saab aktiveerimise osana tugevdada ennetavate ja varajaste psühhosotsiaalsete meetmetega, ilma et see mõjutaks liikmesriikide vastutust tervishoiu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h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arvestades, et automatiseerimine ja tehisintellekt kujundavad tööturgu ümber ja tekitavad ohu, et ilma elementaarsete tehisintellekti kasutamise oskusteta noored jäetakse kõrvale;</w:t>
            </w:r>
            <w:r>
              <w:t xml:space="preserve"> </w:t>
            </w:r>
            <w:r>
              <w:rPr>
                <w:b/>
                <w:i/>
              </w:rPr>
              <w:t>arvestades, et noortegarantii peab sellega ennetavalt tegelema, et tagada nende tööalane konkurentsivõime;</w:t>
            </w:r>
            <w:r>
              <w:t xml:space="preserve"> </w:t>
            </w:r>
            <w:r>
              <w:rPr>
                <w:b/>
                <w:i/>
              </w:rPr>
              <w:t>arvestades, et tehisintellekt võib aidata ületada (õppimise) takistusi (tugitehnoloogia abil), kui noored omandavad varakult digikirjaoskuse ja tehisintellekti kasutamise põhioskused;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i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w:t>
            </w:r>
            <w:r>
              <w:tab/>
            </w:r>
            <w:r>
              <w:rPr>
                <w:b/>
                <w:i/>
              </w:rPr>
              <w:t>arvestades, et noortegarantii põhineb vastastikuse kohustuse põhimõttel, mille kohaselt on noortel mitte ainult õigus saada kvaliteetseid pakkumisi, vaid ka kohustus aktiivselt osaleda ja mõistlikke töö-, koolitus- või haridusvõimalusi vastu võtta;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j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seetõttu peavad liikmesriigid tagama, et mõistlike pakkumiste korduva ja põhjendamatu tagasilükkamise korral saab kooskõlas riigisisese õigusega kohaldada asjakohaseid meetmeid, et vältida passiivsust ja suurendada noorte isiklikku vastutust;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AM\1342335ET.docx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AM\1342335ET.docx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AM\1342335ET.docx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5604</Words>
  <Characters>42541</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508669</vt:lpwstr>
  </property>
  <property fmtid="{D5CDD505-2E9C-101B-9397-08002B2CF9AE}" pid="7" name="dmxml.render.traceId">
    <vt:lpwstr>6a16fbf6e9d4017916ebed44e98c707f</vt:lpwstr>
  </property>
  <property fmtid="{D5CDD505-2E9C-101B-9397-08002B2CF9AE}" pid="8" name="FooterPath">
    <vt:lpwstr>AM\1342335ET.docx</vt:lpwstr>
  </property>
  <property fmtid="{D5CDD505-2E9C-101B-9397-08002B2CF9AE}" pid="9" name="PE Number">
    <vt:lpwstr>787.791</vt:lpwstr>
  </property>
  <property fmtid="{D5CDD505-2E9C-101B-9397-08002B2CF9AE}" pid="10" name="UID">
    <vt:lpwstr>eu.europa.europarl-DIN1-2026-0000110653_01.00-et-01.00_text-xml</vt:lpwstr>
  </property>
</Properties>
</file>