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Työllisyyden ja sosiaaliasioiden valiokunta</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Neuvoston 30. lokakuuta 2020 antaman suosituksen ”’Silta työelämään – entistä vahvempi nuorisotakuu’ ja nuorisotakuun perustamisesta 22. huhtikuuta 2013 annetun neuvoston suosituksen korvaaminen” täytäntöönpano</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SEUT-sopimuksen 151 ja 153 artiklassa sekä sosiaaliturvaa ja -etuja koskevan asetuksen (EY) N:o 883/2004 3 artiklassa asetetut sosiaalipoliittiset tavoitteet,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ottaa huomioon neuvoston, parlamentin ja komission 17. marraskuuta 2017 antaman ja allekirjoittaman julistuksen Euroopan sosiaalisten oikeuksien pilarista ja erityisesti sen periaatteet 1, 3 ja 4,</w:t>
            </w:r>
          </w:p>
        </w:tc>
        <w:tc>
          <w:tcPr>
            <w:tcW w:w="4876" w:type="dxa"/>
            <w:tcBorders>
              <w:top w:val="nil"/>
              <w:left w:val="nil"/>
              <w:bottom w:val="nil"/>
              <w:right w:val="nil"/>
            </w:tcBorders>
          </w:tcPr>
          <w:p>
            <w:pPr>
              <w:pStyle w:val="Normal6a"/>
            </w:pPr>
            <w:r>
              <w:rPr>
                <w:b/>
                <w:i/>
              </w:rPr>
              <w:t>–</w:t>
            </w:r>
            <w:r>
              <w:tab/>
            </w:r>
            <w:r>
              <w:t xml:space="preserve">ottaa huomioon neuvoston, parlamentin ja komission 17. marraskuuta 2017 antaman ja allekirjoittaman julistuksen Euroopan sosiaalisten oikeuksien pilarista ja erityisesti sen periaatteet 1, 3 ja 4 </w:t>
            </w:r>
            <w:r>
              <w:rPr>
                <w:b/>
                <w:i/>
              </w:rPr>
              <w:t>sekä sen tavoitteen vähentää NEET-nuorten osuutta yhdeksään prosenttiin vuoteen 2030 mennessä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ottaa huomioon neuvoston, parlamentin ja komission 17. marraskuuta 2017 antaman ja allekirjoittaman julistuksen Euroopan sosiaalisten oikeuksien pilarista ja erityisesti sen periaatteet 1, 3 ja 4,</w:t>
            </w:r>
          </w:p>
        </w:tc>
        <w:tc>
          <w:tcPr>
            <w:tcW w:w="4876" w:type="dxa"/>
            <w:tcBorders>
              <w:top w:val="nil"/>
              <w:left w:val="nil"/>
              <w:bottom w:val="nil"/>
              <w:right w:val="nil"/>
            </w:tcBorders>
          </w:tcPr>
          <w:p>
            <w:pPr>
              <w:pStyle w:val="Normal6a"/>
            </w:pPr>
            <w:r>
              <w:rPr>
                <w:b/>
                <w:i/>
              </w:rPr>
              <w:t>–</w:t>
            </w:r>
            <w:r>
              <w:tab/>
            </w:r>
            <w:r>
              <w:t xml:space="preserve">ottaa huomioon neuvoston, parlamentin ja komission 17. marraskuuta 2017 antaman ja allekirjoittaman julistuksen Euroopan sosiaalisten oikeuksien pilarista ja erityisesti sen periaatteet 1, 3 ja 4 </w:t>
            </w:r>
            <w:r>
              <w:rPr>
                <w:b/>
                <w:i/>
              </w:rPr>
              <w:t>sekä sen tavoitteen vähentää NEET-nuorten osuutta yhdeksään prosenttiin vuoteen 2030 mennessä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uudistetun Euroopan sosiaalisen peruskirjan 7 ja 17 artiklan,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neuvoston päätelmät nuorisotyön roolista sellaisten keskeisten elämäntaitojen kehittämisen tukemisessa, jotka helpottavat nuorten sujuvaa siirtymää aikuisuuteen, aktiiviseen kansalaisuuteen ja työelämään (2017/C 189/06)</w:t>
            </w:r>
            <w:r>
              <w:rPr>
                <w:b/>
                <w:i/>
                <w:vertAlign w:val="superscript"/>
              </w:rPr>
              <w:t>2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EUVL C 189, 15.6.2017, s. 30–34.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EU:n nuorisostrategian (2019–2021) täytäntöönpanon (2021/C 504 1/02)</w:t>
            </w:r>
            <w:r>
              <w:rPr>
                <w:b/>
                <w:i/>
                <w:vertAlign w:val="superscript"/>
              </w:rPr>
              <w:t>2 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w:t>
            </w:r>
            <w:r>
              <w:t xml:space="preserve"> </w:t>
            </w:r>
            <w:r>
              <w:rPr>
                <w:b/>
                <w:i/>
              </w:rPr>
              <w:t>EUVL C 504I, 14.12.2021, s.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5. maaliskuuta 2026 annetun Euroopan komission tiedonannon ”Tasa-arvon unioni: </w:t>
            </w:r>
            <w:r>
              <w:t xml:space="preserve"> </w:t>
            </w:r>
            <w:r>
              <w:rPr>
                <w:b/>
                <w:i/>
              </w:rPr>
              <w:t>Rasisminvastainen strategia 2026–2030 (COM(2026)0012</w:t>
            </w:r>
            <w:r>
              <w:rPr>
                <w:b/>
                <w:i/>
                <w:vertAlign w:val="superscript"/>
              </w:rPr>
              <w:t>2 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c</w:t>
            </w:r>
            <w:r>
              <w:t xml:space="preserve"> </w:t>
            </w:r>
            <w:r>
              <w:rPr>
                <w:b/>
                <w:i/>
              </w:rPr>
              <w:t>COM/2021/102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unionin perusoikeusviraston raportin ”Being Black in the EU – Experiences of people of African descent”</w:t>
            </w:r>
            <w:r>
              <w:rPr>
                <w:b/>
                <w:i/>
                <w:vertAlign w:val="superscript"/>
              </w:rPr>
              <w:t>2 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d</w:t>
            </w:r>
            <w:r>
              <w:t xml:space="preserve"> </w:t>
            </w:r>
            <w:r>
              <w:rPr>
                <w:b/>
                <w:i/>
              </w:rPr>
              <w:t>https://fra.europa.eu/fi/publication/2023/being-black-eu.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unionin perusoikeusviraston raportin ”Being Muslim in the EU – Experiences of Muslims”</w:t>
            </w:r>
            <w:r>
              <w:rPr>
                <w:b/>
                <w:i/>
                <w:vertAlign w:val="superscript"/>
              </w:rPr>
              <w:t>2 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e</w:t>
            </w:r>
            <w:r>
              <w:t xml:space="preserve"> </w:t>
            </w:r>
            <w:r>
              <w:rPr>
                <w:b/>
                <w:i/>
              </w:rPr>
              <w:t>https://fra.europa.eu/fi/publication/2024/being-muslim-eu.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9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työllisyyskomitean (EMCO) tärkeimmät viesti, jotka neuvosto on vahvistanut TSTK-kokoonpanossaan vuosina 2016, 2018, 2019, 2021, 2023, 2025 ja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10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maailman johtajien syyskuussa 2015 hyväksymät ja neuvoston vahvistamat Yhdistyneiden kansakuntien kestävän kehityksen tavoitteet, erityisesti tavoitteen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sosiaalisen peruskirjan ja erityisesti sen 7 ja 17 artiklan,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kestävän kehityksen toimintaohjelman Agenda 2030 ja kestävän kehityksen tavoitteet, erityisesti tavoitteen 8 edistää kaikkia koskevaa kestävää talouskasvua, täyttä ja tuottavaa työllisyyttä sekä säällisiä työpaikkoja,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neuvoston 9. maaliskuuta 2026 antaman suosituksen inhimillisestä pääomasta Euroopan unionissa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EUVL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alueiden komitean 5. helmikuuta 2021 antaman lausunnon: "Nuorisotyöllisyyden tukeminen:</w:t>
            </w:r>
            <w:r>
              <w:t xml:space="preserve"> </w:t>
            </w:r>
            <w:r>
              <w:rPr>
                <w:b/>
                <w:i/>
              </w:rPr>
              <w:t> silta työelämään seuraavalle sukupolvelle – entistä vahvempi nuorisotakuu”</w:t>
            </w:r>
            <w:r>
              <w:rPr>
                <w:b/>
                <w:i/>
                <w:vertAlign w:val="superscript"/>
              </w:rPr>
              <w:t>2 a</w:t>
            </w:r>
            <w:r>
              <w:rPr>
                <w:b/>
                <w:i/>
              </w:rPr>
              <w:t>,</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EUVL C 106, 26.3.2021, s.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17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talous- ja sosiaalikomitean 29. lokakuuta 2020 antaman lausunnon "Nuorisotyöllisyyden tukeminen",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17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Eurofoundin vuonna 2024 antaman raportin "Becoming adults: Young people in a post-pandemic world", joka käsittelee nuorten tilannetta pandemian jälkeen</w:t>
            </w:r>
            <w:r>
              <w:rPr>
                <w:b/>
                <w:i/>
                <w:vertAlign w:val="superscript"/>
              </w:rPr>
              <w:t>3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Eurofound, 2024, Becoming adults:</w:t>
            </w:r>
            <w:r>
              <w:t xml:space="preserve"> </w:t>
            </w:r>
            <w:r>
              <w:rPr>
                <w:b/>
                <w:i/>
              </w:rPr>
              <w:t>Young people in a post-pandemic world, Euroopan unionin julkaisutoimisto,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17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Eurofoundin vuonna 2024 antaman raportin "Young people in the Western Balkans", joka käsittelee nuorten tilannetta Länsi-Balkanin alueella</w:t>
            </w:r>
            <w:r>
              <w:rPr>
                <w:b/>
                <w:i/>
                <w:vertAlign w:val="superscript"/>
              </w:rPr>
              <w:t>4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a</w:t>
            </w:r>
            <w:r>
              <w:t xml:space="preserve"> </w:t>
            </w:r>
            <w:r>
              <w:rPr>
                <w:b/>
                <w:i/>
              </w:rPr>
              <w:t>Eurofound, 2024, Young people in the Western Balkans, Euroopan unionin julkaisutoimisto,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17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ammatillisen koulutuksen kehittämiskeskuksen vuonna 2023 antaman lausunnon "European guidelines for validating non-formal and informal learning"</w:t>
            </w:r>
            <w:r>
              <w:rPr>
                <w:b/>
                <w:i/>
                <w:vertAlign w:val="superscript"/>
              </w:rPr>
              <w:t>5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a</w:t>
            </w:r>
            <w:r>
              <w:t xml:space="preserve"> </w:t>
            </w:r>
            <w:r>
              <w:rPr>
                <w:b/>
                <w:i/>
              </w:rPr>
              <w:t>Cedefop, 2023.</w:t>
            </w:r>
            <w:r>
              <w:t xml:space="preserve"> </w:t>
            </w:r>
            <w:r>
              <w:rPr>
                <w:b/>
                <w:i/>
              </w:rPr>
              <w:t>European guidelines for validating non-formal and informal learning.</w:t>
            </w:r>
            <w:r>
              <w:t xml:space="preserve"> </w:t>
            </w:r>
            <w:r>
              <w:rPr>
                <w:b/>
                <w:i/>
              </w:rPr>
              <w:t>Luxemburg:</w:t>
            </w:r>
            <w:r>
              <w:t xml:space="preserve"> </w:t>
            </w:r>
            <w:r>
              <w:rPr>
                <w:b/>
                <w:i/>
              </w:rPr>
              <w:t>Julkaisutoimisto.</w:t>
            </w:r>
            <w:r>
              <w:t xml:space="preserve"> </w:t>
            </w:r>
            <w:r>
              <w:rPr>
                <w:b/>
                <w:i/>
              </w:rPr>
              <w:t>Cedefop reference series,</w:t>
            </w:r>
            <w:r>
              <w:t xml:space="preserve"> </w:t>
            </w:r>
            <w:r>
              <w:rPr>
                <w:b/>
                <w:i/>
              </w:rPr>
              <w:t>Nro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17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koulutussäätiön vuonna 2025 julkaiseman käsikirjan: "Outreach to Young People not in Employment, Education or Training:</w:t>
            </w:r>
            <w:r>
              <w:t xml:space="preserve"> </w:t>
            </w:r>
            <w:r>
              <w:rPr>
                <w:b/>
                <w:i/>
              </w:rPr>
              <w:t>A practical Manual for Outreach”</w:t>
            </w:r>
            <w:r>
              <w:rPr>
                <w:b/>
                <w:i/>
                <w:vertAlign w:val="superscript"/>
              </w:rPr>
              <w:t>6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a</w:t>
            </w:r>
            <w:r>
              <w:t xml:space="preserve"> </w:t>
            </w:r>
            <w:r>
              <w:rPr>
                <w:b/>
                <w:i/>
              </w:rPr>
              <w:t>European Training Foundation (2025), Outreach to Young People not in Employment, Education of Training:</w:t>
            </w:r>
            <w:r>
              <w:t xml:space="preserve"> </w:t>
            </w:r>
            <w:r>
              <w:rPr>
                <w:b/>
                <w:i/>
              </w:rPr>
              <w:t>A practical Manual for Outreach, Torino, Italia.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17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Cedefopin vuoden 2026 julkaisun "An EU reference framework for lifelong guidance: 18 guidelines for policy and system development"</w:t>
            </w:r>
            <w:r>
              <w:rPr>
                <w:b/>
                <w:i/>
                <w:vertAlign w:val="superscript"/>
              </w:rPr>
              <w:t>7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a</w:t>
            </w:r>
            <w:r>
              <w:t xml:space="preserve"> </w:t>
            </w:r>
            <w:r>
              <w:rPr>
                <w:b/>
                <w:i/>
              </w:rPr>
              <w:t>Cedefop, 2026,</w:t>
            </w:r>
            <w:r>
              <w:t xml:space="preserve"> </w:t>
            </w:r>
            <w:r>
              <w:rPr>
                <w:b/>
                <w:i/>
              </w:rPr>
              <w:t>An EU reference framework for lifelong guidance.</w:t>
            </w:r>
            <w:r>
              <w:t xml:space="preserve"> </w:t>
            </w:r>
            <w:r>
              <w:rPr>
                <w:b/>
                <w:i/>
              </w:rPr>
              <w:t>18 guidelines for policy and systems development.</w:t>
            </w:r>
            <w:r>
              <w:t xml:space="preserve"> </w:t>
            </w:r>
            <w:r>
              <w:rPr>
                <w:b/>
                <w:i/>
              </w:rPr>
              <w:t>Cedefop reference series, 125.</w:t>
            </w:r>
            <w:r>
              <w:t xml:space="preserve"> </w:t>
            </w:r>
            <w:r>
              <w:rPr>
                <w:b/>
                <w:i/>
              </w:rPr>
              <w:t>Euroopan unionin julkaisutoimisto.</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ottaa huomioon parlamentin tutkimuspalvelujen 18. joulukuuta 2025 julkaiseman Euroopan tason täytäntöönpanon arvioinnin ”The implementation of the reinforced Youth Guarantee - Trends in EU Member States, impact, EU funding and governance”,</w:t>
            </w:r>
          </w:p>
        </w:tc>
        <w:tc>
          <w:tcPr>
            <w:tcW w:w="4876" w:type="dxa"/>
            <w:tcBorders>
              <w:top w:val="nil"/>
              <w:left w:val="nil"/>
              <w:bottom w:val="nil"/>
              <w:right w:val="nil"/>
            </w:tcBorders>
          </w:tcPr>
          <w:p>
            <w:pPr>
              <w:pStyle w:val="Normal6a"/>
            </w:pPr>
            <w:r>
              <w:rPr>
                <w:b/>
                <w:i/>
              </w:rPr>
              <w:t>–</w:t>
            </w:r>
            <w:r>
              <w:tab/>
            </w:r>
            <w:r>
              <w:t>ottaa huomioon parlamentin tutkimuspalvelujen 18. joulukuuta 2025 julkaiseman Euroopan tason täytäntöönpanon arvioinnin ”The implementation of the reinforced Youth Guarantee - Trends in EU Member States, impact, EU funding and governance”</w:t>
            </w:r>
            <w:r>
              <w:rPr>
                <w:b/>
                <w:i/>
                <w:vertAlign w:val="superscript"/>
              </w:rPr>
              <w:t>8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a</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aluekomitean kesäkuussa 2022 julkaiseman tutkimuksen vahvistetun nuorisotakuun paikallisesta toteutuksesta, "The local implementation of the Reinforced Youth Guarantee",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nuorisofoorumin 13. maaliskuuta antaman kannan "‘Youth Guarantee: How to support young people finding a pathway",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19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21. marraskuuta 2023 annetun Euroopan parlamentin päätöslauselman "Eriarvoisuuden vähentäminen ja sosiaalisen osallisuuden edistäminen kriisiaikoina lasten ja heidän perheidensä osalta"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https://eur-lex.europa.eu/eli/C/2024/4211/oj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19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helmikuuta 2022 antamansa päätöslauselman eurooppalaisten nuorten vaikutusmahdollisuuksien lisäämisestä:</w:t>
            </w:r>
            <w:r>
              <w:t xml:space="preserve"> </w:t>
            </w:r>
            <w:r>
              <w:rPr>
                <w:b/>
                <w:i/>
              </w:rPr>
              <w:t>työllisyys ja sosiaalinen elpyminen pandemian jälkeen</w:t>
            </w:r>
            <w:r>
              <w:rPr>
                <w:b/>
                <w:i/>
                <w:vertAlign w:val="superscript"/>
              </w:rPr>
              <w:t>9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 a</w:t>
            </w:r>
            <w:r>
              <w:t xml:space="preserve"> </w:t>
            </w:r>
            <w:r>
              <w:rPr>
                <w:b/>
                <w:i/>
              </w:rPr>
              <w:t>EUVL C 342, 6.9.2022, s.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19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11. maaliskuuta 2025 antamansa päätöslauselman Euroopan sosiaalirahasto plussasta vuoden 2027 jälkeen</w:t>
            </w:r>
            <w:r>
              <w:rPr>
                <w:b/>
                <w:i/>
                <w:vertAlign w:val="superscript"/>
              </w:rPr>
              <w:t>10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a</w:t>
            </w:r>
            <w:r>
              <w:t xml:space="preserve"> </w:t>
            </w:r>
            <w:r>
              <w:rPr>
                <w:b/>
                <w:i/>
              </w:rPr>
              <w:t>EUVL C, C/2026/3146.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19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27. marraskuuta 2025 antamansa päätöslauselman EU:n vammaisten henkilöiden oikeuksia koskevasta strategiasta vuoden 2024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vahvistetussa nuorisotakuussa jäsenvaltiot ovat sitoutuneet varmistamaan, että kaikille alle 30-vuotiaille nuorille tarjotaan laadukas työ-, jatkokoulutus-, oppisopimus- tai harjoittelupaikka </w:t>
            </w:r>
            <w:r>
              <w:rPr>
                <w:b/>
                <w:i/>
              </w:rPr>
              <w:t>neljän kuukauden kuluessa työttömäksi joutumisesta tai koulutuksen päättämisestä</w:t>
            </w:r>
            <w:r>
              <w:t>;</w:t>
            </w:r>
          </w:p>
        </w:tc>
        <w:tc>
          <w:tcPr>
            <w:tcW w:w="4876" w:type="dxa"/>
            <w:tcBorders>
              <w:top w:val="nil"/>
              <w:left w:val="nil"/>
              <w:bottom w:val="nil"/>
              <w:right w:val="nil"/>
            </w:tcBorders>
          </w:tcPr>
          <w:p>
            <w:pPr>
              <w:pStyle w:val="Normal6a"/>
            </w:pPr>
            <w:r>
              <w:t>A.</w:t>
            </w:r>
            <w:r>
              <w:tab/>
            </w:r>
            <w:r>
              <w:t xml:space="preserve">ottaa huomioon, että vahvistetussa nuorisotakuussa jäsenvaltiot ovat sitoutuneet varmistamaan, että kaikille alle 30-vuotiaille nuorille tarjotaan </w:t>
            </w:r>
            <w:r>
              <w:rPr>
                <w:b/>
                <w:i/>
              </w:rPr>
              <w:t>teoriassa</w:t>
            </w:r>
            <w:r>
              <w:t xml:space="preserve"> laadukas työ-, jatkokoulutus-, oppisopimus- tai harjoittelupaikka</w:t>
            </w:r>
            <w:r>
              <w:rPr>
                <w:b/>
                <w:i/>
              </w:rPr>
              <w:t>; toteaa, että sitoumus on kohdannut käytännön esteitä ja on osoittautunut byrokraattien toiveuneksi ja että yli puolet unionin nuorista odottaa edelleen tarjousta tämän ajanjakson jälkeen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vahvistetussa nuorisotakuussa jäsenvaltiot ovat sitoutuneet varmistamaan, että kaikille alle 30-vuotiaille nuorille tarjotaan laadukas työ-, jatkokoulutus-, oppisopimus- tai harjoittelupaikka neljän kuukauden kuluessa työttömäksi joutumisesta tai koulutuksen päättämisestä;</w:t>
            </w:r>
          </w:p>
        </w:tc>
        <w:tc>
          <w:tcPr>
            <w:tcW w:w="4876" w:type="dxa"/>
            <w:tcBorders>
              <w:top w:val="nil"/>
              <w:left w:val="nil"/>
              <w:bottom w:val="nil"/>
              <w:right w:val="nil"/>
            </w:tcBorders>
          </w:tcPr>
          <w:p>
            <w:pPr>
              <w:pStyle w:val="Normal6a"/>
            </w:pPr>
            <w:r>
              <w:t>A.</w:t>
            </w:r>
            <w:r>
              <w:tab/>
            </w:r>
            <w:r>
              <w:t xml:space="preserve">ottaa huomioon, että vahvistetussa nuorisotakuussa jäsenvaltiot ovat sitoutuneet varmistamaan, että kaikille alle 30-vuotiaille nuorille tarjotaan laadukas työ-, jatkokoulutus-, oppisopimus- tai harjoittelupaikka neljän kuukauden kuluessa työttömäksi joutumisesta tai koulutuksen päättämisestä; </w:t>
            </w:r>
            <w:r>
              <w:rPr>
                <w:b/>
                <w:i/>
              </w:rPr>
              <w:t>ottaa huomioon, että nuorisotakuu otettiin käyttöön vuonna 2013, minkä jälkeen 60 miljoonaa nuorta on aloittanut Euroopassa sen ohjelmien kautta saamansa tarjouksen;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w:t>
            </w:r>
            <w:r>
              <w:rPr>
                <w:b/>
                <w:i/>
              </w:rPr>
              <w:t>vahvistetussa nuorisotakuussa</w:t>
            </w:r>
            <w:r>
              <w:t xml:space="preserve"> jäsenvaltiot ovat sitoutuneet varmistamaan, että kaikille alle 30-vuotiaille nuorille tarjotaan laadukas työ-, jatkokoulutus-, oppisopimus- tai harjoittelupaikka neljän kuukauden kuluessa työttömäksi joutumisesta tai koulutuksen päättämisestä;</w:t>
            </w:r>
          </w:p>
        </w:tc>
        <w:tc>
          <w:tcPr>
            <w:tcW w:w="4876" w:type="dxa"/>
            <w:tcBorders>
              <w:top w:val="nil"/>
              <w:left w:val="nil"/>
              <w:bottom w:val="nil"/>
              <w:right w:val="nil"/>
            </w:tcBorders>
          </w:tcPr>
          <w:p>
            <w:pPr>
              <w:pStyle w:val="Normal6a"/>
            </w:pPr>
            <w:r>
              <w:t>A.</w:t>
            </w:r>
            <w:r>
              <w:tab/>
            </w:r>
            <w:r>
              <w:rPr>
                <w:b/>
                <w:i/>
              </w:rPr>
              <w:t>toteaa, että nuorisotakuu otettiin käyttöön vuonna 2013 ja vahvistettu järjestelmä vuonna 2020;</w:t>
            </w:r>
            <w:r>
              <w:t xml:space="preserve"> ottaa huomioon, että jäsenvaltiot ovat sitoutuneet varmistamaan, että kaikille alle 30-vuotiaille nuorille tarjotaan laadukas työ-, jatkokoulutus-, oppisopimus- tai harjoittelupaikka neljän kuukauden kuluessa työttömäksi joutumisesta tai koulutuksen päättämisestä;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vahvistetun nuorisotakuun tavoite on torjua nuorisotyöttömyyttä, työelämän ulkopuolelle jäämistä ja vajaatyöllisyyttä sekä tukea nuorten kestävää integroitumista laadukkaan koulutuksen, opetuksen ja työmarkkinoiden piiriin;</w:t>
            </w:r>
            <w:r>
              <w:t xml:space="preserve"> </w:t>
            </w:r>
            <w:r>
              <w:rPr>
                <w:b/>
                <w:i/>
              </w:rPr>
              <w:t>toteaa, että vahvistetun nuorisotakuun tavoitteet kuvastavat parlamentin, komission ja jäsenvaltioiden politiikan yhteisiä painopistealueita nykyisessä monivuotisessa rahoituskehyksessä ja edistävät unionin kestävän talouskasvun tavoitetta ja laadukkaiden työpaikkojen luomista Euroopan sosiaalisten oikeuksien pilarin mukaisesti;</w:t>
            </w:r>
            <w:r>
              <w:t xml:space="preserve"> </w:t>
            </w:r>
            <w:r>
              <w:rPr>
                <w:b/>
                <w:i/>
              </w:rPr>
              <w:t>toteaa, että sitkeät ongelmat ja nopeasti kehittyvät uudet haasteet nuorten integroitumisessa työmarkkinoille edellyttävät, että näistä painopisteistä pidetään kiinni nykyisen ohjelmakauden jälkeenkin;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jäsenvaltiot ovat yleensä pitäneet kiinni vahvasta poliittisesta sitoumuksesta nuorisotakuun toteuttamiseen ja kansallisista täytäntöönpanosuunnitelmistaan;</w:t>
            </w:r>
            <w:r>
              <w:t xml:space="preserve"> </w:t>
            </w:r>
            <w:r>
              <w:rPr>
                <w:b/>
                <w:i/>
              </w:rPr>
              <w:t>toteaa, että NEET-nuorten tukemisen valmiuksia ja vastavuoroista oppimista on pyritty vahvistamaan erityistoimin kansallisten koordinaattoreiden tapaamisin EU:n tasolla tai laajemminkin;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Eurofoundin tutkimuksen mukaan NEET-nuoret ovat pitkälti heterogeeninen ja koostuu selvästi erottuvista alaryhmistä, joista jokaisella on ainutlaatuisia rakenteellisia esteitä ja tarpeita estämässä heidän integroitumistaan työmarkkinoille;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tällaisten toimenpiteiden suunnittelussa ja täytäntöönpanossa olisi noudatettava kaikilta osin toissijaisuusperiaatetta ja kunnioitettava jäsenvaltioiden toimivaltaa koulutuksen ja työllisyyspolitiikan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toteaa, että NEET-nuorten osuus EU:ssa on kääntynyt jälleen laskuun pandemian jälkeisen suuntauksen jälkeen;</w:t>
            </w:r>
            <w:r>
              <w:t xml:space="preserve"> </w:t>
            </w:r>
            <w:r>
              <w:rPr>
                <w:b/>
                <w:i/>
              </w:rPr>
              <w:t>toteaa, että Euroopan sosiaalisten oikeuksien pilarin toimintaohjelma sisältää tavoitteen vähentää NEET-nuorten osuus yhdeksään prosenttiin 15–29-vuotiasta vuoteen 2030 mennessä;</w:t>
            </w:r>
            <w:r>
              <w:t xml:space="preserve"> </w:t>
            </w:r>
            <w:r>
              <w:rPr>
                <w:b/>
                <w:i/>
              </w:rPr>
              <w:t>panee merkille, että tavoitteen saavuttamisen suhteen suunta on oikea, vaikka eri jäsenvaltioiden ja alueiden välillä on merkittäviä eroavaisuuksia</w:t>
            </w:r>
            <w:r>
              <w:rPr>
                <w:b/>
                <w:i/>
                <w:vertAlign w:val="superscript"/>
              </w:rPr>
              <w:t>11 a</w:t>
            </w:r>
            <w:r>
              <w:rPr>
                <w:b/>
                <w:i/>
              </w:rPr>
              <w:t>, ja toteaa, että tavoitteen saavuttaminen jättäisi edelleen merkittävän määrän nuoria epävarmaan asemaan;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 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toteaa, että työelämän ja koulutuksen ulkopuolella olevat nuoret (NEET-nuoret) ovat moninainen ryhmä nuoria ihmisiä, joiden elämänkokemukset ovat hyvin erilaisia;</w:t>
            </w:r>
            <w:r>
              <w:t xml:space="preserve"> </w:t>
            </w:r>
            <w:r>
              <w:rPr>
                <w:b/>
                <w:i/>
              </w:rPr>
              <w:t>toteaa, että Eurofoundin tutkimuksen</w:t>
            </w:r>
            <w:r>
              <w:rPr>
                <w:b/>
                <w:i/>
                <w:vertAlign w:val="superscript"/>
              </w:rPr>
              <w:t>1 a</w:t>
            </w:r>
            <w:r>
              <w:t xml:space="preserve"> </w:t>
            </w:r>
            <w:r>
              <w:rPr>
                <w:b/>
                <w:i/>
              </w:rPr>
              <w:t>mukaan NEET-nuorten joukko on pitkälti heterogeeninen ja koostuu selvästi erottuvista alaryhmistä, joista jokaisella on ainutlaatuisia rakenteellisia esteitä estämässä heidän integroitumistaan työmarkkinoille ja jotka näin ollen tarvitsevat räätälöityä, henkilökohtaista tukea ja heidän erityistarpeitaan vastaavaa tukea;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Eurofound, ”Exploring the diversity of NEETs”, Euroopan unionin julkaisutoimisto,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toteaa, että vahvistetun nuorisotakuun täytäntöönpanossa ja kehittämisessä on kohdistettava erityishuomiota epävarmoissa tilanteissa oleviin NEET-nuoriin sekä heihin, jotka ovat kaikkein kauimpana työmarkkinoilla, sillä heitä on usein vaikea tavoittaa;</w:t>
            </w:r>
            <w:r>
              <w:t xml:space="preserve"> </w:t>
            </w:r>
            <w:r>
              <w:rPr>
                <w:b/>
                <w:i/>
              </w:rPr>
              <w:t>toteaa, että tämä kattaa naiset, erilaisista etnisistä taustoista tulevat henkilöt, romani- ja travelleryhteisöt, asunnottomuutta kokevat nuoret, laitoshoidossa asuneet nuoret, seksuaali- ja sukupuolivähemmistöt, siirtolais- tai pakolaisnuoret, vammaiset nuoret, uskonnon tai vakaumuksen perusteella syrjityt nuoret, kroonisesta sairaudesta tai riippuvuudesta kärsivät nuoret, nuoret vanhemmat sekä omaishoitajina toimivat nuoret;</w:t>
            </w:r>
            <w:r>
              <w:t xml:space="preserve"> </w:t>
            </w:r>
            <w:r>
              <w:rPr>
                <w:b/>
                <w:i/>
              </w:rPr>
              <w:t>toteaa, että on tehtävä selkeä ero vasten tahtoaan koulutuksen, työelämän tai harjoittelun ulkopuolelle jääneiden NEET-nuorten sekä vapaaehtoisesti työelämän ulkopuolella olevien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toteaa, että NEET-nuorten kesken vallitsee sitkeästi sukupuolten välinen ero ja että EU:ssa nuorten naisten NEET-osuus on johdonmukaisesti korkeampi kuin nuorten miesten</w:t>
            </w:r>
            <w:r>
              <w:rPr>
                <w:b/>
                <w:i/>
                <w:vertAlign w:val="superscript"/>
              </w:rPr>
              <w:t>12 a</w:t>
            </w:r>
            <w:r>
              <w:rPr>
                <w:b/>
                <w:i/>
              </w:rPr>
              <w:t>;</w:t>
            </w:r>
            <w:r>
              <w:t xml:space="preserve"> </w:t>
            </w:r>
            <w:r>
              <w:rPr>
                <w:b/>
                <w:i/>
              </w:rPr>
              <w:t>toteaa, että tilanne selittyy osittain lastenhoitovastuiden epätasa-arvoisella jakautumisella ja sosiaalisilla normeilla;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 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toteaa, että NEET-nuorten integroituminen työmarkkinoille on muuttunut entistä monimutkaisemmaksi, mihin vaikuttaa esimerkiksi keikkatalouden kasvu ja epävarmojen ja epätyypillisten työmuotojen lisääntyminen, tekoälyn ja digitalisaation kehitys sekä elinkustannuskriisi, joka sisältää myös asumiskustannusten nousun;</w:t>
            </w:r>
            <w:r>
              <w:t xml:space="preserve"> </w:t>
            </w:r>
            <w:r>
              <w:rPr>
                <w:b/>
                <w:i/>
              </w:rPr>
              <w:t>toteaa, että nämä kehityssuunnat synnyttävät rakenteellisia esteitä kestävälle työllistymisille ja pahentavat epätasa-arvoa, minkä vuoksi haavoittuvassa asemassa olevat NEET-henkilöt jäävät jälkeen;</w:t>
            </w:r>
            <w:r>
              <w:t xml:space="preserve"> </w:t>
            </w:r>
            <w:r>
              <w:rPr>
                <w:b/>
                <w:i/>
              </w:rPr>
              <w:t>toteaa, että vahvistetun nuorisotakuun täytäntöönpanoa on uudistettava ja vahvistettava, jotta voidaan tehokkaasti vastata näihin haasteisiin ja painopisteisiin ja asettaa etusijalle ne NEET-nuoret, jotka ovat kaikkein kauimpana työmarkkinoilta;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toteaa, että NEET-aste on EU:ssa korkein romanien keskuudessa, 47 prosenttia 16–24-vuotiaista, kun tässä ikäryhmässä EU:n keskiarvo on yhdeksän prosenttia</w:t>
            </w:r>
            <w:r>
              <w:rPr>
                <w:b/>
                <w:i/>
                <w:vertAlign w:val="superscript"/>
              </w:rPr>
              <w:t>13a</w:t>
            </w:r>
            <w:r>
              <w:rPr>
                <w:b/>
                <w:i/>
              </w:rPr>
              <w:t xml:space="preserve">; </w:t>
            </w:r>
            <w:r>
              <w:t xml:space="preserve"> </w:t>
            </w:r>
            <w:r>
              <w:rPr>
                <w:b/>
                <w:i/>
              </w:rPr>
              <w:t>toteaa, että mikään tutkimuksen jäsenvaltio ei ole lähellä saavuttaa romaneja koskevan EU:n strategiakehyksen</w:t>
            </w:r>
            <w:r>
              <w:rPr>
                <w:b/>
                <w:i/>
                <w:vertAlign w:val="superscript"/>
              </w:rPr>
              <w:t>14 a</w:t>
            </w:r>
            <w:r>
              <w:rPr>
                <w:b/>
                <w:i/>
              </w:rPr>
              <w:t> tavoitteita ja että ilman kohdennettua ja strategista jäsenvaltioiden lähestymistapaa riskinä on, että EU altistaa kokonaisen sukupolven romani- ja travellernuoria koulutuksesta, harjoittelusta ja työmarkkinoilta syrjäytymisen uhalle;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Euroopan perusoikeusvirasto (FRA), 2. lokakuuta 2025, Rights of Roma and Travellers in 13 European countries - Perspectives from the Roma Survey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a</w:t>
            </w:r>
            <w:r>
              <w:t xml:space="preserve"> </w:t>
            </w:r>
            <w:r>
              <w:rPr>
                <w:b/>
                <w:i/>
              </w:rPr>
              <w:t>Euroopan komissio, 7. lokakuuta 2020,</w:t>
            </w:r>
            <w:r>
              <w:t xml:space="preserve"> </w:t>
            </w:r>
            <w:r>
              <w:rPr>
                <w:b/>
                <w:i/>
              </w:rPr>
              <w:t>Romanien tasa-arvoa, osallisuutta ja osallistumista koskeva EU:n strategiakehys (COM(2020) 620 final). https://eur-lex.europa.eu/legal-content/FI/TXT/PDF/?uri=CELEX:52020DC0620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toteaa, että siirtymä koulutuksesta työmarkkinoille on pitkittynyt, monimutkaistunut ja muuttunut epävarmemmaksi</w:t>
            </w:r>
            <w:r>
              <w:t xml:space="preserve"> </w:t>
            </w:r>
            <w:r>
              <w:rPr>
                <w:b/>
                <w:i/>
              </w:rPr>
              <w:t>nuorten kohdalla, ja että moni siirtyy edestakaisin työllisyyden, työttömyyden ja työvoiman ulkopuolella olemisen kanssa tai on jumissa epätyypillisissä työmuodoissa;</w:t>
            </w:r>
            <w:r>
              <w:t xml:space="preserve"> </w:t>
            </w:r>
            <w:r>
              <w:rPr>
                <w:b/>
                <w:i/>
              </w:rPr>
              <w:t>toteaa, että vahvistetussa nuorisotakuussa ei ole otettu riittävästi huomioon näitä hajautuneita reittejä ja se nojautuu edelleen jäykkiin kertaluonteisiin toimenpiteisiin;</w:t>
            </w:r>
            <w:r>
              <w:t xml:space="preserve"> </w:t>
            </w:r>
            <w:r>
              <w:rPr>
                <w:b/>
                <w:i/>
              </w:rPr>
              <w:t>toteaa, että tehokas integroituminen työmarkkinoille, erityisesti haavoittuvassa asemassa olevien NEET-nuorten kohdalla, edellyttää joustavaa, henkilökohtaista ja pitkäkestoista tukea;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toteaa, että Euroopan unionin perusoikeusviraston vuoden 2021 Roma survey -tutkimuksen mukaan 19 prosenttia romaninaisista ei ole koskaan käynyt koulua, verrattuna 14 prosenttiin miehistä, ja että ainoastaan 23 prosenttia romaninaisista on koulutuksen piirissä 16 ikävuoden jälkeen, kun taas romanimiesten kohdalla luku on 32 prosenttia</w:t>
            </w:r>
            <w:r>
              <w:rPr>
                <w:b/>
                <w:i/>
                <w:vertAlign w:val="superscript"/>
              </w:rPr>
              <w:t>15a</w:t>
            </w:r>
            <w:r>
              <w:rPr>
                <w:b/>
                <w:i/>
              </w:rPr>
              <w:t>;</w:t>
            </w:r>
            <w:r>
              <w:t xml:space="preserve"> </w:t>
            </w:r>
            <w:r>
              <w:rPr>
                <w:b/>
                <w:i/>
              </w:rPr>
              <w:t>toteaa, että sukupuolten perusteella eriteltyjen tietojen mukaan keskimäärin 61 prosenttia nuorista romani- ja travellernaisista on NEET-asemassa, kun taas nuorten romanimiesten kohdalla osuus on 33 prosenttia</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Euroopan neuvosto, 2025.</w:t>
            </w:r>
            <w:r>
              <w:t xml:space="preserve"> </w:t>
            </w:r>
            <w:r>
              <w:rPr>
                <w:b/>
                <w:i/>
              </w:rPr>
              <w:t>Equality of Roma and Traveller women and girls (Ref. 094724GBR).</w:t>
            </w:r>
            <w:r>
              <w:t xml:space="preserve"> </w:t>
            </w:r>
            <w:r>
              <w:rPr>
                <w:b/>
                <w:i/>
              </w:rPr>
              <w:t>Euroopan neuvosto.https://edoc.coe.int/en/roma-and-travellers/12078-equality-of-roma-and-traveller-women-and-girls.html;</w:t>
            </w:r>
            <w:r>
              <w:t xml:space="preserve"> </w:t>
            </w:r>
            <w:r>
              <w:rPr>
                <w:b/>
                <w:i/>
              </w:rPr>
              <w:t>Euroopan unionin perusoikeusvirasto, 2020.</w:t>
            </w:r>
            <w:r>
              <w:t xml:space="preserve"> </w:t>
            </w:r>
            <w:r>
              <w:rPr>
                <w:b/>
                <w:i/>
              </w:rPr>
              <w:t>Roma and Travellers in six countries:</w:t>
            </w:r>
            <w:r>
              <w:t xml:space="preserve"> </w:t>
            </w:r>
            <w:r>
              <w:rPr>
                <w:b/>
                <w:i/>
              </w:rPr>
              <w:t>Roma and Travellers survey (perusoikeusviraston raportti).</w:t>
            </w:r>
            <w:r>
              <w:t xml:space="preserve"> </w:t>
            </w:r>
            <w:r>
              <w:rPr>
                <w:b/>
                <w:i/>
              </w:rPr>
              <w:t>Euroopan unionin julkaisutoimisto.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Euroopan unionin perusoikeusvirasto, 2025.</w:t>
            </w:r>
            <w:r>
              <w:t xml:space="preserve"> </w:t>
            </w:r>
            <w:r>
              <w:rPr>
                <w:b/>
                <w:i/>
              </w:rPr>
              <w:t>Rights of Roma and Travellers in 13 European countries – Perspectives from the Roma Survey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w:t>
            </w:r>
            <w:r>
              <w:tab/>
            </w:r>
            <w:r>
              <w:rPr>
                <w:b/>
                <w:i/>
              </w:rPr>
              <w:t>toteaa, että matalapalkkatyöt</w:t>
            </w:r>
            <w:r>
              <w:rPr>
                <w:b/>
                <w:i/>
                <w:vertAlign w:val="superscript"/>
              </w:rPr>
              <w:t>1 a</w:t>
            </w:r>
            <w:r>
              <w:rPr>
                <w:b/>
                <w:i/>
              </w:rPr>
              <w:t> koskevat nuoria suhteettoman paljon samoin kuin epävarmat ja epätyypilliset työmuodot, muun muassa määräaikaiset sopimukset, nollatuntisopimukset ja näennäisyrittäjyys;</w:t>
            </w:r>
            <w:r>
              <w:rPr>
                <w:b/>
                <w:i/>
                <w:vertAlign w:val="superscript"/>
              </w:rPr>
              <w:t>1b</w:t>
            </w:r>
            <w:r>
              <w:t xml:space="preserve"> </w:t>
            </w:r>
            <w:r>
              <w:rPr>
                <w:b/>
                <w:i/>
              </w:rPr>
              <w:t>toteaa, että heillä ei ole usein mahdollisuutta riittävään työsuhdesuojeluun ja sosiaalietuihin;</w:t>
            </w:r>
            <w:r>
              <w:t xml:space="preserve"> </w:t>
            </w:r>
            <w:r>
              <w:rPr>
                <w:b/>
                <w:i/>
              </w:rPr>
              <w:t>toteaa, että nuorten riski menettää työpaikkansa automaation seurauksena on myös suurempi;</w:t>
            </w:r>
            <w:r>
              <w:t xml:space="preserve"> </w:t>
            </w:r>
            <w:r>
              <w:rPr>
                <w:b/>
                <w:i/>
              </w:rPr>
              <w:t>toteaa, että tällaisissa olosuhteissa taloudellinen turva on rajallista ja keinot integroitua kestävästi työmarkkinoille heikentyvät;</w:t>
            </w:r>
            <w:r>
              <w:t xml:space="preserve"> </w:t>
            </w:r>
            <w:r>
              <w:rPr>
                <w:b/>
                <w:i/>
              </w:rPr>
              <w:t>toteaa, että tämä vaikuttaa erityisesti haavoittuvassa asemassa oleviin NEET-nuoriin, jotka ovat suhteettomasti keskittyneet alhaisen osaamistason ja heikkolaatuisiin työpaikkoihin;</w:t>
            </w:r>
            <w:r>
              <w:t xml:space="preserve"> </w:t>
            </w:r>
            <w:r>
              <w:rPr>
                <w:b/>
                <w:i/>
              </w:rPr>
              <w:t>toteaa, että vahvistetussa nuorisotakuussa on aktiivisesti etsittävä ratkaisuja epävarmuuteen ja matalaan palkkatasoon ja keskityttävä palkkatyöhön vapaaehtoistyön asemasta;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Eurostat, "Proportion of low-paid workers in EU countries",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w:t>
            </w:r>
            <w:r>
              <w:tab/>
            </w:r>
            <w:r>
              <w:rPr>
                <w:b/>
                <w:i/>
              </w:rPr>
              <w:t>toteaa, että erityisen suuri NEET-aseman riski on erilaisilla hoitovapailla olevien kohdalla mutta luotettavan datan puuttuessa heidän määränsä EU:n tasolla on edelleen epäselvä samoin kuin heidän tavoittamistoimensa, joilla heitä voitaisiin tukea ja tarjota mahdollisuuksia hoitovapaan jälkeen;</w:t>
            </w:r>
            <w:r>
              <w:t xml:space="preserve"> </w:t>
            </w:r>
            <w:r>
              <w:rPr>
                <w:b/>
                <w:i/>
              </w:rPr>
              <w:t>toteaa, että laitoshoidosta pois siirtyvät nuoret joutuvat usein itsenäistymään äkillisesti, eikä heidän koulutuksensa ole riittävän jatkuvaa eikä asuntotilanne vakaa, eivätkä he saa riittävästi neuvontaa ammattilaisilta, mikä lisää työttömyys-, köyhyys- ja syrjäytymisriskiä;</w:t>
            </w:r>
            <w:r>
              <w:t xml:space="preserve"> </w:t>
            </w:r>
            <w:r>
              <w:rPr>
                <w:b/>
                <w:i/>
              </w:rPr>
              <w:t>toteaa, että vahvistetun nuorisotakuun täytäntöönpanolla voitaisiin etsiä ratkaisuja näihin siirtymävaiheen puutteisiin räätälöityjen tukimekanismien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g.</w:t>
            </w:r>
            <w:r>
              <w:tab/>
            </w:r>
            <w:r>
              <w:rPr>
                <w:b/>
                <w:i/>
              </w:rPr>
              <w:t>toteaa, että nuorisotyöttömyys on kasvussa ja että osa-aikaiset työsuhteet ovat nuorten keskuudessa huomattavasti yleisempiä kuin koko työssäkäyvän väestön</w:t>
            </w:r>
            <w:r>
              <w:rPr>
                <w:b/>
                <w:i/>
                <w:vertAlign w:val="superscript"/>
              </w:rPr>
              <w:t>1 a</w:t>
            </w:r>
            <w:r>
              <w:rPr>
                <w:b/>
                <w:i/>
              </w:rPr>
              <w:t>;</w:t>
            </w:r>
            <w:r>
              <w:t xml:space="preserve"> </w:t>
            </w:r>
            <w:r>
              <w:rPr>
                <w:b/>
                <w:i/>
              </w:rPr>
              <w:t>toteaa, että erot ovat vielä selvempiä nuorten naisten keskuudessa;</w:t>
            </w:r>
            <w:r>
              <w:t xml:space="preserve"> </w:t>
            </w:r>
            <w:r>
              <w:rPr>
                <w:b/>
                <w:i/>
              </w:rPr>
              <w:t>toteaa, että suurin osa osa-aikaisista työsuhdejärjestelyistä eivät ole vapaaehtoisia, mikä kertoo rakenteellisesta epäonnistumisesta työmarkkinoilla, jotka eivät voi tarjota riittävästi mahdollisuuksia kokoaikatyöhön;</w:t>
            </w:r>
            <w:r>
              <w:t xml:space="preserve"> </w:t>
            </w:r>
            <w:r>
              <w:rPr>
                <w:b/>
                <w:i/>
              </w:rPr>
              <w:t>toteaa, että tahdonvastainen osa-aikatyö heikentää ansaintamahdollisuuksia, urakehitystä, sosiaalisen suojelun saatavuutta ja eläkeoikeuksia;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Eurostat, "Part-time and full-time employment - statistics",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g.</w:t>
            </w:r>
            <w:r>
              <w:tab/>
            </w:r>
            <w:r>
              <w:rPr>
                <w:b/>
                <w:i/>
              </w:rPr>
              <w:t>panee merkille, että puolueellisuus, leimautuminen ja sitkeästi vallitsevat stereotypiat saattavat heikentää laitostaustaisten, fyysisesti tai henkisesti kehitysvammaisten ja romaninuorten mahdollisuuksia osallistua harjoitteluun ja oppisopimuskoulutukseen;</w:t>
            </w:r>
            <w:r>
              <w:t xml:space="preserve"> </w:t>
            </w:r>
            <w:r>
              <w:rPr>
                <w:b/>
                <w:i/>
              </w:rPr>
              <w:t>toteaa, että tällaisten esteiden purkaminen ja inklusiivisten rekrytointimenettelyjen edistäminen on olennaisen tärkeää, jotta voidaan varmistaa kaikille laadukas ensikosketus työelämään;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h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w:t>
            </w:r>
            <w:r>
              <w:tab/>
            </w:r>
            <w:r>
              <w:rPr>
                <w:b/>
                <w:i/>
              </w:rPr>
              <w:t>toteaa, että perinteiset koulutus- ja työhönottoreitit ovat muuttumassa, koska laadukkaista aloitustason työpaikoista on rakenteellinen puute;</w:t>
            </w:r>
            <w:r>
              <w:t xml:space="preserve"> </w:t>
            </w:r>
            <w:r>
              <w:rPr>
                <w:b/>
                <w:i/>
              </w:rPr>
              <w:t>toteaa, että monen nuoren on vaikea saada tutkintonsa hyödynnettyä vakaana työsuhteena, vaikka heidän koulutuksensa ja osaamistasonsa olisi korkealla tasolla;</w:t>
            </w:r>
            <w:r>
              <w:t xml:space="preserve"> </w:t>
            </w:r>
            <w:r>
              <w:rPr>
                <w:b/>
                <w:i/>
              </w:rPr>
              <w:t>toteaa, että vastavalmistuneiden työllisyysaste on laskussa ja että nuorten osuus ammateissa, joihin he ovat ylikoulutettuja, on kasvussa</w:t>
            </w:r>
            <w:r>
              <w:rPr>
                <w:b/>
                <w:i/>
                <w:vertAlign w:val="superscript"/>
              </w:rPr>
              <w:t>1 a</w:t>
            </w:r>
            <w:r>
              <w:rPr>
                <w:b/>
                <w:i/>
              </w:rPr>
              <w:t>;</w:t>
            </w:r>
            <w:r>
              <w:t xml:space="preserve"> </w:t>
            </w:r>
            <w:r>
              <w:rPr>
                <w:b/>
                <w:i/>
              </w:rPr>
              <w:t>totea, että tästä syntyy syrjäyttämisvaikutus, joka rajoittaa haavoittuvassa asemassa olevien, kouluttamattomien NEET-nuorten mahdollisuuksia entisestään;</w:t>
            </w:r>
            <w:r>
              <w:t xml:space="preserve"> </w:t>
            </w:r>
            <w:r>
              <w:rPr>
                <w:b/>
                <w:i/>
              </w:rPr>
              <w:t>toteaa, että nuorten työmarkkinaintegraation esteiden lisääntyminen horjuttaa sosiaalista yhteenkuuluvuutta ja luottamusta instituutioihin;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Eurostat, "Employment rates of recent graduates",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i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w:t>
            </w:r>
            <w:r>
              <w:tab/>
            </w:r>
            <w:r>
              <w:rPr>
                <w:b/>
                <w:i/>
              </w:rPr>
              <w:t>toteaa, että lähes joka neljäs nuori unionissa oli köyhyyden ja sosiaalisen syrjäytymisen riskissä vuonna 2024, ja että tämä määrä on 3,1 prosenttiyksikköä korkeampi kuin kokonaisväestön kohdalla</w:t>
            </w:r>
            <w:r>
              <w:rPr>
                <w:b/>
                <w:i/>
                <w:vertAlign w:val="superscript"/>
              </w:rPr>
              <w:t>1 a</w:t>
            </w:r>
            <w:r>
              <w:rPr>
                <w:b/>
                <w:i/>
              </w:rPr>
              <w:t>;</w:t>
            </w:r>
            <w:r>
              <w:t xml:space="preserve"> </w:t>
            </w:r>
            <w:r>
              <w:rPr>
                <w:b/>
                <w:i/>
              </w:rPr>
              <w:t>toteaa, että rakenteellinen epätasa-arvo, kuten aineelliset puutteet ja sitkeästi epäedullinen sosiaalinen asema, heikentävät mahdollisuutta päästä työmarkkinoille ja elää itsenäistä elämää;</w:t>
            </w:r>
            <w:r>
              <w:t xml:space="preserve"> </w:t>
            </w:r>
            <w:r>
              <w:rPr>
                <w:b/>
                <w:i/>
              </w:rPr>
              <w:t>toteaa, että työllistymisen aktivointi ei onnistu, jos saatavilla ei ole perustason mahdollistavia olosuhteita, kuten asumista, liikennemahdollisuuksia, lastenhoitoa ja hoivatukea;</w:t>
            </w:r>
            <w:r>
              <w:t xml:space="preserve"> </w:t>
            </w:r>
            <w:r>
              <w:rPr>
                <w:b/>
                <w:i/>
              </w:rPr>
              <w:t>toteaa, että kestävä integroituminen työmarkkinoille edellyttää kokonaisvaltaista lähestymistapaa, jossa pureudutaan kaikkiin vaikeuttaviin esteisiin;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Eurostat, "Young people - social inclusion",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j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w:t>
            </w:r>
            <w:r>
              <w:tab/>
            </w:r>
            <w:r>
              <w:rPr>
                <w:b/>
                <w:i/>
              </w:rPr>
              <w:t>toteaa, että haavoittuvassa asemassa olevat NEET-nuoret eivät välttämättä hallitse toiminnallista luku-, lasku- ja digitaalisia taitoja, joita edellytetään laadukkaassa koulutuksessa, harjoittelussa tai työmarkkinoilla;</w:t>
            </w:r>
            <w:r>
              <w:t xml:space="preserve"> </w:t>
            </w:r>
            <w:r>
              <w:rPr>
                <w:b/>
                <w:i/>
              </w:rPr>
              <w:t>toteaa, että vahvistetussa nuorisotakuussa näitä taitoja pidetään usein itsestäänselvyytenä, mikä rajoittaa haavoittuvassa asemassa olevien NEET-nuorten mahdollisuuksia päästä työelämä- ja koulutustoimien piiriin ja hyötyä niistä;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w:t>
            </w:r>
            <w:r>
              <w:tab/>
            </w:r>
            <w:r>
              <w:rPr>
                <w:b/>
                <w:i/>
              </w:rPr>
              <w:t>toteaa, että nuorten luku-, matematiikka- ja luonnontiedetaidot heikkenevät kaikkialla EU:ssa ja että epäedullisista sosioekonomisista taustoista tulevat alisuoriutuvat kuusi kertaa todennäköisemmin kuin vertaisensa</w:t>
            </w:r>
            <w:r>
              <w:rPr>
                <w:b/>
                <w:i/>
                <w:vertAlign w:val="superscript"/>
              </w:rPr>
              <w:t>1 a</w:t>
            </w:r>
            <w:r>
              <w:rPr>
                <w:b/>
                <w:i/>
              </w:rPr>
              <w:t>;</w:t>
            </w:r>
            <w:r>
              <w:t xml:space="preserve"> </w:t>
            </w:r>
            <w:r>
              <w:rPr>
                <w:b/>
                <w:i/>
              </w:rPr>
              <w:t>panee merkille, että vahvistetussa nuorisotakuussa on aktiivisesti huomioitava nämä huolestuttavat kehityssuunnat, jotta voidaan ehkäistä sosiaalisen jakautumisen syveneminen ja varmistaa yhtäläinen pääsy koulutuksen ja tulevaisuuden työmahdollisuuksien piiriin;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komissio, koulutuksen seurantakatsaus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on </w:t>
            </w:r>
            <w:r>
              <w:rPr>
                <w:b/>
                <w:i/>
              </w:rPr>
              <w:t>vaikea</w:t>
            </w:r>
            <w:r>
              <w:t xml:space="preserve"> osoittaa suoraa syy-yhteyttä nuorisotakuun täytäntöönpanon ja NEET-nuorten osuuden ja nuorisotyöttömyyden alenemisen osalta havaittujen tulosten välillä;</w:t>
            </w:r>
          </w:p>
        </w:tc>
        <w:tc>
          <w:tcPr>
            <w:tcW w:w="4876" w:type="dxa"/>
            <w:tcBorders>
              <w:top w:val="nil"/>
              <w:left w:val="nil"/>
              <w:bottom w:val="nil"/>
              <w:right w:val="nil"/>
            </w:tcBorders>
          </w:tcPr>
          <w:p>
            <w:pPr>
              <w:pStyle w:val="Normal6a"/>
            </w:pPr>
            <w:r>
              <w:t>B.</w:t>
            </w:r>
            <w:r>
              <w:tab/>
            </w:r>
            <w:r>
              <w:t xml:space="preserve">katsoo, että on </w:t>
            </w:r>
            <w:r>
              <w:rPr>
                <w:b/>
                <w:i/>
              </w:rPr>
              <w:t>mahdotonta</w:t>
            </w:r>
            <w:r>
              <w:t xml:space="preserve"> osoittaa suoraa syy-yhteyttä nuorisotakuun täytäntöönpanon ja NEET-nuorten osuuden ja nuorisotyöttömyyden alenemisen osalta havaittujen tulosten välillä</w:t>
            </w:r>
            <w:r>
              <w:rPr>
                <w:b/>
                <w:i/>
              </w:rPr>
              <w:t>, mikä kertoo EU:n sosiaalisen suunnittelun rakenteellisesta tehottomuudesta</w:t>
            </w:r>
            <w:r>
              <w:t xml:space="preserve">; </w:t>
            </w:r>
            <w:r>
              <w:rPr>
                <w:b/>
                <w:i/>
              </w:rPr>
              <w:t>toteaa, että keskitetyillä direktiiveillä ei luoda nuorille työpaikkoja, vaan ennen kaikkea jäsenvaltioiden julkisen talouden riippumattomuudella, vakailla kotimarkkinoilla ja kilpailukykyisillä pk-yrityksillä;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katsoo, että on vaikea osoittaa suoraa syy-yhteyttä nuorisotakuun täytäntöönpanon ja NEET-nuorten osuuden ja nuorisotyöttömyyden alenemisen osalta havaittujen tulosten välillä;</w:t>
            </w:r>
          </w:p>
        </w:tc>
        <w:tc>
          <w:tcPr>
            <w:tcW w:w="4876" w:type="dxa"/>
            <w:tcBorders>
              <w:top w:val="nil"/>
              <w:left w:val="nil"/>
              <w:bottom w:val="nil"/>
              <w:right w:val="nil"/>
            </w:tcBorders>
          </w:tcPr>
          <w:p>
            <w:pPr>
              <w:pStyle w:val="Normal6a"/>
            </w:pPr>
            <w:r>
              <w:t>B.</w:t>
            </w:r>
            <w:r>
              <w:tab/>
            </w:r>
            <w:r>
              <w:t xml:space="preserve">katsoo, että on vaikea osoittaa suoraa syy-yhteyttä nuorisotakuun täytäntöönpanon ja NEET-nuorten osuuden ja nuorisotyöttömyyden alenemisen osalta havaittujen tulosten välillä; </w:t>
            </w:r>
            <w:r>
              <w:rPr>
                <w:b/>
                <w:i/>
              </w:rPr>
              <w:t>toteaa, että tämä korostaa tarvetta keskittyä tiukemmin konkreettisiin tuloksiin nuorille, parempaan mukauttamiseen työmarkkinoiden tarpeisiin ja tiiviimpiin synergioihin EU:n ohjelmien, kuten Euroopan sosiaalirahasto plus- (ESR+) ja Erasmus+-ohjelman sekä Euroopan solidaarisuusjoukkojen,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katsoo, että on vaikea osoittaa suoraa syy-yhteyttä nuorisotakuun täytäntöönpanon ja NEET-nuorten osuuden ja nuorisotyöttömyyden alenemisen osalta havaittujen tulosten välillä;</w:t>
            </w:r>
          </w:p>
        </w:tc>
        <w:tc>
          <w:tcPr>
            <w:tcW w:w="4876" w:type="dxa"/>
            <w:tcBorders>
              <w:top w:val="nil"/>
              <w:left w:val="nil"/>
              <w:bottom w:val="nil"/>
              <w:right w:val="nil"/>
            </w:tcBorders>
          </w:tcPr>
          <w:p>
            <w:pPr>
              <w:pStyle w:val="Normal6a"/>
            </w:pPr>
            <w:r>
              <w:t>B.</w:t>
            </w:r>
            <w:r>
              <w:tab/>
            </w:r>
            <w:r>
              <w:t>katsoo, että on vaikea osoittaa suoraa syy-yhteyttä nuorisotakuun täytäntöönpanon ja NEET-nuorten osuuden ja nuorisotyöttömyyden alenemisen osalta havaittujen tulosten välillä</w:t>
            </w:r>
            <w:r>
              <w:rPr>
                <w:b/>
                <w:i/>
              </w:rPr>
              <w:t>, erityisesti kun vahvistetun nuorisotakuun ohjelma on sisällytetty laajempiin kansallisiin politiikkoihin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eurooppalaiset tiedot osoittavat, että ammatillisen peruskoulutuksen reitit, joihin kuuluu merkittävä työssäoppimisen osio, estävät tehokkaimmin ihmisiä joutumasta NEET-tilanteeseen, koska vähintään seitsemän kuukautta kestäneen työssäoppimisjakson suorittaneiden nuorten työllisyysaste on jopa 90,5 prosenttia, kun se on 69,7 prosenttia sellaisten nuorten kohdalla, joilla ei ole käytössä tällaista jaksoa;</w:t>
            </w:r>
            <w:r>
              <w:t xml:space="preserve"> </w:t>
            </w:r>
            <w:r>
              <w:rPr>
                <w:b/>
                <w:i/>
              </w:rPr>
              <w:t>toteaa, että harjoittelu- ja opiskelujaksoja yhdistelevässä koulutusmallissa hyödynnetään jäsenneltyä vuorottelua koulun ja työn välillä, jolloin syntyy haluttua osaamista ja juopa työelämän tarpeiden ja tarjonnan välillä kapenee merkittävästi;</w:t>
            </w:r>
            <w:r>
              <w:t xml:space="preserve"> </w:t>
            </w:r>
            <w:r>
              <w:rPr>
                <w:b/>
                <w:i/>
              </w:rPr>
              <w:t>toteaa, että jäsenvaltioissa, joissa on kunnolliset harjoittelu- ja opiskelujaksoja yhdistävät koulutusmallit, nuorisotyöttömyys on EU:n alinta tasoa;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vahvistetun nuorisotakuun täytäntöönpano edellyttää kohdennettuja, integroituja ja perheet huomioivia toimenpiteitä, erityisesti nuorten vanhempien kohdalla, ja että tässä on yhdistettävä työllistymistuki koulutukseen ja harjoittelujen pääsyyn sekä lastenhoidon, sosiaalipalvelujen ja soveltuvissa tilanteissa riittävän toimeentulotuen saatavuuden kanssa, jotta voidaan varmistaa pysyvä integroituminen työmarkkinoille, ehkäistä pitkän aikavälin syrjäytymistä, edistää sukupuolten tasa-arvoa ja tukea kestävää työ- ja yksityiselämän yhteensovittamista;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Euroopan tilintarkastustuomioistuimen näytön osoittavan, että hyvin rahoitettu, osallistava ja oikeusperustainen nuorisopolitiikka – mukaan lukien vahvistettu nuorisotakuu – edistää nuorten pääsyä laadukkaisiin työpaikkoihin, koulutukseen ja harjoitteluun;</w:t>
            </w:r>
            <w:r>
              <w:t xml:space="preserve"> </w:t>
            </w:r>
            <w:r>
              <w:rPr>
                <w:b/>
                <w:i/>
              </w:rPr>
              <w:t>toteaa, että tehostettu seuranta, eriteltyjen tietojen kerääminen ja vaikutusten arviointi ovat olennaisia, jotta sen tulokset saadaan täysimääräisesti tallennettua erityisesti haavoittuvassa asemassa olevien ja syrjäytyneiden ryhmien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nuorisotakuulla on lähes yhtä monta täytäntöönpanomallia kuin on jäsenvaltioita;</w:t>
            </w:r>
            <w:r>
              <w:t xml:space="preserve"> </w:t>
            </w:r>
            <w:r>
              <w:rPr>
                <w:b/>
                <w:i/>
              </w:rPr>
              <w:t>toteaa, että institutionaaliset järjestelyt sen täytäntöönpanossa vaihtelevat nuorisotakuun sisällyttämisestä nykyisiin kansallisiin järjestelmiin erillisen kansallisen mallin luomiseen;</w:t>
            </w:r>
            <w:r>
              <w:t xml:space="preserve"> </w:t>
            </w:r>
            <w:r>
              <w:rPr>
                <w:b/>
                <w:i/>
              </w:rPr>
              <w:t>toteaa, että hallintojärjestelyt voivat myös vaihdella keskitetyistä, kansallisesti koordinoiduista malleista täysin hajautettuihin paikallistason malleihin;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neuvoston 16. kesäkuuta 2022 antamassa suosituksessa eurooppalaisesta lähestymistavasta mikrotutkintoihin tunnustetaan mikrotutkinnot joustavien, osallistavien ja kohdennettujen oppimisväylien keskeiseksi välineeksi, joiden avulla yksilöt voivat hankkia, päivittää ja virallistaa osaamisensa modulaarisesti ja erityisesti vastauksena työmarkkinoiden tarpeisiin ja vihreään ja digitaaliseen siirtymään;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nuoriin investoiminen vahvistetun nuorisotakuun kautta on investointi unionin tulevaisuuteen ja että sillä vahvistetaan sosiaalista yhteenkuuluvuutta ja sukupolvien välistä oikeudenmukaisuutta ja solidaarisuutta, vähennetään köyhyyttä ja sosiaalista syrjäytymistä ja edistetään työvoiman häiriönsietokykyä ja talouden kilpailukykyä;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vahvistetun nuorisotakuun tehokkuus riippuu EU:n varojen ja kansallisten varojen läpinäkyvästä ja tehokkaasta käytöstä sekä luotettavista seuranta- ja arviointijärjestelmistä, joilla voidaan mitata nuorten edunsaajien työllistymistä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toteaa, että nuorisotyöttömyys ja epävarmat työpaikat liittyvät suoraan rakenteelliseen epätasa-arvoon, tiukkaan taloudenpitoon, työmarkkinoiden sääntelyn purkuun ja julkisten palvelujen alirahoitukseen;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toteaa, että enemmistö jäsenvaltioista tukeutuu työllisyys ennen kaikkea -strategiaan, kun taas toiset asettavat etusijalle koulutukseen keskittymisen;</w:t>
            </w:r>
            <w:r>
              <w:t xml:space="preserve"> </w:t>
            </w:r>
            <w:r>
              <w:rPr>
                <w:b/>
                <w:i/>
              </w:rPr>
              <w:t>toteaa, että vuonna 2024 myönteisistä ja oikea-aikaisista nuorisotakuusta poistumisista valmisteluvaiheessa 35,2 prosenttia johti työn saamiseen, 6,5 prosenttia koulutukseen, 2,5 prosenttia harjoitteluun ja 1,6 prosenttia oppisopimuspaikkaan</w:t>
            </w:r>
            <w:r>
              <w:rPr>
                <w:b/>
                <w:i/>
                <w:vertAlign w:val="superscript"/>
              </w:rPr>
              <w:t>17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a</w:t>
            </w:r>
            <w:r>
              <w:t xml:space="preserve"> </w:t>
            </w:r>
            <w:r>
              <w:rPr>
                <w:b/>
                <w:i/>
              </w:rPr>
              <w:t>Euroopan komissio, työllisyys-, sosiaali- ja osallisuusasioiden pääosasto, Data table on Youth Guarantee Direct indicators, helmikuu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toteaa Eurofoundin arvioivan, että nuorten kiinnittämättömyys ja NEET-nuorten jääminen työmarkkinoiden ulkopuolelle maksaa unionille vuosittain lähes 100 miljardia euroa</w:t>
            </w:r>
            <w:r>
              <w:rPr>
                <w:b/>
                <w:i/>
                <w:vertAlign w:val="superscript"/>
              </w:rPr>
              <w:t>1 a</w:t>
            </w:r>
            <w:r>
              <w:rPr>
                <w:b/>
                <w:i/>
              </w:rPr>
              <w:t>, mikä korostaa kiireellistä taloudellista ja sosiaalista välttämättömyyttä varmistaa vahvistetun nuorisotakuun tuloksellinen tehostaminen;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Eurofound, "Employment and social developments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toteaa, että ESR+ on ollut vahvistetun nuorisotakuun tärkein rahoitusväline kaudella 2021–2027;</w:t>
            </w:r>
            <w:r>
              <w:t xml:space="preserve"> </w:t>
            </w:r>
            <w:r>
              <w:rPr>
                <w:b/>
                <w:i/>
              </w:rPr>
              <w:t>toteaa, että hallintoviranomaisten on parannettava vastaanottokykyään erityisesti syrjäisillä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toteaa, että suuri osuus nuorista työskentelee väliaikaisissa, matalapalkkaisissa ja epävarmoissa työpaikoissa, joissa ei ole täysiä työelämän oikeuksia ja sosiaalisia oikeuksia;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toteaa, että yhä useammalta nuorelta edellytetään joustavuutta ja maantieteellistä liikkuvuutta koulutuksen, harjoittelun ja ammatillisen uransa vuoksi;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toteaa, että nuorisotakuuohjelmilla ei voi korvata oikeutta vakaaseen työpaikkaan kaikin oikeuksin eikä sillä voi oikeuttaa palkattomien tai alipalkattujen töiden määrän räjähdysmäistä kasvua "harjoittelu"- ja "koulutus"ohjelmien varjolla;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toteaa, että työelämän ulkopuolella ja haavoittuvassa asemassa olevat NEET-nuoret jäävät usein nuorisotakuualoitteiden ulkopuolelle, koska nuorisotakuu hyödyttää pääasiassa lähempänä työmarkkinoita olevia nuoria, ja tällaisen positiiviseen suuntaan vääristävän vaikutuksen vuoksi vahvistetun nuorisotakuun todellisia vaikutuksia NEET-nuoriin yliarvioidaan;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panee merkille, että unionin kilpailukyky riippuu myös sen työvoiman osaamisesta ja kyvystä aktivoida työikäistä nuorisoa, jotta voidaan löytää vastauksia työvoima- ja osaamispulaan;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toteaa, että kohtuuhintaisen, riittävän ja laadukkaan asumisen saatavuus on edellytys osallistumiselle koulutukseen, oppisopimuskoulutukseen, harjoittelujaksoille ja työelämään;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toteaa, että nuorisotakuun operatiivisessa toimeenpanossa ja käytännön toteutuksessa on jäsenvaltioissa ja paikallistasolla institutionaalisia ja rakenteellisia esteitä, jotka liittyvät esimerkiksi esteisiin tiedonjakamisessa palvelujen välillä, koulutuksen ja harjoittelun tarjoamiseen ja työelämän tarpeiden kohtaamattomuuteen sekä haavoittuvien ryhmien sosioekonomisiin vaikeuksiin;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ottaa huomioon, että nuorisotakuun tehokkuutta olisi mitattava nuorten välittömän työelämään tai koulutukseen pääsyn lisäksi näiden mahdollisuuksien laadun, kestävyyden ja pitkän aikavälin uranäkymien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toteaa, että etnisiin, rodullisiin tai uskonnollisiin vähemmistöihin kuuluvat nuoret joutuvat todennäköisemmin tilanteeseen, jossa heidän taitonsa ja työllisyystilanteensa eivät vastaa toisiaan;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w:t>
            </w:r>
            <w:r>
              <w:tab/>
            </w:r>
            <w:r>
              <w:rPr>
                <w:b/>
                <w:i/>
              </w:rPr>
              <w:t>ottaa huomioon, että nuorisopolitiikka olisi tunnustettava yhteiskunnallisena painopisteenä mutta myös strategisena investointina EU:n inhimilliseen pääomaan, kilpailukykyyn ja talouden häiriönsietokykyyn pitkällä tähtäimellä;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w:t>
            </w:r>
            <w:r>
              <w:tab/>
            </w:r>
            <w:r>
              <w:rPr>
                <w:b/>
                <w:i/>
              </w:rPr>
              <w:t>toteaa, että NEET-nuorilla, nuorilla vanhemmilla, erityisesti yksinhuoltajavanhemmilla, ja nuorilla haavoittuviin ryhmiin kuuluvilla henkilöillä on suurempi riski kärsiä psyykkisestä pahoinvoinnista ja syrjäytyä työelämästä;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g.</w:t>
            </w:r>
            <w:r>
              <w:tab/>
            </w:r>
            <w:r>
              <w:rPr>
                <w:b/>
                <w:i/>
              </w:rPr>
              <w:t>toteaa, että mielenterveys ja hyvinvointi ovat olennaisia työmarkkinoille osallistumisen kannalta ja niitä voidaan vahvistaa ennaltaehkäisevän varhaisen vaiheen psykososiaalisten toimenpiteiden avulla osana aktivointitoimia vaikuttamatta kuitenkaan jäsenvaltioiden vastuuseen terveydenhuollosta;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h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h.</w:t>
            </w:r>
            <w:r>
              <w:tab/>
            </w:r>
            <w:r>
              <w:rPr>
                <w:b/>
                <w:i/>
              </w:rPr>
              <w:t>toteaa, että automaatio ja tekoäly mullistavat työmarkkinoita ja uhkaavat nuoria syrjäytymisellä, jos heillä ei ole perustason tekoälytaitoja;</w:t>
            </w:r>
            <w:r>
              <w:t xml:space="preserve"> </w:t>
            </w:r>
            <w:r>
              <w:rPr>
                <w:b/>
                <w:i/>
              </w:rPr>
              <w:t>toteaa, että tämä on otettava ennakoivasti huomioon nuorisotakuussa, jotta heidän työllistymismahdollisuutensa voidaan varmistaa;</w:t>
            </w:r>
            <w:r>
              <w:t xml:space="preserve"> </w:t>
            </w:r>
            <w:r>
              <w:rPr>
                <w:b/>
                <w:i/>
              </w:rPr>
              <w:t>toteaa, että tekoäly voi toki auttaa nujertamaan (oppimisen) esteitä (avustavalla teknologialla), jos nuoret hankkivat varhaisvaiheen digitaidot ja perustason tekoälytaidot;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i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w:t>
            </w:r>
            <w:r>
              <w:tab/>
            </w:r>
            <w:r>
              <w:rPr>
                <w:b/>
                <w:i/>
              </w:rPr>
              <w:t>toteaa, että nuorisotakuu perustuu vastavuoroisen velvollisuuden periaatteelle, jonka mukaan nuorilla on oikeus laadukkaisiin vaihtoehtoihin, mutta myös velvollisuus osallistua aktiivisesti ja hyväksyä kohtuullisia työ-, harjoittelu- ja koulutusmahdollisuuksia;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j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j.</w:t>
            </w:r>
            <w:r>
              <w:tab/>
            </w:r>
            <w:r>
              <w:rPr>
                <w:b/>
                <w:i/>
              </w:rPr>
              <w:t>toteaa, että tämän vuoksi jäsenvaltioiden on varmistettava, että jos kohtuullisista tarjouksista kieltäydytään toistuvasti ja perusteettomasti, on voitava soveltaa asianmukaisia toimia kansallisen lainsäädännön mukaisesti, jotta passiivisuutta voidaan ehkäistä ja edistää nuorten henkilökohtaista vastuunottoa;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AM\1342335FI.docx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AM\1342335FI.docx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AM\1342335FI.docx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5334</Words>
  <Characters>42407</Characters>
  <Application>Microsoft Office Word</Application>
  <DocSecurity>0</DocSecurity>
  <Lines>1</Lines>
  <Paragraphs>731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507848</vt:lpwstr>
  </property>
  <property fmtid="{D5CDD505-2E9C-101B-9397-08002B2CF9AE}" pid="7" name="dmxml.render.traceId">
    <vt:lpwstr>6a16a5742ddb002fa0e9dfefd23cc9d2</vt:lpwstr>
  </property>
  <property fmtid="{D5CDD505-2E9C-101B-9397-08002B2CF9AE}" pid="8" name="FooterPath">
    <vt:lpwstr>AM\1342335FI.docx</vt:lpwstr>
  </property>
  <property fmtid="{D5CDD505-2E9C-101B-9397-08002B2CF9AE}" pid="9" name="PE Number">
    <vt:lpwstr>787.791</vt:lpwstr>
  </property>
  <property fmtid="{D5CDD505-2E9C-101B-9397-08002B2CF9AE}" pid="10" name="UID">
    <vt:lpwstr>eu.europa.europarl-DIN1-2026-0000110653_01.00-fi-01.00_text-xml</vt:lpwstr>
  </property>
</Properties>
</file>