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 de l'emploi et des affaires sociales</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Mise en œuvre de la recommandation du Conseil du 30 octobre 2020 relative à «Un pont vers l’emploi – Renforcer la garantie pour la jeunesse» et remplaçant la recommandation du Conseil du 22 avril 2013 sur l’établissement d’une garantie pour la jeunesse</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objectifs en matière de politique sociale établis aux articles 151 et 153 du traité sur le fonctionnement de l’Union européenne (traité FUE), ainsi que l’article 3 du règlement (CE) nº 883/2004 relatif à la sécurité sociale et aux prestations,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le socle européen des droits sociaux proclamé et signé par le Conseil, le Parlement et la Commission le 17 novembre 2017, et notamment ses principes 1, 3 et 4,</w:t>
            </w:r>
          </w:p>
        </w:tc>
        <w:tc>
          <w:tcPr>
            <w:tcW w:w="4876" w:type="dxa"/>
            <w:tcBorders>
              <w:top w:val="nil"/>
              <w:left w:val="nil"/>
              <w:bottom w:val="nil"/>
              <w:right w:val="nil"/>
            </w:tcBorders>
          </w:tcPr>
          <w:p>
            <w:pPr>
              <w:pStyle w:val="Normal6a"/>
            </w:pPr>
            <w:r>
              <w:rPr>
                <w:b/>
                <w:i/>
              </w:rPr>
              <w:t>–</w:t>
            </w:r>
            <w:r>
              <w:tab/>
            </w:r>
            <w:r>
              <w:t xml:space="preserve">vu le socle européen des droits sociaux proclamé et signé par le Conseil, le Parlement et la Commission le 17 novembre 2017, et notamment ses principes 1, 3 et 4, </w:t>
            </w:r>
            <w:r>
              <w:rPr>
                <w:b/>
                <w:i/>
              </w:rPr>
              <w:t>ainsi que son objectif de ramener le taux de NEET à 9 % d'ici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le socle européen des droits sociaux proclamé et signé par le Conseil, le Parlement et la Commission le 17 novembre 2017, et notamment ses principes 1, 3 et 4,</w:t>
            </w:r>
          </w:p>
        </w:tc>
        <w:tc>
          <w:tcPr>
            <w:tcW w:w="4876" w:type="dxa"/>
            <w:tcBorders>
              <w:top w:val="nil"/>
              <w:left w:val="nil"/>
              <w:bottom w:val="nil"/>
              <w:right w:val="nil"/>
            </w:tcBorders>
          </w:tcPr>
          <w:p>
            <w:pPr>
              <w:pStyle w:val="Normal6a"/>
            </w:pPr>
            <w:r>
              <w:rPr>
                <w:b/>
                <w:i/>
              </w:rPr>
              <w:t>–</w:t>
            </w:r>
            <w:r>
              <w:tab/>
            </w:r>
            <w:r>
              <w:t xml:space="preserve">vu le socle européen des droits sociaux proclamé et signé par le Conseil, le Parlement et la Commission le 17 novembre 2017, et notamment ses principes 1, 3 et 4, </w:t>
            </w:r>
            <w:r>
              <w:rPr>
                <w:b/>
                <w:i/>
              </w:rPr>
              <w:t>ainsi que son objectif de ramener le taux de NEET à 9 % d'ici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articles 7 et 15 de la charte sociale européenne révisée,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sur le rôle de l’animation socio-éducative à l’appui du développement, chez les jeunes, de compétences de la vie courante essentielles, propices à une transition réussie vers l’âge adulte, la citoyenneté active et la vie professionnelle (2017/C 189/06)</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JO C 189 du1 5.6.2017, p.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mise en œuvre de la stratégie de l’Union européenne en faveur de la jeunesse pour la période 2019-2021 (2021/C 504 1/02)</w:t>
            </w:r>
            <w:r>
              <w:rPr>
                <w:b/>
                <w:i/>
                <w:vertAlign w:val="superscript"/>
              </w:rPr>
              <w:t>2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ter</w:t>
            </w:r>
            <w:r>
              <w:t xml:space="preserve"> </w:t>
            </w:r>
            <w:r>
              <w:rPr>
                <w:b/>
                <w:i/>
              </w:rPr>
              <w:t>JO C 504I du 14.12.2021, p.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communication de la Commission européenne du 20 janvier 2026 intitulée «Union de l’égalité:</w:t>
            </w:r>
            <w:r>
              <w:t xml:space="preserve"> </w:t>
            </w:r>
            <w:r>
              <w:rPr>
                <w:b/>
                <w:i/>
              </w:rPr>
              <w:t>stratégie de lutte contre le racisme 2026-2030» (COM(2026)0012)</w:t>
            </w:r>
            <w:r>
              <w:rPr>
                <w:b/>
                <w:i/>
                <w:vertAlign w:val="superscript"/>
              </w:rPr>
              <w:t>2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quater</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de la FRA intitulé «Being Black in the EU – Experiences of people of African descent»</w:t>
            </w:r>
            <w:r>
              <w:rPr>
                <w:b/>
                <w:i/>
                <w:vertAlign w:val="superscript"/>
              </w:rPr>
              <w:t>2 quinquies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quinquies</w:t>
            </w:r>
            <w:r>
              <w:t xml:space="preserve"> </w:t>
            </w:r>
            <w:r>
              <w:rPr>
                <w:b/>
                <w:i/>
              </w:rPr>
              <w:t>https://fra.europa.eu/fr/publication/2018/being-black-eu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6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de la FRA intitulé «Being Muslim in the EU – Experiences of Muslims» (Être musulman dans l’UE. Expériences de musulmans)</w:t>
            </w:r>
            <w:r>
              <w:rPr>
                <w:b/>
                <w:i/>
                <w:vertAlign w:val="superscript"/>
              </w:rPr>
              <w:t>2 sexies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sexies</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messages clés du comité de l'emploi (EMCO), approuvés par le Conseil dans sa formation EPSCO en 2016, 2018, 2019, 2021, 2023, 2025 et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objectifs de développement durable (ODD) des Nations unies, en particulier l'objectif n° 8, adoptés par les dirigeants mondiaux en septembre 2015 et approuvés par le Conseil,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charte sociale européenne, en particulier ses articles 7 et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l'Agenda 2030 et les objectifs de développement durable, en particulier l'objectif n° 8, qui vise à promouvoir une croissance économique soutenue, inclusive et durable, le plein emploi productif et un travail décent pour tous,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recommandation du Conseil du 9 mars 2026 relative au capital humain dans l'Union européenne</w:t>
            </w:r>
            <w:r>
              <w:rPr>
                <w:b/>
                <w:i/>
                <w:vertAlign w:val="superscript"/>
              </w:rPr>
              <w:t>1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JO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l'avis du Comité européen des régions du 5 février 2021 intitulé «Soutenir l’emploi des jeunes:</w:t>
            </w:r>
            <w:r>
              <w:t xml:space="preserve"> </w:t>
            </w:r>
            <w:r>
              <w:rPr>
                <w:b/>
                <w:i/>
              </w:rPr>
              <w:t> un pont vers l’emploi pour la prochaine génération et renforcer la garantie pour la jeunesse»</w:t>
            </w:r>
            <w:r>
              <w:rPr>
                <w:b/>
                <w:i/>
                <w:vertAlign w:val="superscript"/>
              </w:rPr>
              <w:t>2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JO C 106, 26.3.2021, p.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l'avis du Comité économique et social européen du 29 octobre 2020 intitulé «Renforcer la garantie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d'Eurofound de 2024 intitulé «Becoming adults: Young people in a post-pandemic world»</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Eurofound (2024), Becoming adults:</w:t>
            </w:r>
            <w:r>
              <w:t xml:space="preserve"> </w:t>
            </w:r>
            <w:r>
              <w:rPr>
                <w:b/>
                <w:i/>
              </w:rPr>
              <w:t>Young people in a post-pandemic world, Office des publications de l’Union européenne,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d'Eurofound de 2024 intitulé «Young people in the Western Balkans»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Office des publications de l’Union européenne,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publication du CEDEFOP de 2023 intitulée «Lignes directrices européennes pour la validation des acquis non formels et formels»</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Lignes directrices européennes pour la validation des acquis non formels et informels,</w:t>
            </w:r>
            <w:r>
              <w:t xml:space="preserve"> </w:t>
            </w:r>
            <w:r>
              <w:rPr>
                <w:b/>
                <w:i/>
              </w:rPr>
              <w:t>Luxembourg:</w:t>
            </w:r>
            <w:r>
              <w:t xml:space="preserve"> </w:t>
            </w:r>
            <w:r>
              <w:rPr>
                <w:b/>
                <w:i/>
              </w:rPr>
              <w:t>Office des publications.</w:t>
            </w:r>
            <w:r>
              <w:t xml:space="preserve"> </w:t>
            </w:r>
            <w:r>
              <w:rPr>
                <w:b/>
                <w:i/>
              </w:rPr>
              <w:t>Série de référence du Cedefop,</w:t>
            </w:r>
            <w:r>
              <w:t xml:space="preserve"> </w:t>
            </w:r>
            <w:r>
              <w:rPr>
                <w:b/>
                <w:i/>
              </w:rPr>
              <w:t>n</w:t>
            </w:r>
            <w:r>
              <w:rPr>
                <w:b/>
                <w:i/>
              </w:rPr>
              <w:t>o</w:t>
            </w:r>
            <w:r>
              <w:t xml:space="preserve"> </w:t>
            </w:r>
            <w:r>
              <w:rPr>
                <w:b/>
                <w:i/>
              </w:rPr>
              <w:t>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publication de la Fondation européenne pour la formation de 2025 intitulée «Outreach to Young People not in Employment, Education or Training:</w:t>
            </w:r>
            <w:r>
              <w:t xml:space="preserve"> </w:t>
            </w:r>
            <w:r>
              <w:rPr>
                <w:b/>
                <w:i/>
              </w:rPr>
              <w:t>A practical Manual for Outreach</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Fondation européenne pour la formation (2025), Outreach to Young People not in Employment, Education or Training:</w:t>
            </w:r>
            <w:r>
              <w:t xml:space="preserve"> </w:t>
            </w:r>
            <w:r>
              <w:rPr>
                <w:b/>
                <w:i/>
              </w:rPr>
              <w:t>A practical Manual for Outreach, Turin, Italie.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17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publication du CEDEFOP de 2026 intitulée «An EU reference framework for lifelong guidance: 18 guidelines for policy and system development»</w:t>
            </w:r>
            <w:r>
              <w:rPr>
                <w:b/>
                <w:i/>
                <w:vertAlign w:val="superscript"/>
              </w:rPr>
              <w:t>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bis</w:t>
            </w:r>
            <w:r>
              <w:t xml:space="preserve"> </w:t>
            </w:r>
            <w:r>
              <w:rPr>
                <w:b/>
                <w:i/>
              </w:rPr>
              <w:t>Cedefop (2026),</w:t>
            </w:r>
            <w:r>
              <w:t xml:space="preserve"> </w:t>
            </w:r>
            <w:r>
              <w:rPr>
                <w:b/>
                <w:i/>
              </w:rPr>
              <w:t>An EU reference framework for lifelong guidance :</w:t>
            </w:r>
            <w:r>
              <w:t xml:space="preserve"> </w:t>
            </w:r>
            <w:r>
              <w:rPr>
                <w:b/>
                <w:i/>
              </w:rPr>
              <w:t>18 guidelines for policy and system development.</w:t>
            </w:r>
            <w:r>
              <w:t xml:space="preserve"> </w:t>
            </w:r>
            <w:r>
              <w:rPr>
                <w:b/>
                <w:i/>
              </w:rPr>
              <w:t>Série de référence du Cedefop, 125.</w:t>
            </w:r>
            <w:r>
              <w:t xml:space="preserve"> </w:t>
            </w:r>
            <w:r>
              <w:rPr>
                <w:b/>
                <w:i/>
              </w:rPr>
              <w:t>Office des publications de l’Union européenne.</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l’évaluation de la mise en œuvre européenne du 18 décembre 2025 intitulée «The implementation of the reinforced Youth Guarantee – Trends in EU Member States, impact, EU funding and governance» (La mise en œuvre de la garantie renforcée pour la jeunesse – Tendances dans les États membres de l’Union, impact, financement de l’Union et gouvernance), publiée par le service de recherche du Parlement européen,</w:t>
            </w:r>
          </w:p>
        </w:tc>
        <w:tc>
          <w:tcPr>
            <w:tcW w:w="4876" w:type="dxa"/>
            <w:tcBorders>
              <w:top w:val="nil"/>
              <w:left w:val="nil"/>
              <w:bottom w:val="nil"/>
              <w:right w:val="nil"/>
            </w:tcBorders>
          </w:tcPr>
          <w:p>
            <w:pPr>
              <w:pStyle w:val="Normal6a"/>
            </w:pPr>
            <w:r>
              <w:rPr>
                <w:b/>
                <w:i/>
              </w:rPr>
              <w:t>–</w:t>
            </w:r>
            <w:r>
              <w:tab/>
            </w:r>
            <w:r>
              <w:t>vu l’évaluation de la mise en œuvre européenne du 18 décembre 2025 intitulée «The implementation of the reinforced Youth Guarantee – Trends in EU Member States, impact, EU funding and governance» (La mise en œuvre de la garantie renforcée pour la jeunesse – Tendances dans les États membres de l’Union, impact, financement de l’Union et gouvernance), publiée par le service de recherche du Parlement européen</w:t>
            </w:r>
            <w:r>
              <w:rPr>
                <w:b/>
                <w:i/>
                <w:vertAlign w:val="superscript"/>
              </w:rPr>
              <w:t>8 bis</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l'étude publiée par le Comité européen des régions en juin 2022 intitulée «The local implementation of the Reinforced Youth Guarantee»,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prise de position du Forum européen de la jeunesse du 13 mars 2025 intitulée «Youth Guarantee: How to support young people finding a pathway»,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du Parlement européen du 21 novembre 2023 sur la réduction des inégalités et la promotion de l’inclusion sociale en temps de crise pour les enfants et leurs familles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https://eur-lex.europa.eu/eli/C/2024/4211/oj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17 février 2022 sur l’autonomisation de la jeunesse européenne:</w:t>
            </w:r>
            <w:r>
              <w:t xml:space="preserve"> </w:t>
            </w:r>
            <w:r>
              <w:rPr>
                <w:b/>
                <w:i/>
              </w:rPr>
              <w:t>emploi et reprise sociale après la pandémie</w:t>
            </w:r>
            <w:r>
              <w:rPr>
                <w:b/>
                <w:i/>
                <w:vertAlign w:val="superscript"/>
              </w:rPr>
              <w:t>9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bis</w:t>
            </w:r>
            <w:r>
              <w:t xml:space="preserve"> </w:t>
            </w:r>
            <w:r>
              <w:rPr>
                <w:b/>
                <w:i/>
              </w:rPr>
              <w:t>JO C 342 du 6.9.2022, p. 265.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11 mars 2025 sur le Fonds social européen plus après 2027</w:t>
            </w:r>
            <w:r>
              <w:rPr>
                <w:b/>
                <w:i/>
                <w:vertAlign w:val="superscript"/>
              </w:rPr>
              <w:t>10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bis</w:t>
            </w:r>
            <w:r>
              <w:t xml:space="preserve"> </w:t>
            </w:r>
            <w:r>
              <w:rPr>
                <w:b/>
                <w:i/>
              </w:rPr>
              <w:t>JO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19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27 novembre 2025 sur la stratégie de l’UE en faveur des droits des personnes handicapées après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garantie renforcée pour la jeunesse est un engagement, pris par les États membres envers les jeunes de moins de 30 ans, consistant à leur offrir un emploi de qualité, une formation continue, un apprentissage ou un stage dans les quatre mois suivant la perte de leur emploi ou la fin de leurs études;</w:t>
            </w:r>
          </w:p>
        </w:tc>
        <w:tc>
          <w:tcPr>
            <w:tcW w:w="4876" w:type="dxa"/>
            <w:tcBorders>
              <w:top w:val="nil"/>
              <w:left w:val="nil"/>
              <w:bottom w:val="nil"/>
              <w:right w:val="nil"/>
            </w:tcBorders>
          </w:tcPr>
          <w:p>
            <w:pPr>
              <w:pStyle w:val="Normal6a"/>
            </w:pPr>
            <w:r>
              <w:t>A.</w:t>
            </w:r>
            <w:r>
              <w:tab/>
            </w:r>
            <w:r>
              <w:t xml:space="preserve">considérant que la garantie renforcée pour la jeunesse est un engagement, pris par les États membres envers les jeunes </w:t>
            </w:r>
            <w:r>
              <w:rPr>
                <w:b/>
                <w:i/>
              </w:rPr>
              <w:t>citoyens</w:t>
            </w:r>
            <w:r>
              <w:t xml:space="preserve"> de moins de 30 ans, consistant </w:t>
            </w:r>
            <w:r>
              <w:rPr>
                <w:b/>
                <w:i/>
              </w:rPr>
              <w:t>théoriquement</w:t>
            </w:r>
            <w:r>
              <w:t xml:space="preserve"> à leur offrir un emploi de qualité, une formation continue, un apprentissage ou un stage dans les quatre mois suivant la perte de leur emploi ou la fin de leurs études</w:t>
            </w:r>
            <w:r>
              <w:rPr>
                <w:b/>
                <w:i/>
              </w:rPr>
              <w:t>, considérant que cet engagement s'est heurté aux réalités du terrain et s'avère être une illusion bureaucratique, plus de la moitié des jeunes de l'Union attendant toujours une offre au-delà de ce délai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la garantie renforcée pour la jeunesse est un engagement, pris par les États membres envers les jeunes de moins de 30 ans, consistant à leur offrir un emploi de qualité, une formation continue, un apprentissage ou un stage dans les quatre mois suivant la perte de leur emploi ou la fin de leurs études;</w:t>
            </w:r>
          </w:p>
        </w:tc>
        <w:tc>
          <w:tcPr>
            <w:tcW w:w="4876" w:type="dxa"/>
            <w:tcBorders>
              <w:top w:val="nil"/>
              <w:left w:val="nil"/>
              <w:bottom w:val="nil"/>
              <w:right w:val="nil"/>
            </w:tcBorders>
          </w:tcPr>
          <w:p>
            <w:pPr>
              <w:pStyle w:val="Normal6a"/>
            </w:pPr>
            <w:r>
              <w:t>A.</w:t>
            </w:r>
            <w:r>
              <w:tab/>
            </w:r>
            <w:r>
              <w:t xml:space="preserve">considérant que la garantie renforcée pour la jeunesse est un engagement, pris par les États membres envers les jeunes de moins de 30 ans, consistant à leur offrir un emploi de qualité, une formation continue, un apprentissage ou un stage dans les quatre mois suivant la perte de leur emploi ou la fin de leurs études; </w:t>
            </w:r>
            <w:r>
              <w:rPr>
                <w:b/>
                <w:i/>
              </w:rPr>
              <w:t>que, depuis sa création en 2013, environ 60 millions de jeunes Européens ont bénéficié d'une offre dans le cadre des programmes de la garantie pour la jeunesse;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considérant que la garantie </w:t>
            </w:r>
            <w:r>
              <w:rPr>
                <w:b/>
                <w:i/>
              </w:rPr>
              <w:t>renforcée</w:t>
            </w:r>
            <w:r>
              <w:t xml:space="preserve"> pour la jeunesse est un engagement, pris par les États membres envers les jeunes de moins de 30 ans, consistant à leur offrir un emploi de qualité, une formation continue, un apprentissage ou un stage dans les quatre mois suivant la perte de leur emploi ou la fin de leurs études;</w:t>
            </w:r>
          </w:p>
        </w:tc>
        <w:tc>
          <w:tcPr>
            <w:tcW w:w="4876" w:type="dxa"/>
            <w:tcBorders>
              <w:top w:val="nil"/>
              <w:left w:val="nil"/>
              <w:bottom w:val="nil"/>
              <w:right w:val="nil"/>
            </w:tcBorders>
          </w:tcPr>
          <w:p>
            <w:pPr>
              <w:pStyle w:val="Normal6a"/>
            </w:pPr>
            <w:r>
              <w:t>A.</w:t>
            </w:r>
            <w:r>
              <w:tab/>
            </w:r>
            <w:r>
              <w:t xml:space="preserve">considérant que la garantie pour la jeunesse </w:t>
            </w:r>
            <w:r>
              <w:rPr>
                <w:b/>
                <w:i/>
              </w:rPr>
              <w:t>a été créée en 2013 et renforcée en 2020;</w:t>
            </w:r>
            <w:r>
              <w:t xml:space="preserve"> </w:t>
            </w:r>
            <w:r>
              <w:rPr>
                <w:b/>
                <w:i/>
              </w:rPr>
              <w:t>qu'elle</w:t>
            </w:r>
            <w:r>
              <w:t xml:space="preserve"> est un engagement, pris par les États membres envers les jeunes de moins de 30 ans, consistant à leur offrir un emploi de qualité, une formation continue, un apprentissage ou un stage dans les quatre mois suivant la perte de leur emploi ou la fin de leurs études;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l'objectif de la garantie renforcée pour la jeunesse est de lutter contre le chômage, l'inactivité et le sous-emploi des jeunes, et de favoriser leur intégration durable dans des programmes d'éducation et de formation de qualité ainsi que sur le marché du travail;</w:t>
            </w:r>
            <w:r>
              <w:t xml:space="preserve"> </w:t>
            </w:r>
            <w:r>
              <w:rPr>
                <w:b/>
                <w:i/>
              </w:rPr>
              <w:t>que ses objectifs traduisent les priorités politiques communes du Parlement européen, de la Commission et des États membres dans le cadre du cadre financier pluriannuel (CFP) actuel, contribuant ainsi à l'objectif de l'Union en matière de croissance économique durable et de création d'emplois de qualité, conformément au pilier européen des droits sociaux; </w:t>
            </w:r>
            <w:r>
              <w:t xml:space="preserve"> </w:t>
            </w:r>
            <w:r>
              <w:rPr>
                <w:b/>
                <w:i/>
              </w:rPr>
              <w:t>que les problèmes récurrents et les difficultés nouvelles, qui évoluent rapidement, en matière d'insertion des jeunes sur le marché du travail exigent que ces priorités soient maintenues au-delà de la période de programmation actuelle;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les États membres ont, dans l'ensemble, maintenu un engagement politique fort en faveur de la mise en œuvre de la garantie pour la jeunesse et de leurs plans nationaux de mise en œuvre;</w:t>
            </w:r>
            <w:r>
              <w:t xml:space="preserve"> </w:t>
            </w:r>
            <w:r>
              <w:rPr>
                <w:b/>
                <w:i/>
              </w:rPr>
              <w:t>que des efforts particuliers ont été déployés pour renforcer les capacités d'accompagnement des NEET et les activités d'apprentissage mutuel dans le cadre de réunions des coordinateurs nationaux au niveau de l'Union ou au-delà;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les recherches menées par Eurofound soulignent que la population des NEET est très hétérogène et se compose de sous-groupes distincts, chacun étant confronté à des obstacles structurels et à des besoins spécifiques qui font obstacle à leur intégration réussie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la conception et la mise en œuvre de ces mesures devraient respecter pleinement le principe de subsidiarité et les compétences des États membres sur les plans de l’éducation, de la formation et des politiques de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le taux de NEET dans l'Union a repris sa tendance à la baisse après la période post-pandémique;</w:t>
            </w:r>
            <w:r>
              <w:t xml:space="preserve"> </w:t>
            </w:r>
            <w:r>
              <w:rPr>
                <w:b/>
                <w:i/>
              </w:rPr>
              <w:t>que le plan d'action relatif au pilier européen des droits sociaux prévoit notamment l'objectif de ramener ce taux à 9 % chez les 15-29 ans d'ici 2030;</w:t>
            </w:r>
            <w:r>
              <w:t xml:space="preserve"> </w:t>
            </w:r>
            <w:r>
              <w:rPr>
                <w:b/>
                <w:i/>
              </w:rPr>
              <w:t>que cet objectif est en passe d'être atteint, malgré des disparités importantes entre les États membres et les régions</w:t>
            </w:r>
            <w:r>
              <w:rPr>
                <w:b/>
                <w:i/>
                <w:vertAlign w:val="superscript"/>
              </w:rPr>
              <w:t>11 bis</w:t>
            </w:r>
            <w:r>
              <w:rPr>
                <w:b/>
                <w:i/>
              </w:rPr>
              <w:t>, et que, même si cet objectif était atteint, un nombre important de jeunes se trouverait encore dans des situations précaires;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bis</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les NEET constituent un groupe hétérogène aux parcours de vie variés;</w:t>
            </w:r>
            <w:r>
              <w:t xml:space="preserve"> </w:t>
            </w:r>
            <w:r>
              <w:rPr>
                <w:b/>
                <w:i/>
              </w:rPr>
              <w:t>que les recherches menées par Eurofound</w:t>
            </w:r>
            <w:r>
              <w:rPr>
                <w:b/>
                <w:i/>
                <w:vertAlign w:val="superscript"/>
              </w:rPr>
              <w:t>1 bis</w:t>
            </w:r>
            <w:r>
              <w:t xml:space="preserve"> </w:t>
            </w:r>
            <w:r>
              <w:rPr>
                <w:b/>
                <w:i/>
              </w:rPr>
              <w:t>soulignent que la population des NEET est très hétérogène et se compose de sous-groupes distincts, chacun étant confronté à des obstacles structurels spécifiques qui font obstacle à leur intégration réussie sur le marché du travail, et nécessitant par conséquent un accompagnement sur mesure et personnalisé pour répondre à leurs besoins spécifiques;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Exploring the Diversity of NEETs, Office des publications de l’Union européenne, Luxembourg,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considérant que la mise en œuvre et l'amélioration de la garantie renforcée pour la jeunesse doivent accorder une attention particulière aux NEET en situation de vulnérabilité ainsi qu'à ceux qui sont les plus éloignés du marché du travail, lesquels sont souvent difficiles à atteindre;</w:t>
            </w:r>
            <w:r>
              <w:t xml:space="preserve"> </w:t>
            </w:r>
            <w:r>
              <w:rPr>
                <w:b/>
                <w:i/>
              </w:rPr>
              <w:t>que cette catégorie inclut les femmes, les personnes issues de diverses origines ethniques, les communautés roms et nomades, les jeunes en situation d'itinérance, les jeunes sortant d'un placement en institution, les personnes LGBTQIA+, les jeunes ayant le statut de migrant ou de réfugié, les jeunes en situation de handicap, les jeunes victimes de discrimination fondée sur la religion ou les convictions, les jeunes atteints de maladies chroniques ou souffrant d'addiction, les jeunes parents ainsi que les jeunes assumant un rôle d'aidant informel;</w:t>
            </w:r>
            <w:r>
              <w:t xml:space="preserve"> </w:t>
            </w:r>
            <w:r>
              <w:rPr>
                <w:b/>
                <w:i/>
              </w:rPr>
              <w:t>qu'il convient d'établir une distinction claire entre, d'une part, les NEET qui sont involontairement exclus de l'éducation, de l'emploi ou de la formation et, d'autre part, ceux qui sont volontairement inactifs;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considérant que le fossé entre les sexes persiste parmi les NEET, le taux de jeunes femmes dépassant systématiquement celui des jeunes hommes dans l'Union</w:t>
            </w:r>
            <w:r>
              <w:rPr>
                <w:b/>
                <w:i/>
                <w:vertAlign w:val="superscript"/>
              </w:rPr>
              <w:t>12 bis</w:t>
            </w:r>
            <w:r>
              <w:rPr>
                <w:b/>
                <w:i/>
              </w:rPr>
              <w:t>;</w:t>
            </w:r>
            <w:r>
              <w:t xml:space="preserve"> </w:t>
            </w:r>
            <w:r>
              <w:rPr>
                <w:b/>
                <w:i/>
              </w:rPr>
              <w:t>que cette situation s'explique en partie par la répartition inégale des responsabilités en matière de garde d'enfants et par les normes sociales;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bis</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considérant que l'insertion professionnelle des NEET est devenue de plus en plus complexe, sous l'effet de facteurs tels que l'essor de l'économie des petits boulots et la multiplication des formes d'emploi précaires et atypiques, l'avènement de l'intelligence artificielle et de la numérisation, ainsi que la crise du coût de la vie, notamment la hausse des coûts du logement;</w:t>
            </w:r>
            <w:r>
              <w:t xml:space="preserve"> </w:t>
            </w:r>
            <w:r>
              <w:rPr>
                <w:b/>
                <w:i/>
              </w:rPr>
              <w:t>que ces évolutions créent des obstacles structurels à l'emploi durable et aggravent les inégalités qui laissent pour compte les NEET en situation de vulnérabilité;</w:t>
            </w:r>
            <w:r>
              <w:t xml:space="preserve"> </w:t>
            </w:r>
            <w:r>
              <w:rPr>
                <w:b/>
                <w:i/>
              </w:rPr>
              <w:t>que la mise en œuvre de la garantie renforcée pour la jeunesse doit être réformée et améliorée afin de répondre efficacement à ces enjeux et de donner la priorité aux NEET les plus éloignés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considérant que les Roms constituent le groupe présentant le taux de NEET le plus élevé de l'Union européenne, avec 47 % chez les 16-24 ans, contre une moyenne européenne de 9 % pour cette même tranche d'âge</w:t>
            </w:r>
            <w:r>
              <w:rPr>
                <w:b/>
                <w:i/>
                <w:vertAlign w:val="superscript"/>
              </w:rPr>
              <w:t>13 bis</w:t>
            </w:r>
            <w:r>
              <w:rPr>
                <w:b/>
                <w:i/>
              </w:rPr>
              <w:t>;</w:t>
            </w:r>
            <w:r>
              <w:t xml:space="preserve"> </w:t>
            </w:r>
            <w:r>
              <w:rPr>
                <w:b/>
                <w:i/>
              </w:rPr>
              <w:t>qu'aucun des États membres ayant fait l'objet d'une enquête n'est en passe d'atteindre les objectifs fixés dans le cadre stratégique de l'UE pour les Roms</w:t>
            </w:r>
            <w:r>
              <w:rPr>
                <w:b/>
                <w:i/>
                <w:vertAlign w:val="superscript"/>
              </w:rPr>
              <w:t>14 bis</w:t>
            </w:r>
            <w:r>
              <w:rPr>
                <w:b/>
                <w:i/>
              </w:rPr>
              <w:t>, et que, sans une méthode ciblée et stratégique de la part des États membres, l'Union risque de laisser une génération de jeunes Roms et de gens du voyage exposés au risque d'exclusion de l'éducation, de la formation et du marché du travail;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 bis</w:t>
            </w:r>
            <w:r>
              <w:t xml:space="preserve"> </w:t>
            </w:r>
            <w:r>
              <w:rPr>
                <w:b/>
                <w:i/>
              </w:rPr>
              <w:t>Rights of Roma and Travellers in 13 European countries - Perspectives from the Roma Survey 2024, Agence des droits fondamentaux de l'Union européenne (FRA), 2 octobre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bis</w:t>
            </w:r>
            <w:r>
              <w:t xml:space="preserve"> </w:t>
            </w:r>
            <w:r>
              <w:rPr>
                <w:b/>
                <w:i/>
              </w:rPr>
              <w:t>Commission européenne (7 octobre 2020),</w:t>
            </w:r>
            <w:r>
              <w:t xml:space="preserve"> </w:t>
            </w:r>
            <w:r>
              <w:rPr>
                <w:b/>
                <w:i/>
              </w:rPr>
              <w:t>Cadre stratégique de l'UE pour l'égalité, l'inclusion et la participation des Roms pour 2020-2030 (COM(2020)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considérant que le passage du système éducatif au marché du travail est devenu plus long, moins linéaire et de plus en plus précaire pour les jeunes, dont beaucoup oscillent entre emploi, chômage et inactivité ou se retrouvent piégés dans des formes d'emploi atypiques;</w:t>
            </w:r>
            <w:r>
              <w:t xml:space="preserve"> </w:t>
            </w:r>
            <w:r>
              <w:rPr>
                <w:b/>
                <w:i/>
              </w:rPr>
              <w:t>que la garantie renforcée pour la jeunesse ne s'est pas suffisamment adaptée à ces parcours fragmentés et continue de s'appuyer sur des mesures rigides et ponctuelles;</w:t>
            </w:r>
            <w:r>
              <w:t xml:space="preserve"> </w:t>
            </w:r>
            <w:r>
              <w:rPr>
                <w:b/>
                <w:i/>
              </w:rPr>
              <w:t>qu'une intégration réussie sur le marché du travail, en particulier pour les NEET en situation de vulnérabilité, nécessite un accompagnement flexible, personnalisé et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considérant que, selon l'enquête sur les Roms réalisée en 2021 par l'Agence des droits fondamentaux de l'Union européenne, 19 % des femmes roms n'ont jamais été scolarisées, contre 14 % des hommes roms, et que seules 23 % des femmes roms poursuivent leurs études après l'âge de 16 ans, contre 32 % des hommes roms</w:t>
            </w:r>
            <w:r>
              <w:rPr>
                <w:b/>
                <w:i/>
                <w:vertAlign w:val="superscript"/>
              </w:rPr>
              <w:t>15 bis</w:t>
            </w:r>
            <w:r>
              <w:rPr>
                <w:b/>
                <w:i/>
              </w:rPr>
              <w:t>;</w:t>
            </w:r>
            <w:r>
              <w:t xml:space="preserve"> </w:t>
            </w:r>
            <w:r>
              <w:rPr>
                <w:b/>
                <w:i/>
              </w:rPr>
              <w:t>que les données ventilées par sexe montrent qu'en moyenne, 61 % des jeunes femmes roms et gitanes sont des NEET, contre 33 % des jeunes hommes roms</w:t>
            </w:r>
            <w:r>
              <w:rPr>
                <w:b/>
                <w:i/>
                <w:vertAlign w:val="superscript"/>
              </w:rPr>
              <w:t>16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 bis</w:t>
            </w:r>
            <w:r>
              <w:t xml:space="preserve"> </w:t>
            </w:r>
            <w:r>
              <w:rPr>
                <w:b/>
                <w:i/>
              </w:rPr>
              <w:t>Conseil de l’Europe (2025),</w:t>
            </w:r>
            <w:r>
              <w:t xml:space="preserve"> </w:t>
            </w:r>
            <w:r>
              <w:rPr>
                <w:b/>
                <w:i/>
              </w:rPr>
              <w:t>Equality of Roma and Traveller women and girls (Ref. 094724GBR),</w:t>
            </w:r>
            <w:r>
              <w:t xml:space="preserve"> </w:t>
            </w:r>
            <w:r>
              <w:rPr>
                <w:b/>
                <w:i/>
              </w:rPr>
              <w:t>Conseil de l'Europe, https://edoc.coe.int/en/roma-and-travellers/12078-equality-of-roma-and-traveller-women-and-girls.html;</w:t>
            </w:r>
            <w:r>
              <w:t xml:space="preserve"> </w:t>
            </w:r>
            <w:r>
              <w:rPr>
                <w:b/>
                <w:i/>
              </w:rPr>
              <w:t>Agence des droits fondamentaux de l'Union européenne (2020),</w:t>
            </w:r>
            <w:r>
              <w:t xml:space="preserve"> </w:t>
            </w:r>
            <w:r>
              <w:rPr>
                <w:b/>
                <w:i/>
              </w:rPr>
              <w:t>Roms et Gens du voyage dans six pays -</w:t>
            </w:r>
            <w:r>
              <w:t xml:space="preserve"> </w:t>
            </w:r>
            <w:r>
              <w:rPr>
                <w:b/>
                <w:i/>
              </w:rPr>
              <w:t>Enquête sur la situation des Roms et des Gens du voyage (rapport de l'Agence des droits fondamentaux de l'Union européenne),</w:t>
            </w:r>
            <w:r>
              <w:t xml:space="preserve"> </w:t>
            </w:r>
            <w:r>
              <w:rPr>
                <w:b/>
                <w:i/>
              </w:rPr>
              <w:t>Office des publications de l'Union européenne, https://fra.europa.eu/sites/default/files/fra_uploads/fra-2020-roma-travellers-six-countries_fr.pdf.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bis</w:t>
            </w:r>
            <w:r>
              <w:t xml:space="preserve"> </w:t>
            </w:r>
            <w:r>
              <w:rPr>
                <w:b/>
                <w:i/>
              </w:rPr>
              <w:t>Agence des droits fondamentaux de l'Union européenne (2025),</w:t>
            </w:r>
            <w:r>
              <w:t xml:space="preserve"> </w:t>
            </w:r>
            <w:r>
              <w:rPr>
                <w:b/>
                <w:i/>
              </w:rPr>
              <w:t>Rights of Roma and Travellers in 13 European countries – Perspectives from the Roma Survey 2024,</w:t>
            </w:r>
            <w:r>
              <w:t xml:space="preserve"> </w:t>
            </w:r>
            <w:r>
              <w:rPr>
                <w:b/>
                <w:i/>
              </w:rPr>
              <w:t>Agence des droits fondamentaux de l'Union européenne,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considérant que les jeunes sont exposés de manière disproportionnée à des emplois faiblement rémunérés</w:t>
            </w:r>
            <w:r>
              <w:rPr>
                <w:b/>
                <w:i/>
                <w:vertAlign w:val="superscript"/>
              </w:rPr>
              <w:t>1 bis</w:t>
            </w:r>
            <w:r>
              <w:t xml:space="preserve"> </w:t>
            </w:r>
            <w:r>
              <w:rPr>
                <w:b/>
                <w:i/>
              </w:rPr>
              <w:t>ainsi qu'à des formes d'emploi précaires et atypiques, notamment les contrats à durée déterminée, les contrats «zéro heure» et le faux travail indépendant</w:t>
            </w:r>
            <w:r>
              <w:rPr>
                <w:b/>
                <w:i/>
                <w:vertAlign w:val="superscript"/>
              </w:rPr>
              <w:t>1 ter</w:t>
            </w:r>
            <w:r>
              <w:rPr>
                <w:b/>
                <w:i/>
              </w:rPr>
              <w:t>;</w:t>
            </w:r>
            <w:r>
              <w:t xml:space="preserve"> </w:t>
            </w:r>
            <w:r>
              <w:rPr>
                <w:b/>
                <w:i/>
              </w:rPr>
              <w:t>qu'ils ne bénéficient souvent pas d'une protection de l'emploi ni de prestations sociales adéquates;</w:t>
            </w:r>
            <w:r>
              <w:t xml:space="preserve"> </w:t>
            </w:r>
            <w:r>
              <w:rPr>
                <w:b/>
                <w:i/>
              </w:rPr>
              <w:t>que les jeunes sont également plus exposés au risque de perdre leur emploi en raison de l'automatisation;</w:t>
            </w:r>
            <w:r>
              <w:t xml:space="preserve"> </w:t>
            </w:r>
            <w:r>
              <w:rPr>
                <w:b/>
                <w:i/>
              </w:rPr>
              <w:t>que ces conditions n'offrent qu'une sécurité financière limitée et compromettent les perspectives d'intégration durable sur le marché du travail;</w:t>
            </w:r>
            <w:r>
              <w:t xml:space="preserve"> </w:t>
            </w:r>
            <w:r>
              <w:rPr>
                <w:b/>
                <w:i/>
              </w:rPr>
              <w:t>que cela touche tout particulièrement les NEET en situation de vulnérabilité, qui se retrouvent de manière disproportionnée dans des emplois peu qualifiés et de mauvaise qualité;</w:t>
            </w:r>
            <w:r>
              <w:t xml:space="preserve"> </w:t>
            </w:r>
            <w:r>
              <w:rPr>
                <w:b/>
                <w:i/>
              </w:rPr>
              <w:t>que la garantie renforcée pour la jeunesse doit combattre activement la précarité et les bas salaires et privilégier l'emploi rémunéré plutôt que le bénévolat;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Proportion de travailleurs à bas salaire dans les pays de l'UE,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Les jeunes sur le marché du travail - statistiques,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considérant que les jeunes issus de l'aide sociale constituent un groupe particulièrement exposé au risque de se retrouver dans la catégorie des NEET; qu'en raison du manque de données fiables, leur nombre au niveau de l'Union européenne reste toutefois difficile à évaluer, tout comme les mesures de soutien mises en place pour les aider et les opportunités qui s'offrent à eux après leur sortie de l'aide sociale;</w:t>
            </w:r>
            <w:r>
              <w:t xml:space="preserve"> </w:t>
            </w:r>
            <w:r>
              <w:rPr>
                <w:b/>
                <w:i/>
              </w:rPr>
              <w:t>que les jeunes qui quittent les structures d'accueil sont souvent confrontés à une transition brutale vers l'autonomie, sans bénéficier d'une continuité scolaire suffisante, d'une situation de logement stable ou d'un accompagnement professionnel, ce qui accroît leur risque de chômage, de pauvreté et d'exclusion sociale;</w:t>
            </w:r>
            <w:r>
              <w:t xml:space="preserve"> </w:t>
            </w:r>
            <w:r>
              <w:rPr>
                <w:b/>
                <w:i/>
              </w:rPr>
              <w:t>qu'une mise en œuvre renforcée de la garantie pour la jeunesse pourrait combler ces lacunes en matière de transition grâce à des mécanismes de soutien adaptés;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considérant que le sous-emploi chez les jeunes est en hausse, le taux d'emploi à temps partiel chez les jeunes étant nettement plus élevé que celui de l'ensemble de la population active</w:t>
            </w:r>
            <w:r>
              <w:rPr>
                <w:b/>
                <w:i/>
                <w:vertAlign w:val="superscript"/>
              </w:rPr>
              <w:t>1 bis</w:t>
            </w:r>
            <w:r>
              <w:rPr>
                <w:b/>
                <w:i/>
              </w:rPr>
              <w:t>;</w:t>
            </w:r>
            <w:r>
              <w:t xml:space="preserve"> </w:t>
            </w:r>
            <w:r>
              <w:rPr>
                <w:b/>
                <w:i/>
              </w:rPr>
              <w:t>que cette disparité est encore plus marquée chez les jeunes femmes;</w:t>
            </w:r>
            <w:r>
              <w:t xml:space="preserve"> </w:t>
            </w:r>
            <w:r>
              <w:rPr>
                <w:b/>
                <w:i/>
              </w:rPr>
              <w:t>qu'une grande partie des contrats à temps partiel sont involontaires, ce qui témoigne d'une défaillance structurelle du marché du travail, incapable d'offrir suffisamment de débouchés à temps plein;</w:t>
            </w:r>
            <w:r>
              <w:t xml:space="preserve"> </w:t>
            </w:r>
            <w:r>
              <w:rPr>
                <w:b/>
                <w:i/>
              </w:rPr>
              <w:t>que le travail à temps partiel involontaire compromet les perspectives de revenus, l'évolution de carrière, l'accès à la protection sociale et les droits à la retraite;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Emploi à temps partiel et à temps plein - statistiques,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considérant que les préjugés, la stigmatisation et les stéréotypes tenaces peuvent limiter l'accès aux stages et à l'apprentissage pour les jeunes issus de structures d'accueil, les jeunes présentant un handicap physique ou un trouble du développement intellectuel, ainsi que pour les jeunes Roms;</w:t>
            </w:r>
            <w:r>
              <w:t xml:space="preserve"> </w:t>
            </w:r>
            <w:r>
              <w:rPr>
                <w:b/>
                <w:i/>
              </w:rPr>
              <w:t>qu'il est essentiel de surmonter ces obstacles et de promouvoir des pratiques de recrutement inclusives pour garantir un accès équitable à des premières expériences professionnelles de qualité;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nonies.</w:t>
            </w:r>
            <w:r>
              <w:tab/>
            </w:r>
            <w:r>
              <w:rPr>
                <w:b/>
                <w:i/>
              </w:rPr>
              <w:t>considérant que les parcours traditionnels menant du système éducatif au marché du travail s'effritent en raison d'une pénurie structurelle d'emplois de premier échelon de qualité;</w:t>
            </w:r>
            <w:r>
              <w:t xml:space="preserve"> </w:t>
            </w:r>
            <w:r>
              <w:rPr>
                <w:b/>
                <w:i/>
              </w:rPr>
              <w:t>que de nombreux jeunes, bien qu'ils soient hautement qualifiés et compétents, ont du mal à transformer leurs diplômes en emploi stable;</w:t>
            </w:r>
            <w:r>
              <w:t xml:space="preserve"> </w:t>
            </w:r>
            <w:r>
              <w:rPr>
                <w:b/>
                <w:i/>
              </w:rPr>
              <w:t>que le taux d'emploi des jeunes diplômés est en baisse</w:t>
            </w:r>
            <w:r>
              <w:rPr>
                <w:b/>
                <w:i/>
                <w:vertAlign w:val="superscript"/>
              </w:rPr>
              <w:t>1 bis</w:t>
            </w:r>
            <w:r>
              <w:t xml:space="preserve"> </w:t>
            </w:r>
            <w:r>
              <w:rPr>
                <w:b/>
                <w:i/>
              </w:rPr>
              <w:t>et que le nombre de jeunes occupant des emplois bien en deçà de leur niveau de qualification est en augmentation</w:t>
            </w:r>
            <w:r>
              <w:rPr>
                <w:b/>
                <w:i/>
                <w:vertAlign w:val="superscript"/>
              </w:rPr>
              <w:t>1 ter</w:t>
            </w:r>
            <w:r>
              <w:rPr>
                <w:b/>
                <w:i/>
              </w:rPr>
              <w:t>;</w:t>
            </w:r>
            <w:r>
              <w:t xml:space="preserve"> </w:t>
            </w:r>
            <w:r>
              <w:rPr>
                <w:b/>
                <w:i/>
              </w:rPr>
              <w:t>que cela entraîne un effet d'éviction qui réduit encore davantage les perspectives des NEET en situation de vulnérabilité;</w:t>
            </w:r>
            <w:r>
              <w:t xml:space="preserve"> </w:t>
            </w:r>
            <w:r>
              <w:rPr>
                <w:b/>
                <w:i/>
              </w:rPr>
              <w:t>que les obstacles de plus en plus importants à l'intégration des jeunes sur le marché du travail nuisent à la cohésion sociale et à la confiance dans les institutions;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Taux d'emploi des jeunes diplômés,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Les jeunes: diplômes, compétences et adéquation avec le marché du travail,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decies.</w:t>
            </w:r>
            <w:r>
              <w:tab/>
            </w:r>
            <w:r>
              <w:rPr>
                <w:b/>
                <w:i/>
              </w:rPr>
              <w:t>considérant qu'en 2024, près d'un jeune sur quatre dans l'Union était exposé au risque de pauvreté ou d'exclusion sociale, soit un taux supérieur de 3,1 points de pourcentage à celui de l'ensemble de la population</w:t>
            </w:r>
            <w:r>
              <w:rPr>
                <w:b/>
                <w:i/>
                <w:vertAlign w:val="superscript"/>
              </w:rPr>
              <w:t>1 bis</w:t>
            </w:r>
            <w:r>
              <w:rPr>
                <w:b/>
                <w:i/>
              </w:rPr>
              <w:t>;</w:t>
            </w:r>
            <w:r>
              <w:t xml:space="preserve"> </w:t>
            </w:r>
            <w:r>
              <w:rPr>
                <w:b/>
                <w:i/>
              </w:rPr>
              <w:t>que les inégalités structurelles, telles que la précarité matérielle et les désavantages sociaux persistants, compromettent la capacité à accéder au marché du travail et à mener une vie autonome;</w:t>
            </w:r>
            <w:r>
              <w:t xml:space="preserve"> </w:t>
            </w:r>
            <w:r>
              <w:rPr>
                <w:b/>
                <w:i/>
              </w:rPr>
              <w:t>que sans accès à des conditions de base telles que le logement, les transports, la garde d'enfants et l'aide aux soins, il n'est pas possible de favoriser l'insertion professionnelle;</w:t>
            </w:r>
            <w:r>
              <w:t xml:space="preserve"> </w:t>
            </w:r>
            <w:r>
              <w:rPr>
                <w:b/>
                <w:i/>
              </w:rPr>
              <w:t>que l'insertion durable sur le marché du travail nécessite une démarche globale visant à lever tous les obstacles qui se renforcent mutuellement;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Les jeunes - inclusion sociale,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undecies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undecies.</w:t>
            </w:r>
            <w:r>
              <w:tab/>
            </w:r>
            <w:r>
              <w:rPr>
                <w:b/>
                <w:i/>
              </w:rPr>
              <w:t>considérant que les NEET en situation de vulnérabilité peuvent ne pas disposer des compétences fonctionnelles en lecture, en écriture, en calcul et en matière de numérique nécessaires pour accéder à une éducation et à une formation de qualité ou au marché du travail;</w:t>
            </w:r>
            <w:r>
              <w:t xml:space="preserve"> </w:t>
            </w:r>
            <w:r>
              <w:rPr>
                <w:b/>
                <w:i/>
              </w:rPr>
              <w:t>que la garantie renforcée pour la jeunesse tient souvent ces compétences pour acquises, ce qui limite ainsi la capacité des NEET en situation de vulnérabilité à accéder aux mesures d'emploi et de formation et à en tirer profit;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duodecies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duodecies.</w:t>
            </w:r>
            <w:r>
              <w:tab/>
            </w:r>
            <w:r>
              <w:rPr>
                <w:b/>
                <w:i/>
              </w:rPr>
              <w:t>considérant que les résultats des jeunes en lecture, en mathématiques et en sciences sont en baisse dans l'ensemble de l'Union, et que ceux issus de milieux socio-économiques défavorisés ont plus de six fois plus de risques d'obtenir des résultats inférieurs à la moyenne que leurs camarades</w:t>
            </w:r>
            <w:r>
              <w:rPr>
                <w:b/>
                <w:i/>
                <w:vertAlign w:val="superscript"/>
              </w:rPr>
              <w:t>1 bis</w:t>
            </w:r>
            <w:r>
              <w:rPr>
                <w:b/>
                <w:i/>
              </w:rPr>
              <w:t>;</w:t>
            </w:r>
            <w:r>
              <w:t xml:space="preserve"> </w:t>
            </w:r>
            <w:r>
              <w:rPr>
                <w:b/>
                <w:i/>
              </w:rPr>
              <w:t>que la garantie renforcée pour la jeunesse doit prendre activement en compte ces tendances préoccupantes afin d'éviter que les fractures sociales ne s'aggravent et de garantir l'égalité d'accès à l'éducation et aux perspectives d'emploi futures;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Commission européenne, Suivi de l’éducation et de la formation 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considérant qu’il est </w:t>
            </w:r>
            <w:r>
              <w:rPr>
                <w:b/>
                <w:i/>
              </w:rPr>
              <w:t>difficile</w:t>
            </w:r>
            <w:r>
              <w:t xml:space="preserve"> d’établir un lien de causalité direct entre la mise en œuvre de la garantie renforcée pour la jeunesse et les résultats observés en ce qui concerne la réduction du taux de NEET et du chômage des jeunes;</w:t>
            </w:r>
          </w:p>
        </w:tc>
        <w:tc>
          <w:tcPr>
            <w:tcW w:w="4876" w:type="dxa"/>
            <w:tcBorders>
              <w:top w:val="nil"/>
              <w:left w:val="nil"/>
              <w:bottom w:val="nil"/>
              <w:right w:val="nil"/>
            </w:tcBorders>
          </w:tcPr>
          <w:p>
            <w:pPr>
              <w:pStyle w:val="Normal6a"/>
            </w:pPr>
            <w:r>
              <w:t>B.</w:t>
            </w:r>
            <w:r>
              <w:tab/>
            </w:r>
            <w:r>
              <w:t xml:space="preserve">considérant qu’il est </w:t>
            </w:r>
            <w:r>
              <w:rPr>
                <w:b/>
                <w:i/>
              </w:rPr>
              <w:t>impossible</w:t>
            </w:r>
            <w:r>
              <w:t xml:space="preserve"> d’établir un lien de causalité direct entre la mise en œuvre de la garantie renforcée pour la jeunesse et les résultats observés en ce qui concerne la réduction du taux de NEET et du chômage des jeunes</w:t>
            </w:r>
            <w:r>
              <w:rPr>
                <w:b/>
                <w:i/>
              </w:rPr>
              <w:t>, ce qui démontre l'inefficacité structurelle de l'ingénierie sociale européenne</w:t>
            </w:r>
            <w:r>
              <w:t xml:space="preserve"> ; </w:t>
            </w:r>
            <w:r>
              <w:rPr>
                <w:b/>
                <w:i/>
              </w:rPr>
              <w:t>considérant que la création d'emplois pour la jeunesse ne dépend pas de directives centralisées, mais découle avant tout de la souveraineté fiscale des États membres, de la santé économique nationale et de la compétitivité de nos PME;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qu’il est difficile d’établir un lien de causalité direct entre la mise en œuvre de la garantie renforcée pour la jeunesse et les résultats observés en ce qui concerne la réduction du taux de NEET et du chômage des jeunes;</w:t>
            </w:r>
          </w:p>
        </w:tc>
        <w:tc>
          <w:tcPr>
            <w:tcW w:w="4876" w:type="dxa"/>
            <w:tcBorders>
              <w:top w:val="nil"/>
              <w:left w:val="nil"/>
              <w:bottom w:val="nil"/>
              <w:right w:val="nil"/>
            </w:tcBorders>
          </w:tcPr>
          <w:p>
            <w:pPr>
              <w:pStyle w:val="Normal6a"/>
            </w:pPr>
            <w:r>
              <w:t>B.</w:t>
            </w:r>
            <w:r>
              <w:tab/>
            </w:r>
            <w:r>
              <w:t xml:space="preserve">considérant qu’il est difficile d’établir un lien de causalité direct entre la mise en œuvre de la garantie renforcée pour la jeunesse et les résultats observés en ce qui concerne la réduction du taux de NEET et du chômage des jeunes; </w:t>
            </w:r>
            <w:r>
              <w:rPr>
                <w:b/>
                <w:i/>
              </w:rPr>
              <w:t>que cela souligne la nécessité de mettre davantage l'accent sur des résultats concrets pour les jeunes, d'assurer une meilleure adéquation avec les besoins du marché du travail national et de renforcer les synergies avec les programmes de l'Union tels que le Fonds social européen Plus (FSE+), Erasmus+ et le Corps européen de solidarité;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qu’il est difficile d’établir un lien de causalité direct entre la mise en œuvre de la garantie renforcée pour la jeunesse et les résultats observés en ce qui concerne la réduction du taux de NEET et du chômage des jeunes;</w:t>
            </w:r>
          </w:p>
        </w:tc>
        <w:tc>
          <w:tcPr>
            <w:tcW w:w="4876" w:type="dxa"/>
            <w:tcBorders>
              <w:top w:val="nil"/>
              <w:left w:val="nil"/>
              <w:bottom w:val="nil"/>
              <w:right w:val="nil"/>
            </w:tcBorders>
          </w:tcPr>
          <w:p>
            <w:pPr>
              <w:pStyle w:val="Normal6a"/>
            </w:pPr>
            <w:r>
              <w:t>B.</w:t>
            </w:r>
            <w:r>
              <w:tab/>
            </w:r>
            <w:r>
              <w:t>considérant qu’il est difficile d’établir un lien de causalité direct entre la mise en œuvre de la garantie renforcée pour la jeunesse et les résultats observés en ce qui concerne la réduction du taux de NEET et du chômage des jeunes</w:t>
            </w:r>
            <w:r>
              <w:rPr>
                <w:b/>
                <w:i/>
              </w:rPr>
              <w:t>, en particulier lorsque les programmes de la garantie renforcée pour la jeunesse s'inscrivent dans le cadre de politiques nationales plus larges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les données européennes montrent que les parcours d'enseignement et de formation professionnels initiaux (EFPI) intégrant une forte composante d'apprentissage en milieu professionnel constituent le moyen le plus efficace de prévenir la situation des NEET, avec des taux d'emploi atteignant 90,5 % chez les jeunes qui achèvent des parcours comprenant au moins sept mois d'apprentissage en milieu professionnel, contre 69,7 % pour ceux qui n'ont pas eu accès à ces parcours;</w:t>
            </w:r>
            <w:r>
              <w:t xml:space="preserve"> </w:t>
            </w:r>
            <w:r>
              <w:rPr>
                <w:b/>
                <w:i/>
              </w:rPr>
              <w:t>que les systèmes de formation professionnelle en alternance, grâce à l'alternance structurée entre le milieu scolaire et le milieu professionnel, permettent d'acquérir des compétences utiles sur le marché du travail et réduisent de manière structurelle le décalage entre l'offre et la demande d'emploi;</w:t>
            </w:r>
            <w:r>
              <w:t xml:space="preserve"> </w:t>
            </w:r>
            <w:r>
              <w:rPr>
                <w:b/>
                <w:i/>
              </w:rPr>
              <w:t>que les États membres dotés de solides systèmes de formation professionnelle en alternance affichent les taux de chômage des jeunes les plus bas de l'Union;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la mise en œuvre effective de la garantie renforcée pour la jeunesse nécessite des mesures ciblées, intégrées et tenant compte des spécificités familiales, en particulier pour les jeunes parents, combinant l'aide à l'emploi avec l'accès à l'éducation et à la formation, aux services de garde d'enfants, aux services sociaux et, le cas échéant, à un soutien au revenu adéquat, afin d'assurer une intégration durable sur le marché du travail, de prévenir l'exclusion à long terme, de promouvoir l'égalité entre les femmes et les hommes et de favoriser un équilibre durable entre vie professionnelle et vie privée;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les données fournies par la Cour des comptes européenne montrent que des politiques en faveur de la jeunesse bien financées, inclusives et fondées sur les droits - telle que la garantie renforcée pour la jeunesse - contribuent clairement à améliorer l’accès des jeunes à un emploi, une éducation et une formation de qualité;</w:t>
            </w:r>
            <w:r>
              <w:t xml:space="preserve"> </w:t>
            </w:r>
            <w:r>
              <w:rPr>
                <w:b/>
                <w:i/>
              </w:rPr>
              <w:t>qu’un suivi renforcé, la collecte de données ventilées et des évaluations d’impact sont essentiels pour saisir pleinement son incidence, en particulier sur les groupes vulnérables et marginalisés;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qu'il existe presque autant de modèles de mise en œuvre de la garantie renforcée pour la jeunesse qu'il y a d'États membres;</w:t>
            </w:r>
            <w:r>
              <w:t xml:space="preserve"> </w:t>
            </w:r>
            <w:r>
              <w:rPr>
                <w:b/>
                <w:i/>
              </w:rPr>
              <w:t>que les modalités institutionnelles de sa mise en œuvre vont de la prise en compte de la garantie pour la jeunesse dans les systèmes nationaux existants à la création d'un modèle national distinct;</w:t>
            </w:r>
            <w:r>
              <w:t xml:space="preserve"> </w:t>
            </w:r>
            <w:r>
              <w:rPr>
                <w:b/>
                <w:i/>
              </w:rPr>
              <w:t>que les modes de gouvernance varient également entre des modèles centralisés, coordonnés au niveau national, et des modèles entièrement décentralisés au niveau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la recommandation du Conseil du 16 juin 2022 relative à une approche européenne des microcertifications reconnaît que celles-ci constituent un outil essentiel pour des parcours d'apprentissage flexibles, inclusifs et ciblés, permettant aux individus d'acquérir, d'actualiser et de certifier leurs compétences de manière modulaire, notamment pour répondre aux besoins du marché du travail et aux transitions verte et numérique;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l'investissement en faveur des jeunes grâce à la garantie renforcée pour la jeunesse constitue un investissement dans l'avenir de l'Union, qui renforce la cohésion sociale ainsi que l'équité et la solidarité intergénérationnelles, réduit la pauvreté et l'exclusion sociale, et contribue à la résilience de la main-d'œuvre et à la compétitivité de l'économie;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l’efficacité de la garantie renforcée pour la jeunesse dépend de l’utilisation transparente et efficace des fonds européens et nationaux, ainsi que de systèmes de suivi et d’évaluation solides, à même de mesurer les résultats en matière d’emploi à long terme pour les jeunes bénéficiaires;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le chômage des jeunes et la précarité de l'emploi sont directement liés aux inégalités structurelles, à l'austérité, à la déréglementation des marchés du travail et au sous-financement des services publics;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qu'une nette majorité d'États membres s'appuie sur une stratégie axée en priorité sur l'emploi, tandis que d'autres privilégient une approche axée sur la formation;</w:t>
            </w:r>
            <w:r>
              <w:t xml:space="preserve"> </w:t>
            </w:r>
            <w:r>
              <w:rPr>
                <w:b/>
                <w:i/>
              </w:rPr>
              <w:t>qu'en 2024, 35,2 % des sorties positives et en temps voulu de la phase préparatoire de la garantie pour la jeunesse ont débouché sur un emploi, 6,5 % sur la poursuite d'études, 2,5 % sur un stage et 1,6 % sur un apprentissage</w:t>
            </w:r>
            <w:r>
              <w:rPr>
                <w:b/>
                <w:i/>
                <w:vertAlign w:val="superscript"/>
              </w:rPr>
              <w:t>17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bis</w:t>
            </w:r>
            <w:r>
              <w:t xml:space="preserve"> </w:t>
            </w:r>
            <w:r>
              <w:rPr>
                <w:b/>
                <w:i/>
              </w:rPr>
              <w:t>Commission européenne, direction générale de l’emploi, des affaires sociales &amp; de l’inclusion, Data table on Youth Guarantee Direct indicators, février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qu'Eurofound estime que la désaffection des jeunes et l'incapacité à intégrer les NEET sur le marché du travail coûtent à l'Union près de 100 milliards d'euros par an</w:t>
            </w:r>
            <w:r>
              <w:rPr>
                <w:b/>
                <w:i/>
                <w:vertAlign w:val="superscript"/>
              </w:rPr>
              <w:t>1 bis</w:t>
            </w:r>
            <w:r>
              <w:rPr>
                <w:b/>
                <w:i/>
              </w:rPr>
              <w:t>, ce qui souligne l'impératif économique et social urgent de garantir un renforcement effectif de la garantie renforcée pour la jeunesse;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 le FSE+ a été le principal instrument de financement de la garantie renforcée pour la jeunesse pour la période 2021-2027;</w:t>
            </w:r>
            <w:r>
              <w:t xml:space="preserve"> </w:t>
            </w:r>
            <w:r>
              <w:rPr>
                <w:b/>
                <w:i/>
              </w:rPr>
              <w:t>que les autorités de gestion doivent améliorer leurs capacités d’absorption, en particulier dans les zones reculées;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qu'une grande partie des jeunes occupe des emplois temporaires, faiblement rémunérés et précaires, sans bénéficier de l'ensemble des droits sociaux et du travail;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 les jeunes sont de plus en plus amenés à faire preuve de flexibilité et de mobilité géographique dans le cadre de leurs études, de leur formation et de leur carrière professionnelle;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les garanties en faveur des jeunes ne peuvent se substituer au droit à un emploi stable assorti de tous les droits, ni légitimer l'extension du travail non rémunéré ou sous-rémunéré par l'intermédiaire de programmes de «stages» et d'«apprentissage»;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les NEET inactifs et vulnérables sont le plus souvent laissés à l’écart des initiatives de la garantie pour la jeunesse, celle-ci bénéficiant principalement aux jeunes plus proches du marché du travail, phénomène connu sous le nom d’«effet d’écrémage», ce qui entraîne une surestimation de l’incidence réelle de la garantie renforcée pour la jeunesse sur l’ensemble de la population des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la compétitivité de l'Union dépend également des compétences de sa main-d'œuvre et de sa capacité à mobiliser la population jeune en âge de travailler afin de remédier aux pénuries de main-d'œuvre et de compétences;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l'accès à un logement abordable, adéquat et de qualité est une condition préalable à une participation réussie à l'éducation, à l'apprentissage, aux stages et à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qu'il subsiste des obstacles institutionnels et structurels à la mise en œuvre de la garantie pour la jeunesse et à son application concrète dans les États membres et au niveau local, tels que les difficultés de partage des données entre les services, l'inadéquation entre l'offre d'éducation et de formation et le marché du travail, ainsi que les désavantages socio-économiques auxquels sont confrontés les groupes vulnérables;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qu'il convient d'évaluer l’efficacité de la garantie pour la jeunesse non seulement à l’aune de l’entrée immédiate de jeunes dans l’emploi, l’éducation ou la formation, mais également en tenant compte de la qualité et de la pérennité de ces possibilités, ainsi que des perspectives professionnelles de long terme qui leur sont ainsi offertes;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que les jeunes issus de minorités ethniques, raciales ou religieuses sont plus susceptibles de se trouver dans une situation d’inadéquation entre leurs compétences et leur 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considérant qu’il convient de considérer les politiques de jeunesse non seulement comme une priorité sociale mais également comme un investissement stratégique dans le capital humain, la compétitivité et la résilience économique à long terme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considérant que les NEET jeunes, les jeunes parents, en particulier les parents isolés, et les jeunes en situation de vulnérabilité sont davantage exposés au risque de détresse psychologique et d'exclusion à long terme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octies.</w:t>
            </w:r>
            <w:r>
              <w:tab/>
            </w:r>
            <w:r>
              <w:rPr>
                <w:b/>
                <w:i/>
              </w:rPr>
              <w:t>considérant que la santé mentale et le bien-être sont essentiels à la participation au marché du travail et peuvent être renforcés par des mesures psychosociales préventives et précoces dans le cadre de l'activation, sans pour autant porter atteinte à la responsabilité des États membres en matière de soins de santé;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nonies.</w:t>
            </w:r>
            <w:r>
              <w:tab/>
            </w:r>
            <w:r>
              <w:rPr>
                <w:b/>
                <w:i/>
              </w:rPr>
              <w:t>considérant que l'automatisation et l'intelligence artificielle sont en train de transformer les marchés du travail, ce qui risque d'exclure les jeunes qui ne possèdent pas les compétences de base en matière d'intelligence artificielle;</w:t>
            </w:r>
            <w:r>
              <w:t xml:space="preserve"> </w:t>
            </w:r>
            <w:r>
              <w:rPr>
                <w:b/>
                <w:i/>
              </w:rPr>
              <w:t>que la garantie pour la jeunesse doit traiter ce problème en amont pour assurer leur employabilité;</w:t>
            </w:r>
            <w:r>
              <w:t xml:space="preserve"> </w:t>
            </w:r>
            <w:r>
              <w:rPr>
                <w:b/>
                <w:i/>
              </w:rPr>
              <w:t>que l'IA peut contribuer à surmonter les obstacles (à l'apprentissage) (grâce aux technologies d'assistance), à condition que les jeunes acquièrent dès leur plus jeune âge des compétences numériques et des connaissances de base en matière 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decies.</w:t>
            </w:r>
            <w:r>
              <w:tab/>
            </w:r>
            <w:r>
              <w:rPr>
                <w:b/>
                <w:i/>
              </w:rPr>
              <w:t>considérant que la garantie pour la jeunesse repose sur un principe d'obligation réciproque, en vertu duquel les jeunes ont non seulement le droit de bénéficier d'une offre de qualité, mais aussi le devoir de participer activement et d'accepter des offres d'emploi, de formation ou de scolarisation raisonnables;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undecies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undecies.</w:t>
            </w:r>
            <w:r>
              <w:tab/>
            </w:r>
            <w:r>
              <w:rPr>
                <w:b/>
                <w:i/>
              </w:rPr>
              <w:t>considérant que les États membres doivent donc veiller à ce que, en cas de refus répétés et injustifiés d'offres raisonnables, des mesures appropriées puissent être prises conformément au droit national afin de lutter contre la passivité et de promouvoir la responsabilité personnelle des jeunes;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AM\1342335FR.docx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AM\1342335FR.docx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AM\1342335FR.docx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7611</Words>
  <Characters>44113</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505340</vt:lpwstr>
  </property>
  <property fmtid="{D5CDD505-2E9C-101B-9397-08002B2CF9AE}" pid="7" name="dmxml.render.traceId">
    <vt:lpwstr>6a1002b5124b2ee2e8e46b6e9ef24ed7</vt:lpwstr>
  </property>
  <property fmtid="{D5CDD505-2E9C-101B-9397-08002B2CF9AE}" pid="8" name="FooterPath">
    <vt:lpwstr>AM\1342335FR.docx</vt:lpwstr>
  </property>
  <property fmtid="{D5CDD505-2E9C-101B-9397-08002B2CF9AE}" pid="9" name="PE Number">
    <vt:lpwstr>787.791</vt:lpwstr>
  </property>
  <property fmtid="{D5CDD505-2E9C-101B-9397-08002B2CF9AE}" pid="10" name="UID">
    <vt:lpwstr>eu.europa.europarl-DIN1-2026-0000110653_01.00-fr-01.00_text-xml</vt:lpwstr>
  </property>
</Properties>
</file>