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4.2.0 --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4"/>
        <w:gridCol w:w="2268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hRule="exact" w:val="1417"/>
          <w:jc w:val="center"/>
        </w:trPr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EPName"/>
            </w:pPr>
            <w:r>
              <w:t>Europski parlament</w:t>
            </w:r>
          </w:p>
          <w:p>
            <w:pPr>
              <w:pStyle w:val="EPTerm"/>
              <w:jc w:val="left"/>
            </w:pPr>
            <w:r>
              <w:t>2024-2029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>
            <w:pPr>
              <w:pStyle w:val="EPLogo"/>
              <w:jc w:val="right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1.56pt;height:50.11pt">
                  <v:imagedata r:id="rId4" o:title=""/>
                </v:shape>
              </w:pict>
            </w:r>
          </w:p>
        </w:tc>
      </w:tr>
    </w:tbl>
    <w:p>
      <w:pPr>
        <w:pStyle w:val="LineTop"/>
      </w:pPr>
      <w:r>
        <w:t xml:space="preserve"> </w:t>
      </w:r>
    </w:p>
    <w:p>
      <w:pPr>
        <w:pStyle w:val="EPBody"/>
      </w:pPr>
      <w:r>
        <w:rPr>
          <w:rStyle w:val="HideTWBExt"/>
        </w:rPr>
        <w:t>&lt;Commission&gt;</w:t>
      </w:r>
      <w:r>
        <w:rPr>
          <w:rStyle w:val="HideTWBInt"/>
        </w:rPr>
        <w:t>{EMPL}</w:t>
      </w:r>
      <w:r>
        <w:t>Odbor za zapošljavanje i socijalna pitanja</w:t>
      </w:r>
      <w:r>
        <w:rPr>
          <w:rStyle w:val="HideTWBExt"/>
        </w:rPr>
        <w:t>&lt;/Commission&gt;</w:t>
      </w:r>
    </w:p>
    <w:p>
      <w:pPr>
        <w:pStyle w:val="LineBottom"/>
      </w:pPr>
      <w:r>
        <w:t xml:space="preserve"> </w:t>
      </w:r>
    </w:p>
    <w:p>
      <w:pPr>
        <w:pStyle w:val="CoverReference"/>
      </w:pPr>
      <w:r>
        <w:rPr>
          <w:rStyle w:val="HideTWBExt"/>
        </w:rPr>
        <w:t>&lt;RefProc&gt;</w:t>
      </w:r>
      <w:r>
        <w:t>2025/2184</w:t>
      </w:r>
      <w:r>
        <w:rPr>
          <w:rStyle w:val="HideTWBExt"/>
        </w:rPr>
        <w:t>&lt;/RefProc&gt;</w:t>
      </w:r>
      <w:r>
        <w:rPr>
          <w:rStyle w:val="HideTWBExt"/>
        </w:rPr>
        <w:t>&lt;RefTypeProc&gt;</w:t>
      </w:r>
      <w:r>
        <w:t>(INI)</w:t>
      </w:r>
      <w:r>
        <w:rPr>
          <w:rStyle w:val="HideTWBExt"/>
        </w:rPr>
        <w:t>&lt;/RefTypeProc&gt;</w:t>
      </w:r>
    </w:p>
    <w:p>
      <w:pPr>
        <w:pStyle w:val="CoverDate"/>
      </w:pPr>
      <w:r>
        <w:rPr>
          <w:rStyle w:val="HideTWBExt"/>
        </w:rPr>
        <w:t>&lt;Date&gt;</w:t>
      </w:r>
      <w:r>
        <w:rPr>
          <w:rStyle w:val="HideTWBInt"/>
        </w:rPr>
        <w:t>{23/04/2026}</w:t>
      </w:r>
      <w:r>
        <w:t>23.4.2026</w:t>
      </w:r>
      <w:r>
        <w:rPr>
          <w:rStyle w:val="HideTWBExt"/>
        </w:rPr>
        <w:t>&lt;/Date&gt;</w:t>
      </w:r>
    </w:p>
    <w:p>
      <w:pPr>
        <w:pStyle w:val="CoverDocType"/>
      </w:pPr>
      <w:r>
        <w:rPr>
          <w:rStyle w:val="HideTWBExt"/>
        </w:rPr>
        <w:t>&lt;TypeAM&gt;</w:t>
      </w:r>
      <w:r>
        <w:t>AMANDMANI</w:t>
      </w:r>
      <w:r>
        <w:rPr>
          <w:rStyle w:val="HideTWBExt"/>
        </w:rPr>
        <w:t>&lt;/TypeAM&gt;</w:t>
      </w:r>
    </w:p>
    <w:p>
      <w:pPr>
        <w:pStyle w:val="CoverDocType24a"/>
      </w:pPr>
      <w:r>
        <w:rPr>
          <w:rStyle w:val="HideTWBExt"/>
        </w:rPr>
        <w:t>&lt;RangeAM&gt;</w:t>
      </w:r>
      <w:r>
        <w:t>1</w:t>
      </w:r>
      <w:r>
        <w:t xml:space="preserve"> - </w:t>
      </w:r>
      <w:r>
        <w:t>80</w:t>
      </w:r>
      <w:r>
        <w:rPr>
          <w:rStyle w:val="HideTWBExt"/>
        </w:rPr>
        <w:t>&lt;/RangeAM&gt;</w:t>
      </w:r>
    </w:p>
    <w:p>
      <w:pPr>
        <w:pStyle w:val="CoverBold"/>
      </w:pPr>
      <w:r>
        <w:rPr>
          <w:rStyle w:val="HideTWBExt"/>
        </w:rPr>
        <w:t>&lt;TitreType&gt;</w:t>
      </w:r>
      <w:r>
        <w:t>Nacrt izvješća</w:t>
      </w:r>
      <w:r>
        <w:rPr>
          <w:rStyle w:val="HideTWBExt"/>
        </w:rPr>
        <w:t>&lt;/TitreType&gt;</w:t>
      </w:r>
    </w:p>
    <w:p>
      <w:pPr>
        <w:pStyle w:val="CoverBold"/>
      </w:pPr>
      <w:r>
        <w:rPr>
          <w:rStyle w:val="HideTWBExt"/>
        </w:rPr>
        <w:t>&lt;Rapporteur&gt;</w:t>
      </w:r>
      <w:r>
        <w:t>Hristo Petrov</w:t>
      </w:r>
      <w:r>
        <w:rPr>
          <w:rStyle w:val="HideTWBExt"/>
        </w:rPr>
        <w:t>&lt;/Rapporteur&gt;</w:t>
      </w:r>
    </w:p>
    <w:p>
      <w:pPr>
        <w:pStyle w:val="CoverNormal24a"/>
      </w:pPr>
      <w:r>
        <w:rPr>
          <w:rStyle w:val="HideTWBExt"/>
        </w:rPr>
        <w:t>&lt;DocRefPE&gt;</w:t>
      </w:r>
      <w:r>
        <w:t>(PE785.214v01-00)</w:t>
      </w:r>
      <w:r>
        <w:rPr>
          <w:rStyle w:val="HideTWBExt"/>
        </w:rPr>
        <w:t>&lt;/DocRefPE&gt;</w:t>
      </w:r>
    </w:p>
    <w:p>
      <w:pPr>
        <w:pStyle w:val="CoverNormal"/>
      </w:pPr>
      <w:r>
        <w:rPr>
          <w:rStyle w:val="HideTWBExt"/>
        </w:rPr>
        <w:t>&lt;Titre&gt;</w:t>
      </w:r>
      <w:r>
        <w:t>Provedba Preporuke Vijeća od 30. listopada 2020. o lakšem prelasku u svijet rada – jačanje Garancije za mlade te o zamjeni Preporuke Vijeća od 22. travnja 2013. o uspostavi Garancije za mlade</w:t>
      </w:r>
      <w:r>
        <w:rPr>
          <w:rStyle w:val="HideTWBExt"/>
        </w:rPr>
        <w:t>&lt;/Titre&gt;</w:t>
      </w:r>
    </w:p>
    <w:p>
      <w:pPr>
        <w:pStyle w:val="CoverNormal24a"/>
      </w:pPr>
      <w:r>
        <w:rPr>
          <w:rStyle w:val="HideTWBExt"/>
        </w:rPr>
        <w:t>&lt;DocRef&gt;</w:t>
      </w:r>
      <w:r>
        <w:t>(2025/2184(INI))</w:t>
      </w:r>
      <w:r>
        <w:rPr>
          <w:rStyle w:val="HideTWBExt"/>
        </w:rPr>
        <w:t>&lt;/DocRef&gt;</w:t>
      </w:r>
    </w:p>
    <w:p>
      <w:r>
        <w:br w:type="page"/>
      </w:r>
      <w:r>
        <w:t>AM_Com_NonLegReport</w:t>
      </w:r>
    </w:p>
    <w:p>
      <w:pPr>
        <w:pStyle w:val="AmNumberTabs"/>
      </w:pPr>
      <w:r>
        <w:br w:type="page"/>
      </w:r>
      <w:r>
        <w:rPr>
          <w:rStyle w:val="HideTWBExt"/>
        </w:rPr>
        <w:t>&lt;RepeatBlock-Amend&gt;</w:t>
      </w: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Niels Geuking, Pascal Arimont, Romana Tomc, David Casa, Isabelle Le Callennec, Liesbet Sommen, Sérgio Humberto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Pozivanje 2.a (novo)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–</w:t>
            </w:r>
            <w:r>
              <w:tab/>
            </w:r>
            <w:r>
              <w:rPr>
                <w:b/>
                <w:i/>
              </w:rPr>
              <w:t>uzimajući u obzir ciljeve socijalne politike utvrđene u člancima 151. i 153. UFEU-a u vezi s člankom 3. Uredbe (EZ) br. 883/2004 o socijalnoj sigurnosti i naknadama,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Gordan Bosanac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{Verts/ALE}</w:t>
      </w:r>
      <w:r>
        <w:t>u ime Kluba zastupnika Verts/ALE-a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Pozivanje 4.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—</w:t>
            </w:r>
            <w:r>
              <w:tab/>
            </w:r>
            <w:r>
              <w:t>uzimajući u obzir europski stup socijalnih prava koji su Europsko vijeće, Parlament i Komisija proglasili i potpisali 17. studenog 2017., a posebno njegova načela 1., 3. i 4.,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–</w:t>
            </w:r>
            <w:r>
              <w:tab/>
            </w:r>
            <w:r>
              <w:t xml:space="preserve">uzimajući u obzir europski stup socijalnih prava koji su Europsko vijeće, Parlament i Komisija proglasili i potpisali 17. studenog 2017., a posebno njegova načela 1., 3. i 4., </w:t>
            </w:r>
            <w:r>
              <w:rPr>
                <w:b/>
                <w:i/>
              </w:rPr>
              <w:t>te njegov cilj smanjenja stope pripadnosti skupini NEET na 9 % do 2030.,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Kathleen Funchion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Pozivanje 4.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—</w:t>
            </w:r>
            <w:r>
              <w:tab/>
            </w:r>
            <w:r>
              <w:t>uzimajući u obzir europski stup socijalnih prava koji su Europsko vijeće, Parlament i Komisija proglasili i potpisali 17. studenog 2017., a posebno njegova načela 1., 3. i 4.,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–</w:t>
            </w:r>
            <w:r>
              <w:tab/>
            </w:r>
            <w:r>
              <w:t xml:space="preserve">uzimajući u obzir europski stup socijalnih prava koji su Europsko vijeće, Parlament i Komisija proglasili i potpisali 17. studenog 2017., a posebno njegova načela 1., 3. i 4., </w:t>
            </w:r>
            <w:r>
              <w:rPr>
                <w:b/>
                <w:i/>
              </w:rPr>
              <w:t>te njegov cilj smanjenja stope pripadnosti skupini NEET na 9 % do 2030.,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Aodhán Ó Ríordáin, Estelle Ceulemans, Vilija Blinkevičiūtė, Idoia Mendia, Romana Jerković, Alicia Homs Ginel, Gabriele Bischoff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Pozivanje 5.a (novo)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–</w:t>
            </w:r>
            <w:r>
              <w:tab/>
            </w:r>
            <w:r>
              <w:rPr>
                <w:b/>
                <w:i/>
              </w:rPr>
              <w:t>uzimajući u obzir članke 7. i 17. revidirane Europske socijalne povelje,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Gordan Bosanac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{Verts/ALE}</w:t>
      </w:r>
      <w:r>
        <w:t>u ime Kluba zastupnika Verts/ALE-a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Pozivanje 6.a (novo)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–</w:t>
            </w:r>
            <w:r>
              <w:tab/>
            </w:r>
            <w:r>
              <w:rPr>
                <w:b/>
                <w:i/>
              </w:rPr>
              <w:t>uzimajući u obzir Zaključke Vijeća o ulozi rada s mladima u podupiranju razvoja ključnih životnih vještina mladih koje im olakšavaju uspješan prijelaz u odraslu dob, aktivno građanstvo i radni život (2017/C 189/06)</w:t>
            </w:r>
            <w:r>
              <w:rPr>
                <w:b/>
                <w:i/>
                <w:vertAlign w:val="superscript"/>
              </w:rPr>
              <w:t>2a</w:t>
            </w:r>
            <w:r>
              <w:rPr>
                <w:b/>
                <w:i/>
              </w:rPr>
              <w:t>,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_________________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  <w:vertAlign w:val="superscript"/>
              </w:rPr>
              <w:t>2a</w:t>
            </w:r>
            <w:r>
              <w:t xml:space="preserve"> </w:t>
            </w:r>
            <w:r>
              <w:rPr>
                <w:b/>
                <w:i/>
              </w:rPr>
              <w:t>SL C 189, 15.6.2017., str. 30 – 34.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Gordan Bosanac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{Verts/ALE}</w:t>
      </w:r>
      <w:r>
        <w:t>u ime Kluba zastupnika Verts/ALE-a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Pozivanje 6.b (novo)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–</w:t>
            </w:r>
            <w:r>
              <w:tab/>
            </w:r>
            <w:r>
              <w:rPr>
                <w:b/>
                <w:i/>
              </w:rPr>
              <w:t>uzimajući u obzir provedbu strategije EU-a za mlade (2019. – 2021.) (2021/C 504 I/02)</w:t>
            </w:r>
            <w:r>
              <w:rPr>
                <w:b/>
                <w:i/>
                <w:vertAlign w:val="superscript"/>
              </w:rPr>
              <w:t>2b</w:t>
            </w:r>
            <w:r>
              <w:rPr>
                <w:b/>
                <w:i/>
              </w:rPr>
              <w:t>,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_________________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  <w:vertAlign w:val="superscript"/>
              </w:rPr>
              <w:t>2b</w:t>
            </w:r>
            <w:r>
              <w:t xml:space="preserve"> </w:t>
            </w:r>
            <w:r>
              <w:rPr>
                <w:b/>
                <w:i/>
              </w:rPr>
              <w:t>SL C 504I, 14.12.2021., str. 10. – 11.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Gordan Bosanac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{Verts/ALE}</w:t>
      </w:r>
      <w:r>
        <w:t>u ime Kluba zastupnika Verts/ALE-a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Pozivanje 6.c (novo)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–</w:t>
            </w:r>
            <w:r>
              <w:tab/>
            </w:r>
            <w:r>
              <w:rPr>
                <w:b/>
                <w:i/>
              </w:rPr>
              <w:t>uzimajući u obzir komunikaciju Europske komisije od 20. siječnja 2026. naslovljenu „Unija ravnopravnosti:</w:t>
            </w:r>
            <w:r>
              <w:t xml:space="preserve"> </w:t>
            </w:r>
            <w:r>
              <w:rPr>
                <w:b/>
                <w:i/>
              </w:rPr>
              <w:t>Strategija za borbu protiv rasizma 2026. – 2030.” (COM(2026)0012)</w:t>
            </w:r>
            <w:r>
              <w:rPr>
                <w:b/>
                <w:i/>
                <w:vertAlign w:val="superscript"/>
              </w:rPr>
              <w:t>2c</w:t>
            </w:r>
            <w:r>
              <w:rPr>
                <w:b/>
                <w:i/>
              </w:rPr>
              <w:t>,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_________________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  <w:vertAlign w:val="superscript"/>
              </w:rPr>
              <w:t>2c</w:t>
            </w:r>
            <w:r>
              <w:t xml:space="preserve"> </w:t>
            </w:r>
            <w:r>
              <w:rPr>
                <w:b/>
                <w:i/>
              </w:rPr>
              <w:t>COM/2026/12 final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Gordan Bosanac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{Verts/ALE}</w:t>
      </w:r>
      <w:r>
        <w:t>u ime Kluba zastupnika Verts/ALE-a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Pozivanje 6.d (novo)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–</w:t>
            </w:r>
            <w:r>
              <w:tab/>
            </w:r>
            <w:r>
              <w:rPr>
                <w:b/>
                <w:i/>
              </w:rPr>
              <w:t>uzimajući u obzir izvješće Agencije EU-a za temeljna prava naslovljeno „Being Black in the EU – Experiences of people of African descent” (Biti crnac u EU-u – iskustva osoba afričkog podrijetla)</w:t>
            </w:r>
            <w:r>
              <w:rPr>
                <w:b/>
                <w:i/>
                <w:vertAlign w:val="superscript"/>
              </w:rPr>
              <w:t>2d</w:t>
            </w:r>
            <w:r>
              <w:rPr>
                <w:b/>
                <w:i/>
              </w:rPr>
              <w:t>,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_________________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  <w:vertAlign w:val="superscript"/>
              </w:rPr>
              <w:t>2d</w:t>
            </w:r>
            <w:r>
              <w:t xml:space="preserve"> </w:t>
            </w:r>
            <w:r>
              <w:rPr>
                <w:b/>
                <w:i/>
              </w:rPr>
              <w:t>https://fra.europa.eu/en/publication/2023/being-black-eu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Gordan Bosanac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{Verts/ALE}</w:t>
      </w:r>
      <w:r>
        <w:t>u ime Kluba zastupnika Verts/ALE-a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Pozivanje 6.e (novo)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–</w:t>
            </w:r>
            <w:r>
              <w:tab/>
            </w:r>
            <w:r>
              <w:rPr>
                <w:b/>
                <w:i/>
              </w:rPr>
              <w:t>uzimajući u obzir izvješće Agencije EU-a za temeljna prava naslovljeno „Being Muslim in the EU – Experiences of Muslims” (Biti musliman u EU-u – iskustva muslimana)</w:t>
            </w:r>
            <w:r>
              <w:rPr>
                <w:b/>
                <w:i/>
                <w:vertAlign w:val="superscript"/>
              </w:rPr>
              <w:t>2e</w:t>
            </w:r>
            <w:r>
              <w:rPr>
                <w:b/>
                <w:i/>
              </w:rPr>
              <w:t>,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_________________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  <w:vertAlign w:val="superscript"/>
              </w:rPr>
              <w:t>2e</w:t>
            </w:r>
            <w:r>
              <w:t xml:space="preserve"> </w:t>
            </w:r>
            <w:r>
              <w:rPr>
                <w:b/>
                <w:i/>
              </w:rPr>
              <w:t>https://fra.europa.eu/en/publication/2024/being-muslim-eu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Niels Geuking, Romana Tomc, Liesbet Sommen, Sérgio Humberto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Pozivanje 9.a (novo)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–</w:t>
            </w:r>
            <w:r>
              <w:tab/>
            </w:r>
            <w:r>
              <w:rPr>
                <w:b/>
                <w:i/>
              </w:rPr>
              <w:t>uzimajući u obzir ključne poruke Odbora za zapošljavanje (EMCO), koje je Vijeće potvrdilo u sastavu EPSCO 2016., 2018., 2019., 2021., 2023., 2025. i 2026.,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Aodhán Ó Ríordáin, Estelle Ceulemans, Vilija Blinkevičiūtė, Idoia Mendia, Romana Jerković, Alicia Homs Ginel, Gabriele Bischoff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Pozivanje 10.a (novo)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–</w:t>
            </w:r>
            <w:r>
              <w:tab/>
            </w:r>
            <w:r>
              <w:rPr>
                <w:b/>
                <w:i/>
              </w:rPr>
              <w:t>uzimajući u obzir ciljeve održivog razvoja Ujedinjenih naroda, osobito cilj br. 8, koje su svjetski čelnici usvojili u rujnu 2015. i koje je Vijeće podržalo,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Kathleen Funchion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Pozivanje 12.a (novo)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–</w:t>
            </w:r>
            <w:r>
              <w:tab/>
            </w:r>
            <w:r>
              <w:rPr>
                <w:b/>
                <w:i/>
              </w:rPr>
              <w:t>uzimajući u obzir Europsku socijalnu povelju, a posebno njezine članke 7. i 17.;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Kathleen Funchion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Pozivanje 12.b (novo)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–</w:t>
            </w:r>
            <w:r>
              <w:tab/>
            </w:r>
            <w:r>
              <w:rPr>
                <w:b/>
                <w:i/>
              </w:rPr>
              <w:t>uzimajući u obzir ciljeve Programa održivog razvoja do 2030., a posebno cilj br. 8 „Promicanje kontinuiranog, uključivog i održivog gospodarskog rasta, pune i produktivne zaposlenosti i dostojanstvenog rada za sve”,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Hristo Petrov, Irena Joveva, Martin Hojsík, Elisabetta Gualmini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Pozivanje 16.a (novo)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–</w:t>
            </w:r>
            <w:r>
              <w:tab/>
            </w:r>
            <w:r>
              <w:rPr>
                <w:b/>
                <w:i/>
              </w:rPr>
              <w:t>uzimajući u obzir Preporuku Vijeća od 9. ožujka 2026. o ljudskom kapitalu u Europskoj uniji</w:t>
            </w:r>
            <w:r>
              <w:rPr>
                <w:b/>
                <w:i/>
                <w:vertAlign w:val="superscript"/>
              </w:rPr>
              <w:t>1a</w:t>
            </w:r>
            <w:r>
              <w:rPr>
                <w:b/>
                <w:i/>
              </w:rPr>
              <w:t>,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_________________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  <w:vertAlign w:val="superscript"/>
              </w:rPr>
              <w:t>1a</w:t>
            </w:r>
            <w:r>
              <w:t xml:space="preserve"> </w:t>
            </w:r>
            <w:r>
              <w:rPr>
                <w:b/>
                <w:i/>
              </w:rPr>
              <w:t>SL C, C/2026/1687.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Hristo Petrov, Irena Joveva, Martin Hojsík, Elisabetta Gualmini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Pozivanje 16.b (novo)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–</w:t>
            </w:r>
            <w:r>
              <w:tab/>
            </w:r>
            <w:r>
              <w:rPr>
                <w:b/>
                <w:i/>
              </w:rPr>
              <w:t>uzimajući u obzir mišljenje Europskog odbora regija od 5. veljače 2021. naslovljeno „Potpora zapošljavanju mladih:</w:t>
            </w:r>
            <w:r>
              <w:t xml:space="preserve"> </w:t>
            </w:r>
            <w:r>
              <w:rPr>
                <w:b/>
                <w:i/>
              </w:rPr>
              <w:t>lakši prelazak u svijet rada za novu generaciju i jačanje Garancije za mlade</w:t>
            </w:r>
            <w:r>
              <w:rPr>
                <w:b/>
                <w:i/>
                <w:vertAlign w:val="superscript"/>
              </w:rPr>
              <w:t>2a</w:t>
            </w:r>
            <w:r>
              <w:rPr>
                <w:b/>
                <w:i/>
              </w:rPr>
              <w:t>,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_________________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  <w:vertAlign w:val="superscript"/>
              </w:rPr>
              <w:t>2a</w:t>
            </w:r>
            <w:r>
              <w:t xml:space="preserve"> </w:t>
            </w:r>
            <w:r>
              <w:rPr>
                <w:b/>
                <w:i/>
              </w:rPr>
              <w:t>SL C 106, 26.3. 2021., str. 7. – 11.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Aodhán Ó Ríordáin, Estelle Ceulemans, Vilija Blinkevičiūtė, Idoia Mendia, Romana Jerković, Alicia Homs Ginel, Gabriele Bischoff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Pozivanje 17.a (novo)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–</w:t>
            </w:r>
            <w:r>
              <w:tab/>
            </w:r>
            <w:r>
              <w:rPr>
                <w:b/>
                <w:i/>
              </w:rPr>
              <w:t>uzimajući u obzir mišljenje Europskog gospodarskog i socijalnog odbora od 29. listopada 2020. naslovljeno „Reinforcing the Youth Guarantee” (Jačanje Garancije za mlade),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Hristo Petrov, Irena Joveva, Martin Hojsík, Elisabetta Gualmini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Pozivanje 17.a (novo)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–</w:t>
            </w:r>
            <w:r>
              <w:tab/>
            </w:r>
            <w:r>
              <w:rPr>
                <w:b/>
                <w:i/>
              </w:rPr>
              <w:t>uzimajući u obzir izvješće Eurofounda iz 2024. naslovljeno „Becoming adults: Young people in a post-pandemic world” (Ulazak u svijet odraslih: mladi u razdoblju nakon pandemije)</w:t>
            </w:r>
            <w:r>
              <w:rPr>
                <w:b/>
                <w:i/>
                <w:vertAlign w:val="superscript"/>
              </w:rPr>
              <w:t>3a</w:t>
            </w:r>
            <w:r>
              <w:rPr>
                <w:b/>
                <w:i/>
              </w:rPr>
              <w:t>,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_________________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  <w:vertAlign w:val="superscript"/>
              </w:rPr>
              <w:t>3a</w:t>
            </w:r>
            <w:r>
              <w:t xml:space="preserve"> </w:t>
            </w:r>
            <w:r>
              <w:rPr>
                <w:b/>
                <w:i/>
              </w:rPr>
              <w:t>Eurofound (2024.), Becoming adults:</w:t>
            </w:r>
            <w:r>
              <w:t xml:space="preserve"> </w:t>
            </w:r>
            <w:r>
              <w:rPr>
                <w:b/>
                <w:i/>
              </w:rPr>
              <w:t>Young people in a post-pandemic world, Ured za publikacije Europske unije, Luxembourg.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Hristo Petrov, Irena Joveva, Martin Hojsík, Elisabetta Gualmini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Pozivanje 17.b (novo)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–</w:t>
            </w:r>
            <w:r>
              <w:tab/>
            </w:r>
            <w:r>
              <w:rPr>
                <w:b/>
                <w:i/>
              </w:rPr>
              <w:t>uzimajući u obzir izvješće Eurofounda iz 2024. naslovljeno „Young people in the Western Balkans” (Mladi na zapadnom Balkanu)</w:t>
            </w:r>
            <w:r>
              <w:rPr>
                <w:b/>
                <w:i/>
                <w:vertAlign w:val="superscript"/>
              </w:rPr>
              <w:t>4a</w:t>
            </w:r>
            <w:r>
              <w:rPr>
                <w:b/>
                <w:i/>
              </w:rPr>
              <w:t>;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_________________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  <w:vertAlign w:val="superscript"/>
              </w:rPr>
              <w:t>4a</w:t>
            </w:r>
            <w:r>
              <w:t xml:space="preserve"> </w:t>
            </w:r>
            <w:r>
              <w:rPr>
                <w:b/>
                <w:i/>
              </w:rPr>
              <w:t>Eurofound (2024.), Young people in the Western Balkans, Ured za publikacije Europske unije, Luxembourg.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19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Hristo Petrov, Irena Joveva, Martin Hojsík, Elisabetta Gualmini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Pozivanje 17.c (novo)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–</w:t>
            </w:r>
            <w:r>
              <w:tab/>
            </w:r>
            <w:r>
              <w:rPr>
                <w:b/>
                <w:i/>
              </w:rPr>
              <w:t>uzimajući u obzir publikaciju CEDEFOP-a iz 2023. naslovljenu „European guidelines for validating non-formal and informal learning” (Europske smjernice za vrednovanje neformalnog i informalnog učenja)</w:t>
            </w:r>
            <w:r>
              <w:rPr>
                <w:b/>
                <w:i/>
                <w:vertAlign w:val="superscript"/>
              </w:rPr>
              <w:t>5a</w:t>
            </w:r>
            <w:r>
              <w:rPr>
                <w:b/>
                <w:i/>
              </w:rPr>
              <w:t>,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_________________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  <w:vertAlign w:val="superscript"/>
              </w:rPr>
              <w:t>5a</w:t>
            </w:r>
            <w:r>
              <w:t xml:space="preserve"> </w:t>
            </w:r>
            <w:r>
              <w:rPr>
                <w:b/>
                <w:i/>
              </w:rPr>
              <w:t>Cedefop (2023.).</w:t>
            </w:r>
            <w:r>
              <w:t xml:space="preserve"> </w:t>
            </w:r>
            <w:r>
              <w:rPr>
                <w:b/>
                <w:i/>
              </w:rPr>
              <w:t>European guidelines for validating non-formal and informal learning.</w:t>
            </w:r>
            <w:r>
              <w:t xml:space="preserve"> </w:t>
            </w:r>
            <w:r>
              <w:rPr>
                <w:b/>
                <w:i/>
              </w:rPr>
              <w:t>Luksemburg:</w:t>
            </w:r>
            <w:r>
              <w:t xml:space="preserve"> </w:t>
            </w:r>
            <w:r>
              <w:rPr>
                <w:b/>
                <w:i/>
              </w:rPr>
              <w:t>Ured za publikacije:</w:t>
            </w:r>
            <w:r>
              <w:t xml:space="preserve"> </w:t>
            </w:r>
            <w:r>
              <w:rPr>
                <w:b/>
                <w:i/>
              </w:rPr>
              <w:t>Referentne serije Cedefopa;</w:t>
            </w:r>
            <w:r>
              <w:t xml:space="preserve"> </w:t>
            </w:r>
            <w:r>
              <w:rPr>
                <w:b/>
                <w:i/>
              </w:rPr>
              <w:t>br. 124. http://data.europa.eu/doi/10.2801/389827.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20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Hristo Petrov, Irena Joveva, Martin Hojsík, Elisabetta Gualmini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Pozivanje 17.d (novo)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–</w:t>
            </w:r>
            <w:r>
              <w:tab/>
            </w:r>
            <w:r>
              <w:rPr>
                <w:b/>
                <w:i/>
              </w:rPr>
              <w:t>uzimajući u obzir publikaciju Europske zaklade za osposobljavanje iz 2025. naslovljenu „Outreach to Young People not in Employment, Education and Training:</w:t>
            </w:r>
            <w:r>
              <w:t xml:space="preserve"> </w:t>
            </w:r>
            <w:r>
              <w:rPr>
                <w:b/>
                <w:i/>
              </w:rPr>
              <w:t>A practical Manual for Outreach” (Dopiranje do mladih koji ne rade, nisu u sustavu redovitog obrazovanja ni u sustavu obrazovanja odraslih: Praktični priručnik za rad s javnošću)</w:t>
            </w:r>
            <w:r>
              <w:rPr>
                <w:b/>
                <w:i/>
                <w:vertAlign w:val="superscript"/>
              </w:rPr>
              <w:t>6a</w:t>
            </w:r>
            <w:r>
              <w:rPr>
                <w:b/>
                <w:i/>
              </w:rPr>
              <w:t>,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_________________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  <w:vertAlign w:val="superscript"/>
              </w:rPr>
              <w:t>6a</w:t>
            </w:r>
            <w:r>
              <w:t xml:space="preserve"> </w:t>
            </w:r>
            <w:r>
              <w:rPr>
                <w:b/>
                <w:i/>
              </w:rPr>
              <w:t>Europska zaklada za osposobljavanje (2025.), Outreach to Young People not in Employment, Education of Training:</w:t>
            </w:r>
            <w:r>
              <w:t xml:space="preserve"> </w:t>
            </w:r>
            <w:r>
              <w:rPr>
                <w:b/>
                <w:i/>
              </w:rPr>
              <w:t>A practical Manual for Outreach, Torino, Italija.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21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Hristo Petrov, Irena Joveva, Martin Hojsík, Elisabetta Gualmini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Pozivanje 17.e (novo)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–</w:t>
            </w:r>
            <w:r>
              <w:tab/>
            </w:r>
            <w:r>
              <w:rPr>
                <w:b/>
                <w:i/>
              </w:rPr>
              <w:t>uzimajući u obzir publikaciju Cedefopa iz 2026. naslovljenu „An EU reference framework for lifelong guidance: 18 guidelines for policy and system development”(Referentni okvir EU-a za cjeloživotno usmjeravanje: 18 smjernica za razvoj politika i sustava)</w:t>
            </w:r>
            <w:r>
              <w:rPr>
                <w:b/>
                <w:i/>
                <w:vertAlign w:val="superscript"/>
              </w:rPr>
              <w:t>7a</w:t>
            </w:r>
            <w:r>
              <w:rPr>
                <w:b/>
                <w:i/>
              </w:rPr>
              <w:t>,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_________________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  <w:vertAlign w:val="superscript"/>
              </w:rPr>
              <w:t>7a</w:t>
            </w:r>
            <w:r>
              <w:t xml:space="preserve"> </w:t>
            </w:r>
            <w:r>
              <w:rPr>
                <w:b/>
                <w:i/>
              </w:rPr>
              <w:t>Cedefop (2026.).</w:t>
            </w:r>
            <w:r>
              <w:t xml:space="preserve"> </w:t>
            </w:r>
            <w:r>
              <w:rPr>
                <w:b/>
                <w:i/>
              </w:rPr>
              <w:t>An EU reference framework for lifelong guidance.</w:t>
            </w:r>
            <w:r>
              <w:t xml:space="preserve"> </w:t>
            </w:r>
            <w:r>
              <w:rPr>
                <w:b/>
                <w:i/>
              </w:rPr>
              <w:t>18 guidelines for policy and systems development.</w:t>
            </w:r>
            <w:r>
              <w:t xml:space="preserve"> </w:t>
            </w:r>
            <w:r>
              <w:rPr>
                <w:b/>
                <w:i/>
              </w:rPr>
              <w:t>Referentne serije Cedefopa, 125.</w:t>
            </w:r>
            <w:r>
              <w:t xml:space="preserve"> </w:t>
            </w:r>
            <w:r>
              <w:rPr>
                <w:b/>
                <w:i/>
              </w:rPr>
              <w:t>Ured za publikacije Europske unije.</w:t>
            </w:r>
            <w:r>
              <w:t xml:space="preserve"> </w:t>
            </w:r>
            <w:r>
              <w:rPr>
                <w:b/>
                <w:i/>
              </w:rPr>
              <w:t>DOI:</w:t>
            </w:r>
            <w:r>
              <w:t xml:space="preserve"> </w:t>
            </w:r>
            <w:r>
              <w:rPr>
                <w:b/>
                <w:i/>
              </w:rPr>
              <w:t>10.2801/8255414.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22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Hristo Petrov, Irena Joveva, Martin Hojsík, Elisabetta Gualmini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Pozivanje 18.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—</w:t>
            </w:r>
            <w:r>
              <w:tab/>
            </w:r>
            <w:r>
              <w:t>uzimajući u obzir procjenu provedbe na europskoj razini naslovljenu „Provedba pojačane Garancije za mlade – Trendovi u državama članicama EU-a, učinak, financiranje sredstvima EU-a i upravljanje”, koju je 18. prosinca 2025. objavila Služba Europskog parlamenta za istraživanja,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–</w:t>
            </w:r>
            <w:r>
              <w:tab/>
            </w:r>
            <w:r>
              <w:t>uzimajući u obzir procjenu provedbe na europskoj razini naslovljenu „Provedba pojačane Garancije za mlade – Trendovi u državama članicama EU-a, učinak, financiranje sredstvima EU-a i upravljanje”, koju je 18. prosinca 2025. objavila Služba Europskog parlamenta za istraživanja</w:t>
            </w:r>
            <w:r>
              <w:rPr>
                <w:b/>
                <w:i/>
                <w:vertAlign w:val="superscript"/>
              </w:rPr>
              <w:t>8a</w:t>
            </w:r>
            <w:r>
              <w:t>,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_________________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  <w:vertAlign w:val="superscript"/>
              </w:rPr>
              <w:t>8a</w:t>
            </w:r>
            <w:r>
              <w:t xml:space="preserve"> </w:t>
            </w:r>
            <w:r>
              <w:rPr>
                <w:b/>
                <w:i/>
              </w:rPr>
              <w:t>https://www.europarl.europa.eu/thinktank/hr/document/EPRS_STU(2025)774714.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23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Hristo Petrov, Irena Joveva, Martin Hojsík, Elisabetta Gualmini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Pozivanje 18.a (novo)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–</w:t>
            </w:r>
            <w:r>
              <w:tab/>
            </w:r>
            <w:r>
              <w:rPr>
                <w:b/>
                <w:i/>
              </w:rPr>
              <w:t>uzimajući u obzir studiju koju je Europski odbor regija objavio u lipnju 2022. naslovljenu „The local implementation of the Reinforced Youth Guarantee” (Lokalna provedba pojačane Garancije za mlade),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24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Hristo Petrov, Irena Joveva, Martin Hojsík, Elisabetta Gualmini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Pozivanje 18.b (novo)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–</w:t>
            </w:r>
            <w:r>
              <w:tab/>
            </w:r>
            <w:r>
              <w:rPr>
                <w:b/>
                <w:i/>
              </w:rPr>
              <w:t>uzimajući u obzir dokument o stajalištu Europskog foruma mladih od 13. ožujka 2025. naslovljen Youth Guarantee: How to support young people finding a pathway” (Jamstvo za mlade: Kako pružiti potporu mladima u pronalasku puta),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25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Niels Geuking, Pascal Arimont, Romana Tomc, David Casa, Isabelle Le Callennec, Miriam Lexmann, Liesbet Sommen, Sérgio Humberto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Pozivanje 19.a (novo)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–</w:t>
            </w:r>
            <w:r>
              <w:tab/>
            </w:r>
            <w:r>
              <w:rPr>
                <w:b/>
                <w:i/>
              </w:rPr>
              <w:t>uzimajući u obzir Rezoluciju Europskog parlamenta od 21. studenoga 2023. o smanjenju nejednakosti i promicanju socijalne uključenosti u razdobljima krize za djecu i njihove obitelji</w:t>
            </w:r>
            <w:r>
              <w:rPr>
                <w:b/>
                <w:i/>
                <w:vertAlign w:val="superscript"/>
              </w:rPr>
              <w:t>1a</w:t>
            </w:r>
            <w:r>
              <w:rPr>
                <w:b/>
                <w:i/>
              </w:rPr>
              <w:t>,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_________________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  <w:vertAlign w:val="superscript"/>
              </w:rPr>
              <w:t>1a</w:t>
            </w:r>
            <w:r>
              <w:t xml:space="preserve"> </w:t>
            </w:r>
            <w:r>
              <w:rPr>
                <w:b/>
                <w:i/>
              </w:rPr>
              <w:t>https://eur-lex.europa.eu/eli/C/2024/4211/oj/hrv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26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Hristo Petrov, Irena Joveva, Martin Hojsík, Elisabetta Gualmini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Pozivanje 19.a (novo)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–</w:t>
            </w:r>
            <w:r>
              <w:tab/>
            </w:r>
            <w:r>
              <w:rPr>
                <w:b/>
                <w:i/>
              </w:rPr>
              <w:t>uzimajući u obzir svoju Rezoluciju od 17. veljače 2022. o osnaživanju mladih u Europi:</w:t>
            </w:r>
            <w:r>
              <w:t xml:space="preserve"> </w:t>
            </w:r>
            <w:r>
              <w:rPr>
                <w:b/>
                <w:i/>
              </w:rPr>
              <w:t>zapošljavanje nakon pandemije i socijalni oporavak</w:t>
            </w:r>
            <w:r>
              <w:rPr>
                <w:b/>
                <w:i/>
                <w:vertAlign w:val="superscript"/>
              </w:rPr>
              <w:t>9a</w:t>
            </w:r>
            <w:r>
              <w:rPr>
                <w:b/>
                <w:i/>
              </w:rPr>
              <w:t>,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_________________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  <w:vertAlign w:val="superscript"/>
              </w:rPr>
              <w:t>9a</w:t>
            </w:r>
            <w:r>
              <w:t xml:space="preserve"> </w:t>
            </w:r>
            <w:r>
              <w:rPr>
                <w:b/>
                <w:i/>
              </w:rPr>
              <w:t>SL C 342, 6.9.2022., str. 265. – 275.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27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Hristo Petrov, Irena Joveva, Martin Hojsík, Elisabetta Gualmini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Pozivanje 19.b (novo)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–</w:t>
            </w:r>
            <w:r>
              <w:tab/>
            </w:r>
            <w:r>
              <w:rPr>
                <w:b/>
                <w:i/>
              </w:rPr>
              <w:t>uzimajući u obzir svoju Rezoluciju od 11. ožujka 2025. o Europskom socijalnom fondu plus nakon 2027.</w:t>
            </w:r>
            <w:r>
              <w:rPr>
                <w:b/>
                <w:i/>
                <w:vertAlign w:val="superscript"/>
              </w:rPr>
              <w:t>10a</w:t>
            </w:r>
            <w:r>
              <w:rPr>
                <w:b/>
                <w:i/>
              </w:rPr>
              <w:t>,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_________________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  <w:vertAlign w:val="superscript"/>
              </w:rPr>
              <w:t>10a</w:t>
            </w:r>
            <w:r>
              <w:t xml:space="preserve"> </w:t>
            </w:r>
            <w:r>
              <w:rPr>
                <w:b/>
                <w:i/>
              </w:rPr>
              <w:t>SL C, C/2025/3146.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28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Hristo Petrov, Irena Joveva, Martin Hojsík, Elisabetta Gualmini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Pozivanje 19.c (novo)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–</w:t>
            </w:r>
            <w:r>
              <w:tab/>
            </w:r>
            <w:r>
              <w:rPr>
                <w:b/>
                <w:i/>
              </w:rPr>
              <w:t>uzimajući u obzir svoju Rezoluciju od 27. studenoga 2025. o Strategiji EU-a za prava osoba s invaliditetom nakon 2024.,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29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Marie Dauchy, Séverine Werbrouck, Mélanie Disdier, Margarita de la Pisa Carrión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A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A.</w:t>
            </w:r>
            <w:r>
              <w:tab/>
            </w:r>
            <w:r>
              <w:t xml:space="preserve">budući da je pojačana Garancija za mlade obveza </w:t>
            </w:r>
            <w:r>
              <w:rPr>
                <w:b/>
                <w:i/>
              </w:rPr>
              <w:t>koju su preuzele države članice kako bi svim osobama</w:t>
            </w:r>
            <w:r>
              <w:t xml:space="preserve"> mlađima od 30 godina </w:t>
            </w:r>
            <w:r>
              <w:rPr>
                <w:b/>
                <w:i/>
              </w:rPr>
              <w:t>ponudile kvalitetna radna mjesta, nastavak školovanja, naukovanje ili pripravništvo</w:t>
            </w:r>
            <w:r>
              <w:t xml:space="preserve"> u roku od četiri mjeseca </w:t>
            </w:r>
            <w:r>
              <w:rPr>
                <w:b/>
                <w:i/>
              </w:rPr>
              <w:t>nakon</w:t>
            </w:r>
            <w:r>
              <w:t xml:space="preserve"> gubitka radnog mjesta ili prestanka obrazovanja</w:t>
            </w:r>
            <w:r>
              <w:rPr>
                <w:b/>
                <w:i/>
              </w:rPr>
              <w:t>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A.</w:t>
            </w:r>
            <w:r>
              <w:tab/>
            </w:r>
            <w:r>
              <w:t xml:space="preserve">budući da je pojačana Garancija za mlade obveza </w:t>
            </w:r>
            <w:r>
              <w:rPr>
                <w:b/>
                <w:i/>
              </w:rPr>
              <w:t>država članica prema mladima</w:t>
            </w:r>
            <w:r>
              <w:t xml:space="preserve"> mlađima od 30 godina</w:t>
            </w:r>
            <w:r>
              <w:rPr>
                <w:b/>
                <w:i/>
              </w:rPr>
              <w:t>, koja se teoretski sastoji od toga da im se</w:t>
            </w:r>
            <w:r>
              <w:t xml:space="preserve"> u roku od četiri mjeseca </w:t>
            </w:r>
            <w:r>
              <w:rPr>
                <w:b/>
                <w:i/>
              </w:rPr>
              <w:t>od</w:t>
            </w:r>
            <w:r>
              <w:t xml:space="preserve"> gubitka radnog mjesta ili prestanka obrazovanja </w:t>
            </w:r>
            <w:r>
              <w:rPr>
                <w:b/>
                <w:i/>
              </w:rPr>
              <w:t>ponudi kvalitetno radno mjesto, nastavak obrazovanja, naukovanje ili pripravništvo, budući da je ta obveza u koliziji sa stvarnim stanjem na terenu i da se pokazala birokratskom iluzijom, pri čemu više od polovice mladih u EU-u i dalje čeka ponudu nakon tog roka;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{FR}</w:t>
      </w:r>
      <w:r>
        <w:t>fr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30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Hristo Petrov, Irena Joveva, Martin Hojsík, Elisabetta Gualmini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A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A.</w:t>
            </w:r>
            <w:r>
              <w:tab/>
            </w:r>
            <w:r>
              <w:t>budući da je pojačana Garancija za mlade obveza koju su preuzele države članice kako bi svim osobama mlađima od 30 godina ponudile kvalitetna radna mjesta, nastavak školovanja, naukovanje ili pripravništvo u roku od četiri mjeseca nakon gubitka radnog mjesta ili prestanka obrazovanja.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A.</w:t>
            </w:r>
            <w:r>
              <w:tab/>
            </w:r>
            <w:r>
              <w:t xml:space="preserve">budući da je pojačana Garancija za mlade obveza koju su preuzele države članice kako bi svim osobama mlađima od 30 godina ponudile kvalitetna radna mjesta, nastavak školovanja, naukovanje ili pripravništvo u roku od četiri mjeseca nakon gubitka radnog mjesta ili prestanka obrazovanja. </w:t>
            </w:r>
            <w:r>
              <w:rPr>
                <w:b/>
                <w:i/>
              </w:rPr>
              <w:t>budući da je od njezina osnutka 2013. oko 60 milijuna mladih Europljana prihvatilo ponudu u okviru programa Garancije za mlade;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31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Aodhán Ó Ríordáin, Estelle Ceulemans, Vilija Blinkevičiūtė, Idoia Mendia, Romana Jerković, Alicia Homs Ginel, Gabriele Bischoff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A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A.</w:t>
            </w:r>
            <w:r>
              <w:tab/>
            </w:r>
            <w:r>
              <w:t xml:space="preserve">budući da je </w:t>
            </w:r>
            <w:r>
              <w:rPr>
                <w:b/>
                <w:i/>
              </w:rPr>
              <w:t>pojačana</w:t>
            </w:r>
            <w:r>
              <w:t xml:space="preserve"> Garancija za mlade </w:t>
            </w:r>
            <w:r>
              <w:rPr>
                <w:b/>
                <w:i/>
              </w:rPr>
              <w:t>obveza</w:t>
            </w:r>
            <w:r>
              <w:t xml:space="preserve"> koju su preuzele države članice kako bi svim osobama mlađima od 30 godina ponudile kvalitetna radna mjesta, nastavak školovanja, naukovanje ili pripravništvo u roku od četiri mjeseca nakon gubitka radnog mjesta ili prestanka obrazovanja.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A.</w:t>
            </w:r>
            <w:r>
              <w:tab/>
            </w:r>
            <w:r>
              <w:t xml:space="preserve">budući da je Garancija za mlade </w:t>
            </w:r>
            <w:r>
              <w:rPr>
                <w:b/>
                <w:i/>
              </w:rPr>
              <w:t>uspostavljena 2013. i pojačana 2020.;</w:t>
            </w:r>
            <w:r>
              <w:t xml:space="preserve"> </w:t>
            </w:r>
            <w:r>
              <w:rPr>
                <w:b/>
                <w:i/>
              </w:rPr>
              <w:t>budući da predstavlja obvezu</w:t>
            </w:r>
            <w:r>
              <w:t xml:space="preserve"> koju su preuzele države članice kako bi svim osobama mlađima od 30 godina ponudile kvalitetna radna mjesta, nastavak školovanja, naukovanje ili pripravništvo u roku od četiri mjeseca nakon gubitka radnog mjesta ili prestanka obrazovanja.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32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Aodhán Ó Ríordáin, Estelle Ceulemans, Vilija Blinkevičiūtė, Idoia Mendia, Romana Jerković, Alicia Homs Ginel, Gabriele Bischoff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Aa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Aa.</w:t>
            </w:r>
            <w:r>
              <w:tab/>
            </w:r>
            <w:r>
              <w:rPr>
                <w:b/>
                <w:i/>
              </w:rPr>
              <w:t>budući da je cilj Garancije za mlade borba protiv nezaposlenosti mladih, neaktivnosti i podzaposlenosti te podupiranje održive integracije mladih u kvalitetno obrazovanje, osposobljavanje i tržište rada;</w:t>
            </w:r>
            <w:r>
              <w:t xml:space="preserve"> </w:t>
            </w:r>
            <w:r>
              <w:rPr>
                <w:b/>
                <w:i/>
              </w:rPr>
              <w:t>budući da ciljevi Garancije za mlade odražavaju zajedničke političke prioritete Europskog parlamenta, Komisije i država članica u okviru trenutačnog višegodišnjeg financijskog okvira (VFO), čime se doprinosi cilju Unije u pogledu održivog gospodarskog rasta i otvaranja visokokvalitetnih radnih mjesta u skladu s europskim stupom socijalnih prava;</w:t>
            </w:r>
            <w:r>
              <w:t xml:space="preserve"> </w:t>
            </w:r>
            <w:r>
              <w:rPr>
                <w:b/>
                <w:i/>
              </w:rPr>
              <w:t>budući da trajni problemi i novi izazovi za integraciju mladih na tržište rada koji se brzo mijenjaju zahtijevaju da se ti prioriteti zadrže i nakon trenutačnog programskog razdoblja;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33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Hristo Petrov, Irena Joveva, Martin Hojsík, Elisabetta Gualmini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Aa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Aa.</w:t>
            </w:r>
            <w:r>
              <w:tab/>
            </w:r>
            <w:r>
              <w:rPr>
                <w:b/>
                <w:i/>
              </w:rPr>
              <w:t>budući da su države članice općenito zadržale snažnu političku predanost provedbi Garancije za mlade i svojih nacionalnih provedbenih planova;</w:t>
            </w:r>
            <w:r>
              <w:t xml:space="preserve"> </w:t>
            </w:r>
            <w:r>
              <w:rPr>
                <w:b/>
                <w:i/>
              </w:rPr>
              <w:t>budući da su uloženi posebni napori kako bi se ojačali kapaciteti za potporu mladima koji nisu zaposleni, ne obrazuju se i ne osposobljavaju te uzajamno učenje putem sastanaka nacionalnih koordinatora na razini EU-a ili izvan njega;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34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Kathleen Funchion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Aa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Aa.</w:t>
            </w:r>
            <w:r>
              <w:tab/>
            </w:r>
            <w:r>
              <w:rPr>
                <w:b/>
                <w:i/>
              </w:rPr>
              <w:t>budući da se u istraživanju Eurofounda ističe da je skupina NEET vrlo heterogena i da se sastoji od različitih podskupina, od kojih se svaka suočava s jedinstvenim strukturnim preprekama i potrebama koje sprečavaju njihovu uspješnu integraciju na tržište rada;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35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Lara Magoni, Elena Donazzan, Marlena Maląg, Mariateresa Vivaldini, Francesco Torselli, Chiara Gemma, Geadis Geadi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Aa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Aa.</w:t>
            </w:r>
            <w:r>
              <w:tab/>
            </w:r>
            <w:r>
              <w:rPr>
                <w:b/>
                <w:i/>
              </w:rPr>
              <w:t>budući da bi se pri osmišljavanju i provedbi takvih mjera trebalo u potpunosti poštovati načelo supsidijarnosti i nadležnosti država članica u području politika obrazovanja, osposobljavanja i zapošljavanja;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36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Hristo Petrov, Irena Joveva, Martin Hojsík, Elisabetta Gualmini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Ab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Ab.</w:t>
            </w:r>
            <w:r>
              <w:tab/>
            </w:r>
            <w:r>
              <w:rPr>
                <w:b/>
                <w:i/>
              </w:rPr>
              <w:t>budući da se u EU-u stopa mladih koji nisu zaposleni, ne obrazuju se i ne osposobljavaju nastavila smanjivati u razdoblju nakon pandemije;</w:t>
            </w:r>
            <w:r>
              <w:t xml:space="preserve"> </w:t>
            </w:r>
            <w:r>
              <w:rPr>
                <w:b/>
                <w:i/>
              </w:rPr>
              <w:t>budući da Akcijski plan za provedbu europskog stupa socijalnih prava uključuje cilj smanjenja stope skupine NEET na 9 % među osobama u dobi od 15 do 29 godina do 2030.;</w:t>
            </w:r>
            <w:r>
              <w:t xml:space="preserve"> </w:t>
            </w:r>
            <w:r>
              <w:rPr>
                <w:b/>
                <w:i/>
              </w:rPr>
              <w:t>budući da je taj cilj na dobrom putu da se ostvari, unatoč znatnim razlikama među državama članicama i regijama</w:t>
            </w:r>
            <w:r>
              <w:rPr>
                <w:b/>
                <w:i/>
                <w:vertAlign w:val="superscript"/>
              </w:rPr>
              <w:t>11a</w:t>
            </w:r>
            <w:r>
              <w:rPr>
                <w:b/>
                <w:i/>
              </w:rPr>
              <w:t>, te budući da bi i uz postizanje tog cilja znatan broj mladih i dalje bio u nesigurnom položaju;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_________________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  <w:vertAlign w:val="superscript"/>
              </w:rPr>
              <w:t>11a</w:t>
            </w:r>
            <w:r>
              <w:t xml:space="preserve"> </w:t>
            </w:r>
            <w:r>
              <w:rPr>
                <w:b/>
                <w:i/>
              </w:rPr>
              <w:t>https://doi.org/10.2908/LFSI_NEET_Q.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37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Aodhán Ó Ríordáin, Estelle Ceulemans, Vilija Blinkevičiūtė, Idoia Mendia, Romana Jerković, Alicia Homs Ginel, Gabriele Bischoff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Ab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Ab.</w:t>
            </w:r>
            <w:r>
              <w:tab/>
            </w:r>
            <w:r>
              <w:rPr>
                <w:b/>
                <w:i/>
              </w:rPr>
              <w:t>budući da mladi koji nisu zaposleni, ne obrazuju se i ne osposobljavaju (NEET-ovi) čine raznoliku skupinu mladih s različitim životnim iskustvima;</w:t>
            </w:r>
            <w:r>
              <w:t xml:space="preserve"> </w:t>
            </w:r>
            <w:r>
              <w:rPr>
                <w:b/>
                <w:i/>
              </w:rPr>
              <w:t>budući da se u istraživanju Eurofounda</w:t>
            </w:r>
            <w:r>
              <w:rPr>
                <w:b/>
                <w:i/>
                <w:vertAlign w:val="superscript"/>
              </w:rPr>
              <w:t>1a</w:t>
            </w:r>
            <w:r>
              <w:t xml:space="preserve"> </w:t>
            </w:r>
            <w:r>
              <w:rPr>
                <w:b/>
                <w:i/>
              </w:rPr>
              <w:t>ističe da je skupina NEET vrlo heterogena i da se sastoji od različitih podskupina, od kojih se svaka suočava s jedinstvenim strukturnim preprekama koje sprečavaju njihovu uspješnu integraciju na tržište rada te im je stoga potrebna prilagođena i personalizirana potpora kako bi se zadovoljile njihove posebne potrebe;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_________________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  <w:vertAlign w:val="superscript"/>
              </w:rPr>
              <w:t>1a</w:t>
            </w:r>
            <w:r>
              <w:t xml:space="preserve"> </w:t>
            </w:r>
            <w:r>
              <w:rPr>
                <w:b/>
                <w:i/>
              </w:rPr>
              <w:t>Eurofound, „Exploring the diversity of NEETs” (Istraživanje različitosti NEET-ova), Ured za publikacije EU-a, Luxembourg, 2016.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38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Aodhán Ó Ríordáin, Estelle Ceulemans, Vilija Blinkevičiūtė, Idoia Mendia, Romana Jerković, Alicia Homs Ginel, Gabriele Bischoff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Ac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Ac.</w:t>
            </w:r>
            <w:r>
              <w:tab/>
            </w:r>
            <w:r>
              <w:rPr>
                <w:b/>
                <w:i/>
              </w:rPr>
              <w:t>budući da se pri provedbi i poboljšanju Garancije za mlade posebna pozornost mora posvetiti mladima koji ne rade, nisu u sustavu redovitog obrazovanja te nisu u sustavu obrazovanja odraslih (NEET) u ranjivom položaju i onima koji su najudaljeniji od tržišta rada, a do kojih je često teško doprijeti;</w:t>
            </w:r>
            <w:r>
              <w:t xml:space="preserve"> </w:t>
            </w:r>
            <w:r>
              <w:rPr>
                <w:b/>
                <w:i/>
              </w:rPr>
              <w:t>budući da to uključuje žene, osobe različitog etničkog podrijetla, romske zajednice i zajednice Putnika, mlade koji žive u beskućništvu, mlade koji su napustili institucionalnu skrb, pripadnike zajednice LGBTQIA+, mlade sa statusom migranta ili izbjeglice, mlade osobe s invaliditetom, mlade koji se suočavaju s diskriminacijom na temelju vjere ili uvjerenja, mlade koji se suočavaju s kroničnim bolestima ili ovisnošću, mlade roditelje i mlade koji djeluju kao neformalni pružatelji skrbi;</w:t>
            </w:r>
            <w:r>
              <w:t xml:space="preserve"> </w:t>
            </w:r>
            <w:r>
              <w:rPr>
                <w:b/>
                <w:i/>
              </w:rPr>
              <w:t>budući da je potrebno napraviti jasnu razliku između mladih koji ne rade, nisu u sustavu redovitog obrazovanja te nisu u sustavu obrazovanja odraslih (NEET) koji su nesvojevoljno isključeni iz obrazovanja, zapošljavanja ili osposobljavanja i onih koji su dobrovoljno neaktivni;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39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Hristo Petrov, Irena Joveva, Martin Hojsík, Elisabetta Gualmini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Ac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Ac.</w:t>
            </w:r>
            <w:r>
              <w:tab/>
            </w:r>
            <w:r>
              <w:rPr>
                <w:b/>
                <w:i/>
              </w:rPr>
              <w:t>budući da među mladima koji nisu zaposleni, ne obrazuju se i ne osposobljavaju postoji trajna razlika među spolovima, pri čemu stopa mladih žena koje nisu zaposlene, ne obrazuju se i ne osposobljavaju stalno premašuje stopu mladih muškaraca u EU-u</w:t>
            </w:r>
            <w:r>
              <w:rPr>
                <w:b/>
                <w:i/>
                <w:vertAlign w:val="superscript"/>
              </w:rPr>
              <w:t>12a</w:t>
            </w:r>
            <w:r>
              <w:rPr>
                <w:b/>
                <w:i/>
              </w:rPr>
              <w:t>;</w:t>
            </w:r>
            <w:r>
              <w:t xml:space="preserve"> </w:t>
            </w:r>
            <w:r>
              <w:rPr>
                <w:b/>
                <w:i/>
              </w:rPr>
              <w:t>budući da se ta situacija djelomično može objasniti nejednakom raspodjelom odgovornosti za skrb o djeci i društvenim normama;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_________________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  <w:vertAlign w:val="superscript"/>
              </w:rPr>
              <w:t>12a</w:t>
            </w:r>
            <w:r>
              <w:t xml:space="preserve"> </w:t>
            </w:r>
            <w:r>
              <w:rPr>
                <w:b/>
                <w:i/>
              </w:rPr>
              <w:t>https://www.eurofound.europa.eu/en/surveys-and-data/data-catalogue/neet-rates-gender-15-29-age-group.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40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Aodhán Ó Ríordáin, Estelle Ceulemans, Vilija Blinkevičiūtė, Idoia Mendia, Romana Jerković, Alicia Homs Ginel, Gabriele Bischoff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Ad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Ad.</w:t>
            </w:r>
            <w:r>
              <w:tab/>
            </w:r>
            <w:r>
              <w:rPr>
                <w:b/>
                <w:i/>
              </w:rPr>
              <w:t>budući da je integracija mladih koji nisu zaposleni, ne školuju se i ne osposobljavaju na tržište rada postala sve složenija, potaknuta čimbenicima kao što su rast ekonomije honorarnih poslova i povećanje nesigurnih i nestandardnih oblika zapošljavanja, porast umjetne inteligencije i digitalizacije te kriza troškova života, uključujući sve veće troškove stanovanja;</w:t>
            </w:r>
            <w:r>
              <w:t xml:space="preserve"> </w:t>
            </w:r>
            <w:r>
              <w:rPr>
                <w:b/>
                <w:i/>
              </w:rPr>
              <w:t>budući da ta kretanja stvaraju strukturne prepreke održivom zapošljavanju i pogoršavaju nejednakosti zbog kojih su ranjivi pripadnici skupine NEET zapostavljeni;</w:t>
            </w:r>
            <w:r>
              <w:t xml:space="preserve"> </w:t>
            </w:r>
            <w:r>
              <w:rPr>
                <w:b/>
                <w:i/>
              </w:rPr>
              <w:t>budući da se provedba Garancije za mlade mora reformirati i ojačati kako bi se učinkovito odgovorilo na te izazove i kako bi se prednost dala mladima koji ne rade, nisu u sustavu redovitog obrazovanja te nisu u sustavu obrazovanja odraslih (NEET) koji su najudaljeniji od tržišta rada;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41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Hristo Petrov, Irena Joveva, Martin Hojsík, Elisabetta Gualmini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Ad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Ad.</w:t>
            </w:r>
            <w:r>
              <w:tab/>
            </w:r>
            <w:r>
              <w:rPr>
                <w:b/>
                <w:i/>
              </w:rPr>
              <w:t>budući da su Romi skupina s najvišom stopom pripadnosti skupini NEET u EU-u, koja iznosi 47 % za osobe u dobi od 16 do 24 godine, u usporedbi s prosjekom EU-a od 9 % za istu dobnu skupinu</w:t>
            </w:r>
            <w:r>
              <w:rPr>
                <w:b/>
                <w:i/>
                <w:vertAlign w:val="superscript"/>
              </w:rPr>
              <w:t>13a</w:t>
            </w:r>
            <w:r>
              <w:rPr>
                <w:b/>
                <w:i/>
              </w:rPr>
              <w:t>;</w:t>
            </w:r>
            <w:r>
              <w:t xml:space="preserve"> </w:t>
            </w:r>
            <w:r>
              <w:rPr>
                <w:b/>
                <w:i/>
              </w:rPr>
              <w:t>budući da nijedna od ispitanih država članica nije blizu ostvarenja ciljeva utvrđenih u strateškom okviru EU-a za Rome</w:t>
            </w:r>
            <w:r>
              <w:rPr>
                <w:b/>
                <w:i/>
                <w:vertAlign w:val="superscript"/>
              </w:rPr>
              <w:t>14a</w:t>
            </w:r>
            <w:r>
              <w:t xml:space="preserve"> </w:t>
            </w:r>
            <w:r>
              <w:rPr>
                <w:b/>
                <w:i/>
              </w:rPr>
              <w:t>i budući da bez ciljanog i strateškog pristupa država članica EU riskira da generacija mladih Roma i Putnika bude izložena riziku od isključenosti iz obrazovanja, osposobljavanja i tržišta rada;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_________________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  <w:vertAlign w:val="superscript"/>
              </w:rPr>
              <w:t>13a</w:t>
            </w:r>
            <w:r>
              <w:t xml:space="preserve"> </w:t>
            </w:r>
            <w:r>
              <w:rPr>
                <w:b/>
                <w:i/>
              </w:rPr>
              <w:t>Rights of Roma and Travellers in 13 European countries – Perspectives from the Roma Survey 2024 (Prava Roma i Putnika u 13 europskih zemalja – perspektive iz istraživanja o Romima za 2024.), Agencija Europske unije za temeljna prava (FRA), 2. listopada 2025.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  <w:vertAlign w:val="superscript"/>
              </w:rPr>
              <w:t>14a</w:t>
            </w:r>
            <w:r>
              <w:t xml:space="preserve"> </w:t>
            </w:r>
            <w:r>
              <w:rPr>
                <w:b/>
                <w:i/>
              </w:rPr>
              <w:t>Europska komisija, (7. veljače 2020.).</w:t>
            </w:r>
            <w:r>
              <w:t xml:space="preserve"> </w:t>
            </w:r>
            <w:r>
              <w:rPr>
                <w:b/>
                <w:i/>
              </w:rPr>
              <w:t>Unija jednakosti: strateški okvir EU-a za jednakost, uključivanje i sudjelovanje Roma 2020. – 2030. (COM(2020) 620 final). https://commission.europa.eu/document/download/99cc0720-68c2-4300-854f-592bf21dceaf_en?filename=eu_roma_strategic_framework_for_equality_inclusion_and_participation_for_2020_-_2030.pdf.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42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Aodhán Ó Ríordáin, Estelle Ceulemans, Vilija Blinkevičiūtė, Idoia Mendia, Romana Jerković, Alicia Homs Ginel, Gabriele Bischoff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Ae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Ae.</w:t>
            </w:r>
            <w:r>
              <w:tab/>
            </w:r>
            <w:r>
              <w:rPr>
                <w:b/>
                <w:i/>
              </w:rPr>
              <w:t>budući da je prijelaz iz obrazovanja na tržište rada postao dulji, manje linearan i sve nesigurniji za mlade, pri čemu se mnogi kreću između zapošljavanja, nezaposlenosti i neaktivnosti ili su zarobljeni u nestandardnim oblicima rada;</w:t>
            </w:r>
            <w:r>
              <w:t xml:space="preserve"> </w:t>
            </w:r>
            <w:r>
              <w:rPr>
                <w:b/>
                <w:i/>
              </w:rPr>
              <w:t>budući da se Garancija za mlade nije dovoljno prilagodila tim fragmentiranim putovima te se i dalje oslanja na stroge, jednokratne mjere;</w:t>
            </w:r>
            <w:r>
              <w:t xml:space="preserve"> </w:t>
            </w:r>
            <w:r>
              <w:rPr>
                <w:b/>
                <w:i/>
              </w:rPr>
              <w:t>budući da je za učinkovitu integraciju na tržište rada, posebno za ranjive skupine NEET, potrebna fleksibilna, personalizirana i dugoročna potpora;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43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Hristo Petrov, Irena Joveva, Martin Hojsík, Elisabetta Gualmini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Ae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Ae.</w:t>
            </w:r>
            <w:r>
              <w:tab/>
            </w:r>
            <w:r>
              <w:rPr>
                <w:b/>
                <w:i/>
              </w:rPr>
              <w:t>budući da prema istraživanju Agencije Europske unije za temeljna prava o Romima iz 2021. godine 19 % Romkinja nikada nije pohađalo školu, u usporedbi s 14 % romskih muškaraca, a samo 23 % Romkinja i dalje se obrazuje nakon navršenih 16 godina, u usporedbi s 32 % romskih muškaraca</w:t>
            </w:r>
            <w:r>
              <w:rPr>
                <w:b/>
                <w:i/>
                <w:vertAlign w:val="superscript"/>
              </w:rPr>
              <w:t>15a</w:t>
            </w:r>
            <w:r>
              <w:rPr>
                <w:b/>
                <w:i/>
              </w:rPr>
              <w:t>;</w:t>
            </w:r>
            <w:r>
              <w:t xml:space="preserve"> </w:t>
            </w:r>
            <w:r>
              <w:rPr>
                <w:b/>
                <w:i/>
              </w:rPr>
              <w:t>budući da podaci razvrstani po spolu pokazuju da u prosjeku 61 % mladih Romkinja i Putnica ne radi, nije u sustavu redovitog obrazovanja te nije u sustavu obrazovanja odraslih, u usporedbi s 33 % mladih Roma</w:t>
            </w:r>
            <w:r>
              <w:rPr>
                <w:b/>
                <w:i/>
                <w:vertAlign w:val="superscript"/>
              </w:rPr>
              <w:t>16a</w:t>
            </w:r>
            <w:r>
              <w:rPr>
                <w:b/>
                <w:i/>
              </w:rPr>
              <w:t>;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_________________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  <w:vertAlign w:val="superscript"/>
              </w:rPr>
              <w:t>15a</w:t>
            </w:r>
            <w:r>
              <w:t xml:space="preserve"> </w:t>
            </w:r>
            <w:r>
              <w:rPr>
                <w:b/>
                <w:i/>
              </w:rPr>
              <w:t>Vijeće Europe. (2025.).</w:t>
            </w:r>
            <w:r>
              <w:t xml:space="preserve"> </w:t>
            </w:r>
            <w:r>
              <w:rPr>
                <w:b/>
                <w:i/>
              </w:rPr>
              <w:t>Equality of Roma and Traveller women and girls (Ravnopravnost romskih žena i djevojčica te žena i djevojčica Putnika) (ref. 094724GBR).</w:t>
            </w:r>
            <w:r>
              <w:t xml:space="preserve"> </w:t>
            </w:r>
            <w:r>
              <w:rPr>
                <w:b/>
                <w:i/>
              </w:rPr>
              <w:t>Vijeće Europe. https://edoc.coe.int/en/roma-and-travellers/12078-equality-of-roma-and-traveller-women-and-girls.html;</w:t>
            </w:r>
            <w:r>
              <w:t xml:space="preserve"> </w:t>
            </w:r>
            <w:r>
              <w:rPr>
                <w:b/>
                <w:i/>
              </w:rPr>
              <w:t>Agencija Europske unije za temeljna prava. (2020.).</w:t>
            </w:r>
            <w:r>
              <w:t xml:space="preserve"> </w:t>
            </w:r>
            <w:r>
              <w:rPr>
                <w:b/>
                <w:i/>
              </w:rPr>
              <w:t>Roma and Travellers in six countries:</w:t>
            </w:r>
            <w:r>
              <w:t xml:space="preserve"> </w:t>
            </w:r>
            <w:r>
              <w:rPr>
                <w:b/>
                <w:i/>
              </w:rPr>
              <w:t>Roma and Travellers survey (Romi i Putnici u šest zemalja: Istraživanje o Romima i Putnicima) (Izvješće FRA-e).</w:t>
            </w:r>
            <w:r>
              <w:t xml:space="preserve"> </w:t>
            </w:r>
            <w:r>
              <w:rPr>
                <w:b/>
                <w:i/>
              </w:rPr>
              <w:t>Ured za publikacije Europske unije. https://fra.europa.eu/sites/default/files/fra_uploads/fra-2020-roma-travellers-six-countries_en.pdf.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  <w:vertAlign w:val="superscript"/>
              </w:rPr>
              <w:t>16a</w:t>
            </w:r>
            <w:r>
              <w:t xml:space="preserve"> </w:t>
            </w:r>
            <w:r>
              <w:rPr>
                <w:b/>
                <w:i/>
              </w:rPr>
              <w:t>Agencija Europske unije za temeljna prava. (2025.).</w:t>
            </w:r>
            <w:r>
              <w:t xml:space="preserve"> </w:t>
            </w:r>
            <w:r>
              <w:rPr>
                <w:b/>
                <w:i/>
              </w:rPr>
              <w:t>Rights of Roma and Travellers in 13 European countries – Perspectives from the Roma Survey 2024 (Prava Roma i Putnika u 13 europskih zemalja – uvidi iz istraživanja o Romima 2024.)</w:t>
            </w:r>
            <w:r>
              <w:t xml:space="preserve"> </w:t>
            </w:r>
            <w:r>
              <w:rPr>
                <w:b/>
                <w:i/>
              </w:rPr>
              <w:t>FRA. https://fra.europa.eu/hr/publication/2025/roma-survey-2024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44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Aodhán Ó Ríordáin, Estelle Ceulemans, Vilija Blinkevičiūtė, Idoia Mendia, Romana Jerković, Alicia Homs Ginel, Gabriele Bischoff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Af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Af.</w:t>
            </w:r>
            <w:r>
              <w:tab/>
            </w:r>
            <w:r>
              <w:rPr>
                <w:b/>
                <w:i/>
              </w:rPr>
              <w:t>budući da su mladi nerazmjerno izloženi slabo plaćenom radu</w:t>
            </w:r>
            <w:r>
              <w:rPr>
                <w:b/>
                <w:i/>
                <w:vertAlign w:val="superscript"/>
              </w:rPr>
              <w:t>1a</w:t>
            </w:r>
            <w:r>
              <w:rPr>
                <w:b/>
                <w:i/>
              </w:rPr>
              <w:t>, kao i nesigurnim i nestandardnim oblicima zapošljavanja, uključujući ugovore na određeno vrijeme, ugovore bez zajamčenog minimalnog broja radnih sati i lažno samozapošljavanje</w:t>
            </w:r>
            <w:r>
              <w:rPr>
                <w:b/>
                <w:i/>
                <w:vertAlign w:val="superscript"/>
              </w:rPr>
              <w:t>1b</w:t>
            </w:r>
            <w:r>
              <w:rPr>
                <w:b/>
                <w:i/>
              </w:rPr>
              <w:t>;</w:t>
            </w:r>
            <w:r>
              <w:t xml:space="preserve"> </w:t>
            </w:r>
            <w:r>
              <w:rPr>
                <w:b/>
                <w:i/>
              </w:rPr>
              <w:t>budući da često nemaju pristup odgovarajućoj zaštiti radnih mjesta i socijalnim naknadama;</w:t>
            </w:r>
            <w:r>
              <w:t xml:space="preserve"> </w:t>
            </w:r>
            <w:r>
              <w:rPr>
                <w:b/>
                <w:i/>
              </w:rPr>
              <w:t>budući da su mladi također izloženi većem riziku od otpuštanja zbog automatizacije;</w:t>
            </w:r>
            <w:r>
              <w:t xml:space="preserve"> </w:t>
            </w:r>
            <w:r>
              <w:rPr>
                <w:b/>
                <w:i/>
              </w:rPr>
              <w:t>budući da takvi uvjeti pružaju ograničenu financijsku sigurnost i ugrožavaju putove prema održivoj integraciji na tržište rada;</w:t>
            </w:r>
            <w:r>
              <w:t xml:space="preserve"> </w:t>
            </w:r>
            <w:r>
              <w:rPr>
                <w:b/>
                <w:i/>
              </w:rPr>
              <w:t>budući da to posebno utječe na ranjive pripadnike skupine NEET koji su nerazmjerno koncentrirani na niskokvalificiranim i nekvalitetnim radnim mjestima;</w:t>
            </w:r>
            <w:r>
              <w:t xml:space="preserve"> </w:t>
            </w:r>
            <w:r>
              <w:rPr>
                <w:b/>
                <w:i/>
              </w:rPr>
              <w:t>budući da se Garancija za mlade mora aktivno boriti protiv nesigurnosti i niskih plaća te se usredotočiti na plaćeno zaposlenje, a ne na volontiranje;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_________________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  <w:vertAlign w:val="superscript"/>
              </w:rPr>
              <w:t>1a</w:t>
            </w:r>
            <w:r>
              <w:t xml:space="preserve"> </w:t>
            </w:r>
            <w:r>
              <w:rPr>
                <w:b/>
                <w:i/>
              </w:rPr>
              <w:t>Eurostat, „Proportion of low-paid workers in EU countries” (Udio slabo plaćenih radnika u državama članicama EU-a), 2022.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  <w:vertAlign w:val="superscript"/>
              </w:rPr>
              <w:t>1b</w:t>
            </w:r>
            <w:r>
              <w:t xml:space="preserve"> </w:t>
            </w:r>
            <w:r>
              <w:rPr>
                <w:b/>
                <w:i/>
              </w:rPr>
              <w:t>Eurostat, „Young people on the labour market - statistics” (Mladi na tržištu rada – statistički podaci), 2018.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45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Hristo Petrov, Irena Joveva, Martin Hojsík, Elisabetta Gualmini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Af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Af.</w:t>
            </w:r>
            <w:r>
              <w:tab/>
            </w:r>
            <w:r>
              <w:rPr>
                <w:b/>
                <w:i/>
              </w:rPr>
              <w:t>budući da su osobe koje su napustile sustav skrbi skupina koja je posebno izložena riziku od statusa NEET-a, ali je zbog nedostatnih pouzdanih podataka njihov broj na razini EU-a i dalje nejasan, kao i mjere informiranja koje su uspostavljene kako bi im se pružila potpora i mogućnosti koje su im dostupne nakon napuštanja sustava skrbi;</w:t>
            </w:r>
            <w:r>
              <w:t xml:space="preserve"> </w:t>
            </w:r>
            <w:r>
              <w:rPr>
                <w:b/>
                <w:i/>
              </w:rPr>
              <w:t>budući da se mladi koji napuštaju institucionalnu skrb često suočavaju s naglim prijelazom na neovisnost bez odgovarajućeg obrazovnog kontinuiteta, stabilnosti stanovanja ili profesionalnog usmjeravanja, čime se povećava rizik od nezaposlenosti, siromaštva i socijalne isključenosti;</w:t>
            </w:r>
            <w:r>
              <w:t xml:space="preserve"> </w:t>
            </w:r>
            <w:r>
              <w:rPr>
                <w:b/>
                <w:i/>
              </w:rPr>
              <w:t>budući da bi se pojačanom provedbom Garancije za mlade ti tranzicijski nedostaci mogli riješiti prilagođenim mehanizmima potpore;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46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Aodhán Ó Ríordáin, Estelle Ceulemans, Vilija Blinkevičiūtė, Idoia Mendia, Romana Jerković, Alicia Homs Ginel, Gabriele Bischoff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Ag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Ag.</w:t>
            </w:r>
            <w:r>
              <w:tab/>
            </w:r>
            <w:r>
              <w:rPr>
                <w:b/>
                <w:i/>
              </w:rPr>
              <w:t>budući da je podzaposlenost mladih u porastu, pri čemu je zaposlenost na nepuno radno vrijeme među mladima znatno veća od zaposlenosti opće radne populacije</w:t>
            </w:r>
            <w:r>
              <w:rPr>
                <w:b/>
                <w:i/>
                <w:vertAlign w:val="superscript"/>
              </w:rPr>
              <w:t>1a</w:t>
            </w:r>
            <w:r>
              <w:rPr>
                <w:b/>
                <w:i/>
              </w:rPr>
              <w:t>;</w:t>
            </w:r>
            <w:r>
              <w:t xml:space="preserve"> </w:t>
            </w:r>
            <w:r>
              <w:rPr>
                <w:b/>
                <w:i/>
              </w:rPr>
              <w:t>budući da je ta razlika još izraženija među mladim ženama;</w:t>
            </w:r>
            <w:r>
              <w:t xml:space="preserve"> </w:t>
            </w:r>
            <w:r>
              <w:rPr>
                <w:b/>
                <w:i/>
              </w:rPr>
              <w:t>budući da je velik udio ugovora o radu na nepuno radno vrijeme nesvojevoljan, što je odraz strukturnog neuspjeha tržišta rada da pruži odgovarajuće mogućnosti za rad na puno radno vrijeme;</w:t>
            </w:r>
            <w:r>
              <w:t xml:space="preserve"> </w:t>
            </w:r>
            <w:r>
              <w:rPr>
                <w:b/>
                <w:i/>
              </w:rPr>
              <w:t>budući da nesvojevoljni rad na nepuno radno vrijeme ugrožava potencijal za zaradu, napredovanje u karijeri, pristup socijalnoj zaštiti i mirovinska prava;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_________________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  <w:vertAlign w:val="superscript"/>
              </w:rPr>
              <w:t>1a</w:t>
            </w:r>
            <w:r>
              <w:t xml:space="preserve"> </w:t>
            </w:r>
            <w:r>
              <w:rPr>
                <w:b/>
                <w:i/>
              </w:rPr>
              <w:t>Eurostat, „Part-time and full-time employment - statistics” (Rad na nepuno i puno radno vrijeme – statistički podaci), 2025.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47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Hristo Petrov, Irena Joveva, Martin Hojsík, Elisabetta Gualmini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Ag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Ag.</w:t>
            </w:r>
            <w:r>
              <w:tab/>
            </w:r>
            <w:r>
              <w:rPr>
                <w:b/>
                <w:i/>
              </w:rPr>
              <w:t>budući da pristranost, stigmatizacija i trajni stereotipi mogu ograničiti pristup pripravništvu i naukovanju mladima iz ustanova za institucionalnu skrb, mladima s tjelesnim ili intelektualnim poteškoćama u razvoju te mladim Romima;</w:t>
            </w:r>
            <w:r>
              <w:t xml:space="preserve"> </w:t>
            </w:r>
            <w:r>
              <w:rPr>
                <w:b/>
                <w:i/>
              </w:rPr>
              <w:t>budući da je uklanjanje takvih prepreka i promicanje uključivih praksi zapošljavanja ključno za osiguravanje jednakog pristupa kvalitetnom prvom radnom iskustvu;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48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Aodhán Ó Ríordáin, Estelle Ceulemans, Vilija Blinkevičiūtė, Idoia Mendia, Romana Jerković, Alicia Homs Ginel, Gabriele Bischoff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Ah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Ah.</w:t>
            </w:r>
            <w:r>
              <w:tab/>
            </w:r>
            <w:r>
              <w:rPr>
                <w:b/>
                <w:i/>
              </w:rPr>
              <w:t>budući da se tradicionalni putovi od obrazovanja do zapošljavanja narušavaju zbog strukturnog nedostatka kvalitetnih početnih radnih mjesta;</w:t>
            </w:r>
            <w:r>
              <w:t xml:space="preserve"> </w:t>
            </w:r>
            <w:r>
              <w:rPr>
                <w:b/>
                <w:i/>
              </w:rPr>
              <w:t>budući da mnogi mladi, unatoč tome što su visokoobrazovani i kvalificirani, imaju poteškoća u pretvaranju svojih kvalifikacija u stabilno zaposlenje;</w:t>
            </w:r>
            <w:r>
              <w:t xml:space="preserve"> </w:t>
            </w:r>
            <w:r>
              <w:rPr>
                <w:b/>
                <w:i/>
              </w:rPr>
              <w:t>budući da se stopa zaposlenosti osoba koje su nedavno diplomirale smanjuje</w:t>
            </w:r>
            <w:r>
              <w:rPr>
                <w:b/>
                <w:i/>
                <w:vertAlign w:val="superscript"/>
              </w:rPr>
              <w:t>1a</w:t>
            </w:r>
            <w:r>
              <w:t xml:space="preserve"> </w:t>
            </w:r>
            <w:r>
              <w:rPr>
                <w:b/>
                <w:i/>
              </w:rPr>
              <w:t>i da je broj mladih u zanimanjima koja su daleko ispod razine njihovih kvalifikacija u porastu</w:t>
            </w:r>
            <w:r>
              <w:rPr>
                <w:b/>
                <w:i/>
                <w:vertAlign w:val="superscript"/>
              </w:rPr>
              <w:t>1b</w:t>
            </w:r>
            <w:r>
              <w:rPr>
                <w:b/>
                <w:i/>
              </w:rPr>
              <w:t>;</w:t>
            </w:r>
            <w:r>
              <w:t xml:space="preserve"> </w:t>
            </w:r>
            <w:r>
              <w:rPr>
                <w:b/>
                <w:i/>
              </w:rPr>
              <w:t>budući da to stvara učinak premještanja koji dodatno ograničava mogućnosti za ranjive pripadnike skupine NEET koji nemaju kvalifikacije;</w:t>
            </w:r>
            <w:r>
              <w:t xml:space="preserve"> </w:t>
            </w:r>
            <w:r>
              <w:rPr>
                <w:b/>
                <w:i/>
              </w:rPr>
              <w:t>budući da sve veće prepreke integraciji mladih na tržište rada ugrožavaju socijalnu koheziju i institucionalno povjerenje;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_________________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  <w:vertAlign w:val="superscript"/>
              </w:rPr>
              <w:t>1a</w:t>
            </w:r>
            <w:r>
              <w:t xml:space="preserve"> </w:t>
            </w:r>
            <w:r>
              <w:rPr>
                <w:b/>
                <w:i/>
              </w:rPr>
              <w:t>Eurostat, „Employment rates of recent graduates” (Stope zaposlenosti osoba koje su nedavno diplomirale), 2025.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  <w:vertAlign w:val="superscript"/>
              </w:rPr>
              <w:t>1b</w:t>
            </w:r>
            <w:r>
              <w:t xml:space="preserve"> </w:t>
            </w:r>
            <w:r>
              <w:rPr>
                <w:b/>
                <w:i/>
              </w:rPr>
              <w:t>Eurostat, „Young people - qualifications, skills and job alignment” (Mladi ljudi – kvalifikacije, vještine i usklađivanje radnih mjesta), 2025.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49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Aodhán Ó Ríordáin, Estelle Ceulemans, Vilija Blinkevičiūtė, Idoia Mendia, Romana Jerković, Alicia Homs Ginel, Gabriele Bischoff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Ai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Ai.</w:t>
            </w:r>
            <w:r>
              <w:tab/>
            </w:r>
            <w:r>
              <w:rPr>
                <w:b/>
                <w:i/>
              </w:rPr>
              <w:t>budući da je 2024. gotovo svaka četvrta mlada osoba u Uniji bila izložena riziku od siromaštva ili socijalne isključenosti, što je 3,1 postotni bod više od stope ukupnog stanovništva</w:t>
            </w:r>
            <w:r>
              <w:rPr>
                <w:b/>
                <w:i/>
                <w:vertAlign w:val="superscript"/>
              </w:rPr>
              <w:t>1a</w:t>
            </w:r>
            <w:r>
              <w:rPr>
                <w:b/>
                <w:i/>
              </w:rPr>
              <w:t>;</w:t>
            </w:r>
            <w:r>
              <w:t xml:space="preserve"> </w:t>
            </w:r>
            <w:r>
              <w:rPr>
                <w:b/>
                <w:i/>
              </w:rPr>
              <w:t>budući da strukturne nejednakosti, kao što su materijalna oskudica i trajno nepovoljan socijalni položaj, narušavaju sposobnost pristupa tržištu rada i samostalnog života;</w:t>
            </w:r>
            <w:r>
              <w:t xml:space="preserve"> </w:t>
            </w:r>
            <w:r>
              <w:rPr>
                <w:b/>
                <w:i/>
              </w:rPr>
              <w:t>budući da se aktivacija zapošljavanja ne može postići bez pristupa osnovnim uvjetima koji omogućuju provedbu, kao što su stanovanje, prijevoz, skrb o djeci i potpora skrbi;</w:t>
            </w:r>
            <w:r>
              <w:t xml:space="preserve"> </w:t>
            </w:r>
            <w:r>
              <w:rPr>
                <w:b/>
                <w:i/>
              </w:rPr>
              <w:t>budući da održiva integracija na tržište rada zahtijeva holistički pristup kojim se rješavaju sve prepreke koje ga osnažuju;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_________________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  <w:vertAlign w:val="superscript"/>
              </w:rPr>
              <w:t>1a</w:t>
            </w:r>
            <w:r>
              <w:t xml:space="preserve"> </w:t>
            </w:r>
            <w:r>
              <w:rPr>
                <w:b/>
                <w:i/>
              </w:rPr>
              <w:t>Eurostat, „Young people - social inclusion” (Mladi ljudi – socijalna uključenost), 2025.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50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Aodhán Ó Ríordáin, Estelle Ceulemans, Vilija Blinkevičiūtė, Idoia Mendia, Romana Jerković, Alicia Homs Ginel, Gabriele Bischoff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Aj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Aj.</w:t>
            </w:r>
            <w:r>
              <w:tab/>
            </w:r>
            <w:r>
              <w:rPr>
                <w:b/>
                <w:i/>
              </w:rPr>
              <w:t>budući da ranjivi pripadnici skupine NEET možda nemaju funkcionalnu pismenost te numeričke i digitalne vještine potrebne za pristup kvalitetnom obrazovanju, osposobljavanju ili tržištu rada;</w:t>
            </w:r>
            <w:r>
              <w:t xml:space="preserve"> </w:t>
            </w:r>
            <w:r>
              <w:rPr>
                <w:b/>
                <w:i/>
              </w:rPr>
              <w:t>budući da se u pojačanoj Garanciji za mlade takve vještine često uzimaju zdravo za gotovo, čime se ranjivim pripadnicima skupine NEET ograničava mogućnost pristupa mjerama zapošljavanja i osposobljavanja i ostvarivanja koristi od njih;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51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Aodhán Ó Ríordáin, Estelle Ceulemans, Vilija Blinkevičiūtė, Idoia Mendia, Romana Jerković, Alicia Homs Ginel, Gabriele Bischoff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Ak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Ak.</w:t>
            </w:r>
            <w:r>
              <w:tab/>
            </w:r>
            <w:r>
              <w:rPr>
                <w:b/>
                <w:i/>
              </w:rPr>
              <w:t>budući da rezultati mladih u čitanju, matematici i znanosti diljem Unije opadaju, a za mlade u nepovoljnom socioekonomskom položaju više je nego šest puta veća vjerojatnost da će ostvariti slabije rezultate od njihovih vršnjaka</w:t>
            </w:r>
            <w:r>
              <w:rPr>
                <w:b/>
                <w:i/>
                <w:vertAlign w:val="superscript"/>
              </w:rPr>
              <w:t>1a</w:t>
            </w:r>
            <w:r>
              <w:rPr>
                <w:b/>
                <w:i/>
              </w:rPr>
              <w:t>;</w:t>
            </w:r>
            <w:r>
              <w:t xml:space="preserve"> </w:t>
            </w:r>
            <w:r>
              <w:rPr>
                <w:b/>
                <w:i/>
              </w:rPr>
              <w:t>budući da pojačana Garancija za mlade mora aktivno razmotriti te zabrinjavajuće trendove kako bi se spriječilo produbljivanje društvenih podjela i osigurao jednak pristup obrazovanju i budućim mogućnostima zapošljavanja;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_________________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  <w:vertAlign w:val="superscript"/>
              </w:rPr>
              <w:t>1a</w:t>
            </w:r>
            <w:r>
              <w:t xml:space="preserve"> </w:t>
            </w:r>
            <w:r>
              <w:rPr>
                <w:b/>
                <w:i/>
              </w:rPr>
              <w:t>Europska komisija, Pregled obrazovanja i osposobljavanja za 2024.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52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Marie Dauchy, Séverine Werbrouck, Mélanie Disdier, Margarita de la Pisa Carrión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B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B.</w:t>
            </w:r>
            <w:r>
              <w:tab/>
            </w:r>
            <w:r>
              <w:t xml:space="preserve">budući da je </w:t>
            </w:r>
            <w:r>
              <w:rPr>
                <w:b/>
                <w:i/>
              </w:rPr>
              <w:t>teško</w:t>
            </w:r>
            <w:r>
              <w:t xml:space="preserve"> utvrditi izravnu uzročno-posljedičnu vezu između provedbe pojačane Garancije za mlade i zabilježenih rezultata u pogledu smanjenja stope pripadnika skupine NEET te nezaposlenosti mladih;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B.</w:t>
            </w:r>
            <w:r>
              <w:tab/>
            </w:r>
            <w:r>
              <w:t xml:space="preserve">budući da je </w:t>
            </w:r>
            <w:r>
              <w:rPr>
                <w:b/>
                <w:i/>
              </w:rPr>
              <w:t>nemoguće</w:t>
            </w:r>
            <w:r>
              <w:t xml:space="preserve"> utvrditi izravnu uzročno-posljedičnu vezu između provedbe pojačane Garancije za mlade i zabilježenih rezultata u pogledu smanjenja stope pripadnika skupine NEET te nezaposlenosti mladih</w:t>
            </w:r>
            <w:r>
              <w:rPr>
                <w:b/>
                <w:i/>
              </w:rPr>
              <w:t>, što pokazuje strukturnu nedjelotvornost europskog socijalnog inženjerstva</w:t>
            </w:r>
            <w:r>
              <w:t xml:space="preserve">; </w:t>
            </w:r>
            <w:r>
              <w:rPr>
                <w:b/>
                <w:i/>
              </w:rPr>
              <w:t>budući da otvaranje radnih mjesta za mlade ne ovisi o centraliziranim direktivama, već prvenstveno proizlazi iz fiskalne suverenosti država članica, nacionalnog gospodarskog zdravlja i konkurentnosti naših MSP-ova;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{FR}</w:t>
      </w:r>
      <w:r>
        <w:t>fr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53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Lara Magoni, Elena Donazzan, Marlena Maląg, Mariateresa Vivaldini, Francesco Torselli, Chiara Gemma, Geadis Geadi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B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B.</w:t>
            </w:r>
            <w:r>
              <w:tab/>
            </w:r>
            <w:r>
              <w:t>budući da je teško utvrditi izravnu uzročno-posljedičnu vezu između provedbe pojačane Garancije za mlade i zabilježenih rezultata u pogledu smanjenja stope pripadnika skupine NEET te nezaposlenosti mladih;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B.</w:t>
            </w:r>
            <w:r>
              <w:tab/>
            </w:r>
            <w:r>
              <w:t xml:space="preserve">budući da je teško utvrditi izravnu uzročno-posljedičnu vezu između provedbe pojačane Garancije za mlade i zabilježenih rezultata u pogledu smanjenja stope pripadnika skupine NEET te nezaposlenosti mladih; </w:t>
            </w:r>
            <w:r>
              <w:rPr>
                <w:b/>
                <w:i/>
              </w:rPr>
              <w:t>to ističe potrebu za većom usmjerenošću na konkretne ishode za mlade, boljom usklađenošću s nacionalnim potrebama tržišta rada i bližom sinergijom s programima Unije kao što su Europski socijalni fond plus (ESF+), Erasmus+ i Europske snage solidarnosti;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54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Hristo Petrov, Irena Joveva, Martin Hojsík, Elisabetta Gualmini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B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B.</w:t>
            </w:r>
            <w:r>
              <w:tab/>
            </w:r>
            <w:r>
              <w:t>budući da je teško utvrditi izravnu uzročno-posljedičnu vezu između provedbe pojačane Garancije za mlade i zabilježenih rezultata u pogledu smanjenja stope pripadnika skupine NEET te nezaposlenosti mladih;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B.</w:t>
            </w:r>
            <w:r>
              <w:tab/>
            </w:r>
            <w:r>
              <w:t>budući da je teško utvrditi izravnu uzročno-posljedičnu vezu između provedbe pojačane Garancije za mlade i zabilježenih rezultata u pogledu smanjenja stope pripadnika skupine NEET te nezaposlenosti mladih</w:t>
            </w:r>
            <w:r>
              <w:rPr>
                <w:b/>
                <w:i/>
              </w:rPr>
              <w:t>, posebno ako su programi pojačane Garancije za mlade ugrađeni u šire nacionalne politike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55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Elena Donazzan, Chiara Gemma, Mariateresa Vivaldini, Lara Magoni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Ba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Ba.</w:t>
            </w:r>
            <w:r>
              <w:tab/>
            </w:r>
            <w:r>
              <w:rPr>
                <w:b/>
                <w:i/>
              </w:rPr>
              <w:t>budući da europski podaci pokazuju da su početni programi strukovnog obrazovanja i osposobljavanja sa snažnom integracijom učenja temeljenog na radu najučinkovitiji alat za sprečavanje statusa NEET-a (mladi koji ne rade, nisu u sustavu redovitog obrazovanja te nisu u sustavu obrazovanja odraslih), pri čemu stope zaposlenosti dosežu 90,5 % za mlade koji završavaju programe s najmanje sedam mjeseci učenja temeljenog na radu, u usporedbi sa 69,7 % za one koji nisu imali pristup takvim programima;</w:t>
            </w:r>
            <w:r>
              <w:t xml:space="preserve"> </w:t>
            </w:r>
            <w:r>
              <w:rPr>
                <w:b/>
                <w:i/>
              </w:rPr>
              <w:t>budući da dvojni sustavi strukovnog osposobljavanja zahvaljujući strukturiranom izmjenjivanju između školskog i radnog okruženja stvaraju praktične vještine i strukturno smanjuju neusklađenost između potražnje i ponude na tržištu rada;</w:t>
            </w:r>
            <w:r>
              <w:t xml:space="preserve"> </w:t>
            </w:r>
            <w:r>
              <w:rPr>
                <w:b/>
                <w:i/>
              </w:rPr>
              <w:t>budući da države članice sa snažnim dvojnim sustavima strukovnog osposobljavanja imaju najniže stope nezaposlenosti mladih u Europskoj uniji;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{IT}</w:t>
      </w:r>
      <w:r>
        <w:t>it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56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Niels Geuking, Romana Tomc, David Casa, Isabelle Le Callennec, Liesbet Sommen, Sérgio Humberto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Ba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Ba.</w:t>
            </w:r>
            <w:r>
              <w:tab/>
            </w:r>
            <w:r>
              <w:rPr>
                <w:b/>
                <w:i/>
              </w:rPr>
              <w:t>budući da učinkovita provedba pojačane Garancije za mlade zahtijeva ciljane i integrirane mjere prilagođene obitelji, posebno za mlade roditelje, kombiniranjem potpore za zapošljavanje s pristupom obrazovanju i osposobljavanju, skrbi za djecu, socijalnim uslugama i, prema potrebi, odgovarajućom potporom dohotku, kako bi se osigurala trajna integracija na tržište rada, spriječila dugoročna isključenost, promicala rodna ravnopravnost i poduprla održiva ravnoteža između poslovnog i privatnog života;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57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Gordan Bosanac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{Verts/ALE}</w:t>
      </w:r>
      <w:r>
        <w:t>u ime Kluba zastupnika Verts/ALE-a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Ba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Ba.</w:t>
            </w:r>
            <w:r>
              <w:tab/>
            </w:r>
            <w:r>
              <w:rPr>
                <w:b/>
                <w:i/>
              </w:rPr>
              <w:t>budući da dokazi Europskog revizorskog suda upućuju na to da dobro financirane i uključive politike za mlade utemeljene na pravima, uključujući pojačanu Garanciju za mlade, pozitivno doprinose poboljšanju pristupa mladih kvalitetnom zapošljavanju, obrazovanju i osposobljavanju;</w:t>
            </w:r>
            <w:r>
              <w:t xml:space="preserve"> </w:t>
            </w:r>
            <w:r>
              <w:rPr>
                <w:b/>
                <w:i/>
              </w:rPr>
              <w:t>budući da su snažnije praćenje, prikupljanje raščlanjenih podataka i procjena učinka ključni za puno obuhvaćanje njegovih rezultata, posebno kada je riječ o ranjivim i marginaliziranim skupinama;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58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Hristo Petrov, Irena Joveva, Martin Hojsík, Elisabetta Gualmini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Ba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Ba.</w:t>
            </w:r>
            <w:r>
              <w:tab/>
            </w:r>
            <w:r>
              <w:rPr>
                <w:b/>
                <w:i/>
              </w:rPr>
              <w:t>budući da postoji gotovo onoliko modela za provedbu Garancije za mlade koliko ima država članica;</w:t>
            </w:r>
            <w:r>
              <w:t xml:space="preserve"> </w:t>
            </w:r>
            <w:r>
              <w:rPr>
                <w:b/>
                <w:i/>
              </w:rPr>
              <w:t>budući da se institucionalni aranžmani za njegovu provedbu kreću od integracije Garancije za mlade u postojeće nacionalne sustave do stvaranja zasebnog nacionalnog modela;</w:t>
            </w:r>
            <w:r>
              <w:t xml:space="preserve"> </w:t>
            </w:r>
            <w:r>
              <w:rPr>
                <w:b/>
                <w:i/>
              </w:rPr>
              <w:t>budući da se mehanizmi upravljanja također razlikuju između centraliziranih modela koordiniranih na nacionalnoj razini i potpuno decentraliziranih modela na lokalnoj razini;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59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Martine Kemp, Regina Doherty, Liesbet Sommen, Niels Geuking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Ba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Ba.</w:t>
            </w:r>
            <w:r>
              <w:tab/>
            </w:r>
            <w:r>
              <w:rPr>
                <w:b/>
                <w:i/>
              </w:rPr>
              <w:t>budući da se u Preporuci Vijeća od 16. lipnja 2022. o europskom pristupu mikrokvalifikacijama one priznaju kao ključan alat za fleksibilne, uključive i ciljane načine učenja, čime se pojedincima omogućuje da steknu, ažuriraju i certificiraju svoje vještine na modularan način, posebno kao odgovor na potrebe tržišta rada te zelenu i digitalnu tranziciju;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60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Aodhán Ó Ríordáin, Estelle Ceulemans, Vilija Blinkevičiūtė, Idoia Mendia, Romana Jerković, Alicia Homs Ginel, Gabriele Bischoff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Ba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Ba.</w:t>
            </w:r>
            <w:r>
              <w:tab/>
            </w:r>
            <w:r>
              <w:rPr>
                <w:b/>
                <w:i/>
              </w:rPr>
              <w:t>budući da ulaganje u mlade u okviru pojačane Garancije za mlade predstavlja ulaganje u budućnost Unije, čime se jača socijalna kohezija i međugeneracijska pravednost i solidarnost, smanjuje siromaštvo i socijalna isključenost te doprinosi otpornoj radnoj snazi i konkurentnom gospodarstvu;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61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Lara Magoni, Elena Donazzan, Marlena Maląg, Mariateresa Vivaldini, Francesco Torselli, Chiara Gemma, Geadis Geadi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Ba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Ba.</w:t>
            </w:r>
            <w:r>
              <w:tab/>
            </w:r>
            <w:r>
              <w:rPr>
                <w:b/>
                <w:i/>
              </w:rPr>
              <w:t>budući da učinkovitost pojačane Garancije za mlade ovisi o transparentnoj i učinkovitoj upotrebi sredstava EU-a i nacionalnih sredstava kao i o robusnim sustavima praćenja i evaluacije kojima se mogu mjeriti dugoročni rezultati zapošljavanja mladih korisnika;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62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Maria Zacharia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Ba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Ba.</w:t>
            </w:r>
            <w:r>
              <w:tab/>
            </w:r>
            <w:r>
              <w:rPr>
                <w:b/>
                <w:i/>
              </w:rPr>
              <w:t>budući da su nezaposlenost mladih i nesigurna radna mjesta izravno povezani sa strukturnim nejednakostima, štednjom, deregulacijom tržišta rada i nedovoljnim financiranjem javnih usluga;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{EL}</w:t>
      </w:r>
      <w:r>
        <w:t>el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63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Hristo Petrov, Irena Joveva, Martin Hojsík, Elisabetta Gualmini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Bb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Bb.</w:t>
            </w:r>
            <w:r>
              <w:tab/>
            </w:r>
            <w:r>
              <w:rPr>
                <w:b/>
                <w:i/>
              </w:rPr>
              <w:t>budući da se velika većina država članica oslanja na strategiju zapošljavanja na prvom mjestu, dok druge prednost daju pristupu usmjerenom na osposobljavanje;</w:t>
            </w:r>
            <w:r>
              <w:t xml:space="preserve"> </w:t>
            </w:r>
            <w:r>
              <w:rPr>
                <w:b/>
                <w:i/>
              </w:rPr>
              <w:t>budući da je 2024. 35,2 % pozitivnih i pravodobnih izlazaka iz pripremne faze Garancije za mlade dovelo do zapošljavanja, 6,5 % do obrazovanja, 2,5 % do pripravništva i 1,6 % do naukovanja</w:t>
            </w:r>
            <w:r>
              <w:rPr>
                <w:b/>
                <w:i/>
                <w:vertAlign w:val="superscript"/>
              </w:rPr>
              <w:t>17a</w:t>
            </w:r>
            <w:r>
              <w:rPr>
                <w:b/>
                <w:i/>
              </w:rPr>
              <w:t>;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_________________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  <w:vertAlign w:val="superscript"/>
              </w:rPr>
              <w:t>17a</w:t>
            </w:r>
            <w:r>
              <w:t xml:space="preserve"> </w:t>
            </w:r>
            <w:r>
              <w:rPr>
                <w:b/>
                <w:i/>
              </w:rPr>
              <w:t>Europska komisija, Glavna uprava za zapošljavanje, socijalna pitanja i uključivanje, Tablica podataka o izravnim pokazateljima Garancije za mlade, veljača 2026.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64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Aodhán Ó Ríordáin, Estelle Ceulemans, Vilija Blinkevičiūtė, Idoia Mendia, Romana Jerković, Alicia Homs Ginel, Gabriele Bischoff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Bb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Bb.</w:t>
            </w:r>
            <w:r>
              <w:tab/>
            </w:r>
            <w:r>
              <w:rPr>
                <w:b/>
                <w:i/>
              </w:rPr>
              <w:t>budući da Eurofound procjenjuje da Unija zbog nesudjelovanja mladih i neuspješne integracije na tržište rada mladih koji nisu zaposleni, ne školuju se i ne osposobljavaju gubi gotovo 100 milijardi EUR godišnje</w:t>
            </w:r>
            <w:r>
              <w:rPr>
                <w:b/>
                <w:i/>
                <w:vertAlign w:val="superscript"/>
              </w:rPr>
              <w:t>1a</w:t>
            </w:r>
            <w:r>
              <w:rPr>
                <w:b/>
                <w:i/>
              </w:rPr>
              <w:t>, čime se ističe hitan gospodarski i socijalni imperativ osiguravanja učinkovitog jačanja pojačane Garancije za mlade;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_________________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  <w:vertAlign w:val="superscript"/>
              </w:rPr>
              <w:t>1a</w:t>
            </w:r>
            <w:r>
              <w:t xml:space="preserve"> </w:t>
            </w:r>
            <w:r>
              <w:rPr>
                <w:b/>
                <w:i/>
              </w:rPr>
              <w:t>Eurofound, „Employment and Social Developments in Europe 2025” (Zapošljavanje i socijalna kretanja u Europi), 2025.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65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Gordan Bosanac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{Verts/ALE}</w:t>
      </w:r>
      <w:r>
        <w:t>u ime Kluba zastupnika Verts/ALE-a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Bb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Bb.</w:t>
            </w:r>
            <w:r>
              <w:tab/>
            </w:r>
            <w:r>
              <w:rPr>
                <w:b/>
                <w:i/>
              </w:rPr>
              <w:t>budući da je ESF+ glavni instrument za financiranje pojačane Garancije za mlade za razdoblje 2021. – 2027.;</w:t>
            </w:r>
            <w:r>
              <w:t xml:space="preserve"> </w:t>
            </w:r>
            <w:r>
              <w:rPr>
                <w:b/>
                <w:i/>
              </w:rPr>
              <w:t>budući da upravljačka tijela moraju unaprijediti svoje apsorpcijske kapacitete, naročito u udaljenim područjima;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66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Maria Zacharia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Bb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Bb.</w:t>
            </w:r>
            <w:r>
              <w:tab/>
            </w:r>
            <w:r>
              <w:rPr>
                <w:b/>
                <w:i/>
              </w:rPr>
              <w:t>budući da je velik udio mladih zaposlen na privremenim, slabo plaćenim i nesigurnim radnim mjestima, bez punih radničkih i socijalnih prava;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{EL}</w:t>
      </w:r>
      <w:r>
        <w:t>el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67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Niels Geuking, Romana Tomc, Miriam Lexmann, Liesbet Sommen, Sérgio Humberto, Martine Kemp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Bb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Bb.</w:t>
            </w:r>
            <w:r>
              <w:tab/>
            </w:r>
            <w:r>
              <w:rPr>
                <w:b/>
                <w:i/>
              </w:rPr>
              <w:t>budući da se od mladih sve više zahtijeva da pokažu fleksibilnost i geografsku mobilnost u svojem obrazovanju, osposobljavanju i profesionalnoj karijeri;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68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Maria Zacharia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Bc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Bc.</w:t>
            </w:r>
            <w:r>
              <w:tab/>
            </w:r>
            <w:r>
              <w:rPr>
                <w:b/>
                <w:i/>
              </w:rPr>
              <w:t>budući da programi Garancije za mlade ne mogu nadomjestiti pravo na sigurno punopravno zaposlenje, niti ozakoniti širenje neplaćenog ili potplaćenog rada putem programa „stažiranja” ili „osposobljavanja”.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{EL}</w:t>
      </w:r>
      <w:r>
        <w:t>el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69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Gordan Bosanac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{Verts/ALE}</w:t>
      </w:r>
      <w:r>
        <w:t>u ime Kluba zastupnika Verts/ALE-a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Bc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Bc.</w:t>
            </w:r>
            <w:r>
              <w:tab/>
            </w:r>
            <w:r>
              <w:rPr>
                <w:b/>
                <w:i/>
              </w:rPr>
              <w:t>budući da neaktivni i ranjivi pripadnici skupine NEET najčešće bivaju izostavljeni iz inicijativa Garancije za mlade i da od njih uglavnom imaju koristi mladi bliži tržištu rada, što se naziva i učinkom „pobiranja vrhnja”, što dovodi do precjenjivanja stvarnog utjecaja pojačane Garancije za mlade na cjelokupnu skupinu NEET;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70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Hristo Petrov, Irena Joveva, Martin Hojsík, Elisabetta Gualmini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Bc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Bc.</w:t>
            </w:r>
            <w:r>
              <w:tab/>
            </w:r>
            <w:r>
              <w:rPr>
                <w:b/>
                <w:i/>
              </w:rPr>
              <w:t>budući da konkurentnost Unije također ovisi o vještinama njezine radne snage i njezinoj sposobnosti da aktivira radno sposobno mlado stanovništvo kako bi se riješio problem nedostatka radne snage i vještina;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71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Niels Geuking, Romana Tomc, Miriam Lexmann, Liesbet Sommen, Sérgio Humberto, Martine Kemp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Bc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Bc.</w:t>
            </w:r>
            <w:r>
              <w:tab/>
            </w:r>
            <w:r>
              <w:rPr>
                <w:b/>
                <w:i/>
              </w:rPr>
              <w:t>budući da je pristup cjenovno pristupačnom, primjerenom i kvalitetnom stanovanju preduvjet za uspješno sudjelovanje u obrazovanju, naukovanju, pripravništvu i zapošljavanju;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72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Hristo Petrov, Irena Joveva, Martin Hojsík, Elisabetta Gualmini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Bd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Bd.</w:t>
            </w:r>
            <w:r>
              <w:tab/>
            </w:r>
            <w:r>
              <w:rPr>
                <w:b/>
                <w:i/>
              </w:rPr>
              <w:t>budući da i dalje postoje institucionalne i strukturne prepreke operacionalizaciji Garancije za mlade i njezinoj praktičnoj provedbi u državama članicama i na lokalnoj razini, kao što su prepreke razmjeni podataka među službama, neusklađenost između pružanja obrazovanja i osposobljavanja i tržišta rada, kao i socioekonomski nedostaci s kojima se suočavaju ranjive skupine;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73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Niels Geuking, Maravillas Abadía Jover, Romana Tomc, Miriam Lexmann, Liesbet Sommen, Sérgio Humberto, Martine Kemp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Bd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Bd.</w:t>
            </w:r>
            <w:r>
              <w:tab/>
            </w:r>
            <w:r>
              <w:rPr>
                <w:b/>
                <w:i/>
              </w:rPr>
              <w:t>budući da se učinkovitost Garancije za mlade ne bi trebala mjeriti samo neposrednim stupanjem mladih na tržište rada i u sustave obrazovanja ili osposobljavanja već i kvalitetom, održivošću i izgledima za ostvarivanje dugoročne karijere na temelju tih mogućnosti;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74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Gordan Bosanac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{Verts/ALE}</w:t>
      </w:r>
      <w:r>
        <w:t>u ime Kluba zastupnika Verts/ALE-a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Bd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Bd.</w:t>
            </w:r>
            <w:r>
              <w:tab/>
            </w:r>
            <w:r>
              <w:rPr>
                <w:b/>
                <w:i/>
              </w:rPr>
              <w:t>budući da je vjerojatnije da će se mladi koji pripadaju etničkim, rasnim ili vjerskim manjinama naći u situaciji u kojoj nema usklađenosti njihovih vještina i stvarnih praksi zapošljavanja;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75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Niels Geuking, Maravillas Abadía Jover, Romana Tomc, Miriam Lexmann, Liesbet Sommen, Sérgio Humberto, Martine Kemp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Be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Be.</w:t>
            </w:r>
            <w:r>
              <w:tab/>
            </w:r>
            <w:r>
              <w:rPr>
                <w:b/>
                <w:i/>
              </w:rPr>
              <w:t>budući da bi politiku za mlade trebalo prepoznati ne samo kao socijalni prioritet, već i kao strateško ulaganje u ljudski kapital, konkurentnost i dugoročnu gospodarsku otpornost EU-a;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76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Niels Geuking, Romana Tomc, Miriam Lexmann, Liesbet Sommen, Sérgio Humberto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Bf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Bf.</w:t>
            </w:r>
            <w:r>
              <w:tab/>
            </w:r>
            <w:r>
              <w:rPr>
                <w:b/>
                <w:i/>
              </w:rPr>
              <w:t>budući da se mladi koji ne rade, nisu u sustavu redovitog obrazovanja te nisu u sustavu obrazovanja odraslih, mladi roditelji, posebno samohrani roditelji i mlade ranjive osobe suočavaju s većim rizikom od psiholoških poteškoća i dugoročne isključenosti s tržišta rada;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77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Niels Geuking, Romana Tomc, Miriam Lexmann, Liesbet Sommen, Sérgio Humberto, Martine Kemp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Bg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Bg.</w:t>
            </w:r>
            <w:r>
              <w:tab/>
            </w:r>
            <w:r>
              <w:rPr>
                <w:b/>
                <w:i/>
              </w:rPr>
              <w:t>budući da su mentalno zdravlje i dobrobit ključni za sudjelovanje na tržištu rada i da se mogu ojačati preventivnim, ranim psihosocijalnim mjerama u okviru aktivacije, a da se pritom ne utječe na odgovornost država članica za zdravstvenu skrb;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78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Niels Geuking, Romana Tomc, Miriam Lexmann, Liesbet Sommen, Sérgio Humberto, Martine Kemp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Bh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Bh.</w:t>
            </w:r>
            <w:r>
              <w:tab/>
            </w:r>
            <w:r>
              <w:rPr>
                <w:b/>
                <w:i/>
              </w:rPr>
              <w:t>budući da automatizacija i umjetna inteligencija mijenjaju tržišta rada, čime se riskira isključenost mladih koji nemaju osnovne vještine u području umjetne inteligencije;</w:t>
            </w:r>
            <w:r>
              <w:t xml:space="preserve"> </w:t>
            </w:r>
            <w:r>
              <w:rPr>
                <w:b/>
                <w:i/>
              </w:rPr>
              <w:t>budući da se Garancijom za mlade to pitanje mora proaktivno rješavati kako bi se osigurala njihova zapošljivost;</w:t>
            </w:r>
            <w:r>
              <w:t xml:space="preserve"> </w:t>
            </w:r>
            <w:r>
              <w:rPr>
                <w:b/>
                <w:i/>
              </w:rPr>
              <w:t>budući da umjetna inteligencija može pomoći u prevladavanju prepreka (u učenju) (putem pomoćnih tehnologija) ako mladi rano steknu digitalnu pismenost i osnovne vještine u području umjetne inteligencije;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79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Niels Geuking, Romana Tomc, Liesbet Sommen, Sérgio Humberto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Bi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Bi.</w:t>
            </w:r>
            <w:r>
              <w:tab/>
            </w:r>
            <w:r>
              <w:rPr>
                <w:b/>
                <w:i/>
              </w:rPr>
              <w:t>budući da se Garancija za mlade temelji na načelu uzajamne obveze, prema kojem mladi imaju pravo na visokokvalitetnu ponudu, ali i dužnost da aktivno sudjeluju i prihvate razumne mogućnosti zapošljavanja, osposobljavanja ili obrazovanja;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Amandman</w:t>
      </w:r>
      <w:r>
        <w:tab/>
      </w:r>
      <w:r>
        <w:tab/>
      </w:r>
      <w:r>
        <w:rPr>
          <w:rStyle w:val="HideTWBExt"/>
        </w:rPr>
        <w:t>&lt;NumAm&gt;</w:t>
      </w:r>
      <w:r>
        <w:t>80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Niels Geuking, Romana Tomc, Liesbet Sommen, Maravillas Abadía Jover, Sérgio Humberto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Prijedlog rezolucije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Uvodna izjava Bj (nova)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Izmjena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Bj.</w:t>
            </w:r>
            <w:r>
              <w:tab/>
            </w:r>
            <w:r>
              <w:rPr>
                <w:b/>
                <w:i/>
              </w:rPr>
              <w:t>budući da države članice stoga moraju osigurati da se u slučajevima opetovanog i neopravdanog odbijanja razumnih ponuda mogu primijeniti odgovarajuće mjere u skladu s nacionalnim pravom kako bi se spriječila pasivnost i promicala osobna odgovornost mladih;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r>
        <w:rPr>
          <w:rStyle w:val="HideTWBExt"/>
        </w:rPr>
        <w:t>&lt;/RepeatBlock-Amend&gt;</w:t>
      </w:r>
    </w:p>
    <w:sectPr>
      <w:footerReference w:type="even" r:id="rId5"/>
      <w:footerReference w:type="default" r:id="rId6"/>
      <w:footerReference w:type="first" r:id="rId7"/>
      <w:pgSz w:w="11909" w:h="16834"/>
      <w:pgMar w:top="1134" w:right="1417" w:bottom="1417" w:left="1417" w:header="1134" w:footer="567"/>
      <w:cols w:space="720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EPFooter"/>
    </w:pPr>
    <w:r>
      <w:t>PE</w:t>
    </w:r>
    <w:r>
      <w:rPr>
        <w:rStyle w:val="HideTWBExt"/>
      </w:rPr>
      <w:t>&lt;NoPE&gt;</w:t>
    </w:r>
    <w:r>
      <w:t>787.791</w:t>
    </w:r>
    <w:r>
      <w:rPr>
        <w:rStyle w:val="HideTWBExt"/>
      </w:rPr>
      <w:t>&lt;/NoPE&gt;</w:t>
    </w:r>
    <w:r>
      <w:rPr>
        <w:rStyle w:val="HideTWBExt"/>
      </w:rPr>
      <w:t>&lt;Version&gt;</w:t>
    </w:r>
    <w:r>
      <w:t>v01-00</w:t>
    </w:r>
    <w:r>
      <w:rPr>
        <w:rStyle w:val="HideTWBExt"/>
      </w:rPr>
      <w:t>&lt;/Version&gt;</w:t>
    </w:r>
    <w:r>
      <w:tab/>
    </w:r>
    <w:r>
      <w:fldChar w:fldCharType="begin"/>
    </w:r>
    <w:r>
      <w:instrText xml:space="preserve"> PAGE </w:instrText>
    </w:r>
    <w:r>
      <w:fldChar w:fldCharType="separate"/>
    </w:r>
    <w:r>
      <w:t>42</w:t>
    </w:r>
    <w:r>
      <w:fldChar w:fldCharType="end"/>
    </w:r>
    <w:r>
      <w:t>/</w:t>
    </w:r>
    <w:r>
      <w:fldChar w:fldCharType="begin"/>
    </w:r>
    <w:r>
      <w:instrText xml:space="preserve"> NUMPAGES </w:instrText>
    </w:r>
    <w:r>
      <w:fldChar w:fldCharType="separate"/>
    </w:r>
    <w:r>
      <w:t>43</w:t>
    </w:r>
    <w:r>
      <w:fldChar w:fldCharType="end"/>
    </w:r>
    <w:r>
      <w:tab/>
    </w:r>
    <w:r>
      <w:rPr>
        <w:rStyle w:val="HideTWBExt"/>
      </w:rPr>
      <w:t>&lt;PathFdR&gt;</w:t>
    </w:r>
    <w:r>
      <w:t>AM\1342335HR.docx</w:t>
    </w:r>
    <w:r>
      <w:rPr>
        <w:rStyle w:val="HideTWBExt"/>
      </w:rPr>
      <w:t>&lt;/PathFdR&gt;</w:t>
    </w:r>
  </w:p>
  <w:p>
    <w:pPr>
      <w:pStyle w:val="EPFooter2"/>
    </w:pPr>
    <w:r>
      <w:t>HR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EPFooter"/>
    </w:pPr>
    <w:r>
      <w:rPr>
        <w:rStyle w:val="HideTWBExt"/>
      </w:rPr>
      <w:t>&lt;PathFdR&gt;</w:t>
    </w:r>
    <w:r>
      <w:t>AM\1342335HR.docx</w:t>
    </w:r>
    <w:r>
      <w:rPr>
        <w:rStyle w:val="HideTWBExt"/>
      </w:rPr>
      <w:t>&lt;/PathFdR&gt;</w:t>
    </w:r>
    <w:r>
      <w:tab/>
    </w:r>
    <w:r>
      <w:fldChar w:fldCharType="begin"/>
    </w:r>
    <w:r>
      <w:instrText xml:space="preserve"> PAGE </w:instrText>
    </w:r>
    <w:r>
      <w:fldChar w:fldCharType="separate"/>
    </w:r>
    <w:r>
      <w:t>43</w:t>
    </w:r>
    <w:r>
      <w:fldChar w:fldCharType="end"/>
    </w:r>
    <w:r>
      <w:t>/</w:t>
    </w:r>
    <w:r>
      <w:fldChar w:fldCharType="begin"/>
    </w:r>
    <w:r>
      <w:instrText xml:space="preserve"> NUMPAGES </w:instrText>
    </w:r>
    <w:r>
      <w:fldChar w:fldCharType="separate"/>
    </w:r>
    <w:r>
      <w:t>43</w:t>
    </w:r>
    <w:r>
      <w:fldChar w:fldCharType="end"/>
    </w:r>
    <w:r>
      <w:tab/>
    </w:r>
    <w:r>
      <w:t>PE</w:t>
    </w:r>
    <w:r>
      <w:rPr>
        <w:rStyle w:val="HideTWBExt"/>
      </w:rPr>
      <w:t>&lt;NoPE&gt;</w:t>
    </w:r>
    <w:r>
      <w:t>787.791</w:t>
    </w:r>
    <w:r>
      <w:rPr>
        <w:rStyle w:val="HideTWBExt"/>
      </w:rPr>
      <w:t>&lt;/NoPE&gt;</w:t>
    </w:r>
    <w:r>
      <w:rPr>
        <w:rStyle w:val="HideTWBExt"/>
      </w:rPr>
      <w:t>&lt;Version&gt;</w:t>
    </w:r>
    <w:r>
      <w:t>v01-00</w:t>
    </w:r>
    <w:r>
      <w:rPr>
        <w:rStyle w:val="HideTWBExt"/>
      </w:rPr>
      <w:t>&lt;/Version&gt;</w:t>
    </w:r>
  </w:p>
  <w:p>
    <w:pPr>
      <w:pStyle w:val="EPFooter2"/>
    </w:pPr>
    <w:r>
      <w:tab/>
    </w:r>
    <w:r>
      <w:tab/>
    </w:r>
    <w:r>
      <w:t>HR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EPFooter"/>
    </w:pPr>
    <w:r>
      <w:rPr>
        <w:rStyle w:val="HideTWBExt"/>
      </w:rPr>
      <w:t>&lt;PathFdR&gt;</w:t>
    </w:r>
    <w:r>
      <w:t>AM\1342335HR.docx</w:t>
    </w:r>
    <w:r>
      <w:rPr>
        <w:rStyle w:val="HideTWBExt"/>
      </w:rPr>
      <w:t>&lt;/PathFdR&gt;</w:t>
    </w:r>
    <w:r>
      <w:tab/>
    </w:r>
    <w:r>
      <w:tab/>
    </w:r>
    <w:r>
      <w:t>PE</w:t>
    </w:r>
    <w:r>
      <w:rPr>
        <w:rStyle w:val="HideTWBExt"/>
      </w:rPr>
      <w:t>&lt;NoPE&gt;</w:t>
    </w:r>
    <w:r>
      <w:t>787.791</w:t>
    </w:r>
    <w:r>
      <w:rPr>
        <w:rStyle w:val="HideTWBExt"/>
      </w:rPr>
      <w:t>&lt;/NoPE&gt;</w:t>
    </w:r>
    <w:r>
      <w:rPr>
        <w:rStyle w:val="HideTWBExt"/>
      </w:rPr>
      <w:t>&lt;Version&gt;</w:t>
    </w:r>
    <w:r>
      <w:t>v01-00</w:t>
    </w:r>
    <w:r>
      <w:rPr>
        <w:rStyle w:val="HideTWBExt"/>
      </w:rPr>
      <w:t>&lt;/Version&gt;</w:t>
    </w:r>
  </w:p>
  <w:p>
    <w:pPr>
      <w:pStyle w:val="EPFooter2"/>
    </w:pPr>
    <w:r>
      <w:t>HR</w:t>
    </w:r>
    <w:r>
      <w:tab/>
    </w:r>
    <w:r>
      <w:rPr>
        <w:rStyle w:val="EPFooter2Motto"/>
      </w:rPr>
      <w:t>Ujedinjena u raznolikosti</w:t>
    </w:r>
    <w:r>
      <w:tab/>
    </w:r>
    <w:r>
      <w:t>HR</w: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evenAndOddHeaders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docVars>
    <w:docVar w:name="restart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140430 HideTWBExt;}{\s16\qr \li0\ri0\sb240\sa240\nowidctlpar\wrapdefault\aspalpha\aspnum\faauto\adjustright\rin0\lin0\itap0 \rtlch\fcs1 \af0\afs20\alang1025 \ltrch\fcs0 _x000d__x000a_\fs24\lang2057\langfe2057\cgrid\langnp2057\langfenp2057 \sbasedon0 \snext16 \spriority0 \styrsid1140430 AmOrLang;}{\s17\ql \li0\ri0\sa120\nowidctlpar\wrapdefault\aspalpha\aspnum\faauto\adjustright\rin0\lin0\itap0 \rtlch\fcs1 \af0\afs20\alang1025 _x000d__x000a_\ltrch\fcs0 \fs24\lang2057\langfe2057\cgrid\langnp2057\langfenp2057 \sbasedon0 \snext17 \spriority0 \styrsid1140430 Normal6a;}{\s18\ql \li0\ri0\nowidctlpar\wrapdefault\aspalpha\aspnum\faauto\adjustright\rin0\lin0\itap0 \rtlch\fcs1 \af0\afs20\alang1025 _x000d__x000a_\ltrch\fcs0 \b\fs24\lang2057\langfe2057\cgrid\langnp2057\langfenp2057 \sbasedon0 \snext18 \spriority0 \styrsid1140430 NormalBold;}{\s19\qc \li0\ri0\sa240\nowidctlpar\wrapdefault\aspalpha\aspnum\faauto\adjustright\rin0\lin0\itap0 \rtlch\fcs1 _x000d__x000a_\af0\afs20\alang1025 \ltrch\fcs0 \i\fs24\lang2057\langfe2057\cgrid\langnp2057\langfenp2057 \sbasedon0 \snext19 \spriority0 \styrsid1140430 AmColumnHeading;}{\s20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0 \spriority0 \styrsid1140430 AmNumberTabs;}}{\*\rsidtbl \rsid24658\rsid358857\rsid735077\rsid787282\rsid1140430\rsid2892074\rsid3622648\rsid4666813\rsid5708216_x000d__x000a_\rsid6641733\rsid7553164\rsid8465581\rsid8681905\rsid8724649\rsid9636012\rsid9862312\rsid11215221\rsid11370291\rsid11434737\rsid11607138\rsid11824949\rsid12154954\rsid12213393\rsid14424199\rsid15204470\rsid15285974\rsid15535219\rsid15950462\rsid16324206_x000d__x000a_\rsid16662270}{\mmathPr\mmathFont34\mbrkBin0\mbrkBinSub0\msmallFrac0\mdispDef1\mlMargin0\mrMargin0\mdefJc1\mwrapIndent1440\mintLim0\mnaryLim1}{\info{\author FELIX Karina}{\operator FELIX Karina}{\creatim\yr2019\mo7\dy3\hr17\min21}_x000d__x000a_{\revtim\yr2019\mo7\dy3\hr17\min21}{\version1}{\edmins0}{\nofpages1}{\nofwords25}{\nofchars291}{\*\company European Parliament}{\nofcharsws294}{\vern97}}{\*\xmlnstbl {\xmlns1 http://schemas.microsoft.com/office/word/2003/wordml}}_x000d__x000a_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140430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2213393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2213393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2213393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2213393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20\ql \li0\ri0\sb240\keepn\nowidctlpar\tx879\tx936\tx1021\tx1077\tx1134\tx1191\tx1247\tx1304\tx1361\tx1418\tx1474\tx1531\tx1588\tx1644\tx1701\tx1758\tx1814\tx1871\tx2070\tx2126\tx3374\tx3430\wrapdefault\aspalpha\aspnum\faauto\adjustright\rin0_x000d__x000a_\lin0\itap0\pararsid1140430 \rtlch\fcs1 \af0\afs20\alang1025 \ltrch\fcs0 \b\fs24\lang2057\langfe2057\cgrid\langnp2057\langfenp2057 {\rtlch\fcs1 \af0 \ltrch\fcs0 \cs15\b0\v\f1\fs20\cf9\lang1024\langfe1024\noproof\insrsid1140430\charrsid4417459 _x000d__x000a_{\*\bkmkstart restart}&lt;Amend&gt;}{\rtlch\fcs1 \af0 \ltrch\fcs0 \insrsid1140430\charrsid1799708 [ZAMENDMENT]}{\rtlch\fcs1 \af0 \ltrch\fcs0 \insrsid1140430 \tab \tab }{\rtlch\fcs1 \af0 \ltrch\fcs0 _x000d__x000a_\cs15\b0\v\f1\fs20\cf9\lang1024\langfe1024\noproof\insrsid1140430\charrsid4417459 &lt;NumAm&gt;}{\rtlch\fcs1 \af0 \ltrch\fcs0 \insrsid1140430\charrsid1799708 [ZNRAM]}{\rtlch\fcs1 \af0 \ltrch\fcs0 _x000d__x000a_\cs15\b0\v\f1\fs20\cf9\lang1024\langfe1024\noproof\insrsid1140430\charrsid4417459 &lt;/NumAm&gt;}{\rtlch\fcs1 \af0 \ltrch\fcs0 \insrsid1140430\charrsid4080556 _x000d__x000a_\par }\pard\plain \ltrpar\s18\ql \li0\ri0\nowidctlpar\wrapdefault\aspalpha\aspnum\faauto\adjustright\rin0\lin0\itap0\pararsid1140430 \rtlch\fcs1 \af0\afs20\alang1025 \ltrch\fcs0 \b\fs24\lang2057\langfe2057\cgrid\langnp2057\langfenp2057 {\rtlch\fcs1 \af0 _x000d__x000a_\ltrch\fcs0 \cs15\b0\v\f1\fs20\cf9\lang1024\langfe1024\noproof\insrsid1140430\charrsid14699840 &lt;RepeatBlock-By&gt;}{\rtlch\fcs1 \af0 \ltrch\fcs0 \lang1024\langfe1024\noproof\insrsid1140430\charrsid14699840 [RepeatMembers]}{\rtlch\fcs1 \af0 \ltrch\fcs0 _x000d__x000a_\cs15\b0\v\f1\fs20\cf9\lang1024\langfe1024\noproof\insrsid1140430\charrsid14699840 &lt;Members&gt;}{\rtlch\fcs1 \af0 \ltrch\fcs0 \insrsid1140430\charrsid14699840 [ZMEMBERS]}{\rtlch\fcs1 \af0 \ltrch\fcs0 _x000d__x000a_\cs15\b0\v\f1\fs20\cf9\lang1024\langfe1024\noproof\insrsid1140430\charrsid14699840 &lt;/Members&gt;}{\rtlch\fcs1 \af0 \ltrch\fcs0 \insrsid1140430\charrsid14699840 _x000d__x000a_\par }\pard\plain \ltrpar\ql \li0\ri0\widctlpar\wrapdefault\aspalpha\aspnum\faauto\adjustright\rin0\lin0\itap0\pararsid1140430 \rtlch\fcs1 \af0\afs20\alang1025 \ltrch\fcs0 \fs24\lang2057\langfe2057\cgrid\langnp2057\langfenp2057 {\rtlch\fcs1 \af0 \ltrch\fcs0 _x000d__x000a_\cs15\v\f1\fs20\cf9\lang1024\langfe1024\noproof\langnp1043\insrsid1140430\charrsid14424489 &lt;AuNomDe&gt;&lt;OptDel&gt;}{\rtlch\fcs1 \af0 \ltrch\fcs0 \lang1043\langfe2057\langnp1043\insrsid1140430\charrsid14424489 [ZONBEHALF]}{\rtlch\fcs1 \af0 \ltrch\fcs0 _x000d__x000a_\cs15\v\f1\fs20\cf9\lang1024\langfe1024\noproof\langnp1043\insrsid1140430\charrsid14424489 &lt;/OptDel&gt;&lt;/AuNomDe&gt;}{\rtlch\fcs1 \af0 \ltrch\fcs0 \lang1043\langfe2057\langnp1043\insrsid1140430\charrsid14424489 _x000d__x000a_\par }{\rtlch\fcs1 \af0 \ltrch\fcs0 \insrsid1140430\charrsid14699840 &lt;&lt;&lt;}{\rtlch\fcs1 \af0 \ltrch\fcs0 \cs15\v\f1\fs20\cf9\lang1024\langfe1024\noproof\insrsid1140430\charrsid14699840 &lt;/RepeatBlock-By&gt;}{\rtlch\fcs1 \af0 \ltrch\fcs0 _x000d__x000a_\insrsid1140430\charrsid14699840 _x000d__x000a_\par }\pard\plain \ltrpar\s18\ql \li0\ri0\nowidctlpar\wrapdefault\aspalpha\aspnum\faauto\adjustright\rin0\lin0\itap0\pararsid1140430 \rtlch\fcs1 \af0\afs20\alang1025 \ltrch\fcs0 \b\fs24\lang2057\langfe2057\cgrid\langnp2057\langfenp2057 {\rtlch\fcs1 \af0 _x000d__x000a_\ltrch\fcs0 \cs15\b0\v\f1\fs20\cf9\lang1024\langfe1024\noproof\insrsid1140430\charrsid4737239 &lt;DocAmend&gt;}{\rtlch\fcs1 \af0 \ltrch\fcs0 \insrsid1140430\charrsid1799708 [Z}{\rtlch\fcs1 \af0 \ltrch\fcs0 \insrsid1140430 AMDOC}{\rtlch\fcs1 \af0 \ltrch\fcs0 _x000d__x000a_\insrsid1140430\charrsid1799708 ]}{\rtlch\fcs1 \af0 \ltrch\fcs0 \cs15\b0\v\f1\fs20\cf9\lang1024\langfe1024\noproof\insrsid1140430\charrsid4737239 &lt;/DocAmend&gt;}{\rtlch\fcs1 \af0 \ltrch\fcs0 \insrsid1140430\charrsid1799708 _x000d__x000a_\par }{\rtlch\fcs1 \af0 \ltrch\fcs0 \cs15\b0\v\f1\fs20\cf9\lang1024\langfe1024\noproof\insrsid1140430\charrsid1799708 &lt;Article&gt;}{\rtlch\fcs1 \af0 \ltrch\fcs0 \insrsid1140430\charrsid1799708 [ZAMPART]}{\rtlch\fcs1 \af0 \ltrch\fcs0 _x000d__x000a_\cs15\b0\v\f1\fs20\cf9\lang1024\langfe1024\noproof\insrsid1140430\charrsid1799708 &lt;/Article&gt;}{\rtlch\fcs1 \af0 \ltrch\fcs0 \insrsid1140430\charrsid1799708 _x000d__x000a_\par \ltrrow}\trowd \irow0\irowband0\ltrrow\ts11\trqc\trgaph340\trleft-340\trftsWidth3\trwWidth9752\trftsWidthB3\trpaddl340\trpaddr340\trpaddfl3\trpaddft3\trpaddfb3\trpaddfr3\tblrsid7949889\tblind0\tblindtype3 \clvertalt\clbrdrt\brdrtbl \clbrdrl\brdrtbl _x000d__x000a_\clbrdrb\brdrtbl \clbrdrr\brdrtbl \cltxlrtb\clftsWidth3\clwWidth9752\clshdrawnil \cellx9412\pard\plain \ltrpar\ql \li0\ri0\keepn\widctlpar\intbl\wrapdefault\aspalpha\aspnum\faauto\adjustright\rin0\lin0\pararsid13053803 \rtlch\fcs1 \af0\afs20\alang1025 _x000d__x000a_\ltrch\fcs0 \fs24\lang2057\langfe2057\cgrid\langnp2057\langfenp2057 {\rtlch\fcs1 \af0 \ltrch\fcs0 \insrsid1140430\charrsid1799708 \cell }\pard\plain \ltrpar\ql \li0\ri0\widctlpar\intbl\wrapdefault\aspalpha\aspnum\faauto\adjustright\rin0\lin0 \rtlch\fcs1 _x000d__x000a_\af0\afs20\alang1025 \ltrch\fcs0 \fs24\lang2057\langfe2057\cgrid\langnp2057\langfenp2057 {\rtlch\fcs1 \af0 \ltrch\fcs0 \insrsid1140430\charrsid1799708 \trowd \irow0\irowband0\ltrrow_x000d__x000a_\ts11\trqc\trgaph340\trleft-340\trftsWidth3\trwWidth9752\trftsWidthB3\trpaddl340\trpaddr340\trpaddfl3\trpaddft3\trpaddfb3\trpaddfr3\tblrsid7949889\tblind0\tblindtype3 \clvertalt\clbrdrt\brdrtbl \clbrdrl\brdrtbl \clbrdrb\brdrtbl \clbrdrr\brdrtbl _x000d__x000a_\cltxlrtb\clftsWidth3\clwWidth9752\clshdrawnil \cellx9412\row \ltrrow}\trowd \irow1\irowband1\ltrrow_x000d__x000a_\ts11\trqc\trgaph340\trleft-340\trftsWidth3\trwWidth9752\trftsWidthB3\trpaddl340\trpaddr340\trpaddfl3\trpaddft3\trpaddfb3\trpaddfr3\tblrsid7949889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pard\plain \ltrpar_x000d__x000a_\s19\qc \li0\ri0\sa240\keepn\nowidctlpar\intbl\wrapdefault\aspalpha\aspnum\faauto\adjustright\rin0\lin0\pararsid13053803 \rtlch\fcs1 \af0\afs20\alang1025 \ltrch\fcs0 \i\fs24\lang2057\langfe2057\cgrid\langnp2057\langfenp2057 {\rtlch\fcs1 \af0 \ltrch\fcs0 _x000d__x000a_\insrsid1140430\charrsid1799708 [ZLEFT]\cell [ZRIGHT]\cell }\pard\plain \ltrpar\ql \li0\ri0\widctlpar\intbl\wrapdefault\aspalpha\aspnum\faauto\adjustright\rin0\lin0 \rtlch\fcs1 \af0\afs20\alang1025 \ltrch\fcs0 _x000d__x000a_\fs24\lang2057\langfe2057\cgrid\langnp2057\langfenp2057 {\rtlch\fcs1 \af0 \ltrch\fcs0 \insrsid1140430\charrsid1799708 \trowd \irow1\irowband1\ltrrow_x000d__x000a_\ts11\trqc\trgaph340\trleft-340\trftsWidth3\trwWidth9752\trftsWidthB3\trpaddl340\trpaddr340\trpaddfl3\trpaddft3\trpaddfb3\trpaddfr3\tblrsid7949889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7\ql \li0\ri0\sa120\nowidctlpar\intbl\wrapdefault\aspalpha\aspnum\faauto\adjustright\rin0\lin0\pararsid7949889 \rtlch\fcs1 \af0\afs20\alang1025 \ltrch\fcs0 \fs24\lang2057\langfe2057\cgrid\langnp2057\langfenp2057 {\rtlch\fcs1 \af0 \ltrch\fcs0 _x000d__x000a_\insrsid1140430\charrsid1799708 [ZTEXTL]\cell [ZTEXTR]}{\rtlch\fcs1 \af0\afs24 \ltrch\fcs0 \insrsid1140430\charrsid1799708 \cell }\pard\plain \ltrpar\ql \li0\ri0\widctlpar\intbl\wrapdefault\aspalpha\aspnum\faauto\adjustright\rin0\lin0 \rtlch\fcs1 _x000d__x000a_\af0\afs20\alang1025 \ltrch\fcs0 \fs24\lang2057\langfe2057\cgrid\langnp2057\langfenp2057 {\rtlch\fcs1 \af0 \ltrch\fcs0 \insrsid1140430\charrsid1799708 \trowd \irow2\irowband2\lastrow \ltrrow_x000d__x000a_\ts11\trqc\trgaph340\trleft-340\trftsWidth3\trwWidth9752\trftsWidthB3\trpaddl340\trpaddr340\trpaddfl3\trpaddft3\trpaddfb3\trpaddfr3\tblrsid7949889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16\qr \li0\ri0\sb240\sa240\nowidctlpar\wrapdefault\aspalpha\aspnum\faauto\adjustright\rin0\lin0\itap0\pararsid1140430 \rtlch\fcs1 \af0\afs20\alang1025 \ltrch\fcs0 \fs24\lang2057\langfe2057\cgrid\langnp2057\langfenp2057 {\rtlch\fcs1 \af0 \ltrch\fcs0 _x000d__x000a_\insrsid1140430\charrsid1799708 Or. }{\rtlch\fcs1 \af0 \ltrch\fcs0 \cs15\v\f1\fs20\cf9\lang1024\langfe1024\noproof\insrsid1140430\charrsid1799708 &lt;Original&gt;}{\rtlch\fcs1 \af0 \ltrch\fcs0 \insrsid1140430\charrsid1799708 [ZORLANG]}{\rtlch\fcs1 \af0 _x000d__x000a_\ltrch\fcs0 \cs15\v\f1\fs20\cf9\lang1024\langfe1024\noproof\insrsid1140430\charrsid1799708 &lt;/Original&gt;}{\rtlch\fcs1 \af0 \ltrch\fcs0 \insrsid1140430\charrsid1799708 _x000d__x000a_\par }\pard\plain \ltrpar\ql \li0\ri0\widctlpar\wrapdefault\aspalpha\aspnum\faauto\adjustright\rin0\lin0\itap0\pararsid1140430 \rtlch\fcs1 \af0\afs20\alang1025 \ltrch\fcs0 \fs24\lang2057\langfe2057\cgrid\langnp2057\langfenp2057 {\rtlch\fcs1 \af0 \ltrch\fcs0 _x000d__x000a_\cs15\v\f1\fs20\cf9\lang1024\langfe1024\noproof\insrsid1140430\charrsid1799708 &lt;/Amend&gt;}{\rtlch\fcs1 \af0 \ltrch\fcs0 \insrsid24658\charrsid16324206 {\*\bkmkend restart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</w:docVar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r-HR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</w:pPr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LineBottom">
    <w:name w:val="LineBottom"/>
    <w:basedOn w:val="Normal"/>
    <w:next w:val="Normal"/>
    <w:pPr>
      <w:widowControl/>
      <w:pBdr>
        <w:bottom w:val="single" w:sz="4" w:space="1" w:color="000000"/>
      </w:pBdr>
      <w:spacing w:after="240"/>
      <w:jc w:val="center"/>
    </w:pPr>
    <w:rPr>
      <w:rFonts w:ascii="Arial" w:eastAsia="Arial" w:hAnsi="Arial" w:cs="Arial"/>
      <w:sz w:val="16"/>
    </w:rPr>
  </w:style>
  <w:style w:type="paragraph" w:customStyle="1" w:styleId="EPTerm">
    <w:name w:val="EPTerm"/>
    <w:basedOn w:val="Normal"/>
    <w:next w:val="Normal"/>
    <w:pPr>
      <w:widowControl/>
      <w:spacing w:after="80"/>
    </w:pPr>
    <w:rPr>
      <w:rFonts w:ascii="Arial" w:eastAsia="Arial" w:hAnsi="Arial" w:cs="Arial"/>
      <w:sz w:val="20"/>
    </w:rPr>
  </w:style>
  <w:style w:type="paragraph" w:customStyle="1" w:styleId="EPLogo">
    <w:name w:val="EPLogo"/>
    <w:basedOn w:val="Normal"/>
    <w:pPr>
      <w:widowControl/>
      <w:jc w:val="right"/>
    </w:pPr>
  </w:style>
  <w:style w:type="paragraph" w:customStyle="1" w:styleId="EPName">
    <w:name w:val="EPName"/>
    <w:basedOn w:val="Normal"/>
    <w:pPr>
      <w:widowControl/>
      <w:spacing w:before="80" w:after="80"/>
    </w:pPr>
    <w:rPr>
      <w:rFonts w:ascii="Arial Narrow" w:eastAsia="Arial" w:hAnsi="Arial Narrow" w:cs="Arial"/>
      <w:b/>
      <w:sz w:val="32"/>
    </w:rPr>
  </w:style>
  <w:style w:type="paragraph" w:customStyle="1" w:styleId="CoverNormal24a">
    <w:name w:val="CoverNormal24a"/>
    <w:basedOn w:val="Normal"/>
    <w:pPr>
      <w:widowControl/>
      <w:spacing w:after="480"/>
      <w:ind w:left="1416"/>
    </w:pPr>
  </w:style>
  <w:style w:type="paragraph" w:customStyle="1" w:styleId="CoverNormal">
    <w:name w:val="CoverNormal"/>
    <w:basedOn w:val="Normal"/>
    <w:pPr>
      <w:widowControl/>
      <w:ind w:left="1418"/>
    </w:pPr>
  </w:style>
  <w:style w:type="paragraph" w:customStyle="1" w:styleId="CoverReference">
    <w:name w:val="CoverReference"/>
    <w:basedOn w:val="Normal"/>
    <w:pPr>
      <w:widowControl/>
      <w:spacing w:before="1080"/>
      <w:jc w:val="right"/>
    </w:pPr>
    <w:rPr>
      <w:rFonts w:ascii="Arial" w:eastAsia="Arial" w:hAnsi="Arial" w:cs="Arial"/>
      <w:b/>
    </w:rPr>
  </w:style>
  <w:style w:type="paragraph" w:customStyle="1" w:styleId="CoverDocType">
    <w:name w:val="CoverDocType"/>
    <w:basedOn w:val="Normal"/>
    <w:pPr>
      <w:widowControl/>
      <w:ind w:left="1418"/>
    </w:pPr>
    <w:rPr>
      <w:rFonts w:ascii="Arial" w:hAnsi="Arial"/>
      <w:b/>
      <w:sz w:val="48"/>
    </w:rPr>
  </w:style>
  <w:style w:type="paragraph" w:customStyle="1" w:styleId="CoverDate">
    <w:name w:val="CoverDate"/>
    <w:basedOn w:val="Normal"/>
    <w:pPr>
      <w:widowControl/>
      <w:spacing w:before="240" w:after="1200"/>
    </w:pPr>
  </w:style>
  <w:style w:type="paragraph" w:customStyle="1" w:styleId="CoverDocType24a">
    <w:name w:val="CoverDocType24a"/>
    <w:basedOn w:val="Normal"/>
    <w:pPr>
      <w:widowControl/>
      <w:spacing w:after="480"/>
      <w:ind w:left="1416"/>
    </w:pPr>
    <w:rPr>
      <w:rFonts w:ascii="Arial" w:eastAsia="Arial" w:hAnsi="Arial" w:cs="Arial"/>
      <w:b/>
      <w:sz w:val="48"/>
    </w:rPr>
  </w:style>
  <w:style w:type="paragraph" w:customStyle="1" w:styleId="CoverBold">
    <w:name w:val="CoverBold"/>
    <w:basedOn w:val="Normal"/>
    <w:pPr>
      <w:widowControl/>
      <w:ind w:left="1416"/>
    </w:pPr>
    <w:rPr>
      <w:b/>
    </w:rPr>
  </w:style>
  <w:style w:type="paragraph" w:customStyle="1" w:styleId="EPBody">
    <w:name w:val="EPBody"/>
    <w:basedOn w:val="Normal"/>
    <w:pPr>
      <w:widowControl/>
      <w:jc w:val="center"/>
    </w:pPr>
    <w:rPr>
      <w:rFonts w:ascii="Arial" w:eastAsia="Arial" w:hAnsi="Arial" w:cs="Arial"/>
      <w:i/>
      <w:sz w:val="22"/>
    </w:rPr>
  </w:style>
  <w:style w:type="paragraph" w:customStyle="1" w:styleId="LineTop">
    <w:name w:val="LineTop"/>
    <w:basedOn w:val="Normal"/>
    <w:next w:val="Normal"/>
    <w:pPr>
      <w:widowControl/>
      <w:pBdr>
        <w:top w:val="single" w:sz="4" w:space="1" w:color="000000"/>
      </w:pBdr>
      <w:jc w:val="center"/>
    </w:pPr>
    <w:rPr>
      <w:rFonts w:ascii="Arial" w:eastAsia="Arial" w:hAnsi="Arial" w:cs="Arial"/>
      <w:sz w:val="16"/>
    </w:rPr>
  </w:style>
  <w:style w:type="character" w:customStyle="1" w:styleId="HideTWBExt">
    <w:name w:val="HideTWBExt"/>
    <w:rPr>
      <w:rFonts w:ascii="Arial" w:hAnsi="Arial"/>
      <w:vanish/>
      <w:color w:val="000080"/>
      <w:sz w:val="20"/>
    </w:rPr>
  </w:style>
  <w:style w:type="paragraph" w:customStyle="1" w:styleId="EPFooter2">
    <w:name w:val="EPFooter2"/>
    <w:basedOn w:val="Normal"/>
    <w:next w:val="Normal"/>
    <w:pPr>
      <w:widowControl/>
      <w:tabs>
        <w:tab w:val="center" w:pos="4534"/>
        <w:tab w:val="right" w:pos="9920"/>
      </w:tabs>
      <w:ind w:left="-840" w:right="-840"/>
    </w:pPr>
    <w:rPr>
      <w:rFonts w:ascii="Arial" w:eastAsia="Arial" w:hAnsi="Arial" w:cs="Arial"/>
      <w:b/>
      <w:sz w:val="48"/>
    </w:rPr>
  </w:style>
  <w:style w:type="character" w:customStyle="1" w:styleId="HideTWBInt">
    <w:name w:val="HideTWBInt"/>
    <w:rPr>
      <w:rFonts w:ascii="Arial" w:eastAsia="Arial" w:hAnsi="Arial" w:cs="Arial"/>
      <w:vanish/>
      <w:color w:val="808080"/>
      <w:sz w:val="20"/>
    </w:rPr>
  </w:style>
  <w:style w:type="paragraph" w:customStyle="1" w:styleId="NormalBold">
    <w:name w:val="NormalBold"/>
    <w:basedOn w:val="Normal"/>
    <w:pPr>
      <w:widowControl/>
    </w:pPr>
    <w:rPr>
      <w:b/>
    </w:rPr>
  </w:style>
  <w:style w:type="paragraph" w:customStyle="1" w:styleId="AmOrLang">
    <w:name w:val="AmOrLang"/>
    <w:basedOn w:val="Normal"/>
    <w:pPr>
      <w:widowControl/>
      <w:spacing w:before="240" w:after="240"/>
      <w:jc w:val="right"/>
    </w:pPr>
  </w:style>
  <w:style w:type="paragraph" w:customStyle="1" w:styleId="Normal6a">
    <w:name w:val="Normal6a"/>
    <w:basedOn w:val="Normal"/>
    <w:pPr>
      <w:widowControl/>
      <w:spacing w:after="120"/>
    </w:pPr>
  </w:style>
  <w:style w:type="paragraph" w:customStyle="1" w:styleId="AmColumnHeading">
    <w:name w:val="AmColumnHeading"/>
    <w:basedOn w:val="Normal"/>
    <w:pPr>
      <w:widowControl/>
      <w:spacing w:after="240"/>
      <w:jc w:val="center"/>
    </w:pPr>
    <w:rPr>
      <w:i/>
    </w:rPr>
  </w:style>
  <w:style w:type="paragraph" w:customStyle="1" w:styleId="AmNumberTabs">
    <w:name w:val="AmNumberTabs"/>
    <w:basedOn w:val="Normal"/>
    <w:pPr>
      <w:widowControl/>
      <w:tabs>
        <w:tab w:val="left" w:pos="878"/>
        <w:tab w:val="left" w:pos="936"/>
        <w:tab w:val="left" w:pos="1020"/>
        <w:tab w:val="left" w:pos="1076"/>
        <w:tab w:val="left" w:pos="1134"/>
        <w:tab w:val="left" w:pos="1190"/>
        <w:tab w:val="left" w:pos="1246"/>
        <w:tab w:val="left" w:pos="1304"/>
        <w:tab w:val="left" w:pos="1360"/>
        <w:tab w:val="left" w:pos="1418"/>
        <w:tab w:val="left" w:pos="1474"/>
        <w:tab w:val="left" w:pos="1530"/>
        <w:tab w:val="left" w:pos="1588"/>
        <w:tab w:val="left" w:pos="1644"/>
        <w:tab w:val="left" w:pos="1700"/>
        <w:tab w:val="left" w:pos="1758"/>
        <w:tab w:val="left" w:pos="1814"/>
        <w:tab w:val="left" w:pos="1870"/>
        <w:tab w:val="left" w:pos="2070"/>
        <w:tab w:val="left" w:pos="2126"/>
        <w:tab w:val="left" w:pos="3374"/>
        <w:tab w:val="left" w:pos="3430"/>
      </w:tabs>
      <w:spacing w:before="240"/>
    </w:pPr>
    <w:rPr>
      <w:b/>
    </w:rPr>
  </w:style>
  <w:style w:type="paragraph" w:customStyle="1" w:styleId="EPFooter">
    <w:name w:val="EPFooter"/>
    <w:basedOn w:val="Normal"/>
    <w:pPr>
      <w:widowControl/>
      <w:tabs>
        <w:tab w:val="center" w:pos="4534"/>
        <w:tab w:val="right" w:pos="9070"/>
      </w:tabs>
      <w:spacing w:before="240" w:after="240"/>
    </w:pPr>
    <w:rPr>
      <w:sz w:val="22"/>
    </w:rPr>
  </w:style>
  <w:style w:type="paragraph" w:customStyle="1" w:styleId="AmCrossRef">
    <w:name w:val="AmCrossRef"/>
    <w:basedOn w:val="Normal"/>
    <w:pPr>
      <w:widowControl/>
      <w:spacing w:before="240" w:after="240"/>
      <w:jc w:val="center"/>
    </w:pPr>
    <w:rPr>
      <w:i/>
    </w:rPr>
  </w:style>
  <w:style w:type="character" w:customStyle="1" w:styleId="EPFooter2Motto">
    <w:name w:val="EPFooter2Motto"/>
    <w:rPr>
      <w:rFonts w:ascii="Arial" w:hAnsi="Arial"/>
      <w:b/>
      <w:i/>
      <w:color w:val="C0C0C0"/>
      <w:sz w:val="22"/>
    </w:rPr>
  </w:style>
  <w:style w:type="paragraph" w:customStyle="1" w:styleId="EPFooterLandscape">
    <w:name w:val="EPFooterLandscape"/>
    <w:pPr>
      <w:widowControl/>
      <w:tabs>
        <w:tab w:val="center" w:pos="6800"/>
        <w:tab w:val="right" w:pos="15020"/>
      </w:tabs>
    </w:pPr>
    <w:rPr>
      <w:sz w:val="22"/>
    </w:rPr>
  </w:style>
  <w:style w:type="paragraph" w:customStyle="1" w:styleId="Normal0">
    <w:name w:val="Normal0"/>
    <w:basedOn w:val="Normal"/>
    <w:pPr>
      <w:widowControl/>
    </w:pPr>
    <w:rPr>
      <w:sz w:val="0"/>
    </w:rPr>
  </w:style>
  <w:style w:type="paragraph" w:customStyle="1" w:styleId="EPFooter2Landscape">
    <w:name w:val="EPFooter2Landscape"/>
    <w:pPr>
      <w:widowControl/>
      <w:tabs>
        <w:tab w:val="center" w:pos="4520"/>
        <w:tab w:val="center" w:pos="9920"/>
        <w:tab w:val="right" w:pos="15020"/>
      </w:tabs>
    </w:pPr>
    <w:rPr>
      <w:rFonts w:ascii="Arial" w:eastAsia="Arial" w:hAnsi="Arial" w:cs="Arial"/>
      <w:b/>
      <w:sz w:val="48"/>
    </w:rPr>
  </w:style>
  <w:style w:type="character" w:customStyle="1" w:styleId="EPFooter2Middle">
    <w:name w:val="EPFooter2Middle"/>
    <w:rPr>
      <w:rFonts w:ascii="Arial" w:hAnsi="Arial"/>
      <w:b w:val="0"/>
      <w:i/>
      <w:color w:val="AEAAAA"/>
      <w:sz w:val="22"/>
      <w:shd w:val="pct50" w:color="auto" w:fill="auto" w:themeColor="bg2" w:themeFill="bg2"/>
    </w:rPr>
  </w:style>
  <w:style w:type="paragraph" w:customStyle="1" w:styleId="PMissingStyle">
    <w:name w:val="P_MissingStyle"/>
    <w:basedOn w:val="Normal"/>
    <w:pPr>
      <w:widowControl/>
    </w:pPr>
    <w:rPr>
      <w:color w:val="FFFFFF"/>
      <w:shd w:val="clear" w:color="000000" w:fill="000000"/>
    </w:rPr>
  </w:style>
  <w:style w:type="character" w:customStyle="1" w:styleId="CMissingStyle">
    <w:name w:val="C_MissingStyle"/>
    <w:rPr>
      <w:color w:val="FFFFFF"/>
      <w:sz w:val="22"/>
      <w:shd w:val="clear" w:color="000000" w:fill="000000"/>
    </w:rPr>
  </w:style>
  <w:style w:type="paragraph" w:customStyle="1" w:styleId="Normal12a">
    <w:name w:val="Normal12a"/>
    <w:basedOn w:val="Normal"/>
    <w:pPr>
      <w:widowControl/>
      <w:spacing w:after="240"/>
    </w:pPr>
  </w:style>
  <w:style w:type="paragraph" w:customStyle="1" w:styleId="NormalBold12b">
    <w:name w:val="NormalBold12b"/>
    <w:basedOn w:val="Normal"/>
    <w:pPr>
      <w:widowControl/>
      <w:spacing w:before="240"/>
    </w:pPr>
    <w:rPr>
      <w:b/>
    </w:rPr>
  </w:style>
  <w:style w:type="paragraph" w:customStyle="1" w:styleId="AmJustTitle">
    <w:name w:val="AmJustTitle"/>
    <w:basedOn w:val="Normal"/>
    <w:next w:val="AmJustText"/>
    <w:pPr>
      <w:keepNext/>
      <w:widowControl/>
      <w:spacing w:before="240" w:after="240"/>
      <w:jc w:val="center"/>
    </w:pPr>
    <w:rPr>
      <w:i/>
    </w:rPr>
  </w:style>
  <w:style w:type="paragraph" w:customStyle="1" w:styleId="AmJustText">
    <w:name w:val="AmJustText"/>
    <w:basedOn w:val="Normal"/>
    <w:pPr>
      <w:widowControl/>
      <w:spacing w:after="240"/>
    </w:pPr>
    <w:rPr>
      <w:i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43</Pages>
  <Words>6541</Words>
  <Characters>41183</Characters>
  <Application>Microsoft Office Word</Application>
  <DocSecurity>0</DocSecurity>
  <Lines>1</Lines>
  <Paragraphs>732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AM_Com_NonLegReport</dc:title>
  <dc:creator>European Parliament</dc:creator>
  <cp:lastModifiedBy>European Parliament</cp:lastModifiedBy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HR</vt:lpwstr>
  </property>
  <property fmtid="{D5CDD505-2E9C-101B-9397-08002B2CF9AE}" pid="3" name="&lt;FdR&gt;">
    <vt:lpwstr>1342335</vt:lpwstr>
  </property>
  <property fmtid="{D5CDD505-2E9C-101B-9397-08002B2CF9AE}" pid="4" name="&lt;Model&gt;">
    <vt:lpwstr>AM_Com_NonLegReport</vt:lpwstr>
  </property>
  <property fmtid="{D5CDD505-2E9C-101B-9397-08002B2CF9AE}" pid="5" name="&lt;Type&gt;">
    <vt:lpwstr>AM</vt:lpwstr>
  </property>
  <property fmtid="{D5CDD505-2E9C-101B-9397-08002B2CF9AE}" pid="6" name="dmxml.render.id">
    <vt:lpwstr>507480</vt:lpwstr>
  </property>
  <property fmtid="{D5CDD505-2E9C-101B-9397-08002B2CF9AE}" pid="7" name="dmxml.render.traceId">
    <vt:lpwstr>6a15b71895995fbea503e0376da13c51</vt:lpwstr>
  </property>
  <property fmtid="{D5CDD505-2E9C-101B-9397-08002B2CF9AE}" pid="8" name="FooterPath">
    <vt:lpwstr>AM\1342335HR.docx</vt:lpwstr>
  </property>
  <property fmtid="{D5CDD505-2E9C-101B-9397-08002B2CF9AE}" pid="9" name="PE Number">
    <vt:lpwstr>787.791</vt:lpwstr>
  </property>
  <property fmtid="{D5CDD505-2E9C-101B-9397-08002B2CF9AE}" pid="10" name="UID">
    <vt:lpwstr>eu.europa.europarl-DIN1-2026-0000110653_01.00-hr-01.00_text-xml</vt:lpwstr>
  </property>
</Properties>
</file>