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Európai Parlament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0.11pt">
                  <v:imagedata r:id="rId4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{EMPL}</w:t>
      </w:r>
      <w:r>
        <w:t>Foglalkoztatási és Szociális Bizottság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2025/2184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(INI)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{23/04/2026}</w:t>
      </w:r>
      <w:r>
        <w:t>23.4.2026</w:t>
      </w:r>
      <w:r>
        <w:rPr>
          <w:rStyle w:val="HideTWBExt"/>
        </w:rPr>
        <w:t>&lt;/Date&gt;</w:t>
      </w:r>
    </w:p>
    <w:p>
      <w:pPr>
        <w:pStyle w:val="CoverDocType"/>
      </w:pPr>
      <w:r>
        <w:rPr>
          <w:rStyle w:val="HideTWBExt"/>
        </w:rPr>
        <w:t>&lt;TypeAM&gt;</w:t>
      </w:r>
      <w:r>
        <w:t>MÓDOSÍTÁS:</w:t>
      </w:r>
      <w:r>
        <w:rPr>
          <w:rStyle w:val="HideTWBExt"/>
        </w:rPr>
        <w:t>&lt;/TypeAM&gt;</w:t>
      </w:r>
    </w:p>
    <w:p>
      <w:pPr>
        <w:pStyle w:val="CoverDocType24a"/>
      </w:pPr>
      <w:r>
        <w:rPr>
          <w:rStyle w:val="HideTWBExt"/>
        </w:rPr>
        <w:t>&lt;RangeAM&gt;</w:t>
      </w:r>
      <w:r>
        <w:t>1</w:t>
      </w:r>
      <w:r>
        <w:t xml:space="preserve"> - </w:t>
      </w:r>
      <w:r>
        <w:t>80</w:t>
      </w:r>
      <w:r>
        <w:rPr>
          <w:rStyle w:val="HideTWBExt"/>
        </w:rPr>
        <w:t>&lt;/RangeAM&gt;</w:t>
      </w:r>
    </w:p>
    <w:p>
      <w:pPr>
        <w:pStyle w:val="CoverBold"/>
      </w:pPr>
      <w:r>
        <w:rPr>
          <w:rStyle w:val="HideTWBExt"/>
        </w:rPr>
        <w:t>&lt;TitreType&gt;</w:t>
      </w:r>
      <w:r>
        <w:t>Jelentéstervezet</w:t>
      </w:r>
      <w:r>
        <w:rPr>
          <w:rStyle w:val="HideTWBExt"/>
        </w:rPr>
        <w:t>&lt;/TitreType&gt;</w:t>
      </w:r>
    </w:p>
    <w:p>
      <w:pPr>
        <w:pStyle w:val="CoverBold"/>
      </w:pPr>
      <w:r>
        <w:rPr>
          <w:rStyle w:val="HideTWBExt"/>
        </w:rPr>
        <w:t>&lt;Rapporteur&gt;</w:t>
      </w:r>
      <w:r>
        <w:t>Hristo Petrov</w:t>
      </w:r>
      <w:r>
        <w:rPr>
          <w:rStyle w:val="HideTWBExt"/>
        </w:rPr>
        <w:t>&lt;/Rapporteur&gt;</w:t>
      </w:r>
    </w:p>
    <w:p>
      <w:pPr>
        <w:pStyle w:val="CoverNormal24a"/>
      </w:pPr>
      <w:r>
        <w:rPr>
          <w:rStyle w:val="HideTWBExt"/>
        </w:rPr>
        <w:t>&lt;DocRefPE&gt;</w:t>
      </w:r>
      <w:r>
        <w:t>(PE785.214v01-00)</w:t>
      </w:r>
      <w:r>
        <w:rPr>
          <w:rStyle w:val="HideTWBExt"/>
        </w:rPr>
        <w:t>&lt;/DocRefPE&gt;</w:t>
      </w:r>
    </w:p>
    <w:p>
      <w:pPr>
        <w:pStyle w:val="CoverNormal"/>
      </w:pPr>
      <w:r>
        <w:rPr>
          <w:rStyle w:val="HideTWBExt"/>
        </w:rPr>
        <w:t>&lt;Titre&gt;</w:t>
      </w:r>
      <w:r>
        <w:t>Az „Út a munka világába – Az ifjúsági garancia megerősítése és az ifjúsági garancia létrehozásáról szóló, 2013. április 22-i tanácsi ajánlás felváltása” című, 2020. október 30-i tanácsi ajánlás végrehajtása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(2025/2184(INI))</w:t>
      </w:r>
      <w:r>
        <w:rPr>
          <w:rStyle w:val="HideTWBExt"/>
        </w:rPr>
        <w:t>&lt;/DocRef&gt;</w:t>
      </w:r>
    </w:p>
    <w:p>
      <w:r>
        <w:br w:type="page"/>
      </w:r>
      <w:r>
        <w:t>AM_Com_NonLegReport</w:t>
      </w:r>
    </w:p>
    <w:p>
      <w:pPr>
        <w:pStyle w:val="AmNumberTabs"/>
      </w:pPr>
      <w:r>
        <w:br w:type="page"/>
      </w:r>
      <w:r>
        <w:rPr>
          <w:rStyle w:val="HideTWBExt"/>
        </w:rPr>
        <w:t>&lt;RepeatBlock-Amend&gt;</w:t>
      </w: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Pascal Arimont, Romana Tomc, David Casa, Isabelle Le Callennec, Liesbet Sommen,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2 a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az EUMSZ 151. és 153. cikkében meghatározott szociálpolitikai célkitűzésekre, a 883/2004/EK rendelet szociális ellátásokról szóló 3. cikkével összefüggésben,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a Verts/ALE képviselőcsoport nevében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4 bevezető hivatkozás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—</w:t>
            </w:r>
            <w:r>
              <w:tab/>
            </w:r>
            <w:r>
              <w:t>tekintettel a szociális jogok európai pillérére, amelyet a Tanács, a Parlament és a Bizottság 2017. november 17-én hirdetett ki és írt alá, és különösen annak 1., 3. és 4. elvére,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t xml:space="preserve">tekintettel a szociális jogok európai pillérére, amelyet a Tanács, a Parlament és a Bizottság 2017. november 17-én hirdetett ki és írt alá, és különösen annak 1., 3. és 4. elvére, </w:t>
            </w:r>
            <w:r>
              <w:rPr>
                <w:b/>
                <w:i/>
              </w:rPr>
              <w:t>továbbá a NEET-fiatalok arányának 2030-ig 9%-ra történő csökkentésére irányuló célkitűzésére,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4 bevezető hivatkozás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—</w:t>
            </w:r>
            <w:r>
              <w:tab/>
            </w:r>
            <w:r>
              <w:t>tekintettel a szociális jogok európai pillérére, amelyet a Tanács, a Parlament és a Bizottság 2017. november 17-én hirdetett ki és írt alá, és különösen annak 1., 3. és 4. elvére,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t xml:space="preserve">tekintettel a szociális jogok európai pillérére, amelyet a Tanács, a Parlament és a Bizottság 2017. november 17-én hirdetett ki és írt alá, és különösen annak 1., 3. és 4. elvére, </w:t>
            </w:r>
            <w:r>
              <w:rPr>
                <w:b/>
                <w:i/>
              </w:rPr>
              <w:t>továbbá a NEET-fiatalok arányának 2030-ig 9%-ra történő csökkentésére irányuló célkitűzésére,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5 a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 felülvizsgált Európai Szociális Charta 7. és 17. cikkére,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a Verts/ALE képviselőcsoport nevében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6 a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 Tanács következtetéseire a fiataloknak a felnőttkorba, valamint az aktív polgári szerepvállalás és a munka világába való sikeres átlépését elősegítő alapvető életkészségek fiatalok körében való fejlesztésének támogatásában az ifjúsági munka által betöltött szerepről (2017/C 189/06)</w:t>
            </w:r>
            <w:r>
              <w:rPr>
                <w:b/>
                <w:i/>
                <w:vertAlign w:val="superscript"/>
              </w:rPr>
              <w:t>2a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2a</w:t>
            </w:r>
            <w:r>
              <w:t xml:space="preserve"> </w:t>
            </w:r>
            <w:r>
              <w:rPr>
                <w:b/>
                <w:i/>
              </w:rPr>
              <w:t>HL C 189., 2017.6.15., 30-34. o.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a Verts/ALE képviselőcsoport nevében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6 b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az EU ifjúsági stratégiájának végrehajtására (2019–2021) (2021/C 504 I/02)</w:t>
            </w:r>
            <w:r>
              <w:rPr>
                <w:b/>
                <w:i/>
                <w:vertAlign w:val="superscript"/>
              </w:rPr>
              <w:t>2b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2b</w:t>
            </w:r>
            <w:r>
              <w:t xml:space="preserve"> </w:t>
            </w:r>
            <w:r>
              <w:rPr>
                <w:b/>
                <w:i/>
              </w:rPr>
              <w:t>HL C 504I., 2021.12.14., 10-11. o.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a Verts/ALE képviselőcsoport nevében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6 c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az Európai Bizottság „Az egyenlőségközpontú Unió:</w:t>
            </w:r>
            <w:r>
              <w:t xml:space="preserve"> </w:t>
            </w:r>
            <w:r>
              <w:rPr>
                <w:b/>
                <w:i/>
              </w:rPr>
              <w:t>az EU rasszizmus elleni stratégiája (2026–2030)" című közleményére (COM(2026)0012)</w:t>
            </w:r>
            <w:r>
              <w:rPr>
                <w:b/>
                <w:i/>
                <w:vertAlign w:val="superscript"/>
              </w:rPr>
              <w:t>2c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2c</w:t>
            </w:r>
            <w:r>
              <w:t xml:space="preserve"> </w:t>
            </w:r>
            <w:r>
              <w:rPr>
                <w:b/>
                <w:i/>
              </w:rPr>
              <w:t>COM(2026)0012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a Verts/ALE képviselőcsoport nevében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6 d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az Európai Unió Alapjogi Ügynökségének a „Being Black in the EU – Experiences of people of African descent” [Feketeként az EU-ban: afrikai származású emberek tapasztalatai] című jelentésére</w:t>
            </w:r>
            <w:r>
              <w:rPr>
                <w:b/>
                <w:i/>
                <w:vertAlign w:val="superscript"/>
              </w:rPr>
              <w:t>2d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2d</w:t>
            </w:r>
            <w:r>
              <w:t xml:space="preserve"> </w:t>
            </w:r>
            <w:r>
              <w:rPr>
                <w:b/>
                <w:i/>
              </w:rPr>
              <w:t>https:l/fra.europa.eu/en/publication/2023/being-black-eu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a Verts/ALE képviselőcsoport nevében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6 e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az Európai Unió Alapjogi Ügynökségének a „Being Muslim in the EU – Experiences of Muslims” [Muszlimnak lenni az EU-ban – Muszlimok tapasztalatai] című jelentésére</w:t>
            </w:r>
            <w:r>
              <w:rPr>
                <w:b/>
                <w:i/>
                <w:vertAlign w:val="superscript"/>
              </w:rPr>
              <w:t>2e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2e</w:t>
            </w:r>
            <w:r>
              <w:t xml:space="preserve"> </w:t>
            </w:r>
            <w:r>
              <w:rPr>
                <w:b/>
                <w:i/>
              </w:rPr>
              <w:t>https://fra.europa.eu/en/publication/2024/being-muslim-eu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Liesbet Sommen,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9 a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 Foglalkoztatási Bizottság (EMCO) legfontosabb üzeneteire, amelyeket a Tanács az EPSCO formációban 2016-ban, 2018-ban, 2019-ben, 2021-ben, 2023-ban, 2025-ben és 2026-ban jóváhagyott,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10 a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az Egyesült Nemzetek Szervezetének a világ vezetői által 2015 szeptemberében elfogadott és a Tanács által jóváhagyott fenntartható fejlődési céljaira, különösen a 8. számú célra,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12 a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az Európai Szociális Chartára, különösen annak 7. és 17. cikkére,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12 b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 2030-ig tartó időszakra vonatkozó fenntartható fejlődési menetrendre és a fenntartható fejlődési célokra, különösen a 8. fenntartható fejlődési célra (Tartós, befogadó és fenntartható gazdasági növekedés, teljes és termelékeny foglalkoztatás és a méltányos munka megteremtése mindenki számára),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16 a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„A humán tőkéről az Európai Unióban" című, 2026. március 9-i tanácsi ajánlásra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HL C, C/2026/1687.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16 b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 Régiók Európai Bizottsága „Ifjúsági foglalkoztatási támogatás:</w:t>
            </w:r>
            <w:r>
              <w:t xml:space="preserve"> </w:t>
            </w:r>
            <w:r>
              <w:rPr>
                <w:b/>
                <w:i/>
              </w:rPr>
              <w:t>Út a munka világába a következő generációk számára – Az ifjúsági garancia megerősítése" című, 2021. febuár 5-i véleményére</w:t>
            </w:r>
            <w:r>
              <w:rPr>
                <w:b/>
                <w:i/>
                <w:vertAlign w:val="superscript"/>
              </w:rPr>
              <w:t>2a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2a</w:t>
            </w:r>
            <w:r>
              <w:t xml:space="preserve"> </w:t>
            </w:r>
            <w:r>
              <w:rPr>
                <w:b/>
                <w:i/>
              </w:rPr>
              <w:t>HL C 106., 2021.3.26., 7-11.o.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17 a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az Európai Gazdasági és Szociális Bizottság „Az ifjúsági garancia megerősítése” című, 2020. október 29-i véleményére,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17 a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az Eurofound „Felnőtté válás: fiatalok a világjárvány utáni világban” című, 2024. évi jelentésére</w:t>
            </w:r>
            <w:r>
              <w:rPr>
                <w:b/>
                <w:i/>
                <w:vertAlign w:val="superscript"/>
              </w:rPr>
              <w:t>3a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3a</w:t>
            </w:r>
            <w:r>
              <w:t xml:space="preserve"> </w:t>
            </w:r>
            <w:r>
              <w:rPr>
                <w:b/>
                <w:i/>
              </w:rPr>
              <w:t>Eurofound (2024), Felnőtté válás:</w:t>
            </w:r>
            <w:r>
              <w:t xml:space="preserve"> </w:t>
            </w:r>
            <w:r>
              <w:rPr>
                <w:b/>
                <w:i/>
              </w:rPr>
              <w:t>Young people in a post-pandemic world (Felnőtté válás: Fiatalok a világjárvány utáni világban), az Európai Unió Kiadóhivatala, 2024.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17 b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az Eurofound „Fiatalok a Nyugat-Balkánon” című, 2024. évi jelentésére</w:t>
            </w:r>
            <w:r>
              <w:rPr>
                <w:b/>
                <w:i/>
                <w:vertAlign w:val="superscript"/>
              </w:rPr>
              <w:t>4a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4a</w:t>
            </w:r>
            <w:r>
              <w:t xml:space="preserve"> </w:t>
            </w:r>
            <w:r>
              <w:rPr>
                <w:b/>
                <w:i/>
              </w:rPr>
              <w:t>Eurofound (2024), „Young people in the Western Balkans” (Fiatalok a Nyugat-Balkánon), az Európai Unió Kiadóhivatala, Luxembourg.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17 c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 CEDEFOP Európai iránymutatások a nem formális és az informális tanulás érvényesítésére című, 2023. évi kiadványára</w:t>
            </w:r>
            <w:r>
              <w:rPr>
                <w:b/>
                <w:i/>
                <w:vertAlign w:val="superscript"/>
              </w:rPr>
              <w:t>5a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5a</w:t>
            </w:r>
            <w:r>
              <w:t xml:space="preserve"> </w:t>
            </w:r>
            <w:r>
              <w:rPr>
                <w:b/>
                <w:i/>
              </w:rPr>
              <w:t>Cedefop (2023).</w:t>
            </w:r>
            <w:r>
              <w:t xml:space="preserve"> </w:t>
            </w:r>
            <w:r>
              <w:rPr>
                <w:b/>
                <w:i/>
              </w:rPr>
              <w:t>A nem formális és az informális tanulás érvényesítésére vonatkozó európai iránymutatások.</w:t>
            </w:r>
            <w:r>
              <w:t xml:space="preserve"> </w:t>
            </w:r>
            <w:r>
              <w:rPr>
                <w:b/>
                <w:i/>
              </w:rPr>
              <w:t>Luxemburg:</w:t>
            </w:r>
            <w:r>
              <w:t xml:space="preserve"> </w:t>
            </w:r>
            <w:r>
              <w:rPr>
                <w:b/>
                <w:i/>
              </w:rPr>
              <w:t>Kiadóhivatal.</w:t>
            </w:r>
            <w:r>
              <w:t xml:space="preserve"> </w:t>
            </w:r>
            <w:r>
              <w:rPr>
                <w:b/>
                <w:i/>
              </w:rPr>
              <w:t>Cedefop referenciasorozat;</w:t>
            </w:r>
            <w:r>
              <w:t xml:space="preserve"> </w:t>
            </w:r>
            <w:r>
              <w:rPr>
                <w:b/>
                <w:i/>
              </w:rPr>
              <w:t>124. sz., http://data.europa.eu/doi/10.2801/389827.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17 d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az Európai Képzési Alapítvány „Outreach to Young People not in Employment, Education and Training:</w:t>
            </w:r>
            <w:r>
              <w:t xml:space="preserve"> </w:t>
            </w:r>
            <w:r>
              <w:rPr>
                <w:b/>
                <w:i/>
              </w:rPr>
              <w:t>A practical Manual for Outreach” (A nem foglalkoztatott és sem oktatásban, sem képzésben nem részesülő fiatalok elérése: Gyakorlati kézikönyv a tájékoztatásról) című, 2025-ös kiadványára</w:t>
            </w:r>
            <w:r>
              <w:rPr>
                <w:b/>
                <w:i/>
                <w:vertAlign w:val="superscript"/>
              </w:rPr>
              <w:t>6a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6a</w:t>
            </w:r>
            <w:r>
              <w:t xml:space="preserve"> </w:t>
            </w:r>
            <w:r>
              <w:rPr>
                <w:b/>
                <w:i/>
              </w:rPr>
              <w:t>Európai Képzési Alapítvány (2025), A nem foglalkoztatott és sem oktatásban, sem képzésben nem részesülő fiatalok elérése:</w:t>
            </w:r>
            <w:r>
              <w:t xml:space="preserve"> </w:t>
            </w:r>
            <w:r>
              <w:rPr>
                <w:b/>
                <w:i/>
              </w:rPr>
              <w:t>Gyakorlati kézikönyv a tájékoztatásról, Torino, Olaszország.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17 e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 Cedefop "Az egész életen át tartó pályaorientáció uniós referenciakerete: 18 politika- és rendszerfejlesztési iránymutatás" című, 2026. évi kiadványára</w:t>
            </w:r>
            <w:r>
              <w:rPr>
                <w:b/>
                <w:i/>
                <w:vertAlign w:val="superscript"/>
              </w:rPr>
              <w:t>7a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7a</w:t>
            </w:r>
            <w:r>
              <w:t xml:space="preserve"> </w:t>
            </w:r>
            <w:r>
              <w:rPr>
                <w:b/>
                <w:i/>
              </w:rPr>
              <w:t>Cedefop (2026).</w:t>
            </w:r>
            <w:r>
              <w:t xml:space="preserve"> </w:t>
            </w:r>
            <w:r>
              <w:rPr>
                <w:b/>
                <w:i/>
              </w:rPr>
              <w:t>Az egész életen át tartó pályaorientáció uniós referenciakerete.</w:t>
            </w:r>
            <w:r>
              <w:t xml:space="preserve"> </w:t>
            </w:r>
            <w:r>
              <w:rPr>
                <w:b/>
                <w:i/>
              </w:rPr>
              <w:t>18 politika- és rendszerfejlesztési iránymutatás.</w:t>
            </w:r>
            <w:r>
              <w:t xml:space="preserve"> </w:t>
            </w:r>
            <w:r>
              <w:rPr>
                <w:b/>
                <w:i/>
              </w:rPr>
              <w:t>Cedefop referenciasorozat, 125.</w:t>
            </w:r>
            <w:r>
              <w:t xml:space="preserve"> </w:t>
            </w:r>
            <w:r>
              <w:rPr>
                <w:b/>
                <w:i/>
              </w:rPr>
              <w:t>az Európai Unió Kiadóhivatala.</w:t>
            </w:r>
            <w:r>
              <w:t xml:space="preserve"> </w:t>
            </w:r>
            <w:r>
              <w:rPr>
                <w:b/>
                <w:i/>
              </w:rPr>
              <w:t>DOI:</w:t>
            </w:r>
            <w:r>
              <w:t xml:space="preserve"> </w:t>
            </w:r>
            <w:r>
              <w:rPr>
                <w:b/>
                <w:i/>
              </w:rPr>
              <w:t>10.2801/8255414.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18 bevezető hivatkozás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—</w:t>
            </w:r>
            <w:r>
              <w:tab/>
            </w:r>
            <w:r>
              <w:t>tekintettel a Parlamenti Kutatási Szolgáltatások Főigazgatósága által 2025. december 18-án közzétett, „A megerősített ifjúsági garancia végrehajtása – Trendek az uniós tagállamokban, hatás, uniós finanszírozás és irányítás” című európai végrehajtás-értékelési tanulmányra,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t>tekintettel a Parlamenti Kutatási Szolgáltatások Főigazgatósága által 2025. december 18-án közzétett, „A megerősített ifjúsági garancia végrehajtása – Trendek az uniós tagállamokban, hatás, uniós finanszírozás és irányítás” című európai végrehajtás-értékelési tanulmányra</w:t>
            </w:r>
            <w:r>
              <w:rPr>
                <w:b/>
                <w:i/>
                <w:vertAlign w:val="superscript"/>
              </w:rPr>
              <w:t>8a</w:t>
            </w:r>
            <w: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8a</w:t>
            </w:r>
            <w:r>
              <w:t xml:space="preserve"> </w:t>
            </w:r>
            <w:r>
              <w:rPr>
                <w:b/>
                <w:i/>
              </w:rPr>
              <w:t>https://www.europarl.europa.eu/thinktank/hu/document/EPRS_STU(2025)774714.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18 a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 Régiók Európai Bizottsága által 2022 júniusában közzétett, „A megerősített ifjúsági garancia helyi végrehajtása” című tanulmányra,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18 b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az Európai Ifjúsági Fórum "Ifjúsági garancia: a fiatalok támogatása az életpálya megtalálásában" című, 2025. március 13-i állásfoglalására,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Pascal Arimont, Romana Tomc, David Casa, Isabelle Le Callennec, Miriam Lexmann, Liesbet Sommen,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19 a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 „Válság idején az egyenlőtlenségek csökkentése és a társadalmi befogadás elősegítése a gyermekek és családjaik számára” című, 2023. november 21-i európai parlamenti állásfoglalásra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https://eur-lex.europa.eu/eli/C/2024/4213/oj/hun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19 a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„Az európai fiatalok szerepvállalásának növeléséről:</w:t>
            </w:r>
            <w:r>
              <w:t xml:space="preserve"> </w:t>
            </w:r>
            <w:r>
              <w:rPr>
                <w:b/>
                <w:i/>
              </w:rPr>
              <w:t>a járvány utáni foglalkoztatás és társadalmi fellendülés” című, 2026. február 17-i állásfoglalására</w:t>
            </w:r>
            <w:r>
              <w:rPr>
                <w:b/>
                <w:i/>
                <w:vertAlign w:val="superscript"/>
              </w:rPr>
              <w:t>9a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9a</w:t>
            </w:r>
            <w:r>
              <w:t xml:space="preserve"> </w:t>
            </w:r>
            <w:r>
              <w:rPr>
                <w:b/>
                <w:i/>
              </w:rPr>
              <w:t>HL C 342., 2022.9.6., 265-275. o.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19 b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az "Európai Szociális Alap Pluszról 2027 után" című, 2025. március 11-i állásfoglalására,</w:t>
            </w:r>
            <w:r>
              <w:rPr>
                <w:b/>
                <w:i/>
                <w:vertAlign w:val="superscript"/>
              </w:rPr>
              <w:t>10a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10a</w:t>
            </w:r>
            <w:r>
              <w:t xml:space="preserve"> </w:t>
            </w:r>
            <w:r>
              <w:rPr>
                <w:b/>
                <w:i/>
              </w:rPr>
              <w:t>HL C, C/2025/3146.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19 c bevezető hivatkozás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 2024 utáni időszakra vonatkozó, a fogyatékossággal élő személyek jogait érintő uniós stratégiáról szóló 2025. november 27-i európai parlamenti állásfoglalásra,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Marie Dauchy, Séverine Werbrouck, Mélanie Disdier,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preambulumbekezdés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mivel a megerősített ifjúsági garancia a tagállamok kötelezettségvállalása a 30 év alatti </w:t>
            </w:r>
            <w:r>
              <w:rPr>
                <w:b/>
                <w:i/>
              </w:rPr>
              <w:t>fiatalok</w:t>
            </w:r>
            <w:r>
              <w:t xml:space="preserve"> felé, hogy a munkahelyük elvesztését vagy az iskolarendszerű oktatásban való részvételük befejezését követő négy hónapon belül jó minőségű foglalkoztatási lehetőséget, illetve továbbképzési, tanulószerződéses gyakorlati képzési vagy gyakornoki képzési lehetőséget kínálnak nekik;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mivel a megerősített ifjúsági garancia a tagállamok kötelezettségvállalása a 30 év alatti </w:t>
            </w:r>
            <w:r>
              <w:rPr>
                <w:b/>
                <w:i/>
              </w:rPr>
              <w:t>polgárok</w:t>
            </w:r>
            <w:r>
              <w:t xml:space="preserve"> felé, hogy a munkahelyük elvesztését vagy az iskolarendszerű oktatásban való részvételük befejezését követő négy hónapon belül </w:t>
            </w:r>
            <w:r>
              <w:rPr>
                <w:b/>
                <w:i/>
              </w:rPr>
              <w:t>elméletileg</w:t>
            </w:r>
            <w:r>
              <w:t xml:space="preserve"> jó minőségű foglalkoztatási lehetőséget, illetve továbbképzési, tanulószerződéses gyakorlati képzési vagy gyakornoki képzési lehetőséget kínálnak nekik; </w:t>
            </w:r>
            <w:r>
              <w:rPr>
                <w:b/>
                <w:i/>
              </w:rPr>
              <w:t>mivel ez a kötelezettségvállalás gyakorlati akadályokba ütközött és bürokratikus vágyálomnak bizonyult, mert ezen időtartam leteltét követően az uniós fiatalok több mint fele továbbra is ilyen ajánlatra vár;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preambulumbekezdés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>mivel a megerősített ifjúsági garancia a tagállamok kötelezettségvállalása a 30 év alatti fiatalok felé, hogy a munkahelyük elvesztését vagy az iskolarendszerű oktatásban való részvételük befejezését követő négy hónapon belül jó minőségű foglalkoztatási lehetőséget, illetve továbbképzési, tanulószerződéses gyakorlati képzési vagy gyakornoki képzési lehetőséget kínálnak nekik;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mivel a megerősített ifjúsági garancia a tagállamok kötelezettségvállalása a 30 év alatti fiatalok felé, hogy a munkahelyük elvesztését vagy az iskolarendszerű oktatásban való részvételük befejezését követő négy hónapon belül jó minőségű foglalkoztatási lehetőséget, illetve továbbképzési, tanulószerződéses gyakorlati képzési vagy gyakornoki képzési lehetőséget kínálnak nekik; </w:t>
            </w:r>
            <w:r>
              <w:rPr>
                <w:b/>
                <w:i/>
              </w:rPr>
              <w:t>mivel 2013-as létrehozása óta mintegy 60 millió európai fiatal kezdeményezett ajánlatot az ifjúsági garanciarendszerek keretében;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preambulumbekezdés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mivel </w:t>
            </w:r>
            <w:r>
              <w:rPr>
                <w:b/>
                <w:i/>
              </w:rPr>
              <w:t>a megerősített</w:t>
            </w:r>
            <w:r>
              <w:t xml:space="preserve"> ifjúsági </w:t>
            </w:r>
            <w:r>
              <w:rPr>
                <w:b/>
                <w:i/>
              </w:rPr>
              <w:t>garancia</w:t>
            </w:r>
            <w:r>
              <w:t xml:space="preserve"> a tagállamok kötelezettségvállalása a 30 év alatti fiatalok felé, hogy a munkahelyük elvesztését vagy az iskolarendszerű oktatásban való részvételük befejezését követő négy hónapon belül </w:t>
            </w:r>
            <w:r>
              <w:rPr>
                <w:b/>
                <w:i/>
              </w:rPr>
              <w:t>jó minőségű</w:t>
            </w:r>
            <w:r>
              <w:t xml:space="preserve"> foglalkoztatási lehetőséget, illetve továbbképzési, tanulószerződéses gyakorlati képzési vagy gyakornoki képzési lehetőséget kínálnak nekik;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mivel </w:t>
            </w:r>
            <w:r>
              <w:rPr>
                <w:b/>
                <w:i/>
              </w:rPr>
              <w:t>az</w:t>
            </w:r>
            <w:r>
              <w:t xml:space="preserve"> ifjúsági </w:t>
            </w:r>
            <w:r>
              <w:rPr>
                <w:b/>
                <w:i/>
              </w:rPr>
              <w:t>garanciát (YG) 2013-ban hozták létre, és 2020-ban megerősítették (RYG);</w:t>
            </w:r>
            <w:r>
              <w:t xml:space="preserve"> </w:t>
            </w:r>
            <w:r>
              <w:rPr>
                <w:b/>
                <w:i/>
              </w:rPr>
              <w:t>mivel a program</w:t>
            </w:r>
            <w:r>
              <w:t xml:space="preserve"> a tagállamok kötelezettségvállalása a 30 év alatti fiatalok felé, hogy a munkahelyük elvesztését vagy az iskolarendszerű oktatásban való részvételük befejezését követő négy hónapon belül </w:t>
            </w:r>
            <w:r>
              <w:rPr>
                <w:b/>
                <w:i/>
              </w:rPr>
              <w:t>minőségi</w:t>
            </w:r>
            <w:r>
              <w:t xml:space="preserve"> foglalkoztatási lehetőséget, illetve továbbképzési, tanulószerződéses gyakorlati képzési vagy gyakornoki képzési lehetőséget kínálnak nekik;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a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Aa.</w:t>
            </w:r>
            <w:r>
              <w:tab/>
            </w:r>
            <w:r>
              <w:rPr>
                <w:b/>
                <w:i/>
              </w:rPr>
              <w:t>mivel a RYG célja az ifjúsági munkanélküliség, az inaktivitás és az alulfoglalkoztatottság elleni küzdelem, valamint a fiatalok minőségi oktatásba, képzésbe és munkaerőpiacra való fenntartható integrációjának támogatása;</w:t>
            </w:r>
            <w:r>
              <w:t xml:space="preserve"> </w:t>
            </w:r>
            <w:r>
              <w:rPr>
                <w:b/>
                <w:i/>
              </w:rPr>
              <w:t>mivel a RYG céljai tükrözik az Európai Parlament, a Bizottság és a tagállamok közös politikai prioritásait a jelenlegi többéves pénzügyi keretben, hozzájárulva a fenntartható gazdasági növekedésre és a minőségi munkahelyek létrehozására irányuló uniós célkitűzéshez a szociális jogok európai pillérével összhangban;</w:t>
            </w:r>
            <w:r>
              <w:t xml:space="preserve"> </w:t>
            </w:r>
            <w:r>
              <w:rPr>
                <w:b/>
                <w:i/>
              </w:rPr>
              <w:t>mivel a fiatalok munkaerőpiaci integrációját érintő tartós problémák és új, gyorsan változó kihívások szükségessé teszik, hogy ezeket a prioritásokat a jelenlegi programozási időszakon túl is fenntartsák;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a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Aa.</w:t>
            </w:r>
            <w:r>
              <w:tab/>
            </w:r>
            <w:r>
              <w:rPr>
                <w:b/>
                <w:i/>
              </w:rPr>
              <w:t>mivel a tagállamok általában erős politikai elkötelezettséget tartottak fenn az ifjúsági garancia és nemzeti végrehajtási terveik végrehajtása iránt;</w:t>
            </w:r>
            <w:r>
              <w:t xml:space="preserve"> </w:t>
            </w:r>
            <w:r>
              <w:rPr>
                <w:b/>
                <w:i/>
              </w:rPr>
              <w:t>mivel a nemzeti koordinátorok uniós szintű vagy azon túli ülései révén különös erőfeszítések történtek a NEET-fiatalok támogatási kapacitásainak megerősítésére és az egymástól való tanulásra;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a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Aa.</w:t>
            </w:r>
            <w:r>
              <w:tab/>
            </w:r>
            <w:r>
              <w:rPr>
                <w:b/>
                <w:i/>
              </w:rPr>
              <w:t>mivel az Eurofound kutatása kiemeli, hogy a NEET-populáció rendkívül heterogén, és különálló alcsoportokból áll, amelyek mindegyike egyedi strukturális akadályokkal és szükségletekkel szembesül, amelyek akadályozzák sikeres munkaerőpiaci integrációjukat;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Lara Magoni, Elena Donazzan, Marlena Maląg, Mariateresa Vivaldini, Francesco Torselli, Chiara Gemma, 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a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Aa.</w:t>
            </w:r>
            <w:r>
              <w:tab/>
            </w:r>
            <w:r>
              <w:rPr>
                <w:b/>
                <w:i/>
              </w:rPr>
              <w:t>mivel az ilyen intézkedések kialakítása és végrehajtása során teljes mértékben tiszteletben kell tartani a szubszidiaritás elvét és a tagállamok hatáskörét az oktatási, képzési és foglalkoztatási politikák területén;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b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Ab.</w:t>
            </w:r>
            <w:r>
              <w:tab/>
            </w:r>
            <w:r>
              <w:rPr>
                <w:b/>
                <w:i/>
              </w:rPr>
              <w:t>mivel az EU-ban a NEET-fiatalok aránya a világjárványt követő időszakot követően ismét csökkenő tendenciát mutat;</w:t>
            </w:r>
            <w:r>
              <w:t xml:space="preserve"> </w:t>
            </w:r>
            <w:r>
              <w:rPr>
                <w:b/>
                <w:i/>
              </w:rPr>
              <w:t>mivel a szociális jogok európai pillérére vonatkozó cselekvési terv magában foglalja azt a célt, hogy 2030-ra a 15–29 évesek körében 9%-ra csökkenjen a NEET-fiatalok aránya;</w:t>
            </w:r>
            <w:r>
              <w:t xml:space="preserve"> </w:t>
            </w:r>
            <w:r>
              <w:rPr>
                <w:b/>
                <w:i/>
              </w:rPr>
              <w:t>mivel ez a célkitűzés a tagállamok és a régiók közötti jelentős egyenlőtlenségek</w:t>
            </w:r>
            <w:r>
              <w:rPr>
                <w:b/>
                <w:i/>
                <w:vertAlign w:val="superscript"/>
              </w:rPr>
              <w:t>11a</w:t>
            </w:r>
            <w:r>
              <w:t xml:space="preserve"> </w:t>
            </w:r>
            <w:r>
              <w:rPr>
                <w:b/>
                <w:i/>
              </w:rPr>
              <w:t>ellenére jó úton halad a megvalósulás felé, és mivel e cél elérése továbbra is jelentős számú fiatalt hagyna bizonytalan helyzetben;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11a</w:t>
            </w:r>
            <w:r>
              <w:t xml:space="preserve"> </w:t>
            </w:r>
            <w:r>
              <w:rPr>
                <w:b/>
                <w:i/>
              </w:rPr>
              <w:t>https://doi.org/10.2908/LFSI_NEET_Q.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b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Ab.</w:t>
            </w:r>
            <w:r>
              <w:tab/>
            </w:r>
            <w:r>
              <w:rPr>
                <w:b/>
                <w:i/>
              </w:rPr>
              <w:t>mivel a nem foglalkoztatott, oktatásban és képzésben nem részesülő fiatalok (NEET-fiatalok) a különböző élettapasztalatokkal rendelkező fiatalok sokszínű csoportját alkotják;</w:t>
            </w:r>
            <w:r>
              <w:t xml:space="preserve"> </w:t>
            </w:r>
            <w:r>
              <w:rPr>
                <w:b/>
                <w:i/>
              </w:rPr>
              <w:t>mivel az Eurofound kutatása</w:t>
            </w: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kiemeli, hogy a NEET-populáció rendkívül heterogén, és különálló alcsoportokból áll, amelyek mindegyike egyedi strukturális akadályokkal szembesül, amelyek akadályozzák sikeres munkaerőpiaci integrációjukat, ezért célzottabb, személyre szabott támogatásra van szükségük konkrét igényeik kielégítésének támogatása érdekében;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Eurofound (2016), „Exploring the diversity of NEETs” (A NEET-fiatalok közötti különbségek feltárása), az Európai Unió Kiadóhivatala, Luxembourg.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c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c.</w:t>
            </w:r>
            <w:r>
              <w:tab/>
            </w:r>
            <w:r>
              <w:rPr>
                <w:b/>
                <w:i/>
              </w:rPr>
              <w:t>mivel az RYG végrehajtása és javítása során különös figyelmet kell fordítani a kiszolgáltatott helyzetben lévő NEET-fiatalokra és a munkaerőpiacról leginkább kiszorultakra, akiket gyakran nehéz elérni;</w:t>
            </w:r>
            <w:r>
              <w:t xml:space="preserve"> </w:t>
            </w:r>
            <w:r>
              <w:rPr>
                <w:b/>
                <w:i/>
              </w:rPr>
              <w:t>mivel ez magában foglalja a nőket, a különböző etnikai hátterű személyeket, a roma és vándorló közösségeket, a hajléktalanságot megtapasztaló fiatalokat, az intézményi gondozást elhagyó fiatalokat, az LMBTQIA+ személyeket, a migráns vagy menekült jogállású fiatalokat, a fogyatékossággal élő fiatalokat, a valláson vagy meggyőződésen alapuló megkülönböztetéssel szembesülő fiatalokat, a krónikus betegségekkel vagy függőséggel küzdő fiatalokat, a fiatal szülőket, valamint az informális gondozóként eljáró fiatalokat;</w:t>
            </w:r>
            <w:r>
              <w:t xml:space="preserve"> </w:t>
            </w:r>
            <w:r>
              <w:rPr>
                <w:b/>
                <w:i/>
              </w:rPr>
              <w:t>mivel egyértelmű különbséget kell tenni az oktatásból, foglalkoztatásból vagy képzésből akaratlanul kizárt NEET-fiatalok és az önként inaktívak között;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c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c.</w:t>
            </w:r>
            <w:r>
              <w:tab/>
            </w:r>
            <w:r>
              <w:rPr>
                <w:b/>
                <w:i/>
              </w:rPr>
              <w:t>mivel a NEET-fiatalok körében továbbra is fennáll a nemek közötti szakadék, és a NEET-fiatalok aránya a fiatal nők körében következetesen meghaladja a fiatal férfiakét az EU-ban</w:t>
            </w:r>
            <w:r>
              <w:rPr>
                <w:b/>
                <w:i/>
                <w:vertAlign w:val="superscript"/>
              </w:rPr>
              <w:t>12a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mivel ez a helyzet részben a gyermekgondozási feladatok egyenlőtlen elosztásával és a és a társadalmi normákkal magyarázható;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12a</w:t>
            </w:r>
            <w:r>
              <w:t xml:space="preserve"> </w:t>
            </w:r>
            <w:r>
              <w:rPr>
                <w:b/>
                <w:i/>
              </w:rPr>
              <w:t>https://www.eurofound.europa.eu/en/surveys-and-data/data-catalogue/neet-rates-gender-15-29-age-group.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d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d.</w:t>
            </w:r>
            <w:r>
              <w:tab/>
            </w:r>
            <w:r>
              <w:rPr>
                <w:b/>
                <w:i/>
              </w:rPr>
              <w:t>mivel a NEET-fiatalok munkaerőpiaci integrációja egyre összetettebbé vált olyan tényezők miatt, mint a haknigazdaság növekedése, a bizonytalan és atipikus foglalkoztatási formák terjedése, a mesterséges intelligencia és a digitalizáció térnyerése, valamint a megélhetési költségekkel kapcsolatos válság, beleértve a növekvő lakhatási költségeket is;</w:t>
            </w:r>
            <w:r>
              <w:t xml:space="preserve"> </w:t>
            </w:r>
            <w:r>
              <w:rPr>
                <w:b/>
                <w:i/>
              </w:rPr>
              <w:t>mivel ezek a fejlemények strukturális akadályokat gördítenek a fenntartható foglalkoztatás elé, és súlyosbítják az egyenlőtlenségeket, amelyek miatt a kiszolgáltatott NEET-fiatalok hátramaradnak;</w:t>
            </w:r>
            <w:r>
              <w:t xml:space="preserve"> </w:t>
            </w:r>
            <w:r>
              <w:rPr>
                <w:b/>
                <w:i/>
              </w:rPr>
              <w:t>mivel az RYG végrehajtását meg kell reformálni és meg kell erősíteni annak érdekében, hogy hatékonyan reagáljon ezekre a kihívásokra, és prioritásként kezelje a munkaerőpiacról leginkább kiszorult NEET-fiatalokat;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d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d.</w:t>
            </w:r>
            <w:r>
              <w:tab/>
            </w:r>
            <w:r>
              <w:rPr>
                <w:b/>
                <w:i/>
              </w:rPr>
              <w:t>mivel NEET-fiatalok aránya az EU-ban a romák körében a legmagasabb, 47%-os a 16–24 évesek körében, szemben az ugyanezen korcsoportra vonatkozó 9%-os uniós átlaggal</w:t>
            </w:r>
            <w:r>
              <w:rPr>
                <w:b/>
                <w:i/>
                <w:vertAlign w:val="superscript"/>
              </w:rPr>
              <w:t>13a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mivel a megkérdezett tagállamok egyike sem áll közel az uniós romastratégiai keretben</w:t>
            </w:r>
            <w:r>
              <w:rPr>
                <w:b/>
                <w:i/>
                <w:vertAlign w:val="superscript"/>
              </w:rPr>
              <w:t>14a</w:t>
            </w:r>
            <w:r>
              <w:t xml:space="preserve"> </w:t>
            </w:r>
            <w:r>
              <w:rPr>
                <w:b/>
                <w:i/>
              </w:rPr>
              <w:t>meghatározott célok eléréséhez, és mivel a tagállamok célzott és stratégiai megközelítése nélkül fennáll annak a kockázata, hogy az EU a roma és vándorló fiatalok egy generációját az oktatásból, képzésből és a munkaerőpiacról való kirekesztődés kockázatának teszi ki;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13a</w:t>
            </w:r>
            <w:r>
              <w:t xml:space="preserve"> </w:t>
            </w:r>
            <w:r>
              <w:rPr>
                <w:b/>
                <w:i/>
              </w:rPr>
              <w:t>Rights of Roma and Travellers in 13 European countries – Perspectives from the Roma Survey 2024 (A romák és a vándorlók jogai 13 európai országban – A 2024. évi romafelmérés kilátásai), az Európai Unió Alapjogi Ügynöksége (FRA), 2025. október 2.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14a</w:t>
            </w:r>
            <w:r>
              <w:t xml:space="preserve"> </w:t>
            </w:r>
            <w:r>
              <w:rPr>
                <w:b/>
                <w:i/>
              </w:rPr>
              <w:t>Európai Bizottság, (2020. október 7.).</w:t>
            </w:r>
            <w:r>
              <w:t xml:space="preserve"> </w:t>
            </w:r>
            <w:r>
              <w:rPr>
                <w:b/>
                <w:i/>
              </w:rPr>
              <w:t>A romák egyenlőségének, társadalmi befogadásának és részvételének előmozdítását célzó uniós stratégiai keretrendszer (2020–2030) (COM(2020)0620. https://commission.europa.eu/document/download/99cc0720-68c2-4300-854f-592bf21dceaf_en?filename=eu_roma_strategic_framework_for_equality_inclusion_and_participation_for_2020_-_2030.pdf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e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e.</w:t>
            </w:r>
            <w:r>
              <w:tab/>
            </w:r>
            <w:r>
              <w:rPr>
                <w:b/>
                <w:i/>
              </w:rPr>
              <w:t>mivel az oktatásból a munkaerőpiacra való átmenet a fiatalok számára hosszabbá, kevésbé lineárissá és egyre bizonytalanabbá vált, és sokan a foglalkoztatás, a munkanélküliség és az inaktivitás között mozognak, vagy az atipikus munkavégzési formák csapdájába kerülnek;</w:t>
            </w:r>
            <w:r>
              <w:t xml:space="preserve"> </w:t>
            </w:r>
            <w:r>
              <w:rPr>
                <w:b/>
                <w:i/>
              </w:rPr>
              <w:t>mivel az RYG nem alkalmazkodott kellőképpen ezekhez a széttagolt útvonalakhoz, és továbbra is merev, egyszeri intézkedésekre támaszkodik;</w:t>
            </w:r>
            <w:r>
              <w:t xml:space="preserve"> </w:t>
            </w:r>
            <w:r>
              <w:rPr>
                <w:b/>
                <w:i/>
              </w:rPr>
              <w:t>mivel a hatékony munkaerőpiaci integrációhoz – különösen a kiszolgáltatott helyzetben lévő NEET-fiatalok esetében – rugalmas, személyre szabott és hosszú távú támogatásra van szükség;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e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e.</w:t>
            </w:r>
            <w:r>
              <w:tab/>
            </w:r>
            <w:r>
              <w:rPr>
                <w:b/>
                <w:i/>
              </w:rPr>
              <w:t>mivel az Európai Unió Alapjogi Ügynökségének a romákról szóló 2021-es felmérése szerint a roma nők 19%-a soha nem járt iskolába, szemben a roma férfiak 14%-ával, és a roma nőknek csupán 23%-a tanul 16 éves kora után, szemben a roma férfiak 32%-ával</w:t>
            </w:r>
            <w:r>
              <w:rPr>
                <w:b/>
                <w:i/>
                <w:vertAlign w:val="superscript"/>
              </w:rPr>
              <w:t>15a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mivel a nemek szerint lebontott adatok azt mutatják, hogy a fiatal roma és vándorló nők átlagosan 61%-a NEET-fiatal, szemben a fiatal roma férfiak 33%-ával</w:t>
            </w:r>
            <w:r>
              <w:rPr>
                <w:b/>
                <w:i/>
                <w:vertAlign w:val="superscript"/>
              </w:rPr>
              <w:t>16a</w:t>
            </w:r>
            <w:r>
              <w:rPr>
                <w:b/>
                <w:i/>
              </w:rPr>
              <w:t>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15a</w:t>
            </w:r>
            <w:r>
              <w:t xml:space="preserve"> </w:t>
            </w:r>
            <w:r>
              <w:rPr>
                <w:b/>
                <w:i/>
              </w:rPr>
              <w:t>Európa Tanács, 2025.</w:t>
            </w:r>
            <w:r>
              <w:t xml:space="preserve"> </w:t>
            </w:r>
            <w:r>
              <w:rPr>
                <w:b/>
                <w:i/>
              </w:rPr>
              <w:t>A roma és vándorló nők és lányok egyenlősége (Ref. 094724GBR).</w:t>
            </w:r>
            <w:r>
              <w:t xml:space="preserve"> </w:t>
            </w:r>
            <w:r>
              <w:rPr>
                <w:b/>
                <w:i/>
              </w:rPr>
              <w:t>Európa Tanács. https://edoc.coe.int/en/roma-and-travellers/12078-equality-of-roma-and-traveller-women-and-girls.html;</w:t>
            </w:r>
            <w:r>
              <w:t xml:space="preserve"> </w:t>
            </w:r>
            <w:r>
              <w:rPr>
                <w:b/>
                <w:i/>
              </w:rPr>
              <w:t>Az Európai Unió Alapjogi Ügynöksége, 2020.</w:t>
            </w:r>
            <w:r>
              <w:t xml:space="preserve"> </w:t>
            </w:r>
            <w:r>
              <w:rPr>
                <w:b/>
                <w:i/>
              </w:rPr>
              <w:t>Roma and travellers in six countries: Roma and Travellers survey (Romák és vándorlók hat országban:</w:t>
            </w:r>
            <w:r>
              <w:t xml:space="preserve"> </w:t>
            </w:r>
            <w:r>
              <w:rPr>
                <w:b/>
                <w:i/>
              </w:rPr>
              <w:t>a romákról és vándorlókról szóló felmérés (FRA-jelentés).</w:t>
            </w:r>
            <w:r>
              <w:t xml:space="preserve"> </w:t>
            </w:r>
            <w:r>
              <w:rPr>
                <w:b/>
                <w:i/>
              </w:rPr>
              <w:t>Az Európai Unió Kiadóhivatala. https://fra.europa.eu/sites/default/files/fra_uploads/fra-2020-roma-travellers-six-countries_en.pdf.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16a</w:t>
            </w:r>
            <w:r>
              <w:t xml:space="preserve"> </w:t>
            </w:r>
            <w:r>
              <w:rPr>
                <w:b/>
                <w:i/>
              </w:rPr>
              <w:t>Az Európai Unió Alapjogi Ügynöksége, 2025.</w:t>
            </w:r>
            <w:r>
              <w:t xml:space="preserve"> </w:t>
            </w:r>
            <w:r>
              <w:rPr>
                <w:b/>
                <w:i/>
              </w:rPr>
              <w:t>Rights of Roma and Travellers in 13 European countries – Perspectives from the Roma Survey 2024 (A romák és vándorlók jogai 13 európai országban – A 2024. évi roma felmérés kilátásai).</w:t>
            </w:r>
            <w:r>
              <w:t xml:space="preserve"> </w:t>
            </w:r>
            <w:r>
              <w:rPr>
                <w:b/>
                <w:i/>
              </w:rPr>
              <w:t>FRA. https://fra.europa.eu/hu/publication/2025/roma-survey-2024.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f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f.</w:t>
            </w:r>
            <w:r>
              <w:tab/>
            </w:r>
            <w:r>
              <w:rPr>
                <w:b/>
                <w:i/>
              </w:rPr>
              <w:t>mivel a fiatalok aránytalanul ki vannak téve az alacsonyan fizetett munkának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, valamint a bizonytalan és atipikus foglalkoztatási formáknak, beleértve a határozott idejű szerződéseket, a nulla órás szerződéseket és a színlelt önfoglalkoztatást</w:t>
            </w:r>
            <w:r>
              <w:rPr>
                <w:b/>
                <w:i/>
                <w:vertAlign w:val="superscript"/>
              </w:rPr>
              <w:t>1b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mivel gyakran nem férnek hozzá a megfelelő foglalkoztatásvédelemhez és szociális juttatásokhoz;</w:t>
            </w:r>
            <w:r>
              <w:t xml:space="preserve"> </w:t>
            </w:r>
            <w:r>
              <w:rPr>
                <w:b/>
                <w:i/>
              </w:rPr>
              <w:t>mivel az automatizálás miatt a fiatalok is jobban ki vannak téve az elbocsátások kockázatának;</w:t>
            </w:r>
            <w:r>
              <w:t xml:space="preserve"> </w:t>
            </w:r>
            <w:r>
              <w:rPr>
                <w:b/>
                <w:i/>
              </w:rPr>
              <w:t>mivel ezek a feltételek korlátozott pénzügyi biztonságot nyújtanak, és ellehetetlenítik a fenntartható munkaerőpiaci integrációhoz vezető utakat;</w:t>
            </w:r>
            <w:r>
              <w:t xml:space="preserve"> </w:t>
            </w:r>
            <w:r>
              <w:rPr>
                <w:b/>
                <w:i/>
              </w:rPr>
              <w:t>mivel ez különösen a kiszolgáltatott NEET-fiatalokat érinti, akik aránytalanul nagy mértékben az alacsony képzettséget igénylő és alacsony színvonalú foglalkoztatásban koncentrálódnak;</w:t>
            </w:r>
            <w:r>
              <w:t xml:space="preserve"> </w:t>
            </w:r>
            <w:r>
              <w:rPr>
                <w:b/>
                <w:i/>
              </w:rPr>
              <w:t>mivel a RYG-nek aktívan foglalkoznia kell a bizonytalansággal és az alacsony fizetéssel, és az önkéntesség helyett a fizetett foglalkoztatásra kell összpontosítania;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Eurostat, „Proportion of low-paid workers in EU countries” (Az alacsonyan fizetett munkavállalók aránya az uniós országokban), 2022.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1b</w:t>
            </w:r>
            <w:r>
              <w:t xml:space="preserve"> </w:t>
            </w:r>
            <w:r>
              <w:rPr>
                <w:b/>
                <w:i/>
              </w:rPr>
              <w:t>Eurostat, „Fiatalok a munkaerőpiacon – statisztikák”, 2018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f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f.</w:t>
            </w:r>
            <w:r>
              <w:tab/>
            </w:r>
            <w:r>
              <w:rPr>
                <w:b/>
                <w:i/>
              </w:rPr>
              <w:t>mivel a gondozásból kikerülők különösen ki vannak téve a NEET-státusz kockázatának, azonban az elégtelen megbízható adatok miatt számuk uniós szinten továbbra sem egyértelmű, csakúgy, mint a támogatásuk érdekében bevezetett tájékoztatási intézkedések és a gondozásból való kilépést követően rendelkezésükre álló lehetőségek;</w:t>
            </w:r>
            <w:r>
              <w:t xml:space="preserve"> </w:t>
            </w:r>
            <w:r>
              <w:rPr>
                <w:b/>
                <w:i/>
              </w:rPr>
              <w:t>mivel az intézményi gondozásból kilépő fiatalok gyakran szembesülnek a függetlenségre való hirtelen átállással megfelelő oktatási folytonosság, lakhatási stabilitás vagy szakmai iránymutatás nélkül, ami növeli a munkanélküliség, a szegénység és a társadalmi kirekesztés kockázatát;</w:t>
            </w:r>
            <w:r>
              <w:t xml:space="preserve"> </w:t>
            </w:r>
            <w:r>
              <w:rPr>
                <w:b/>
                <w:i/>
              </w:rPr>
              <w:t>mivel a megerősített ifjúsági garancia végrehajtása testre szabott támogatási mechanizmusok révén kezelhetné ezeket az átállási hiányosságokat;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g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g.</w:t>
            </w:r>
            <w:r>
              <w:tab/>
            </w:r>
            <w:r>
              <w:rPr>
                <w:b/>
                <w:i/>
              </w:rPr>
              <w:t>mivel a fiatalok alulfoglalkoztatottsága növekszik, és a fiatalok részmunkaidős foglalkoztatása jelentősen magasabb, mint az általános aktív népességé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mivel ez az egyenlőtlenség még hangsúlyosabb a fiatal nők körében;</w:t>
            </w:r>
            <w:r>
              <w:t xml:space="preserve"> </w:t>
            </w:r>
            <w:r>
              <w:rPr>
                <w:b/>
                <w:i/>
              </w:rPr>
              <w:t>mivel a részmunkaidős foglalkoztatás nagy aránya nem önként vállalt, ami azt tükrözi, hogy a munkaerőpiac strukturálisan nem képes megfelelő teljes munkaidős lehetőségeket biztosítani;</w:t>
            </w:r>
            <w:r>
              <w:t xml:space="preserve"> </w:t>
            </w:r>
            <w:r>
              <w:rPr>
                <w:b/>
                <w:i/>
              </w:rPr>
              <w:t>mivel a nem önként vállalt részmunkaidős foglalkoztatás aláássa a jövedelmi potenciált, a szakmai előmenetelt, a szociális védelemhez és a nyugdíjjogosultsághoz való hozzáférést;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Eurostat, „Part-time and full-time employment – statistics” (Részmunkaidős és teljes munkaidős foglalkoztatás – statisztikák), 2025.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g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g.</w:t>
            </w:r>
            <w:r>
              <w:tab/>
            </w:r>
            <w:r>
              <w:rPr>
                <w:b/>
                <w:i/>
              </w:rPr>
              <w:t>mivel az elfogultság, a megbélyegzés és a tartós sztereotípiák korlátozhatják az intézményi gondozási háttérrel rendelkező fiatalok, a fizikai vagy értelmi fejlődési fogyatékossággal élő fiatalok és a fiatal romák szakmai gyakorlatokhoz és tanulószerződéses gyakorlati képzésekhez való hozzáférését;</w:t>
            </w:r>
            <w:r>
              <w:t xml:space="preserve"> </w:t>
            </w:r>
            <w:r>
              <w:rPr>
                <w:b/>
                <w:i/>
              </w:rPr>
              <w:t>mivel az ilyen akadályok kezelése és az inkluzív munkaerő-felvételi gyakorlatok előmozdítása elengedhetetlen a minőségi első munkatapasztalatokhoz való egyenlő hozzáférés biztosításához;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h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h.</w:t>
            </w:r>
            <w:r>
              <w:tab/>
            </w:r>
            <w:r>
              <w:rPr>
                <w:b/>
                <w:i/>
              </w:rPr>
              <w:t>mivel a minőségi pályakezdő munkahelyek strukturális hiánya miatt romlanak az oktatásból a foglalkoztatásba vezető hagyományos utak;</w:t>
            </w:r>
            <w:r>
              <w:t xml:space="preserve"> </w:t>
            </w:r>
            <w:r>
              <w:rPr>
                <w:b/>
                <w:i/>
              </w:rPr>
              <w:t>mivel sok fiatal – annak ellenére, hogy magas végzettségű és jól képzett – nehezen tudja képesítéseit stabil foglalkoztatássá alakítani;</w:t>
            </w:r>
            <w:r>
              <w:t xml:space="preserve"> </w:t>
            </w:r>
            <w:r>
              <w:rPr>
                <w:b/>
                <w:i/>
              </w:rPr>
              <w:t>mivel a friss diplomások foglalkoztatási rátája csökken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, a képzettségi szintjüktől messze elmaradó foglalkozású fiatalok száma pedig növekszik</w:t>
            </w:r>
            <w:r>
              <w:rPr>
                <w:b/>
                <w:i/>
                <w:vertAlign w:val="superscript"/>
              </w:rPr>
              <w:t>1b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mivel ez olyan kiszorító hatást eredményez, amely tovább korlátozza a képzettséggel nem rendelkező, kiszolgáltatott NEET-fiatalok lehetőségeit;</w:t>
            </w:r>
            <w:r>
              <w:t xml:space="preserve"> </w:t>
            </w:r>
            <w:r>
              <w:rPr>
                <w:b/>
                <w:i/>
              </w:rPr>
              <w:t>mivel a fiatalok munkaerőpiaci integrációjának fokozódó akadályai aláássák a társadalmi kohéziót és az intézményi bizalmat;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Eurostat, „Employment rates of recent graduates” (A frissen végzettek foglalkoztatási rátái), 2025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1b</w:t>
            </w:r>
            <w:r>
              <w:t xml:space="preserve"> </w:t>
            </w:r>
            <w:r>
              <w:rPr>
                <w:b/>
                <w:i/>
              </w:rPr>
              <w:t>Eurostat, „Young people – qualifications, skills and job alignment” (Fiatalok – képesítések, készségek és a munkahelyek összehangolása), 2025.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i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i.</w:t>
            </w:r>
            <w:r>
              <w:tab/>
            </w:r>
            <w:r>
              <w:rPr>
                <w:b/>
                <w:i/>
              </w:rPr>
              <w:t>mivel 2024-ben az Unióban a fiatalok közel egynegyede volt kitéve a szegénység vagy a társadalmi kirekesztődés kockázatának, ami 3,1 százalékponttal magasabb, mint a teljes népesség aránya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mivel a strukturális egyenlőtlenségek, például az anyagi nélkülözés és a tartós társadalmi hátrány aláássák a munkaerőpiachoz való hozzáférés és az önálló életvitel képességét;</w:t>
            </w:r>
            <w:r>
              <w:t xml:space="preserve"> </w:t>
            </w:r>
            <w:r>
              <w:rPr>
                <w:b/>
                <w:i/>
              </w:rPr>
              <w:t>mivel a foglalkoztatás aktiválása nem valósítható meg az olyan alapvető előfeltételekhez való hozzáférés nélkül, mint a lakhatás, a közlekedés, a gyermekgondozás és a gondozási támogatás;</w:t>
            </w:r>
            <w:r>
              <w:t xml:space="preserve"> </w:t>
            </w:r>
            <w:r>
              <w:rPr>
                <w:b/>
                <w:i/>
              </w:rPr>
              <w:t>mivel a fenntartható munkaerőpiaci integráció holisztikus megközelítést igényel, amely kezeli a megerősítő akadályokat;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Eurostat, „Fiatalok – társadalmi befogadás”, 2025.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j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j.</w:t>
            </w:r>
            <w:r>
              <w:tab/>
            </w:r>
            <w:r>
              <w:rPr>
                <w:b/>
                <w:i/>
              </w:rPr>
              <w:t>mivel előfordulhat, hogy a kiszolgáltatott NEET-fiatalok nem rendelkeznek a minőségi oktatáshoz, képzéshez vagy munkaerőpiachoz való hozzáféréshez szükséges funkcionális írás-olvasási, számolási és digitális készségekkel;</w:t>
            </w:r>
            <w:r>
              <w:t xml:space="preserve"> </w:t>
            </w:r>
            <w:r>
              <w:rPr>
                <w:b/>
                <w:i/>
              </w:rPr>
              <w:t>mivel az RYG gyakran magától értetődőnek tekinti ezeket a készségeket, ezáltal korlátozva a kiszolgáltatott NEET-fiatalok azon képességét, hogy hozzáférjenek a foglalkoztatási és képzési intézkedésekhez, és élvezzék azok előnyeit;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 k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 k.</w:t>
            </w:r>
            <w:r>
              <w:tab/>
            </w:r>
            <w:r>
              <w:rPr>
                <w:b/>
                <w:i/>
              </w:rPr>
              <w:t>mivel a fiatalok olvasási, matematikai és természettudományos teljesítménye Unió-szerte csökken, és a hátrányos társadalmi-gazdasági háttérrel rendelkezők több mint hatszor nagyobb valószínűséggel alulteljesítenek, mint társaik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mivel az RYG-nek aktívan figyelembe kell vennie ezeket az aggasztó tendenciákat a társadalmi szakadékok elmélyülésének megelőzése, valamint az oktatáshoz és a jövőbeli foglalkoztatási lehetőségekhez való egyenlő hozzáférés biztosítása érdekében;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Európai Bizottság, Oktatási és Képzési Figyelő (2024)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Marie Dauchy, Séverine Werbrouck, Mélanie Disdier,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preambulumbekezdés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mivel </w:t>
            </w:r>
            <w:r>
              <w:rPr>
                <w:b/>
                <w:i/>
              </w:rPr>
              <w:t>nehéz</w:t>
            </w:r>
            <w:r>
              <w:t xml:space="preserve"> közvetlen ok-okozati összefüggést megállapítani a megerősített ifjúsági garancia végrehajtása, valamint a NEET-fiatalok arányának és az ifjúsági munkanélküliségnek a csökkenése tekintetében megfigyelt eredmények között;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mivel </w:t>
            </w:r>
            <w:r>
              <w:rPr>
                <w:b/>
                <w:i/>
              </w:rPr>
              <w:t>lehetetlen</w:t>
            </w:r>
            <w:r>
              <w:t xml:space="preserve"> közvetlen ok-okozati összefüggést megállapítani a megerősített ifjúsági garancia végrehajtása, valamint a NEET-fiatalok arányának és az ifjúsági munkanélküliségnek a csökkenése tekintetében megfigyelt eredmények között</w:t>
            </w:r>
            <w:r>
              <w:rPr>
                <w:b/>
                <w:i/>
              </w:rPr>
              <w:t>, ami az európai pszichológiai manipuláció strukturális hatékonyságának hiányát mutatja</w:t>
            </w:r>
            <w:r>
              <w:t xml:space="preserve">; </w:t>
            </w:r>
            <w:r>
              <w:rPr>
                <w:b/>
                <w:i/>
              </w:rPr>
              <w:t>mivel a fiatalok számára nem központosított irányelvek, hanem mindenekelőtt a tagállamok költségvetési szuverenitása, a szilárd hazai gazdaság és a versenyképes kkv-k teremtenek munkahelyeket;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Lara Magoni, Elena Donazzan, Marlena Maląg, Mariateresa Vivaldini, Francesco Torselli, Chiara Gemma, 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preambulumbekezdés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mivel nehéz közvetlen ok-okozati összefüggést megállapítani a megerősített ifjúsági garancia végrehajtása, valamint a NEET-fiatalok arányának és az ifjúsági munkanélküliségnek a csökkenése tekintetében megfigyelt eredmények között;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mivel nehéz közvetlen ok-okozati összefüggést megállapítani a megerősített ifjúsági garancia végrehajtása, valamint a NEET-fiatalok arányának és az ifjúsági munkanélküliségnek a csökkenése tekintetében megfigyelt eredmények között; </w:t>
            </w:r>
            <w:r>
              <w:rPr>
                <w:b/>
                <w:i/>
              </w:rPr>
              <w:t>ez rávilágít arra, hogy nagyobb hangsúlyt kell fektetni a fiatalok számára kézzelfogható eredményekre, a nemzeti munkaerőpiaci igényekhez való jobb igazodásra és az olyan uniós programokkal való szorosabb szinergiákra, mint az Európai Szociális Alap Plusz (ESZA+), az Erasmus+ és az Európai Szolidaritási Testület;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preambulumbekezdés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mivel nehéz közvetlen ok-okozati összefüggést megállapítani a megerősített ifjúsági garancia végrehajtása, valamint a NEET-fiatalok arányának és az ifjúsági munkanélküliségnek a csökkenése tekintetében megfigyelt eredmények között;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mivel nehéz közvetlen ok-okozati összefüggést megállapítani a megerősített ifjúsági garancia végrehajtása, valamint a NEET-fiatalok arányának és az ifjúsági munkanélküliségnek a csökkenése tekintetében megfigyelt eredmények között</w:t>
            </w:r>
            <w:r>
              <w:rPr>
                <w:b/>
                <w:i/>
              </w:rPr>
              <w:t>, különösen ahol a megerősített ifjúsági garancia programjai szélesebb nemzeti szakpolitikák részét képezik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Elena Donazzan, Chiara Gemma, Mariateresa Vivaldini, Lara Magoni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a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mivel az európai adatok azt mutatják, hogy az erős munkaalapú tanulási komponenssel rendelkező szakmai alapképzési pályák jelentik a leghatékonyabb eszközt annak megakadályozására, hogy az emberek NEET-helyzetbe kerüljenek, mivel azok a fiatalok, akik legalább hét hónapos munkaalapú tanulási pályákat teljesítenek, akár 90,5%-os foglalkoztatási rátával rendelkeznek, szemben azokkal, akik nem férnek hozzá ezekhez a pályákhoz;</w:t>
            </w:r>
            <w:r>
              <w:t xml:space="preserve"> </w:t>
            </w:r>
            <w:r>
              <w:rPr>
                <w:b/>
                <w:i/>
              </w:rPr>
              <w:t>mivel a duális szakképzési rendszerek strukturált váltakozást alkalmaznak az iskola és a munka között annak érdekében, hogy piacképes készségeket hozzanak létre, és jelentősen csökkentsék a munkaerőpiaci kereslet és kínálat közötti szakadékot;</w:t>
            </w:r>
            <w:r>
              <w:t xml:space="preserve"> </w:t>
            </w:r>
            <w:r>
              <w:rPr>
                <w:b/>
                <w:i/>
              </w:rPr>
              <w:t>mivel a szilárd duális szakképzési rendszerrel rendelkező tagállamokban a legalacsonyabb az ifjúsági munkanélküliségi ráta az EU-ban;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{IT}</w:t>
      </w:r>
      <w:r>
        <w:t>it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David Casa, Isabelle Le Callennec, Liesbet Sommen,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a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a.</w:t>
            </w:r>
            <w:r>
              <w:tab/>
            </w:r>
            <w:r>
              <w:rPr>
                <w:b/>
                <w:i/>
              </w:rPr>
              <w:t>mivel a megerősített ifjúsági garancia hatékony végrehajtásához célzott, integrált és családérzékeny intézkedésekre van szükség, különösen a fiatal szülők esetében, ötvözve a foglalkoztatási támogatást az oktatáshoz és képzéshez, a gyermekgondozáshoz, a szociális szolgáltatásokhoz és adott esetben a megfelelő jövedelemtámogatáshoz való hozzáféréssel a tartós munkaerőpiaci integráció biztosítása, a hosszú távú kirekesztés megelőzése, a nemek közötti egyenlőség előmozdítása, valamint a munka és a magánélet közötti fenntartható egyensúly támogatása érdekében;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a Verts/ALE képviselőcsoport nevében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a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a.</w:t>
            </w:r>
            <w:r>
              <w:tab/>
            </w:r>
            <w:r>
              <w:rPr>
                <w:b/>
                <w:i/>
              </w:rPr>
              <w:t>mivel az Európai Számvevőszéktől származó bizonyítékok azt mutatják, hogy a megfelelően finanszírozott, inkluzív és jogokon alapuló ifjúságpolitika – többek között a megerősített ifjúsági garancia – pozitívan járul hozzá a fiatalok minőségi foglalkoztatáshoz, oktatáshoz és képzéshez való hozzáférésének javításához;</w:t>
            </w:r>
            <w:r>
              <w:t xml:space="preserve"> </w:t>
            </w:r>
            <w:r>
              <w:rPr>
                <w:b/>
                <w:i/>
              </w:rPr>
              <w:t>mivel a szigorúbb nyomon követés, a lebontott adatok gyűjtése és a hatásvizsgálat elengedhetetlen az eredmények teljes körű rögzítéséhez, különösen a kiszolgáltatott és marginalizált csoportok esetében;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a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a.</w:t>
            </w:r>
            <w:r>
              <w:tab/>
            </w:r>
            <w:r>
              <w:rPr>
                <w:b/>
                <w:i/>
              </w:rPr>
              <w:t>mivel az ifjúsági garancia végrehajtásának csaknem annyi modellje van, mint ahány tagállam;</w:t>
            </w:r>
            <w:r>
              <w:t xml:space="preserve"> </w:t>
            </w:r>
            <w:r>
              <w:rPr>
                <w:b/>
                <w:i/>
              </w:rPr>
              <w:t>mivel a végrehajtására vonatkozó intézményi intézkedések az ifjúsági garancia meglévő nemzeti rendszerekbe való integrálásától egy külön nemzeti modell létrehozásáig terjednek;</w:t>
            </w:r>
            <w:r>
              <w:t xml:space="preserve"> </w:t>
            </w:r>
            <w:r>
              <w:rPr>
                <w:b/>
                <w:i/>
              </w:rPr>
              <w:t>mivel az irányítási rendszerek szintén eltérőek a nemzeti szinten koordinált központosított modellek és a helyi szinten teljesen decentralizált modellek között;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Martine Kemp, Regina Doherty, Liesbet Sommen, Niels Geuking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a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a.</w:t>
            </w:r>
            <w:r>
              <w:tab/>
            </w:r>
            <w:r>
              <w:rPr>
                <w:b/>
                <w:i/>
              </w:rPr>
              <w:t>mivel a mikrotanúsítványokra vonatkozó európai megközelítésről szóló, 2022. június 16-i tanácsi ajánlás elismeri, hogy a mikrotanúsítványok a rugalmas, inkluzív és célzott tanulási pályák kulcsfontosságú eszközei, amelyek lehetővé teszik az egyének számára készségeik moduláris módon történő megszerzését, frissítését és tanúsítását, különösen a munkaerőpiaci igényekre, valamint a zöld és digitális átállásra válaszul;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a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a.</w:t>
            </w:r>
            <w:r>
              <w:tab/>
            </w:r>
            <w:r>
              <w:rPr>
                <w:b/>
                <w:i/>
              </w:rPr>
              <w:t>mivel a fiatalokba az RYG-n keresztül történő beruházás az Unió jövőjébe való beruházást jelenti, ami megerősíti a társadalmi kohéziót, a generációk közötti méltányosságot és szolidaritást, csökkenti a szegénységet és a társadalmi kirekesztést, valamint hozzájárul a reziliens munkaerőhöz és a versenyképes gazdasághoz;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Lara Magoni, Elena Donazzan, Marlena Maląg, Mariateresa Vivaldini, Francesco Torselli, Chiara Gemma, 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a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a.</w:t>
            </w:r>
            <w:r>
              <w:tab/>
            </w:r>
            <w:r>
              <w:rPr>
                <w:b/>
                <w:i/>
              </w:rPr>
              <w:t>mivel a megerősített ifjúsági garancia hatékonysága az uniós és nemzeti források átlátható és hatékony felhasználásától, valamint a kedvezményezett fiatalok hosszú távú foglalkoztatási eredményeinek mérésére alkalmas szilárd nyomonkövetési és értékelési rendszerektől függ;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Zacharia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a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mivel az ifjúsági munkanélküliség és a bizonytalan foglalkoztatás közvetlenül összefügg a strukturális egyenlőtlenségekkel, a megszorításokkal, a munkaerőpiacok deregulációjával és a közszolgáltatások alulfinanszírozottságával;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b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b.</w:t>
            </w:r>
            <w:r>
              <w:tab/>
            </w:r>
            <w:r>
              <w:rPr>
                <w:b/>
                <w:i/>
              </w:rPr>
              <w:t>mivel a tagállamok egyértelmű többsége a foglalkoztatást előtérbe helyező stratégiára támaszkodik, míg mások a képzésre összpontosító megközelítést részesítik előnyben;</w:t>
            </w:r>
            <w:r>
              <w:t xml:space="preserve"> </w:t>
            </w:r>
            <w:r>
              <w:rPr>
                <w:b/>
                <w:i/>
              </w:rPr>
              <w:t>mivel 2024-ben az ifjúsági garancia előkészítő szakaszából való pozitív és időben történő kilépések 35,2%-a foglalkoztatáshoz, 6,5%-a oktatáshoz, 2,5%-a szakmai gyakorlathoz és 1,6%-a tanulószerződéses gyakorlati képzéshez vezetett</w:t>
            </w:r>
            <w:r>
              <w:rPr>
                <w:b/>
                <w:i/>
                <w:vertAlign w:val="superscript"/>
              </w:rPr>
              <w:t>17a</w:t>
            </w:r>
            <w:r>
              <w:rPr>
                <w:b/>
                <w:i/>
              </w:rPr>
              <w:t>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17a</w:t>
            </w:r>
            <w:r>
              <w:t xml:space="preserve"> </w:t>
            </w:r>
            <w:r>
              <w:rPr>
                <w:b/>
                <w:i/>
              </w:rPr>
              <w:t>Európai Bizottság, A Foglalkoztatás, a Szociális Ügyek és a Társadalmi Befogadás Főigazgatósága, Adattáblázat az ifjúsági garancia közvetlen mutatóiról, 2026. február.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b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b.</w:t>
            </w:r>
            <w:r>
              <w:tab/>
            </w:r>
            <w:r>
              <w:rPr>
                <w:b/>
                <w:i/>
              </w:rPr>
              <w:t>mivel az Eurofound becslései szerint a fiatalok társadalomtól való elfordulása és a NEET-fiatalok munkaerőpiaci integrációjának kudarca évente közel 100 milliárd EUR-ba kerül az Uniónak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, ami rávilágít arra, hogy az RYG hatékony megerősítésének biztosítása sürgető gazdasági és társadalmi szükségszerűség;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Eurofound, "Foglalkoztatási és szociális fejlemények Európában", 2025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a Verts/ALE képviselőcsoport nevében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b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b.</w:t>
            </w:r>
            <w:r>
              <w:tab/>
            </w:r>
            <w:r>
              <w:rPr>
                <w:b/>
                <w:i/>
              </w:rPr>
              <w:t>mivel a 2021–2027-es időszakban az ESZA+ volt a megerősített ifjúsági garancia finanszírozásának fő eszköze;</w:t>
            </w:r>
            <w:r>
              <w:t xml:space="preserve"> </w:t>
            </w:r>
            <w:r>
              <w:rPr>
                <w:b/>
                <w:i/>
              </w:rPr>
              <w:t>mivel az irányító hatóságoknak javítaniuk kell abszorpciós kapacitásukat, különösen a távoli területeken;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Zacharia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b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Bb.</w:t>
            </w:r>
            <w:r>
              <w:tab/>
            </w:r>
            <w:r>
              <w:rPr>
                <w:b/>
                <w:i/>
              </w:rPr>
              <w:t>mivel a fiatalok nagy része ideiglenes, rosszul fizetett és bizonytalan munkahelyeken dolgozik, teljes körű munkavállalói és szociális jogok nélkül;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Miriam Lexmann, Liesbet Sommen, Sérgio Humberto, Martine Kemp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b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b.</w:t>
            </w:r>
            <w:r>
              <w:tab/>
            </w:r>
            <w:r>
              <w:rPr>
                <w:b/>
                <w:i/>
              </w:rPr>
              <w:t>mivel a fiataloktól egyre inkább megkövetelik, hogy oktatásuk, képzésük és szakmai pályafutásuk során rugalmasságot és földrajzi mobilitást tanúsítsanak;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Zacharia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c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c.</w:t>
            </w:r>
            <w:r>
              <w:tab/>
            </w:r>
            <w:r>
              <w:rPr>
                <w:b/>
                <w:i/>
              </w:rPr>
              <w:t>mivel az ifjúsági garanciarendszerek nem helyettesíthetik a stabil foglalkoztatáshoz való jogot teljes körű jogokkal, és nem legalizálhatják a nem fizetett vagy alulfizetett munka elterjedését „szakmai gyakorlatok” és „képzési” programok révén;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a Verts/ALE képviselőcsoport nevében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c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c.</w:t>
            </w:r>
            <w:r>
              <w:tab/>
            </w:r>
            <w:r>
              <w:rPr>
                <w:b/>
                <w:i/>
              </w:rPr>
              <w:t>mivel az inaktív és kiszolgáltatott helyzetben lévő NEET-fiatalokat leggyakrabban kihagyják az ifjúsági garancia kezdeményezéseiből, mivel ez főként a munkaerőpiachoz közelebb álló fiatalok javát szolgálja, amit „szűrési hatásnak” is neveznek, túlbecsülve a megerősített ifjúsági garancia által a teljes NEET-populációra gyakorolt tényleges hatást;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c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c.</w:t>
            </w:r>
            <w:r>
              <w:tab/>
            </w:r>
            <w:r>
              <w:rPr>
                <w:b/>
                <w:i/>
              </w:rPr>
              <w:t>mivel az Unió versenyképessége a munkaerő készségeitől és attól is függ, hogy képes-e aktiválni a munkaképes korú fiatal népességet a munkaerő- és szakemberhiány kezelése érdekében;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Miriam Lexmann, Liesbet Sommen, Sérgio Humberto, Martine Kemp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c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c.</w:t>
            </w:r>
            <w:r>
              <w:tab/>
            </w:r>
            <w:r>
              <w:rPr>
                <w:b/>
                <w:i/>
              </w:rPr>
              <w:t>mivel a megfizethető, megfelelő és minőségi lakhatáshoz való hozzáférés az oktatásban, a tanulószerződéses gyakorlati képzésben, a szakmai gyakorlatokban és a foglalkoztatásban való sikeres részvétel előfeltétele;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d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d.</w:t>
            </w:r>
            <w:r>
              <w:tab/>
            </w:r>
            <w:r>
              <w:rPr>
                <w:b/>
                <w:i/>
              </w:rPr>
              <w:t>mivel továbbra is fennállnak intézményi és strukturális akadályok az ifjúsági garancia működőképessé tétele és gyakorlati végrehajtása előtt a tagállamokban és helyi szinten, mint például a szolgáltatások közötti adatmegosztás akadályai, az oktatási és képzési szolgáltatások és a munkaerőpiac közötti összhang hiánya, valamint a kiszolgáltatott csoportok társadalmi-gazdasági hátrányai;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Maravillas Abadía Jover, Romana Tomc, Miriam Lexmann, Liesbet Sommen, Sérgio Humberto, Martine Kemp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d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d.</w:t>
            </w:r>
            <w:r>
              <w:tab/>
            </w:r>
            <w:r>
              <w:rPr>
                <w:b/>
                <w:i/>
              </w:rPr>
              <w:t>mivel az ifjúsági garancia hatékonyságát nemcsak a fiatalok foglalkoztatásba, oktatásba vagy képzésbe való azonnali belépésével kell mérni, hanem az ilyen lehetőségek minőségével, fenntarthatóságával és hosszú távú karrierkilátásaival is;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a Verts/ALE képviselőcsoport nevében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d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d.</w:t>
            </w:r>
            <w:r>
              <w:tab/>
            </w:r>
            <w:r>
              <w:rPr>
                <w:b/>
                <w:i/>
              </w:rPr>
              <w:t>mivel az etnikai, faji vagy vallási kisebbségekhez tartozó fiatalok nagyobb valószínűséggel szembesülnek azzal a helyzettel, hogy a készségeik nem felelnek meg a foglalkoztatásuknak;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Maravillas Abadía Jover, Romana Tomc, Miriam Lexmann, Liesbet Sommen, Sérgio Humberto, Martine Kemp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e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e.</w:t>
            </w:r>
            <w:r>
              <w:tab/>
            </w:r>
            <w:r>
              <w:rPr>
                <w:b/>
                <w:i/>
              </w:rPr>
              <w:t>mivel az ifjúságpolitikát nemcsak szociális prioritásként kell elismerni, hanem az EU humán tőkéjébe, versenyképességébe és hosszú távú gazdasági rezilienciájába való stratégiai befektetésként is;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Miriam Lexmann, Liesbet Sommen,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f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f.</w:t>
            </w:r>
            <w:r>
              <w:tab/>
            </w:r>
            <w:r>
              <w:rPr>
                <w:b/>
                <w:i/>
              </w:rPr>
              <w:t>mivel a NEET-fiatalok, a fiatal szülők, különösen az egyedülálló szülők és a kiszolgáltatott fiatalok jobban ki vannak téve a pszichológiai stressz és a hosszú távú munkaerőpiaci kirekesztés kockázatának;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Miriam Lexmann, Liesbet Sommen, Sérgio Humberto, Martine Kemp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g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g.</w:t>
            </w:r>
            <w:r>
              <w:tab/>
            </w:r>
            <w:r>
              <w:rPr>
                <w:b/>
                <w:i/>
              </w:rPr>
              <w:t>mivel a mentális egészség és jóllét elengedhetetlen a munkaerőpiaci részvételhez, és az aktivizálás részeként megelőző, korai pszichoszociális intézkedésekkel erősíthető, anélkül, hogy ez érintené a tagállamok egészségügyi ellátással kapcsolatos felelősségét;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Miriam Lexmann, Liesbet Sommen, Sérgio Humberto, Martine Kemp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h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h.</w:t>
            </w:r>
            <w:r>
              <w:tab/>
            </w:r>
            <w:r>
              <w:rPr>
                <w:b/>
                <w:i/>
              </w:rPr>
              <w:t>mivel az automatizálás és a mesterséges intelligencia átalakítja a munkaerőpiacokat, ami az alapvető MI-készségekkel nem rendelkező fiatalok kirekesztésének kockázatával jár;</w:t>
            </w:r>
            <w:r>
              <w:t xml:space="preserve"> </w:t>
            </w:r>
            <w:r>
              <w:rPr>
                <w:b/>
                <w:i/>
              </w:rPr>
              <w:t>mivel az ifjúsági garanciának proaktívan foglalkoznia kell ezzel a kérdéssel foglalkoztathatóságuk biztosítása érdekében;</w:t>
            </w:r>
            <w:r>
              <w:t xml:space="preserve"> </w:t>
            </w:r>
            <w:r>
              <w:rPr>
                <w:b/>
                <w:i/>
              </w:rPr>
              <w:t>és mivel a mesterséges intelligencia (támogató technológiák révén) segíthet leküzdeni a (tanulási) akadályokat, ha a fiatalok korai digitális jártasságra és alapvető MI-készségekre tesznek szert;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Liesbet Sommen,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i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i.</w:t>
            </w:r>
            <w:r>
              <w:tab/>
            </w:r>
            <w:r>
              <w:rPr>
                <w:b/>
                <w:i/>
              </w:rPr>
              <w:t>mivel az ifjúsági garancia a kölcsönös kötelezettségvállalás elvén alapul, amelynek értelmében a fiataloknak nemcsak joguk van a magas színvonalú ajánlathoz, hanem kötelességük is az aktív részvétel és az észszerű foglalkoztatási, képzési vagy oktatási lehetőségek elfogadása;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Liesbet Sommen, Maravillas Abadía Jover,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 j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 j.</w:t>
            </w:r>
            <w:r>
              <w:tab/>
            </w:r>
            <w:r>
              <w:rPr>
                <w:b/>
                <w:i/>
              </w:rPr>
              <w:t>mivel a tagállamoknak ezért biztosítaniuk kell, hogy az észszerű ajánlatok ismételt és indokolatlan elutasítása esetén a nemzeti joggal összhangban megfelelő intézkedéseket lehessen alkalmazni a passzivitás megelőzése és a fiatalok személyes felelősségének előmozdítása érdekében;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r>
        <w:rPr>
          <w:rStyle w:val="HideTWBExt"/>
        </w:rPr>
        <w:t>&lt;/RepeatBlock-Amend&gt;</w:t>
      </w:r>
    </w:p>
    <w:sectPr>
      <w:footerReference w:type="even" r:id="rId5"/>
      <w:footerReference w:type="default" r:id="rId6"/>
      <w:footerReference w:type="first" r:id="rId7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787.791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42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43</w:t>
    </w:r>
    <w:r>
      <w:fldChar w:fldCharType="end"/>
    </w:r>
    <w:r>
      <w:tab/>
    </w:r>
    <w:r>
      <w:rPr>
        <w:rStyle w:val="HideTWBExt"/>
      </w:rPr>
      <w:t>&lt;PathFdR&gt;</w:t>
    </w:r>
    <w:r>
      <w:t>AM\1342335HU.docx</w:t>
    </w:r>
    <w:r>
      <w:rPr>
        <w:rStyle w:val="HideTWBExt"/>
      </w:rPr>
      <w:t>&lt;/PathFdR&gt;</w:t>
    </w:r>
  </w:p>
  <w:p>
    <w:pPr>
      <w:pStyle w:val="EPFooter2"/>
    </w:pPr>
    <w:r>
      <w:t>HU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AM\1342335HU.docx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43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43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787.791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HU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AM\1342335HU.docx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787.791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HU</w:t>
    </w:r>
    <w:r>
      <w:tab/>
    </w:r>
    <w:r>
      <w:rPr>
        <w:rStyle w:val="EPFooter2Motto"/>
      </w:rPr>
      <w:t>Egyesülve a sokféleségben</w:t>
    </w:r>
    <w:r>
      <w:tab/>
    </w:r>
    <w:r>
      <w:t>HU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/>
      <w:ind w:left="1416"/>
    </w:pPr>
    <w:rPr>
      <w:b/>
    </w:r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widowControl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 w:themeColor="bg2" w:themeFill="bg2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/>
      <w:spacing w:after="240"/>
    </w:p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43</Pages>
  <Words>6064</Words>
  <Characters>43869</Characters>
  <Application>Microsoft Office Word</Application>
  <DocSecurity>0</DocSecurity>
  <Lines>1</Lines>
  <Paragraphs>732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HU</vt:lpwstr>
  </property>
  <property fmtid="{D5CDD505-2E9C-101B-9397-08002B2CF9AE}" pid="3" name="&lt;FdR&gt;">
    <vt:lpwstr>1342335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508450</vt:lpwstr>
  </property>
  <property fmtid="{D5CDD505-2E9C-101B-9397-08002B2CF9AE}" pid="7" name="dmxml.render.traceId">
    <vt:lpwstr>6a16e6dacda5d119e739af0eae15f2fa</vt:lpwstr>
  </property>
  <property fmtid="{D5CDD505-2E9C-101B-9397-08002B2CF9AE}" pid="8" name="FooterPath">
    <vt:lpwstr>AM\1342335HU.docx</vt:lpwstr>
  </property>
  <property fmtid="{D5CDD505-2E9C-101B-9397-08002B2CF9AE}" pid="9" name="PE Number">
    <vt:lpwstr>787.791</vt:lpwstr>
  </property>
  <property fmtid="{D5CDD505-2E9C-101B-9397-08002B2CF9AE}" pid="10" name="UID">
    <vt:lpwstr>eu.europa.europarl-DIN1-2026-0000110653_01.00-hu-01.00_text-xml</vt:lpwstr>
  </property>
</Properties>
</file>