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Commissione per l'occupazione e gli affari sociali</w:t>
      </w:r>
      <w:r>
        <w:rPr>
          <w:rStyle w:val="HideTWBExt"/>
        </w:rPr>
        <w:t>&lt;/Commission&gt;</w:t>
      </w:r>
    </w:p>
    <w:p>
      <w:pPr>
        <w:pStyle w:val="LineBottom"/>
      </w:pPr>
      <w:r>
        <w:t xml:space="preserve"> </w:t>
      </w:r>
    </w:p>
    <w:p>
      <w:pPr>
        <w:pStyle w:val="CoverReference"/>
      </w:pPr>
      <w:r>
        <w:rPr>
          <w:rStyle w:val="HideTWBExt"/>
        </w:rPr>
        <w:t>&lt;RefProc&gt;</w:t>
      </w:r>
      <w:r>
        <w:t>2025/2184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{23/04/2026}</w:t>
      </w:r>
      <w:r>
        <w:t>23.4.2026</w:t>
      </w:r>
      <w:r>
        <w:rPr>
          <w:rStyle w:val="HideTWBExt"/>
        </w:rPr>
        <w:t>&lt;/Date&gt;</w:t>
      </w:r>
    </w:p>
    <w:p>
      <w:pPr>
        <w:pStyle w:val="CoverDocType"/>
      </w:pPr>
      <w:r>
        <w:rPr>
          <w:rStyle w:val="HideTWBExt"/>
        </w:rPr>
        <w:t>&lt;TypeAM&gt;</w:t>
      </w:r>
      <w:r>
        <w:t>EMENDAMENTI</w:t>
      </w:r>
      <w:r>
        <w:rPr>
          <w:rStyle w:val="HideTWBExt"/>
        </w:rPr>
        <w:t>&lt;/TypeAM&gt;</w:t>
      </w:r>
    </w:p>
    <w:p>
      <w:pPr>
        <w:pStyle w:val="CoverDocType24a"/>
      </w:pPr>
      <w:r>
        <w:rPr>
          <w:rStyle w:val="HideTWBExt"/>
        </w:rPr>
        <w:t>&lt;RangeAM&gt;</w:t>
      </w:r>
      <w:r>
        <w:t>1</w:t>
      </w:r>
      <w:r>
        <w:t xml:space="preserve"> - </w:t>
      </w:r>
      <w:r>
        <w:t>80</w:t>
      </w:r>
      <w:r>
        <w:rPr>
          <w:rStyle w:val="HideTWBExt"/>
        </w:rPr>
        <w:t>&lt;/RangeAM&gt;</w:t>
      </w:r>
    </w:p>
    <w:p>
      <w:pPr>
        <w:pStyle w:val="CoverBold"/>
      </w:pPr>
      <w:r>
        <w:rPr>
          <w:rStyle w:val="HideTWBExt"/>
        </w:rPr>
        <w:t>&lt;TitreType&gt;</w:t>
      </w:r>
      <w:r>
        <w:t>Progetto di relazione</w:t>
      </w:r>
      <w:r>
        <w:rPr>
          <w:rStyle w:val="HideTWBExt"/>
        </w:rPr>
        <w:t>&lt;/TitreType&gt;</w:t>
      </w:r>
    </w:p>
    <w:p>
      <w:pPr>
        <w:pStyle w:val="CoverBold"/>
      </w:pPr>
      <w:r>
        <w:rPr>
          <w:rStyle w:val="HideTWBExt"/>
        </w:rPr>
        <w:t>&lt;Rapporteur&gt;</w:t>
      </w:r>
      <w:r>
        <w:t>Hristo Petrov</w:t>
      </w:r>
      <w:r>
        <w:rPr>
          <w:rStyle w:val="HideTWBExt"/>
        </w:rPr>
        <w:t>&lt;/Rapporteur&gt;</w:t>
      </w:r>
    </w:p>
    <w:p>
      <w:pPr>
        <w:pStyle w:val="CoverNormal24a"/>
      </w:pPr>
      <w:r>
        <w:rPr>
          <w:rStyle w:val="HideTWBExt"/>
        </w:rPr>
        <w:t>&lt;DocRefPE&gt;</w:t>
      </w:r>
      <w:r>
        <w:t>(PE785.214v01-00)</w:t>
      </w:r>
      <w:r>
        <w:rPr>
          <w:rStyle w:val="HideTWBExt"/>
        </w:rPr>
        <w:t>&lt;/DocRefPE&gt;</w:t>
      </w:r>
    </w:p>
    <w:p>
      <w:pPr>
        <w:pStyle w:val="CoverNormal"/>
      </w:pPr>
      <w:r>
        <w:rPr>
          <w:rStyle w:val="HideTWBExt"/>
        </w:rPr>
        <w:t>&lt;Titre&gt;</w:t>
      </w:r>
      <w:r>
        <w:t>Attuazione della raccomandazione del Consiglio del 30 ottobre 2020 relativa a un ponte verso il lavoro, che rafforza la garanzia per i giovani e sostituisce la raccomandazione del Consiglio del 22 aprile 2013 sull’istituzione di una garanzia per i giovani</w:t>
      </w:r>
      <w:r>
        <w:rPr>
          <w:rStyle w:val="HideTWBExt"/>
        </w:rPr>
        <w:t>&lt;/Titre&gt;</w:t>
      </w:r>
    </w:p>
    <w:p>
      <w:pPr>
        <w:pStyle w:val="CoverNormal24a"/>
      </w:pPr>
      <w:r>
        <w:rPr>
          <w:rStyle w:val="HideTWBExt"/>
        </w:rPr>
        <w:t>&lt;DocRef&gt;</w:t>
      </w:r>
      <w:r>
        <w:t>(2025/2184(INI))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Emendamento</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visti gli obiettivi di politica sociale di cui agli articoli 151 e 153 TFUE, in combinato disposto con l'articolo 3 del regolamento (CE) n. 883/2004 relativo alla sicurezza sociale e alle prestazioni sociali,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 nome del gruppoVerts/ALE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visto il pilastro europeo dei diritti sociali proclamato e firmato dal Consiglio, dal Parlamento e dalla Commissione il 17 novembre 2017, in particolare i principi 1, 3 e 4,</w:t>
            </w:r>
          </w:p>
        </w:tc>
        <w:tc>
          <w:tcPr>
            <w:tcW w:w="4876" w:type="dxa"/>
            <w:tcBorders>
              <w:top w:val="nil"/>
              <w:left w:val="nil"/>
              <w:bottom w:val="nil"/>
              <w:right w:val="nil"/>
            </w:tcBorders>
          </w:tcPr>
          <w:p>
            <w:pPr>
              <w:pStyle w:val="Normal6a"/>
            </w:pPr>
            <w:r>
              <w:rPr>
                <w:b/>
                <w:i/>
              </w:rPr>
              <w:t>–</w:t>
            </w:r>
            <w:r>
              <w:tab/>
            </w:r>
            <w:r>
              <w:t xml:space="preserve">visto il pilastro europeo dei diritti sociali proclamato e firmato dal Consiglio, dal Parlamento e dalla Commissione il 17 novembre 2017, in particolare i principi 1, 3 e 4, </w:t>
            </w:r>
            <w:r>
              <w:rPr>
                <w:b/>
                <w:i/>
              </w:rPr>
              <w:t>e il suo obiettivo di portare il tasso di NEET al 9 % entro il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visto il pilastro europeo dei diritti sociali proclamato e firmato dal Consiglio, dal Parlamento e dalla Commissione il 17 novembre 2017, in particolare i principi 1, 3 e 4,</w:t>
            </w:r>
          </w:p>
        </w:tc>
        <w:tc>
          <w:tcPr>
            <w:tcW w:w="4876" w:type="dxa"/>
            <w:tcBorders>
              <w:top w:val="nil"/>
              <w:left w:val="nil"/>
              <w:bottom w:val="nil"/>
              <w:right w:val="nil"/>
            </w:tcBorders>
          </w:tcPr>
          <w:p>
            <w:pPr>
              <w:pStyle w:val="Normal6a"/>
            </w:pPr>
            <w:r>
              <w:rPr>
                <w:b/>
                <w:i/>
              </w:rPr>
              <w:t>–</w:t>
            </w:r>
            <w:r>
              <w:tab/>
            </w:r>
            <w:r>
              <w:t xml:space="preserve">visto il pilastro europeo dei diritti sociali proclamato e firmato dal Consiglio, dal Parlamento e dalla Commissione il 17 novembre 2017, in particolare i principi 1, 3 e 4, </w:t>
            </w:r>
            <w:r>
              <w:rPr>
                <w:b/>
                <w:i/>
              </w:rPr>
              <w:t>e il suo obiettivo di portare il tasso di NEET al 9 % entro il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visti gli articoli 7 e 17 della Carta sociale europea riveduta,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 nome del gruppoVerts/ALE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viste le conclusioni del Consiglio sul ruolo dell'animazione socioeducativa nel sostegno dello sviluppo nei giovani di competenze essenziali per la vita che ne facilitino il passaggio positivo all'età adulta, alla cittadinanza attiva e alla vita lavorativa (2017/C 189/06)</w:t>
            </w:r>
            <w:r>
              <w:rPr>
                <w:b/>
                <w:i/>
                <w:vertAlign w:val="superscript"/>
              </w:rPr>
              <w:t>2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bis</w:t>
            </w:r>
            <w:r>
              <w:t xml:space="preserve"> </w:t>
            </w:r>
            <w:r>
              <w:rPr>
                <w:b/>
                <w:i/>
              </w:rPr>
              <w:t>GU C 189 del 15.6.2017, pagg. 30-34.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 nome del gruppoVerts/ALE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6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l'attuazione della strategia dell'UE per la gioventù (2019-2021) (2021/C 504 I/02)</w:t>
            </w:r>
            <w:r>
              <w:rPr>
                <w:b/>
                <w:i/>
                <w:vertAlign w:val="superscript"/>
              </w:rPr>
              <w:t>2 ter</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ter</w:t>
            </w:r>
            <w:r>
              <w:t xml:space="preserve"> </w:t>
            </w:r>
            <w:r>
              <w:rPr>
                <w:b/>
                <w:i/>
              </w:rPr>
              <w:t>GU C 504I del 14.12.2021, pagg. 10-11.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 nome del gruppoVerts/ALE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6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comunicazione della Commissione europea del 20 gennaio 2026 dal titolo "Unione dell'uguaglianza:</w:t>
            </w:r>
            <w:r>
              <w:t xml:space="preserve"> </w:t>
            </w:r>
            <w:r>
              <w:rPr>
                <w:b/>
                <w:i/>
              </w:rPr>
              <w:t>strategia contro il razzismo 2026-2030" (COM(2026)0012)</w:t>
            </w:r>
            <w:r>
              <w:rPr>
                <w:b/>
                <w:i/>
                <w:vertAlign w:val="superscript"/>
              </w:rPr>
              <w:t>2 quater</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quater</w:t>
            </w:r>
            <w:r>
              <w:t xml:space="preserve"> </w:t>
            </w:r>
            <w:r>
              <w:rPr>
                <w:b/>
                <w:i/>
              </w:rPr>
              <w:t>COM/2026/12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 nome del gruppoVerts/ALE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6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relazione della FRA dal titolo "Being Black in the EU – Experiences of people of African descent" (Essere neri nell'UE – Esperienze di persone di origine africana)</w:t>
            </w:r>
            <w:r>
              <w:rPr>
                <w:b/>
                <w:i/>
                <w:vertAlign w:val="superscript"/>
              </w:rPr>
              <w:t>2 quinquies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quinquies</w:t>
            </w:r>
            <w:r>
              <w:t xml:space="preserve"> </w:t>
            </w:r>
            <w:r>
              <w:rPr>
                <w:b/>
                <w:i/>
              </w:rPr>
              <w:t>https:l/fra.europa.eu/en/publication/2023/being-black-eu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 nome del gruppoVerts/ALE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6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relazione della FRA dal titolo "Being Muslim in the EU – Experiences of Muslim" (Essere musulmani nell'UE – Esperienze dei musulmani)</w:t>
            </w:r>
            <w:r>
              <w:rPr>
                <w:b/>
                <w:i/>
                <w:vertAlign w:val="superscript"/>
              </w:rPr>
              <w:t>2 sexies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sexies</w:t>
            </w:r>
            <w:r>
              <w:t xml:space="preserve"> </w:t>
            </w:r>
            <w:r>
              <w:rPr>
                <w:b/>
                <w:i/>
              </w:rPr>
              <w:t>https://fra.europa.eu/en/publication/2024/being-muslim-eu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visti i messaggi chiave del comitato per l'occupazione (EMCO), approvati dal Consiglio nella formazione EPSCO nel 2016, 2018, 2019, 2021, 2023, 2025 e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visti gli obiettivi di sviluppo sostenibile (OSS) delle Nazioni Unite, in particolare l'obiettivo 8, adottato dai leader mondiali nel settembre 2015 e approvato dal Consiglio,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Carta sociale europea, in particolare gli articoli 7 e 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l'Agenda 2030 per gli obiettivi di sviluppo sostenibile, in particolare l'obiettivo n. 8 "incentivare una crescita economica duratura, inclusiva e sostenibile, un'occupazione piena e produttiva e un lavoro dignitoso per tutti",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raccomandazione del Consiglio, del 9 marzo 2026, sul capitale umano nell'Unione europea</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GU C, C/2026/1687.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16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il parere del Comitato europeo delle regioni del 5 febbraio 2021 sul tema "Sostegno all'occupazione giovanile:</w:t>
            </w:r>
            <w:r>
              <w:t xml:space="preserve"> </w:t>
            </w:r>
            <w:r>
              <w:rPr>
                <w:b/>
                <w:i/>
              </w:rPr>
              <w:t>un ponte verso il lavoro per la prossima generazione - Rafforzare la garanzia per i giovani"</w:t>
            </w:r>
            <w:r>
              <w:rPr>
                <w:b/>
                <w:i/>
                <w:vertAlign w:val="superscript"/>
              </w:rPr>
              <w:t>2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bis</w:t>
            </w:r>
            <w:r>
              <w:t xml:space="preserve"> </w:t>
            </w:r>
            <w:r>
              <w:rPr>
                <w:b/>
                <w:i/>
              </w:rPr>
              <w:t>GU C 106 del 26.3.2021, pagg. 7-11.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il parere del Comitato economico e sociale europeo del 29 ottobre 2020 dal titolo "Rafforzare la garanzia per i giovani",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relazione 2024 di Eurofound dal titolo "Diventare adulti: i giovani in un mondo post-pandemico"</w:t>
            </w:r>
            <w:r>
              <w:rPr>
                <w:b/>
                <w:i/>
                <w:vertAlign w:val="superscript"/>
              </w:rPr>
              <w:t>3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bis</w:t>
            </w:r>
            <w:r>
              <w:t xml:space="preserve"> </w:t>
            </w:r>
            <w:r>
              <w:rPr>
                <w:b/>
                <w:i/>
              </w:rPr>
              <w:t>Eurofound (2024), Becoming adults:</w:t>
            </w:r>
            <w:r>
              <w:t xml:space="preserve"> </w:t>
            </w:r>
            <w:r>
              <w:rPr>
                <w:b/>
                <w:i/>
              </w:rPr>
              <w:t>Young people in a post-pandemic world, Ufficio delle pubblicazioni dell'Unione europea, Lussemburgo.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17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relazione di Eurofound del 2024 dal titolo "I giovani nei Balcani occidentali"</w:t>
            </w:r>
            <w:r>
              <w:rPr>
                <w:b/>
                <w:i/>
                <w:vertAlign w:val="superscript"/>
              </w:rPr>
              <w:t>4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 bis</w:t>
            </w:r>
            <w:r>
              <w:t xml:space="preserve"> </w:t>
            </w:r>
            <w:r>
              <w:rPr>
                <w:b/>
                <w:i/>
              </w:rPr>
              <w:t>Eurofound, Young people in the Western Balkans, Ufficio delle pubblicazioni dell'Unione europea, Lussemburgo,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17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pubblicazione del CEDEFOP del 2023 dal titolo "Linee guida europee per la convalida dell’apprendimento non formale e informale"</w:t>
            </w:r>
            <w:r>
              <w:rPr>
                <w:b/>
                <w:i/>
                <w:vertAlign w:val="superscript"/>
              </w:rPr>
              <w:t>5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 bis</w:t>
            </w:r>
            <w:r>
              <w:t xml:space="preserve"> </w:t>
            </w:r>
            <w:r>
              <w:rPr>
                <w:b/>
                <w:i/>
              </w:rPr>
              <w:t>Cedefop,</w:t>
            </w:r>
            <w:r>
              <w:t xml:space="preserve"> </w:t>
            </w:r>
            <w:r>
              <w:rPr>
                <w:b/>
                <w:i/>
              </w:rPr>
              <w:t>European guidelines for validating non-formal and informal learning.</w:t>
            </w:r>
            <w:r>
              <w:t xml:space="preserve"> </w:t>
            </w:r>
            <w:r>
              <w:rPr>
                <w:b/>
                <w:i/>
              </w:rPr>
              <w:t>Lussemburgo:</w:t>
            </w:r>
            <w:r>
              <w:t xml:space="preserve"> </w:t>
            </w:r>
            <w:r>
              <w:rPr>
                <w:b/>
                <w:i/>
              </w:rPr>
              <w:t>Ufficio delle pubblicazioni dell'Unione europea, 2023,</w:t>
            </w:r>
            <w:r>
              <w:t xml:space="preserve"> </w:t>
            </w:r>
            <w:r>
              <w:rPr>
                <w:b/>
                <w:i/>
              </w:rPr>
              <w:t>Serie di riferimento Cedefop;</w:t>
            </w:r>
            <w:r>
              <w:t xml:space="preserve"> </w:t>
            </w:r>
            <w:r>
              <w:rPr>
                <w:b/>
                <w:i/>
              </w:rPr>
              <w:t>n. 124. http://data.europa.eu/doi/10.2801/389827.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17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pubblicazione della Fondazione europea per la formazione professionale del 2025 dal titolo "Sensibilizzazione dei giovani che non hanno un lavoro, né seguono un percorso scolastico o formativo:</w:t>
            </w:r>
            <w:r>
              <w:t xml:space="preserve"> </w:t>
            </w:r>
            <w:r>
              <w:rPr>
                <w:b/>
                <w:i/>
              </w:rPr>
              <w:t>manuale pratico per la sensibilizzazione"</w:t>
            </w:r>
            <w:r>
              <w:rPr>
                <w:b/>
                <w:i/>
                <w:vertAlign w:val="superscript"/>
              </w:rPr>
              <w:t>6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 bis</w:t>
            </w:r>
            <w:r>
              <w:t xml:space="preserve"> </w:t>
            </w:r>
            <w:r>
              <w:rPr>
                <w:b/>
                <w:i/>
              </w:rPr>
              <w:t>Fondazione europea per la formazione professionale, Sensibilizzazione dei giovani che non hanno un lavoro, né seguono un percorso scolastico o formativo:</w:t>
            </w:r>
            <w:r>
              <w:t xml:space="preserve"> </w:t>
            </w:r>
            <w:r>
              <w:rPr>
                <w:b/>
                <w:i/>
              </w:rPr>
              <w:t>manuale pratico per la sensibilizzazione, Torino, Italia,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17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pubblicazione del 2026 del CEDEFOP dal titolo "Un quadro di riferimento dell'UE per l'orientamento permanente: 18 orientamenti per lo sviluppo di politiche e sistemi"</w:t>
            </w:r>
            <w:r>
              <w:rPr>
                <w:b/>
                <w:i/>
                <w:vertAlign w:val="superscript"/>
              </w:rPr>
              <w:t>7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 bis</w:t>
            </w:r>
            <w:r>
              <w:t xml:space="preserve"> </w:t>
            </w:r>
            <w:r>
              <w:rPr>
                <w:b/>
                <w:i/>
              </w:rPr>
              <w:t>Cedefop,</w:t>
            </w:r>
            <w:r>
              <w:t xml:space="preserve"> </w:t>
            </w:r>
            <w:r>
              <w:rPr>
                <w:b/>
                <w:i/>
              </w:rPr>
              <w:t>An EU reference framework for lifelong guidance.</w:t>
            </w:r>
            <w:r>
              <w:t xml:space="preserve"> </w:t>
            </w:r>
            <w:r>
              <w:rPr>
                <w:b/>
                <w:i/>
              </w:rPr>
              <w:t>18 guidelines for policy and systems development.</w:t>
            </w:r>
            <w:r>
              <w:t xml:space="preserve"> </w:t>
            </w:r>
            <w:r>
              <w:rPr>
                <w:b/>
                <w:i/>
              </w:rPr>
              <w:t>Serie di riferimento Cedefop, 125.</w:t>
            </w:r>
            <w:r>
              <w:t xml:space="preserve"> </w:t>
            </w:r>
            <w:r>
              <w:rPr>
                <w:b/>
                <w:i/>
              </w:rPr>
              <w:t>Ufficio delle pubblicazioni dell'Unione europea, 2026.</w:t>
            </w:r>
            <w:r>
              <w:t xml:space="preserve"> </w:t>
            </w:r>
            <w:r>
              <w:rPr>
                <w:b/>
                <w:i/>
              </w:rPr>
              <w:t>DOI:</w:t>
            </w:r>
            <w:r>
              <w:t xml:space="preserve"> </w:t>
            </w:r>
            <w:r>
              <w:rPr>
                <w:b/>
                <w:i/>
              </w:rPr>
              <w:t>10.2801/8255414.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vista la valutazione dell'attuazione a livello europeo, del 18 dicembre 2018, dal titolo "The implementation of the reinforced Youth Guarantee – Trends in EU Member States, impact, EU funding and governance" (L'attuazione della garanzia per i giovani rafforzata – Tendenze negli Stati membri dell'UE, impatto, finanziamenti dell'UE e governance), pubblicata dal Servizio Ricerca del Parlamento europeo,</w:t>
            </w:r>
          </w:p>
        </w:tc>
        <w:tc>
          <w:tcPr>
            <w:tcW w:w="4876" w:type="dxa"/>
            <w:tcBorders>
              <w:top w:val="nil"/>
              <w:left w:val="nil"/>
              <w:bottom w:val="nil"/>
              <w:right w:val="nil"/>
            </w:tcBorders>
          </w:tcPr>
          <w:p>
            <w:pPr>
              <w:pStyle w:val="Normal6a"/>
            </w:pPr>
            <w:r>
              <w:rPr>
                <w:b/>
                <w:i/>
              </w:rPr>
              <w:t>–</w:t>
            </w:r>
            <w:r>
              <w:tab/>
            </w:r>
            <w:r>
              <w:t>vista la valutazione dell'attuazione a livello europeo, del 18 dicembre 2018, dal titolo "The implementation of the reinforced Youth Guarantee – Trends in EU Member States, impact, EU funding and governance" (L'attuazione della garanzia per i giovani rafforzata – Tendenze negli Stati membri dell'UE, impatto, finanziamenti dell'UE e governance), pubblicata dal Servizio Ricerca del Parlamento europeo</w:t>
            </w:r>
            <w:r>
              <w:rPr>
                <w:b/>
                <w:i/>
                <w:vertAlign w:val="superscript"/>
              </w:rPr>
              <w:t>8 bis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 bis</w:t>
            </w:r>
            <w:r>
              <w:t xml:space="preserve"> </w:t>
            </w:r>
            <w:r>
              <w:rPr>
                <w:b/>
                <w:i/>
              </w:rPr>
              <w:t>https://www.europarl.europa.eu/thinktank/it/document/EPRS_STU(2026)774716.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lo studio pubblicato dal Comitato europeo delle regioni nel giugno 2022 dal titolo "Attuazione locale della garanzia per i giovani rafforzata",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18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il documento di sintesi del Forum europeo della gioventù del 13 marzo 2025 dal titolo: "Garanzia per i giovani: come sostenere i giovani a trovare la loro strada",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sua risoluzione del 21 novembre 2023 intitolata "Ridurre le disuguaglianze e promuovere l'inclusione sociale in tempi di crisi per i minori e le loro famiglie"</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https://eur-lex.europa.eu/eli/C/2024/4211/oj/eng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sua risoluzione del 17 febbraio 2022 sul rafforzamento del ruolo dei giovani europei:</w:t>
            </w:r>
            <w:r>
              <w:t xml:space="preserve"> </w:t>
            </w:r>
            <w:r>
              <w:rPr>
                <w:b/>
                <w:i/>
              </w:rPr>
              <w:t>occupazione e ripresa sociale dopo la pandemia</w:t>
            </w:r>
            <w:r>
              <w:rPr>
                <w:b/>
                <w:i/>
                <w:vertAlign w:val="superscript"/>
              </w:rPr>
              <w:t>9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 bis</w:t>
            </w:r>
            <w:r>
              <w:t xml:space="preserve"> </w:t>
            </w:r>
            <w:r>
              <w:rPr>
                <w:b/>
                <w:i/>
              </w:rPr>
              <w:t>GU C 342 del 6.9.2022, pagg. 265–275.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19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sua risoluzione dell'11 marzo 2025 sul Fondo sociale europeo Plus post-2027</w:t>
            </w:r>
            <w:r>
              <w:rPr>
                <w:b/>
                <w:i/>
                <w:vertAlign w:val="superscript"/>
              </w:rPr>
              <w:t>10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 bis</w:t>
            </w:r>
            <w:r>
              <w:t xml:space="preserve"> </w:t>
            </w:r>
            <w:r>
              <w:rPr>
                <w:b/>
                <w:i/>
              </w:rPr>
              <w:t>OJ C, C/2025/3146.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19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risoluzione del Parlamento europeo del 27 novembre 2025 sulla strategia dell'UE sui diritti delle persone con disabilità per il periodo successivo al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che la garanzia per i giovani rafforzata rappresenta un impegno da parte degli Stati membri nei confronti dei giovani di età inferiore ai 30 anni a offrire a questi ultimi l'opportunità di un'offerta di lavoro qualitativamente valida, di proseguimento dell'istruzione oppure di tirocinio o apprendistato entro quattro mesi dalla perdita del lavoro o dall'uscita dal sistema di istruzione;</w:t>
            </w:r>
          </w:p>
        </w:tc>
        <w:tc>
          <w:tcPr>
            <w:tcW w:w="4876" w:type="dxa"/>
            <w:tcBorders>
              <w:top w:val="nil"/>
              <w:left w:val="nil"/>
              <w:bottom w:val="nil"/>
              <w:right w:val="nil"/>
            </w:tcBorders>
          </w:tcPr>
          <w:p>
            <w:pPr>
              <w:pStyle w:val="Normal6a"/>
            </w:pPr>
            <w:r>
              <w:t>A.</w:t>
            </w:r>
            <w:r>
              <w:tab/>
            </w:r>
            <w:r>
              <w:t xml:space="preserve">considerando che la garanzia per i giovani rafforzata rappresenta un impegno da parte degli Stati membri nei confronti dei giovani </w:t>
            </w:r>
            <w:r>
              <w:rPr>
                <w:b/>
                <w:i/>
              </w:rPr>
              <w:t>cittadini</w:t>
            </w:r>
            <w:r>
              <w:t xml:space="preserve"> di età inferiore ai 30 anni a offrire </w:t>
            </w:r>
            <w:r>
              <w:rPr>
                <w:b/>
                <w:i/>
              </w:rPr>
              <w:t>teoricamente</w:t>
            </w:r>
            <w:r>
              <w:t xml:space="preserve"> a questi ultimi l'opportunità di un'offerta di lavoro qualitativamente valida, di proseguimento dell'istruzione oppure di tirocinio o apprendistato entro quattro mesi dalla perdita del lavoro o dall'uscita dal sistema di istruzione; </w:t>
            </w:r>
            <w:r>
              <w:rPr>
                <w:b/>
                <w:i/>
              </w:rPr>
              <w:t>che tale impegno si è scontrato con la realtà e si è rivelato un'illusione burocratica, dato che oltre la metà dei giovani dell'Unione aspetta ancora un'offerta al di là di tale termine;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che la garanzia per i giovani rafforzata rappresenta un impegno da parte degli Stati membri nei confronti dei giovani di età inferiore ai 30 anni a offrire a questi ultimi l'opportunità di un'offerta di lavoro qualitativamente valida, di proseguimento dell'istruzione oppure di tirocinio o apprendistato entro quattro mesi dalla perdita del lavoro o dall'uscita dal sistema di istruzione;</w:t>
            </w:r>
          </w:p>
        </w:tc>
        <w:tc>
          <w:tcPr>
            <w:tcW w:w="4876" w:type="dxa"/>
            <w:tcBorders>
              <w:top w:val="nil"/>
              <w:left w:val="nil"/>
              <w:bottom w:val="nil"/>
              <w:right w:val="nil"/>
            </w:tcBorders>
          </w:tcPr>
          <w:p>
            <w:pPr>
              <w:pStyle w:val="Normal6a"/>
            </w:pPr>
            <w:r>
              <w:t>A.</w:t>
            </w:r>
            <w:r>
              <w:tab/>
            </w:r>
            <w:r>
              <w:t xml:space="preserve">considerando che la garanzia per i giovani rafforzata rappresenta un impegno da parte degli Stati membri nei confronti dei giovani di età inferiore ai 30 anni a offrire a questi ultimi l'opportunità di un'offerta di lavoro qualitativamente valida, di proseguimento dell'istruzione oppure di tirocinio o apprendistato entro quattro mesi dalla perdita del lavoro o dall'uscita dal sistema di istruzione; </w:t>
            </w:r>
            <w:r>
              <w:rPr>
                <w:b/>
                <w:i/>
              </w:rPr>
              <w:t>che, dalla sua istituzione nel 2013, circa 60 milioni di giovani europei hanno avviato un'offerta nell'ambito dei sistemi di garanzia per i giovani;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che la garanzia per i giovani rafforzata rappresenta un impegno da parte degli Stati membri nei confronti dei giovani di età inferiore ai 30 anni a offrire a questi ultimi l'opportunità di un'offerta di lavoro </w:t>
            </w:r>
            <w:r>
              <w:rPr>
                <w:b/>
                <w:i/>
              </w:rPr>
              <w:t>qualitativamente valida</w:t>
            </w:r>
            <w:r>
              <w:t>, di proseguimento dell'istruzione oppure di tirocinio o apprendistato entro quattro mesi dalla perdita del lavoro o dall'uscita dal sistema di istruzione;</w:t>
            </w:r>
          </w:p>
        </w:tc>
        <w:tc>
          <w:tcPr>
            <w:tcW w:w="4876" w:type="dxa"/>
            <w:tcBorders>
              <w:top w:val="nil"/>
              <w:left w:val="nil"/>
              <w:bottom w:val="nil"/>
              <w:right w:val="nil"/>
            </w:tcBorders>
          </w:tcPr>
          <w:p>
            <w:pPr>
              <w:pStyle w:val="Normal6a"/>
            </w:pPr>
            <w:r>
              <w:t>A.</w:t>
            </w:r>
            <w:r>
              <w:tab/>
            </w:r>
            <w:r>
              <w:t xml:space="preserve">considerando che la garanzia per i giovani </w:t>
            </w:r>
            <w:r>
              <w:rPr>
                <w:b/>
                <w:i/>
              </w:rPr>
              <w:t>è stata istituita nel 2013 e</w:t>
            </w:r>
            <w:r>
              <w:t xml:space="preserve"> rafforzata </w:t>
            </w:r>
            <w:r>
              <w:rPr>
                <w:b/>
                <w:i/>
              </w:rPr>
              <w:t>nel 2020;</w:t>
            </w:r>
            <w:r>
              <w:t xml:space="preserve"> </w:t>
            </w:r>
            <w:r>
              <w:rPr>
                <w:b/>
                <w:i/>
              </w:rPr>
              <w:t>che</w:t>
            </w:r>
            <w:r>
              <w:t xml:space="preserve"> rappresenta un impegno da parte degli Stati membri nei confronti dei giovani di età inferiore ai 30 anni a offrire a questi ultimi l'opportunità di un'offerta di lavoro </w:t>
            </w:r>
            <w:r>
              <w:rPr>
                <w:b/>
                <w:i/>
              </w:rPr>
              <w:t>qualitativa</w:t>
            </w:r>
            <w:r>
              <w:t>, di proseguimento dell'istruzione oppure di tirocinio o apprendistato entro quattro mesi dalla perdita del lavoro o dall'uscita dal sistema di istruzione;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che l'obiettivo della garanzia per i giovani è combattere la disoccupazione giovanile, l'inattività e la sottoccupazione e sostenere l'integrazione sostenibile dei giovani nell'istruzione, nella formazione e nel mercato del lavoro di qualità;</w:t>
            </w:r>
            <w:r>
              <w:t xml:space="preserve"> </w:t>
            </w:r>
            <w:r>
              <w:rPr>
                <w:b/>
                <w:i/>
              </w:rPr>
              <w:t>che gli obiettivi della garanzia per i giovani riflettono le priorità politiche condivise del Parlamento europeo, della Commissione e degli Stati membri nell'ambito dell'attuale quadro finanziario pluriennale (QFP), contribuendo all'obiettivo dell'Unione di una crescita economica sostenibile e della creazione di posti di lavoro di alta qualità in linea con il pilastro europeo dei diritti sociali;</w:t>
            </w:r>
            <w:r>
              <w:t xml:space="preserve"> </w:t>
            </w:r>
            <w:r>
              <w:rPr>
                <w:b/>
                <w:i/>
              </w:rPr>
              <w:t>che i problemi persistenti e le nuove sfide in rapida evoluzione per l'integrazione dei giovani nel mercato del lavoro richiedono che tali priorità siano mantenute oltre l'attuale periodo di programmazione;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che gli Stati membri hanno generalmente mantenuto un forte impegno politico a favore dell'attuazione della garanzia per i giovani e dei loro piani nazionali di attuazione;</w:t>
            </w:r>
            <w:r>
              <w:t xml:space="preserve"> </w:t>
            </w:r>
            <w:r>
              <w:rPr>
                <w:b/>
                <w:i/>
              </w:rPr>
              <w:t>che sono stati compiuti sforzi particolari per rafforzare le capacità di sostegno per i NEET e gli esercizi di apprendimento reciproco attraverso riunioni dei coordinatori nazionali a livello dell'UE o oltre;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che la ricerca di Eurofound sottolinea che la popolazione NEET è altamente eterogenea e consiste di sottogruppi distinti, ciascuno dei quali si trova ad affrontare ostacoli ed esigenze strutturali unici che impediscono la sua efficace integrazione nel mercato del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che l'elaborazione e l'attuazione di tali misure dovrebbero rispettare pienamente il principio di sussidiarietà e le competenze degli Stati membri nei settori dell'istruzione, della formazione e delle politiche per l'occupazione;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considerando che il tasso di NEET nell'UE ha ripreso la sua tendenza al ribasso dopo il periodo post-pandemia;</w:t>
            </w:r>
            <w:r>
              <w:t xml:space="preserve"> </w:t>
            </w:r>
            <w:r>
              <w:rPr>
                <w:b/>
                <w:i/>
              </w:rPr>
              <w:t>che il piano d'azione sul pilastro europeo dei diritti sociali prevede l'obiettivo di ridurre il tasso di NEET al 9 % tra i giovani di età compresa tra i 15 e i 29 anni entro il 2030;</w:t>
            </w:r>
            <w:r>
              <w:t xml:space="preserve"> </w:t>
            </w:r>
            <w:r>
              <w:rPr>
                <w:b/>
                <w:i/>
              </w:rPr>
              <w:t>che tale obiettivo è sulla buona strada per essere raggiunto, nonostante le notevoli disparità tra gli Stati membri e le regioni</w:t>
            </w:r>
            <w:r>
              <w:rPr>
                <w:b/>
                <w:i/>
                <w:vertAlign w:val="superscript"/>
              </w:rPr>
              <w:t>11 bis</w:t>
            </w:r>
            <w:r>
              <w:rPr>
                <w:b/>
                <w:i/>
              </w:rPr>
              <w:t>, e che il conseguimento di tale obiettivo lascerebbe ancora un numero significativo di giovani in situazioni precarie;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11 bis</w:t>
            </w:r>
            <w:r>
              <w:t xml:space="preserve"> </w:t>
            </w:r>
            <w:r>
              <w:rPr>
                <w:b/>
                <w:i/>
              </w:rPr>
              <w:t>https://doi.org/10.2908/LFSI_NEET_Q.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considerando che i giovani che non studiano, non frequentano corsi di formazione e non lavorano (NEET) costituiscono un gruppo eterogeneo di giovani con esperienze vissute diverse;</w:t>
            </w:r>
            <w:r>
              <w:t xml:space="preserve"> </w:t>
            </w:r>
            <w:r>
              <w:rPr>
                <w:b/>
                <w:i/>
              </w:rPr>
              <w:t>considerando che la ricerca di Eurofound</w:t>
            </w:r>
            <w:r>
              <w:rPr>
                <w:b/>
                <w:i/>
                <w:vertAlign w:val="superscript"/>
              </w:rPr>
              <w:t>1 bis</w:t>
            </w:r>
            <w:r>
              <w:t xml:space="preserve"> </w:t>
            </w:r>
            <w:r>
              <w:rPr>
                <w:b/>
                <w:i/>
              </w:rPr>
              <w:t>sottolinea che la popolazione NEET è altamente eterogenea e consiste di sottogruppi distinti, ciascuno dei quali si trova ad affrontare ostacoli strutturali unici che impediscono la sua efficace integrazione nel mercato del lavoro e che essa necessita quindi di un sostegno su misura e personalizzato che risponda alle sue esigenze specifiche;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Eurofound, Ricerche sull'eterogeneità dei NEET, Ufficio delle pubblicazioni dell'Unione europea, Lussemburgo,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quater.</w:t>
            </w:r>
            <w:r>
              <w:tab/>
            </w:r>
            <w:r>
              <w:rPr>
                <w:b/>
                <w:i/>
              </w:rPr>
              <w:t>considerando che l'attuazione e il miglioramento della garanzia per i giovani devono prestare particolare attenzione ai NEET in situazioni di vulnerabilità e alle persone più lontane dal mercato del lavoro, che sono spesso difficili da raggiungere;</w:t>
            </w:r>
            <w:r>
              <w:t xml:space="preserve"> </w:t>
            </w:r>
            <w:r>
              <w:rPr>
                <w:b/>
                <w:i/>
              </w:rPr>
              <w:t>che ciò comprende le donne, le persone provenienti da contesti etnici diversi, le comunità rom e nomadi, i giovani senza fissa dimora, i giovani che hanno lasciato l'assistenza istituzionale, le persone LGBTQIA+, i giovani che hanno lo status di migranti o rifugiati, i giovani con disabilità, i giovani che subiscono discriminazioni per motivi religiosi o di credo, i giovani che si trovano ad affrontare malattie croniche o dipendenze, i giovani genitori e i giovani che fungono da prestatori di assistenza informale;</w:t>
            </w:r>
            <w:r>
              <w:t xml:space="preserve"> </w:t>
            </w:r>
            <w:r>
              <w:rPr>
                <w:b/>
                <w:i/>
              </w:rPr>
              <w:t>che occorre operare una chiara distinzione tra i NEET che sono involontariamente esclusi dall'istruzione, dal lavoro o dalla formazione e quelli che sono volontariamente inattivi;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quater.</w:t>
            </w:r>
            <w:r>
              <w:tab/>
            </w:r>
            <w:r>
              <w:rPr>
                <w:b/>
                <w:i/>
              </w:rPr>
              <w:t>considerando che esiste un persistente divario di genere tra i NEET e che il tasso di NEET tra le giovani donne è costantemente superiore a quello dei giovani uomini nell'UE</w:t>
            </w:r>
            <w:r>
              <w:rPr>
                <w:b/>
                <w:i/>
                <w:vertAlign w:val="superscript"/>
              </w:rPr>
              <w:t>12 bis</w:t>
            </w:r>
            <w:r>
              <w:rPr>
                <w:b/>
                <w:i/>
              </w:rPr>
              <w:t>;</w:t>
            </w:r>
            <w:r>
              <w:t xml:space="preserve"> </w:t>
            </w:r>
            <w:r>
              <w:rPr>
                <w:b/>
                <w:i/>
              </w:rPr>
              <w:t>che tale situazione può essere in parte spiegata dalla distribuzione iniqua delle responsabilità di assistenza all'infanzia e delle norme sociali;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12 bis</w:t>
            </w:r>
            <w:r>
              <w:t xml:space="preserve"> </w:t>
            </w:r>
            <w:r>
              <w:rPr>
                <w:b/>
                <w:i/>
              </w:rPr>
              <w:t>https://www.eurofound.europa.eu/en/surveys-and-data/data-catalogue/neet-rates-gender-15-29-age-group.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quinquies.</w:t>
            </w:r>
            <w:r>
              <w:tab/>
            </w:r>
            <w:r>
              <w:rPr>
                <w:b/>
                <w:i/>
              </w:rPr>
              <w:t>considerando che l'integrazione dei NEET nel mercato del lavoro è diventata sempre più complessa, trainata da fattori quali la crescita della gig economy e l'aumento delle forme di occupazione precarie e atipiche, l'aumento dell'intelligenza artificiale e della digitalizzazione e la crisi del costo della vita, compreso l'aumento del costo degli alloggi;</w:t>
            </w:r>
            <w:r>
              <w:t xml:space="preserve"> </w:t>
            </w:r>
            <w:r>
              <w:rPr>
                <w:b/>
                <w:i/>
              </w:rPr>
              <w:t>che tali sviluppi creano ostacoli strutturali all'occupazione sostenibile e aggravano le disuguaglianze che lasciano indietro i NEET vulnerabili;</w:t>
            </w:r>
            <w:r>
              <w:t xml:space="preserve"> </w:t>
            </w:r>
            <w:r>
              <w:rPr>
                <w:b/>
                <w:i/>
              </w:rPr>
              <w:t>che l'attuazione della garanzia per i giovani deve essere riformata e rafforzata per rispondere efficacemente a tali sfide e dare priorità ai NEET più lontani dal mercato del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quinquies.</w:t>
            </w:r>
            <w:r>
              <w:tab/>
            </w:r>
            <w:r>
              <w:rPr>
                <w:b/>
                <w:i/>
              </w:rPr>
              <w:t>considerando che i Rom costituiscono il gruppo con il più elevato tasso di NEET nell'UE, pari al 47 % per i giovani di età compresa tra i 16 e i 24 anni, rispetto a una media UE del 9 % per la stessa fascia di età</w:t>
            </w:r>
            <w:r>
              <w:rPr>
                <w:b/>
                <w:i/>
                <w:vertAlign w:val="superscript"/>
              </w:rPr>
              <w:t>13 bis</w:t>
            </w:r>
            <w:r>
              <w:rPr>
                <w:b/>
                <w:i/>
              </w:rPr>
              <w:t>;</w:t>
            </w:r>
            <w:r>
              <w:t xml:space="preserve"> </w:t>
            </w:r>
            <w:r>
              <w:rPr>
                <w:b/>
                <w:i/>
              </w:rPr>
              <w:t>che nessuno degli Stati membri oggetto dell'indagine è prossimo al conseguimento degli obiettivi stabiliti nel quadro strategico dell'UE per i Rom</w:t>
            </w:r>
            <w:r>
              <w:rPr>
                <w:b/>
                <w:i/>
                <w:vertAlign w:val="superscript"/>
              </w:rPr>
              <w:t>14 bis</w:t>
            </w:r>
            <w:r>
              <w:t xml:space="preserve"> </w:t>
            </w:r>
            <w:r>
              <w:rPr>
                <w:b/>
                <w:i/>
              </w:rPr>
              <w:t>e che, in assenza di un approccio mirato e strategico da parte degli Stati membri, l'UE rischia di lasciare una generazione di giovani Rom e Travellers a rischio di esclusione dall'istruzione, dalla formazione e dal mercato del lavoro;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 bis</w:t>
            </w:r>
            <w:r>
              <w:t xml:space="preserve"> </w:t>
            </w:r>
            <w:r>
              <w:rPr>
                <w:b/>
                <w:i/>
              </w:rPr>
              <w:t>"Rights of Roma and Travellers in 13 European countries - Perspectives from the Roma Survey 2024" (Diritti delle persone Rom e Travellers in 13 paesi europei – Prospettive emerse dall'indagine 2024 sulle persone Rom), Agenzia dell'Unione europea per i diritti fondamentali (FRA), 2 ottobre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 bis</w:t>
            </w:r>
            <w:r>
              <w:t xml:space="preserve"> </w:t>
            </w:r>
            <w:r>
              <w:rPr>
                <w:b/>
                <w:i/>
              </w:rPr>
              <w:t>Commissione europea, 7 ottobre 2020,</w:t>
            </w:r>
            <w:r>
              <w:t xml:space="preserve"> </w:t>
            </w:r>
            <w:r>
              <w:rPr>
                <w:b/>
                <w:i/>
              </w:rPr>
              <w:t>Quadro strategico dell'UE per l'uguaglianza, l'inclusione e la partecipazione dei Rom per il periodo 2020-2030 (COM (2020) 620 final), https://commission.europa.eu/document/download/99cc0720-68c2-4300-854f-592bf21dceaf_en?filename=eu_roma_strategic_framework_for_equality_inclusion_and_participation_for_2020_-_2030.pdf.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sexies.</w:t>
            </w:r>
            <w:r>
              <w:tab/>
            </w:r>
            <w:r>
              <w:rPr>
                <w:b/>
                <w:i/>
              </w:rPr>
              <w:t>considerando che la transizione dall'istruzione al mercato del lavoro è diventata più lunga, meno lineare e sempre più precaria per i giovani, molti dei quali passano dall'occupazione alla disoccupazione e all'inattività o si ritrovano intrappolati in forme di lavoro atipiche;</w:t>
            </w:r>
            <w:r>
              <w:t xml:space="preserve"> </w:t>
            </w:r>
            <w:r>
              <w:rPr>
                <w:b/>
                <w:i/>
              </w:rPr>
              <w:t>che la garanzia per i giovani rafforzata non è sufficientemente adattata a tali percorsi frammentati e continua a basarsi su misure rigide e una tantum;</w:t>
            </w:r>
            <w:r>
              <w:t xml:space="preserve"> </w:t>
            </w:r>
            <w:r>
              <w:rPr>
                <w:b/>
                <w:i/>
              </w:rPr>
              <w:t>che un'efficace integrazione nel mercato del lavoro, in particolare per i NEET vulnerabili, richiede un sostegno flessibile, personalizzato e a lungo termine;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sexies.</w:t>
            </w:r>
            <w:r>
              <w:tab/>
            </w:r>
            <w:r>
              <w:rPr>
                <w:b/>
                <w:i/>
              </w:rPr>
              <w:t>considerando che, secondo l'indagine sui Rom del 2021 condotta dall'Agenzia dell'Unione europea per i diritti fondamentali, il 19 % delle donne Rom non ha mai frequentato la scuola, rispetto al 14 % degli uomini Rom, e solo il 23 % delle donne Rom prosegue gli studi dopo i 16 anni di età, rispetto al 32 % degli uomini Rom</w:t>
            </w:r>
            <w:r>
              <w:rPr>
                <w:b/>
                <w:i/>
                <w:vertAlign w:val="superscript"/>
              </w:rPr>
              <w:t>15 bis</w:t>
            </w:r>
            <w:r>
              <w:rPr>
                <w:b/>
                <w:i/>
              </w:rPr>
              <w:t>;</w:t>
            </w:r>
            <w:r>
              <w:t xml:space="preserve"> </w:t>
            </w:r>
            <w:r>
              <w:rPr>
                <w:b/>
                <w:i/>
              </w:rPr>
              <w:t>che i dati disaggregati per genere mostrano che, in media, il 61 % delle giovani donne Rom e Travellers sono NEET, rispetto al 33 % dei giovani uomini Rom</w:t>
            </w:r>
            <w:r>
              <w:rPr>
                <w:b/>
                <w:i/>
                <w:vertAlign w:val="superscript"/>
              </w:rPr>
              <w:t>16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 bis</w:t>
            </w:r>
            <w:r>
              <w:t xml:space="preserve"> </w:t>
            </w:r>
            <w:r>
              <w:rPr>
                <w:b/>
                <w:i/>
              </w:rPr>
              <w:t>Consiglio d'Europa, 2025,</w:t>
            </w:r>
            <w:r>
              <w:t xml:space="preserve"> </w:t>
            </w:r>
            <w:r>
              <w:rPr>
                <w:b/>
                <w:i/>
              </w:rPr>
              <w:t>Equality of Roma and Traveller women and girls (Parità delle donne e delle ragazze Rom e Travellers) (rif. 094724GBR),</w:t>
            </w:r>
            <w:r>
              <w:t xml:space="preserve"> </w:t>
            </w:r>
            <w:r>
              <w:rPr>
                <w:b/>
                <w:i/>
              </w:rPr>
              <w:t>Consiglio d'Europa, https://edoc.coe.int/en/roma-and-travellers/12078-equality-of-roma-and-traveller-women-and-girls.html;</w:t>
            </w:r>
            <w:r>
              <w:t xml:space="preserve"> </w:t>
            </w:r>
            <w:r>
              <w:rPr>
                <w:b/>
                <w:i/>
              </w:rPr>
              <w:t>Agenzia dell’Unione europea per i diritti fondamentali, 2020,</w:t>
            </w:r>
            <w:r>
              <w:t xml:space="preserve"> </w:t>
            </w:r>
            <w:r>
              <w:rPr>
                <w:b/>
                <w:i/>
              </w:rPr>
              <w:t>"Roma and Travellers in six countries:</w:t>
            </w:r>
            <w:r>
              <w:t xml:space="preserve"> </w:t>
            </w:r>
            <w:r>
              <w:rPr>
                <w:b/>
                <w:i/>
              </w:rPr>
              <w:t>Roma and Travellers survey" (Rom e Travellers in sei paesi – sondaggio su Rom e Travellers) (relazione FRA),</w:t>
            </w:r>
            <w:r>
              <w:t xml:space="preserve"> </w:t>
            </w:r>
            <w:r>
              <w:rPr>
                <w:b/>
                <w:i/>
              </w:rPr>
              <w:t>Ufficio delle pubblicazioni dell'Unione europea, https://fra.europa.eu/sites/default/files/fra_uploads/fra-2020-roma-travellers-six-countries_en.pdf.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 bis</w:t>
            </w:r>
            <w:r>
              <w:t xml:space="preserve"> </w:t>
            </w:r>
            <w:r>
              <w:rPr>
                <w:b/>
                <w:i/>
              </w:rPr>
              <w:t>Agenzia dell'Unione europea per i diritti fondamentali, 2025,</w:t>
            </w:r>
            <w:r>
              <w:t xml:space="preserve"> </w:t>
            </w:r>
            <w:r>
              <w:rPr>
                <w:b/>
                <w:i/>
              </w:rPr>
              <w:t>"Rights of Roma and Travellers in 13 European countries – Perspectives from the Roma Survey 2024" (Diritti delle persone Rom e Travellers in 13 paesi europei – Prospettive emerse dall'indagine 2024 sulle persone Rom),</w:t>
            </w:r>
            <w:r>
              <w:t xml:space="preserve"> </w:t>
            </w:r>
            <w:r>
              <w:rPr>
                <w:b/>
                <w:i/>
              </w:rPr>
              <w:t>FRA, https://fra.europa.eu/en/publication/2025/roma-survey-2024.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septies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septies.</w:t>
            </w:r>
            <w:r>
              <w:tab/>
            </w:r>
            <w:r>
              <w:rPr>
                <w:b/>
                <w:i/>
              </w:rPr>
              <w:t>considerando che i giovani sono esposti in modo sproporzionato al lavoro scarsamente retribuito</w:t>
            </w:r>
            <w:r>
              <w:rPr>
                <w:b/>
                <w:i/>
                <w:vertAlign w:val="superscript"/>
              </w:rPr>
              <w:t>1 bis</w:t>
            </w:r>
            <w:r>
              <w:t xml:space="preserve"> </w:t>
            </w:r>
            <w:r>
              <w:rPr>
                <w:b/>
                <w:i/>
              </w:rPr>
              <w:t>nonché a forme di lavoro precario e atipico, tra cui contratti a tempo determinato, contratti a zero ore e lavoro autonomo fittizio</w:t>
            </w:r>
            <w:r>
              <w:rPr>
                <w:b/>
                <w:i/>
                <w:vertAlign w:val="superscript"/>
              </w:rPr>
              <w:t>1 ter</w:t>
            </w:r>
            <w:r>
              <w:rPr>
                <w:b/>
                <w:i/>
              </w:rPr>
              <w:t>;</w:t>
            </w:r>
            <w:r>
              <w:t xml:space="preserve"> </w:t>
            </w:r>
            <w:r>
              <w:rPr>
                <w:b/>
                <w:i/>
              </w:rPr>
              <w:t>che spesso non hanno accesso a una tutela dell'occupazione e a prestazioni sociali adeguate;</w:t>
            </w:r>
            <w:r>
              <w:t xml:space="preserve"> </w:t>
            </w:r>
            <w:r>
              <w:rPr>
                <w:b/>
                <w:i/>
              </w:rPr>
              <w:t>che i giovani sono inoltre maggiormente esposti al rischio di espulsione dal lavoro a causa dell'automazione;</w:t>
            </w:r>
            <w:r>
              <w:t xml:space="preserve"> </w:t>
            </w:r>
            <w:r>
              <w:rPr>
                <w:b/>
                <w:i/>
              </w:rPr>
              <w:t>che tali condizioni offrono una sicurezza finanziaria limitata e compromettono i percorsi verso un'integrazione sostenibile nel mercato del lavoro;</w:t>
            </w:r>
            <w:r>
              <w:t xml:space="preserve"> </w:t>
            </w:r>
            <w:r>
              <w:rPr>
                <w:b/>
                <w:i/>
              </w:rPr>
              <w:t>che ciò colpisce in particolare i NEET vulnerabili, che sono concentrati in modo sproporzionato in posti di lavoro meno specializzati e di scarsa qualità;</w:t>
            </w:r>
            <w:r>
              <w:t xml:space="preserve"> </w:t>
            </w:r>
            <w:r>
              <w:rPr>
                <w:b/>
                <w:i/>
              </w:rPr>
              <w:t>che la garanzia per i giovani rafforzata deve affrontare attivamente la precarietà e la bassa retribuzione e concentrarsi sul lavoro retribuito piuttosto che sul volontariato;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Eurostat, "Percentuale di lavoratori a bassa retribuzione nei paesi dell'UE", 2022.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Eurostat, "Giovani sul mercato del lavoro – statistiche", 2018.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septies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septies.</w:t>
            </w:r>
            <w:r>
              <w:tab/>
            </w:r>
            <w:r>
              <w:rPr>
                <w:b/>
                <w:i/>
              </w:rPr>
              <w:t>considerando che coloro che abbandonano l'assistenza costituiscono un gruppo particolarmente a rischio di ritrovarsi nella condizione di NEET, ma che, a causa di dati affidabili insufficienti, il loro numero a livello dell'UE rimane difficile da valutare, così come lo sono le misure di sensibilizzazione in atto per sostenerli e le opportunità a loro disposizione dopo che abbandonano l'assistenza;</w:t>
            </w:r>
            <w:r>
              <w:t xml:space="preserve"> </w:t>
            </w:r>
            <w:r>
              <w:rPr>
                <w:b/>
                <w:i/>
              </w:rPr>
              <w:t>che i giovani che abbandonano l'assistenza istituzionale si trovano spesso ad affrontare transizioni improvvise verso l'indipendenza senza adeguata continuità educativa, stabilità abitativa o orientamento professionale, il che aumenta il relativo rischio di disoccupazione, povertà ed esclusione sociale;</w:t>
            </w:r>
            <w:r>
              <w:t xml:space="preserve"> </w:t>
            </w:r>
            <w:r>
              <w:rPr>
                <w:b/>
                <w:i/>
              </w:rPr>
              <w:t>che un'attuazione della garanzia per i giovani rafforzata potrebbe colmare tali lacune in termini di transizione attraverso meccanismi di sostegno su misura;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octies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octies.</w:t>
            </w:r>
            <w:r>
              <w:tab/>
            </w:r>
            <w:r>
              <w:rPr>
                <w:b/>
                <w:i/>
              </w:rPr>
              <w:t>considerando che la sottoccupazione giovanile è in aumento e che l'occupazione a tempo parziale tra i giovani è notevolmente superiore a quella della popolazione attiva in generale</w:t>
            </w:r>
            <w:r>
              <w:rPr>
                <w:b/>
                <w:i/>
                <w:vertAlign w:val="superscript"/>
              </w:rPr>
              <w:t>1 bis</w:t>
            </w:r>
            <w:r>
              <w:rPr>
                <w:b/>
                <w:i/>
              </w:rPr>
              <w:t>;</w:t>
            </w:r>
            <w:r>
              <w:t xml:space="preserve"> </w:t>
            </w:r>
            <w:r>
              <w:rPr>
                <w:b/>
                <w:i/>
              </w:rPr>
              <w:t>che tale disparità è ancora più marcata tra le giovani donne;</w:t>
            </w:r>
            <w:r>
              <w:t xml:space="preserve"> </w:t>
            </w:r>
            <w:r>
              <w:rPr>
                <w:b/>
                <w:i/>
              </w:rPr>
              <w:t>che un'elevata percentuale di modalità di lavoro a tempo parziale è involontaria, il che riflette un'incapacità strutturale del mercato del lavoro di fornire adeguate opportunità a tempo pieno;</w:t>
            </w:r>
            <w:r>
              <w:t xml:space="preserve"> </w:t>
            </w:r>
            <w:r>
              <w:rPr>
                <w:b/>
                <w:i/>
              </w:rPr>
              <w:t>che il lavoro a tempo parziale involontario compromette il potenziale di guadagno, l'avanzamento di carriera, l'accesso alla protezione sociale e i diritti pensionistici;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Eurostat, "Lavoro a tempo parziale e a tempo pieno – statistiche",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octies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octies.</w:t>
            </w:r>
            <w:r>
              <w:tab/>
            </w:r>
            <w:r>
              <w:rPr>
                <w:b/>
                <w:i/>
              </w:rPr>
              <w:t>considerando che i pregiudizi, la stigmatizzazione e gli stereotipi persistenti possono limitare l'accesso ai tirocini e agli apprendistati per i giovani provenienti da contesti di assistenza istituzionale, per i giovani con disabilità dello sviluppo fisico o intellettuale e per i giovani Rom;</w:t>
            </w:r>
            <w:r>
              <w:t xml:space="preserve"> </w:t>
            </w:r>
            <w:r>
              <w:rPr>
                <w:b/>
                <w:i/>
              </w:rPr>
              <w:t>che affrontare tali ostacoli e promuovere pratiche di assunzione inclusive è essenziale per garantire la parità di accesso a prime esperienze lavorative di qualità;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nonies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nonies.</w:t>
            </w:r>
            <w:r>
              <w:tab/>
            </w:r>
            <w:r>
              <w:rPr>
                <w:b/>
                <w:i/>
              </w:rPr>
              <w:t>considerando che i percorsi tradizionali dall'istruzione all'occupazione stanno diminuendo a causa di una carenza strutturale di posti di lavoro di livello iniziale di qualità;</w:t>
            </w:r>
            <w:r>
              <w:t xml:space="preserve"> </w:t>
            </w:r>
            <w:r>
              <w:rPr>
                <w:b/>
                <w:i/>
              </w:rPr>
              <w:t>che molti giovani, pur essendo altamente istruiti e qualificati, faticano a tradurre le loro qualifiche in un'occupazione stabile;</w:t>
            </w:r>
            <w:r>
              <w:t xml:space="preserve"> </w:t>
            </w:r>
            <w:r>
              <w:rPr>
                <w:b/>
                <w:i/>
              </w:rPr>
              <w:t>che il tasso di occupazione dei neolaureati è in calo</w:t>
            </w:r>
            <w:r>
              <w:rPr>
                <w:b/>
                <w:i/>
                <w:vertAlign w:val="superscript"/>
              </w:rPr>
              <w:t>1 bis</w:t>
            </w:r>
            <w:r>
              <w:t xml:space="preserve"> </w:t>
            </w:r>
            <w:r>
              <w:rPr>
                <w:b/>
                <w:i/>
              </w:rPr>
              <w:t>e che il numero di giovani che svolgono professioni ben al di sotto del loro livello di qualifiche è in aumento</w:t>
            </w:r>
            <w:r>
              <w:rPr>
                <w:b/>
                <w:i/>
                <w:vertAlign w:val="superscript"/>
              </w:rPr>
              <w:t>1 ter</w:t>
            </w:r>
            <w:r>
              <w:rPr>
                <w:b/>
                <w:i/>
              </w:rPr>
              <w:t>;</w:t>
            </w:r>
            <w:r>
              <w:t xml:space="preserve"> </w:t>
            </w:r>
            <w:r>
              <w:rPr>
                <w:b/>
                <w:i/>
              </w:rPr>
              <w:t>che ciò crea un effetto di spostamento che limita ulteriormente le opportunità per i NEET vulnerabili privi di qualifiche;</w:t>
            </w:r>
            <w:r>
              <w:t xml:space="preserve"> </w:t>
            </w:r>
            <w:r>
              <w:rPr>
                <w:b/>
                <w:i/>
              </w:rPr>
              <w:t>che i crescenti ostacoli all'integrazione dei giovani nel mercato del lavoro compromettono la coesione sociale e la fiducia istituzionale;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Eurostat, "Tassi di occupazione dei neolaureati",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Eurostat, "Giovani – qualifiche, competenze e allineamento con il mercato del lavoro",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decies.</w:t>
            </w:r>
            <w:r>
              <w:tab/>
            </w:r>
            <w:r>
              <w:rPr>
                <w:b/>
                <w:i/>
              </w:rPr>
              <w:t>considerando che nel 2024 quasi un giovane su quattro nell'Unione era a rischio di povertà o di esclusione sociale, un tasso che supera di 3,1 punti percentuali quello della popolazione totale</w:t>
            </w:r>
            <w:r>
              <w:rPr>
                <w:b/>
                <w:i/>
                <w:vertAlign w:val="superscript"/>
              </w:rPr>
              <w:t>1 bis</w:t>
            </w:r>
            <w:r>
              <w:rPr>
                <w:b/>
                <w:i/>
              </w:rPr>
              <w:t>;</w:t>
            </w:r>
            <w:r>
              <w:t xml:space="preserve"> </w:t>
            </w:r>
            <w:r>
              <w:rPr>
                <w:b/>
                <w:i/>
              </w:rPr>
              <w:t>che le disuguaglianze strutturali, come la deprivazione materiale e lo svantaggio sociale persistente, compromettono la capacità di accedere al mercato del lavoro e di vivere in modo indipendente;</w:t>
            </w:r>
            <w:r>
              <w:t xml:space="preserve"> </w:t>
            </w:r>
            <w:r>
              <w:rPr>
                <w:b/>
                <w:i/>
              </w:rPr>
              <w:t>che l'attivazione dell'occupazione non può essere conseguita senza l'accesso a condizioni abilitanti di base quali l'alloggio, i trasporti, l'assistenza all'infanzia e il sostegno assistenziale;</w:t>
            </w:r>
            <w:r>
              <w:t xml:space="preserve"> </w:t>
            </w:r>
            <w:r>
              <w:rPr>
                <w:b/>
                <w:i/>
              </w:rPr>
              <w:t>che l'integrazione sostenibile nel mercato del lavoro richiede un approccio olistico che affronti le barriere che si rafforzano a vicenda;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Eurostat, "Giovani – inclusione sociale",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undecies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undecies.</w:t>
            </w:r>
            <w:r>
              <w:tab/>
            </w:r>
            <w:r>
              <w:rPr>
                <w:b/>
                <w:i/>
              </w:rPr>
              <w:t>considerando che i NEET vulnerabili potrebbero non disporre delle competenze funzionali matematiche, digitali e in materia di alfabetizzazione necessarie per accedere a un'istruzione o a una formazione di qualità o al mercato del lavoro;</w:t>
            </w:r>
            <w:r>
              <w:t xml:space="preserve"> </w:t>
            </w:r>
            <w:r>
              <w:rPr>
                <w:b/>
                <w:i/>
              </w:rPr>
              <w:t>che la garanzia per i giovani rafforzata dà spesso per scontate tali competenze, limitando in tal modo la capacità dei NEET vulnerabili di accedere a misure in materia di occupazione e formazione e di beneficiarne;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duodecies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duodecies.</w:t>
            </w:r>
            <w:r>
              <w:tab/>
            </w:r>
            <w:r>
              <w:rPr>
                <w:b/>
                <w:i/>
              </w:rPr>
              <w:t>considerando che i risultati dei giovani in lettura, matematica e scienze in tutta l'Unione sono in calo, e che i giovani provenienti da contesti socioeconomici svantaggiati hanno una probabilità di conseguire risultati insufficienti oltre sei volte maggiore rispetto ai loro coetanei</w:t>
            </w:r>
            <w:r>
              <w:rPr>
                <w:b/>
                <w:i/>
                <w:vertAlign w:val="superscript"/>
              </w:rPr>
              <w:t>1 bis</w:t>
            </w:r>
            <w:r>
              <w:rPr>
                <w:b/>
                <w:i/>
              </w:rPr>
              <w:t>;</w:t>
            </w:r>
            <w:r>
              <w:t xml:space="preserve"> </w:t>
            </w:r>
            <w:r>
              <w:rPr>
                <w:b/>
                <w:i/>
              </w:rPr>
              <w:t>che la garanzia per i giovani rafforzata deve tenere attivamente conto di tali tendenze preoccupanti per prevenire l'aggravarsi dei divari sociali e garantire la parità di accesso all'istruzione e alle future opportunità di lavoro;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Commissione europea, Relazione di monitoraggio del settore dell'istruzione e della formazione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è </w:t>
            </w:r>
            <w:r>
              <w:rPr>
                <w:b/>
                <w:i/>
              </w:rPr>
              <w:t>difficile</w:t>
            </w:r>
            <w:r>
              <w:t xml:space="preserve"> stabilire un nesso causale diretto tra l'attuazione della garanzia per i giovani rafforzata e i risultati osservati in termini di riduzione del tasso di NEET e della disoccupazione giovanile;</w:t>
            </w:r>
          </w:p>
        </w:tc>
        <w:tc>
          <w:tcPr>
            <w:tcW w:w="4876" w:type="dxa"/>
            <w:tcBorders>
              <w:top w:val="nil"/>
              <w:left w:val="nil"/>
              <w:bottom w:val="nil"/>
              <w:right w:val="nil"/>
            </w:tcBorders>
          </w:tcPr>
          <w:p>
            <w:pPr>
              <w:pStyle w:val="Normal6a"/>
            </w:pPr>
            <w:r>
              <w:t>B.</w:t>
            </w:r>
            <w:r>
              <w:tab/>
            </w:r>
            <w:r>
              <w:t xml:space="preserve">considerando che è </w:t>
            </w:r>
            <w:r>
              <w:rPr>
                <w:b/>
                <w:i/>
              </w:rPr>
              <w:t>impossibile</w:t>
            </w:r>
            <w:r>
              <w:t xml:space="preserve"> stabilire un nesso causale diretto tra l'attuazione della garanzia per i giovani rafforzata e i risultati osservati in termini di riduzione del tasso di NEET e della disoccupazione giovanile</w:t>
            </w:r>
            <w:r>
              <w:rPr>
                <w:b/>
                <w:i/>
              </w:rPr>
              <w:t>, il che dimostra l'inefficacia strutturale dell'ingegneria sociale europea</w:t>
            </w:r>
            <w:r>
              <w:t xml:space="preserve">; </w:t>
            </w:r>
            <w:r>
              <w:rPr>
                <w:b/>
                <w:i/>
              </w:rPr>
              <w:t>che i posti di lavoro per i giovani non sono creati da direttive centralizzate, ma derivano soprattutto dalla sovranità fiscale degli Stati membri, da una solida economia interna e da PMI competitive;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che è difficile stabilire un nesso causale diretto tra l'attuazione della garanzia per i giovani rafforzata e i risultati osservati in termini di riduzione del tasso di NEET e della disoccupazione giovanile;</w:t>
            </w:r>
          </w:p>
        </w:tc>
        <w:tc>
          <w:tcPr>
            <w:tcW w:w="4876" w:type="dxa"/>
            <w:tcBorders>
              <w:top w:val="nil"/>
              <w:left w:val="nil"/>
              <w:bottom w:val="nil"/>
              <w:right w:val="nil"/>
            </w:tcBorders>
          </w:tcPr>
          <w:p>
            <w:pPr>
              <w:pStyle w:val="Normal6a"/>
            </w:pPr>
            <w:r>
              <w:t>B.</w:t>
            </w:r>
            <w:r>
              <w:tab/>
            </w:r>
            <w:r>
              <w:t xml:space="preserve">considerando che è difficile stabilire un nesso causale diretto tra l'attuazione della garanzia per i giovani rafforzata e i risultati osservati in termini di riduzione del tasso di NEET e della disoccupazione giovanile; </w:t>
            </w:r>
            <w:r>
              <w:rPr>
                <w:b/>
                <w:i/>
              </w:rPr>
              <w:t>che ciò evidenzia la necessità di una maggiore attenzione ai risultati tangibili per i giovani, di un migliore allineamento alle esigenze del mercato del lavoro nazionale e di sinergie più strette con programmi dell'Unione quali il Fondo sociale europeo Plus (FSE+), Erasmus+ e il corpo europeo di solidarietà;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che è difficile stabilire un nesso causale diretto tra l'attuazione della garanzia per i giovani rafforzata e i risultati osservati in termini di riduzione del tasso di NEET e della disoccupazione giovanile;</w:t>
            </w:r>
          </w:p>
        </w:tc>
        <w:tc>
          <w:tcPr>
            <w:tcW w:w="4876" w:type="dxa"/>
            <w:tcBorders>
              <w:top w:val="nil"/>
              <w:left w:val="nil"/>
              <w:bottom w:val="nil"/>
              <w:right w:val="nil"/>
            </w:tcBorders>
          </w:tcPr>
          <w:p>
            <w:pPr>
              <w:pStyle w:val="Normal6a"/>
            </w:pPr>
            <w:r>
              <w:t>B.</w:t>
            </w:r>
            <w:r>
              <w:tab/>
            </w:r>
            <w:r>
              <w:t>considerando che è difficile stabilire un nesso causale diretto tra l'attuazione della garanzia per i giovani rafforzata e i risultati osservati in termini di riduzione del tasso di NEET e della disoccupazione giovanile</w:t>
            </w:r>
            <w:r>
              <w:rPr>
                <w:b/>
                <w:i/>
              </w:rPr>
              <w:t>, in particolare nei casi in cui i regimi di garanzia per i giovani rafforzata sono integrati in politiche nazionali più ampie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i dati europei dimostrano che i percorsi di istruzione e formazione professionale iniziale (IVET) con forte integrazione di apprendimento basato sul lavoro (work-based learning) costituiscono lo strumento più efficace di prevenzione della condizione NEET, con tassi di occupazione che raggiungono il 90,5% per i giovani che completano percorsi con almeno sette mesi di work-based learning, a fronte del 69,7% per coloro che non hanno avuto accesso a tali percorsi;</w:t>
            </w:r>
            <w:r>
              <w:t xml:space="preserve"> </w:t>
            </w:r>
            <w:r>
              <w:rPr>
                <w:b/>
                <w:i/>
              </w:rPr>
              <w:t>che i sistemi duali di formazione professionale, grazie all’alternanza strutturata tra contesto scolastico e contesto lavorativo, producono competenze spendibili e riducono strutturalmente il disallineamento tra domanda e offerta di lavoro;</w:t>
            </w:r>
            <w:r>
              <w:t xml:space="preserve"> </w:t>
            </w:r>
            <w:r>
              <w:rPr>
                <w:b/>
                <w:i/>
              </w:rPr>
              <w:t>che gli Stati membri che dispongono di solidi sistemi di formazione professionale duale registrano i tassi di disoccupazione giovanile più bassi dell’Unione europea;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Niels Geuking,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l'efficace attuazione della garanzia per i giovani rafforzata richiede misure mirate, integrate e attente alle esigenze della famiglie, in particolare dei giovani genitori, che combinino il sostegno all'occupazione con l'accesso all'istruzione e alla formazione, all'assistenza all'infanzia, ai servizi sociali e, se del caso, a un adeguato sostegno al reddito, al fine di garantire un'integrazione duratura nel mercato del lavoro, prevenire l'esclusione a lungo termine, promuovere la parità di genere e favorire un equilibrio sostenibile tra vita professionale e vita privata;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i dati della Corte dei conti europea indicano che politiche giovanili ben finanziate, inclusive e basate sui diritti, compresa la garanzia per i giovani rafforzata, contribuiscono positivamente a migliorare l'accesso dei giovani a un'occupazione, a un'istruzione e a una formazione di qualità;</w:t>
            </w:r>
            <w:r>
              <w:t xml:space="preserve"> </w:t>
            </w:r>
            <w:r>
              <w:rPr>
                <w:b/>
                <w:i/>
              </w:rPr>
              <w:t>che un monitoraggio più rigoroso, una raccolta di dati disaggregati e una valutazione d'impatto sono essenziali per coglierne appieno i risultati, in particolare per i gruppi vulnerabili ed emarginati;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esistono quasi tanti modelli di attuazione della garanzia per i giovani quanti sono gli Stati membri;</w:t>
            </w:r>
            <w:r>
              <w:t xml:space="preserve"> </w:t>
            </w:r>
            <w:r>
              <w:rPr>
                <w:b/>
                <w:i/>
              </w:rPr>
              <w:t>che le disposizioni istituzionali per la sua attuazione spaziano dall'integrazione della garanzia per i giovani nei sistemi nazionali esistenti alla creazione di un modello nazionale distinto;</w:t>
            </w:r>
            <w:r>
              <w:t xml:space="preserve"> </w:t>
            </w:r>
            <w:r>
              <w:rPr>
                <w:b/>
                <w:i/>
              </w:rPr>
              <w:t>che i meccanismi di governance variano anche tra modelli centralizzati coordinati a livello nazionale e modelli completamente decentrati a livello locale;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la raccomandazione del Consiglio, del 16 giugno 2022, relativa a un approccio europeo alle microcredenziali riconosce le microcredenziali come uno strumento fondamentale per percorsi di apprendimento flessibili, inclusivi e mirati, che consentono alle persone di acquisire, aggiornare e certificare le proprie competenze in modo modulare, in particolare in risposta alle esigenze del mercato del lavoro e alle transizioni verde e digitale;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gli investimenti nei giovani attraverso la garanzia per i giovani rafforzata costituiscono un investimento nel futuro dell'Unione, in quanto rafforzano la coesione sociale e l'equità e la solidarietà intergenerazionali, riducono la povertà e l'esclusione sociale e contribuiscono a una forza lavoro resiliente e a un'economia competitiva;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l'efficacia della garanzia per i giovani rafforzata dipende dall'uso trasparente ed efficiente dei fondi dell'UE e nazionali, nonché da solidi sistemi di monitoraggio e valutazione in grado di misurare i risultati occupazionali a lungo termine per i giovani beneficiari;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la disoccupazione giovanile e il lavoro precario sono direttamente legati alle disuguaglianze strutturali, all'austerità, alla deregolamentazione dei mercati del lavoro e al sottofinanziamento dei servizi pubblici;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che una netta maggioranza di Stati membri si basa su una strategia che privilegia l'occupazione, mentre altri danno priorità a un approccio incentrato sulla formazione;</w:t>
            </w:r>
            <w:r>
              <w:t xml:space="preserve"> </w:t>
            </w:r>
            <w:r>
              <w:rPr>
                <w:b/>
                <w:i/>
              </w:rPr>
              <w:t>che nel 2024 il 35,2 % delle uscite con esiti positivi e tempestive dalla fase preparatoria della garanzia per i giovani ha portato all'occupazione, il 6,5 % all'istruzione, il 2,5 % ai tirocini e l'1,6 % all'apprendistato</w:t>
            </w:r>
            <w:r>
              <w:rPr>
                <w:b/>
                <w:i/>
                <w:vertAlign w:val="superscript"/>
              </w:rPr>
              <w:t>17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 bis</w:t>
            </w:r>
            <w:r>
              <w:t xml:space="preserve"> </w:t>
            </w:r>
            <w:r>
              <w:rPr>
                <w:b/>
                <w:i/>
              </w:rPr>
              <w:t>Commissione europea, direzione generale per l'Occupazione, gli affari sociali e l'inclusione, Data table on Youth Guarantee Direct indicators (Tabella dei dati sugli indicatori diretti della garanzia per i giovani), febbraio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che, secondo le stime di Eurofound, il disimpegno dei giovani e la mancata integrazione dei NEET nel mercato del lavoro costano all'Unione quasi 100 miliardi di EUR all'anno</w:t>
            </w:r>
            <w:r>
              <w:rPr>
                <w:b/>
                <w:i/>
                <w:vertAlign w:val="superscript"/>
              </w:rPr>
              <w:t>1 bis</w:t>
            </w:r>
            <w:r>
              <w:rPr>
                <w:b/>
                <w:i/>
              </w:rPr>
              <w:t>, evidenziando l'urgente imperativo economico e sociale di garantire l'efficace consolidamento della garanzia per i giovani rafforzata;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Eurofound, "Employment and social developments in Europe" (Occupazione e sviluppi sociali in Europa),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che il FSE+ è stato il principale strumento per finanziare la garanzia per i giovani rafforzata per il periodo 2021-2027;</w:t>
            </w:r>
            <w:r>
              <w:t xml:space="preserve"> </w:t>
            </w:r>
            <w:r>
              <w:rPr>
                <w:b/>
                <w:i/>
              </w:rPr>
              <w:t>che le autorità di gestione devono migliorare le loro capacità di assorbimento, in particolare nelle zone remote;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che un'ampia percentuale di giovani occupa posti di lavoro temporanei, scarsamente retribuiti e precari, senza pieni diritti sociali e del lavoro;</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che i giovani sono sempre più tenuti a dimostrare flessibilità e mobilità geografica nella loro istruzione, nella loro formazione e nella loro carriera professionale;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considerando che i sistemi di garanzia per i giovani non possono sostituire il diritto a un'occupazione stabile con pieni diritti, né legalizzare la proliferazione del lavoro non retribuito o sottopagato attraverso programmi di "tirocinio" e "formazione";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considerando che i NEET inattivi e vulnerabili sono per lo più esclusi dalle iniziative della garanzia per i giovani, in quanto la garanzia avvantaggia principalmente i giovani più vicini al mercato del lavoro, con un effetto detto "di scrematura", il che porta alla sopravvalutazione dell'effettivo impatto della garanzia per i giovani rafforzata sulla popolazione NEET complessiva;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considerando che la competitività dell'Unione dipende anche dalle competenze della sua forza lavoro e dalla sua capacità di attivare la popolazione giovanile in età lavorativa al fine di affrontare le carenze di manodopera e di competenze;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considerando che l'accesso ad alloggi adeguati, di qualità e a prezzi accessibili costituisce una condizione preliminare per una partecipazione efficace all'istruzione, agli apprendistati, ai tirocini e all'occupazione;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quinquies.</w:t>
            </w:r>
            <w:r>
              <w:tab/>
            </w:r>
            <w:r>
              <w:rPr>
                <w:b/>
                <w:i/>
              </w:rPr>
              <w:t>considerando che permangono ostacoli istituzionali e strutturali all'operatività della garanzia per i giovani e alla sua attuazione pratica negli Stati membri e a livello locale, come gli ostacoli alla condivisione dei dati tra i servizi, lo squilibrio tra l'offerta di istruzione e formazione e il mercato del lavoro, nonché gli svantaggi socioeconomici cui devono far fronte i gruppi vulnerabili;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quinquies.</w:t>
            </w:r>
            <w:r>
              <w:tab/>
            </w:r>
            <w:r>
              <w:rPr>
                <w:b/>
                <w:i/>
              </w:rPr>
              <w:t>considerando che l'efficacia della garanzia per i giovani dovrebbe essere misurata non solo in base all'ingresso immediato dei giovani nel mondo del lavoro, dell'istruzione o della formazione, ma anche in base alla qualità, alla sostenibilità e alle prospettive di carriera a lungo termine che tali opportunità offrono;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quinquies.</w:t>
            </w:r>
            <w:r>
              <w:tab/>
            </w:r>
            <w:r>
              <w:rPr>
                <w:b/>
                <w:i/>
              </w:rPr>
              <w:t>considerando che i giovani appartenenti a minoranze etniche, razziali o religiose hanno maggiori probabilità di trovarsi in una situazione di squilibrio tra le loro competenze e il loro impiego;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sexies.</w:t>
            </w:r>
            <w:r>
              <w:tab/>
            </w:r>
            <w:r>
              <w:rPr>
                <w:b/>
                <w:i/>
              </w:rPr>
              <w:t>considerando che la politica in materia di gioventù dovrebbe essere riconosciuta non solo come una priorità sociale, ma anche come un investimento strategico nel capitale umano, nella competitività e nella resilienza economica a lungo termine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septies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septies.</w:t>
            </w:r>
            <w:r>
              <w:tab/>
            </w:r>
            <w:r>
              <w:rPr>
                <w:b/>
                <w:i/>
              </w:rPr>
              <w:t>considerando che i giovani NEET, i giovani genitori, in particolare i genitori soli, e i giovani vulnerabili sono maggiormente esposti al rischio di disagio psicologico e di esclusione a lungo termine dal mercato del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octies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octies.</w:t>
            </w:r>
            <w:r>
              <w:tab/>
            </w:r>
            <w:r>
              <w:rPr>
                <w:b/>
                <w:i/>
              </w:rPr>
              <w:t>considerando che la salute mentale e il benessere sono essenziali per la partecipazione al mercato del lavoro e possono essere rafforzati attraverso misure psicosociali preventive e precoci nell'ambito dell'attivazione, senza incidere sulla responsabilità degli Stati membri in materia di assistenza sanitaria;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nonies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nonies.</w:t>
            </w:r>
            <w:r>
              <w:tab/>
            </w:r>
            <w:r>
              <w:rPr>
                <w:b/>
                <w:i/>
              </w:rPr>
              <w:t>considerando che l'automazione e l'IA stanno rimodellando i mercati del lavoro, con il rischio di esclusione dei giovani privi di competenze di base in materia di IA;</w:t>
            </w:r>
            <w:r>
              <w:t xml:space="preserve"> </w:t>
            </w:r>
            <w:r>
              <w:rPr>
                <w:b/>
                <w:i/>
              </w:rPr>
              <w:t>che la garanzia per i giovani deve affrontare in modo proattivo tale questione per garantirne l'occupabilità;</w:t>
            </w:r>
            <w:r>
              <w:t xml:space="preserve"> </w:t>
            </w:r>
            <w:r>
              <w:rPr>
                <w:b/>
                <w:i/>
              </w:rPr>
              <w:t>che l'IA può contribuire a superare gli ostacoli (all'apprendimento) (attraverso le tecnologie assistive), a condizione che i giovani acquisiscano sin dalla giovane età l'alfabetizzazione digitale e le competenze di base in materia di 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decies.</w:t>
            </w:r>
            <w:r>
              <w:tab/>
            </w:r>
            <w:r>
              <w:rPr>
                <w:b/>
                <w:i/>
              </w:rPr>
              <w:t>considerando che la garanzia per i giovani si basa su un principio di obbligo reciproco, in base al quale i giovani hanno non solo il diritto a un'offerta di alta qualità, ma anche il dovere di accettare opportunità di lavoro, formazione o istruzione ragionevoli e di parteciparvi attivamente;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Niels Geuking, Romana Tomc, Liesbet Sommen, Maravillas Abadía Jover,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undecies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undecies.</w:t>
            </w:r>
            <w:r>
              <w:tab/>
            </w:r>
            <w:r>
              <w:rPr>
                <w:b/>
                <w:i/>
              </w:rPr>
              <w:t>che gli Stati membri devono pertanto garantire che, in caso di rifiuto ripetuto e ingiustificato di offerte ragionevoli, possano essere applicate misure adeguate conformemente al diritto nazionale per prevenire la passività e promuovere la responsabilità personale dei giovani;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787.791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42</w:t>
    </w:r>
    <w:r>
      <w:fldChar w:fldCharType="end"/>
    </w:r>
    <w:r>
      <w:t>/</w:t>
    </w:r>
    <w:r>
      <w:fldChar w:fldCharType="begin"/>
    </w:r>
    <w:r>
      <w:instrText xml:space="preserve"> NUMPAGES </w:instrText>
    </w:r>
    <w:r>
      <w:fldChar w:fldCharType="separate"/>
    </w:r>
    <w:r>
      <w:t>43</w:t>
    </w:r>
    <w:r>
      <w:fldChar w:fldCharType="end"/>
    </w:r>
    <w:r>
      <w:tab/>
    </w:r>
    <w:r>
      <w:rPr>
        <w:rStyle w:val="HideTWBExt"/>
      </w:rPr>
      <w:t>&lt;PathFdR&gt;</w:t>
    </w:r>
    <w:r>
      <w:t>AM\1342335IT.docx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AM\1342335IT.docx</w:t>
    </w:r>
    <w:r>
      <w:rPr>
        <w:rStyle w:val="HideTWBExt"/>
      </w:rPr>
      <w:t>&lt;/PathFdR&gt;</w:t>
    </w:r>
    <w:r>
      <w:tab/>
    </w:r>
    <w:r>
      <w:fldChar w:fldCharType="begin"/>
    </w:r>
    <w:r>
      <w:instrText xml:space="preserve"> PAGE </w:instrText>
    </w:r>
    <w:r>
      <w:fldChar w:fldCharType="separate"/>
    </w:r>
    <w:r>
      <w:t>43</w:t>
    </w:r>
    <w:r>
      <w:fldChar w:fldCharType="end"/>
    </w:r>
    <w:r>
      <w:t>/</w:t>
    </w:r>
    <w:r>
      <w:fldChar w:fldCharType="begin"/>
    </w:r>
    <w:r>
      <w:instrText xml:space="preserve"> NUMPAGES </w:instrText>
    </w:r>
    <w:r>
      <w:fldChar w:fldCharType="separate"/>
    </w:r>
    <w:r>
      <w:t>43</w:t>
    </w:r>
    <w:r>
      <w:fldChar w:fldCharType="end"/>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AM\1342335IT.docx</w:t>
    </w:r>
    <w:r>
      <w:rPr>
        <w:rStyle w:val="HideTWBExt"/>
      </w:rPr>
      <w:t>&lt;/PathFdR&gt;</w:t>
    </w:r>
    <w:r>
      <w:tab/>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43</Pages>
  <Words>7313</Words>
  <Characters>44517</Characters>
  <Application>Microsoft Office Word</Application>
  <DocSecurity>0</DocSecurity>
  <Lines>1</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1342335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508652</vt:lpwstr>
  </property>
  <property fmtid="{D5CDD505-2E9C-101B-9397-08002B2CF9AE}" pid="7" name="dmxml.render.traceId">
    <vt:lpwstr>6a16f7f9c478db0c45d2fe7cf29485de</vt:lpwstr>
  </property>
  <property fmtid="{D5CDD505-2E9C-101B-9397-08002B2CF9AE}" pid="8" name="FooterPath">
    <vt:lpwstr>AM\1342335IT.docx</vt:lpwstr>
  </property>
  <property fmtid="{D5CDD505-2E9C-101B-9397-08002B2CF9AE}" pid="9" name="PE Number">
    <vt:lpwstr>787.791</vt:lpwstr>
  </property>
  <property fmtid="{D5CDD505-2E9C-101B-9397-08002B2CF9AE}" pid="10" name="UID">
    <vt:lpwstr>eu.europa.europarl-DIN1-2026-0000110653_01.00-it-01.00_text-xml</vt:lpwstr>
  </property>
</Properties>
</file>