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 Europejski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Komisja Zatrudnienia i Spraw Socjalnych</w:t>
      </w:r>
      <w:r>
        <w:rPr>
          <w:rStyle w:val="HideTWBExt"/>
        </w:rPr>
        <w:t>&lt;/Commission&gt;</w:t>
      </w:r>
    </w:p>
    <w:p>
      <w:pPr>
        <w:pStyle w:val="LineBottom"/>
      </w:pPr>
      <w:r>
        <w:t xml:space="preserve"> </w:t>
      </w:r>
    </w:p>
    <w:p>
      <w:pPr>
        <w:pStyle w:val="CoverReference"/>
      </w:pPr>
      <w:r>
        <w:rPr>
          <w:rStyle w:val="HideTWBExt"/>
        </w:rPr>
        <w:t>&lt;RefProc&gt;</w:t>
      </w:r>
      <w:r>
        <w:t>2025/2184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{23/04/2026}</w:t>
      </w:r>
      <w:r>
        <w:t>23.4.2026</w:t>
      </w:r>
      <w:r>
        <w:rPr>
          <w:rStyle w:val="HideTWBExt"/>
        </w:rPr>
        <w:t>&lt;/Date&gt;</w:t>
      </w:r>
    </w:p>
    <w:p>
      <w:pPr>
        <w:pStyle w:val="CoverDocType"/>
      </w:pPr>
      <w:r>
        <w:rPr>
          <w:rStyle w:val="HideTWBExt"/>
        </w:rPr>
        <w:t>&lt;TypeAM&gt;</w:t>
      </w:r>
      <w:r>
        <w:t>POPRAWKI</w:t>
      </w:r>
      <w:r>
        <w:rPr>
          <w:rStyle w:val="HideTWBExt"/>
        </w:rPr>
        <w:t>&lt;/TypeAM&gt;</w:t>
      </w:r>
    </w:p>
    <w:p>
      <w:pPr>
        <w:pStyle w:val="CoverDocType24a"/>
      </w:pPr>
      <w:r>
        <w:rPr>
          <w:rStyle w:val="HideTWBExt"/>
        </w:rPr>
        <w:t>&lt;RangeAM&gt;</w:t>
      </w:r>
      <w:r>
        <w:t>1</w:t>
      </w:r>
      <w:r>
        <w:t xml:space="preserve"> - </w:t>
      </w:r>
      <w:r>
        <w:t>80</w:t>
      </w:r>
      <w:r>
        <w:rPr>
          <w:rStyle w:val="HideTWBExt"/>
        </w:rPr>
        <w:t>&lt;/RangeAM&gt;</w:t>
      </w:r>
    </w:p>
    <w:p>
      <w:pPr>
        <w:pStyle w:val="CoverBold"/>
      </w:pPr>
      <w:r>
        <w:rPr>
          <w:rStyle w:val="HideTWBExt"/>
        </w:rPr>
        <w:t>&lt;TitreType&gt;</w:t>
      </w:r>
      <w:r>
        <w:t>Projekt sprawozdania</w:t>
      </w:r>
      <w:r>
        <w:rPr>
          <w:rStyle w:val="HideTWBExt"/>
        </w:rPr>
        <w:t>&lt;/TitreType&gt;</w:t>
      </w:r>
    </w:p>
    <w:p>
      <w:pPr>
        <w:pStyle w:val="CoverBold"/>
      </w:pPr>
      <w:r>
        <w:rPr>
          <w:rStyle w:val="HideTWBExt"/>
        </w:rPr>
        <w:t>&lt;Rapporteur&gt;</w:t>
      </w:r>
      <w:r>
        <w:t>Hristo Petrov</w:t>
      </w:r>
      <w:r>
        <w:rPr>
          <w:rStyle w:val="HideTWBExt"/>
        </w:rPr>
        <w:t>&lt;/Rapporteur&gt;</w:t>
      </w:r>
    </w:p>
    <w:p>
      <w:pPr>
        <w:pStyle w:val="CoverNormal24a"/>
      </w:pPr>
      <w:r>
        <w:rPr>
          <w:rStyle w:val="HideTWBExt"/>
        </w:rPr>
        <w:t>&lt;DocRefPE&gt;</w:t>
      </w:r>
      <w:r>
        <w:t>(PE785.214v01-00)</w:t>
      </w:r>
      <w:r>
        <w:rPr>
          <w:rStyle w:val="HideTWBExt"/>
        </w:rPr>
        <w:t>&lt;/DocRefPE&gt;</w:t>
      </w:r>
    </w:p>
    <w:p>
      <w:pPr>
        <w:pStyle w:val="CoverNormal"/>
      </w:pPr>
      <w:r>
        <w:rPr>
          <w:rStyle w:val="HideTWBExt"/>
        </w:rPr>
        <w:t>&lt;Titre&gt;</w:t>
      </w:r>
      <w:r>
        <w:t>Wdrożenie zalecenia Rady z dnia 30 października 2020 r. w sprawie pomostu do zatrudnienia – wzmocnienia gwarancji dla młodzieży oraz zastępującego zalecenie Rady z dnia 22 kwietnia 2013 r. w sprawie ustanowienia gwarancji dla młodzieży</w:t>
      </w:r>
      <w:r>
        <w:rPr>
          <w:rStyle w:val="HideTWBExt"/>
        </w:rPr>
        <w:t>&lt;/Titre&gt;</w:t>
      </w:r>
    </w:p>
    <w:p>
      <w:pPr>
        <w:pStyle w:val="CoverNormal24a"/>
      </w:pPr>
      <w:r>
        <w:rPr>
          <w:rStyle w:val="HideTWBExt"/>
        </w:rPr>
        <w:t>&lt;DocRef&gt;</w:t>
      </w:r>
      <w:r>
        <w:t>(2025/2184(INI))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Poprawka</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Niels Geuking, Pascal Arimont, Romana Tomc, David Casa, Isabelle Le Callennec,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2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cele polityki społecznej określone w art. 151 i 153 TFUE w związku z art. 3 rozporządzenia (WE) nr 883/2004 w sprawie zabezpieczenia społecznego i świadczeń,</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uwzględniając Europejski filar praw socjalnych ogłoszony i podpisany przez Radę, Parlament i Komisję 17 listopada 2017 r., w szczególności zasady 1, 3 i 4,</w:t>
            </w:r>
          </w:p>
        </w:tc>
        <w:tc>
          <w:tcPr>
            <w:tcW w:w="4876" w:type="dxa"/>
            <w:tcBorders>
              <w:top w:val="nil"/>
              <w:left w:val="nil"/>
              <w:bottom w:val="nil"/>
              <w:right w:val="nil"/>
            </w:tcBorders>
          </w:tcPr>
          <w:p>
            <w:pPr>
              <w:pStyle w:val="Normal6a"/>
            </w:pPr>
            <w:r>
              <w:rPr>
                <w:b/>
                <w:i/>
              </w:rPr>
              <w:t>–</w:t>
            </w:r>
            <w:r>
              <w:tab/>
            </w:r>
            <w:r>
              <w:t xml:space="preserve">uwzględniając Europejski filar praw socjalnych ogłoszony i podpisany przez Radę, Parlament i Komisję 17 listopada 2017 r., w szczególności zasady 1, 3 i 4, </w:t>
            </w:r>
            <w:r>
              <w:rPr>
                <w:b/>
                <w:i/>
              </w:rPr>
              <w:t>oraz przewidziany w nim cel zmniejszenia odsetka młodzieży NEET do 9 % przed końcem 2030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uwzględniając Europejski filar praw socjalnych ogłoszony i podpisany przez Radę, Parlament i Komisję 17 listopada 2017 r., w szczególności zasady 1, 3 i 4,</w:t>
            </w:r>
          </w:p>
        </w:tc>
        <w:tc>
          <w:tcPr>
            <w:tcW w:w="4876" w:type="dxa"/>
            <w:tcBorders>
              <w:top w:val="nil"/>
              <w:left w:val="nil"/>
              <w:bottom w:val="nil"/>
              <w:right w:val="nil"/>
            </w:tcBorders>
          </w:tcPr>
          <w:p>
            <w:pPr>
              <w:pStyle w:val="Normal6a"/>
            </w:pPr>
            <w:r>
              <w:rPr>
                <w:b/>
                <w:i/>
              </w:rPr>
              <w:t>–</w:t>
            </w:r>
            <w:r>
              <w:tab/>
            </w:r>
            <w:r>
              <w:t xml:space="preserve">uwzględniając Europejski filar praw socjalnych ogłoszony i podpisany przez Radę, Parlament i Komisję 17 listopada 2017 r., w szczególności zasady 1, 3 i 4, </w:t>
            </w:r>
            <w:r>
              <w:rPr>
                <w:b/>
                <w:i/>
              </w:rPr>
              <w:t>oraz przewidziany w nim cel zmniejszenia odsetka młodzieży NEET do 9 % przed końcem 2030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5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art. 7 i 17 zmienionej Europejskiej karty społecznej,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6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konkluzje Rady w sprawie roli pracy z młodzieżą we wspieraniu rozwijania podstawowych umiejętności życiowych młodych ludzi, które ułatwiają im pomyślne wchodzenie w dorosłość, aktywne obywatelstwo i życie zawodowe (2017/C 189/06)</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Dz.U. C 189 z 15.6.2017, s. 30–34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6 b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wdrażanie strategii UE na rzecz młodzieży (2019–2021) (2021/C 504 1/02)</w:t>
            </w:r>
            <w:r>
              <w:rPr>
                <w:b/>
                <w:i/>
                <w:vertAlign w:val="superscript"/>
              </w:rPr>
              <w:t>2b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2b</w:t>
            </w:r>
            <w:r>
              <w:t xml:space="preserve"> </w:t>
            </w:r>
            <w:r>
              <w:rPr>
                <w:b/>
                <w:i/>
              </w:rPr>
              <w:t>Dz.U. C 504I z 14.12.2021, s. 10–11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6 c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komunikat Komisji Europejskiej z dnia 20 stycznia 2026 r. zatytułowany „Unia równości:</w:t>
            </w:r>
            <w:r>
              <w:t xml:space="preserve"> </w:t>
            </w:r>
            <w:r>
              <w:rPr>
                <w:b/>
                <w:i/>
              </w:rPr>
              <w:t>strategia przeciwdziałania rasizmowi na lata 2026–2030” (COM(2026)0012)</w:t>
            </w:r>
            <w:r>
              <w:rPr>
                <w:b/>
                <w:i/>
                <w:vertAlign w:val="superscript"/>
              </w:rPr>
              <w:t>2c</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2c</w:t>
            </w:r>
            <w:r>
              <w:t xml:space="preserve"> </w:t>
            </w:r>
            <w:r>
              <w:rPr>
                <w:b/>
                <w:i/>
              </w:rPr>
              <w:t>COM(2026) 12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6 d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sprawozdanie FRA zatytułowane „Sytuacja osób czarnoskórych w UE – doświadczenia osób pochodzenia afrykańskiego”</w:t>
            </w:r>
            <w:r>
              <w:rPr>
                <w:b/>
                <w:i/>
                <w:vertAlign w:val="superscript"/>
              </w:rPr>
              <w:t>2d</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2d</w:t>
            </w:r>
            <w:r>
              <w:t xml:space="preserve"> </w:t>
            </w:r>
            <w:r>
              <w:rPr>
                <w:b/>
                <w:i/>
              </w:rPr>
              <w:t>https://fra.europa.eu/en/publication/2023/being-black-eu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6 e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sprawozdanie FRA zatytułowane „Być muzułmaninem w UE – doświadczenia muzułmanów”</w:t>
            </w:r>
            <w:r>
              <w:rPr>
                <w:b/>
                <w:i/>
                <w:vertAlign w:val="superscript"/>
              </w:rPr>
              <w:t>2e</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2e</w:t>
            </w:r>
            <w:r>
              <w:t xml:space="preserve"> </w:t>
            </w:r>
            <w:r>
              <w:rPr>
                <w:b/>
                <w:i/>
              </w:rPr>
              <w:t>https://fra.europa.eu/en/publication/2024/being-muslim-eu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9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główne przesłania Komitetu ds. Zatrudnienia (EMCO) zatwierdzone przez Radę w składzie EPSCO w latach 2016, 2018, 2019, 2021, 2023, 2025 i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10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cele zrównoważonego rozwoju Organizacji Narodów Zjednoczonych, w szczególności cel 8 przyjęty przez światowych przywódców we wrześniu 2015 r. i zatwierdzony przez Radę,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12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Europejską kartę społeczną, w szczególności art. 7 i 17,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12 b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Agendę 2030 i cele zrównoważonego rozwoju, w szczególności cel 8 „Promowanie trwałego, zrównoważonego i sprzyjającego włączeniu społecznemu wzrostu gospodarczego, pełnego i produktywnego zatrudnienia oraz godnej pracy dla wszystkich”,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16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zalecenie Rady z dnia 9 marca 2026 r. w sprawie kapitału ludzkiego w Unii Europejskiej</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Dz.U. C, C/2026/1687.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16 b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opinię Europejskiego Komitetu Regionów z 5 lutego 2021 r. pt. „Wspieranie zatrudnienia ludzi młodych:</w:t>
            </w:r>
            <w:r>
              <w:t xml:space="preserve"> </w:t>
            </w:r>
            <w:r>
              <w:rPr>
                <w:b/>
                <w:i/>
              </w:rPr>
              <w:t>pomost do zatrudnienia dla kolejnego pokolenia i wzmocnienie gwarancji dla młodzieży”</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Dz.U. C 106 z 26.3.2021, s. 7–11.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17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opinię Europejskiego Komitetu Ekonomiczno-Społecznego z 29 października 2020 r. pt. „Wzmocnienie gwarancji dla młodzieży”,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17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sprawozdanie Eurofoundu z 2024 r. pt. „Becoming adults: Young people in a post-pandemic world”</w:t>
            </w:r>
            <w:r>
              <w:rPr>
                <w:b/>
                <w:i/>
                <w:vertAlign w:val="superscript"/>
              </w:rPr>
              <w:t>3a</w:t>
            </w:r>
            <w:r>
              <w:t xml:space="preserve"> </w:t>
            </w:r>
            <w:r>
              <w:rPr>
                <w:b/>
                <w:i/>
              </w:rPr>
              <w:t>[Wchodzenie w dorosłość: młodzi ludzie w świecie po pandemii],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Eurofound (2024), „Becoming adults:</w:t>
            </w:r>
            <w:r>
              <w:t xml:space="preserve"> </w:t>
            </w:r>
            <w:r>
              <w:rPr>
                <w:b/>
                <w:i/>
              </w:rPr>
              <w:t>Young people in a post-pandemic world”, Urząd Publikacji Unii Europejskiej, Luksemburg.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17 b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sprawozdanie Eurofoundu z 2024 r. pt. „Young people in the Western Balkans” [Młodzi ludzie na Bałkanach Zachodnich]</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Eurofound (2024), „Young people in the Western Balkans”, Urząd Publikacji Unii Europejskiej, Luksemburg.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17 c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publikację Cedefop z 2023 r. pt. „European guidelines for validation non-formal and informal learning”</w:t>
            </w:r>
            <w:r>
              <w:rPr>
                <w:b/>
                <w:i/>
                <w:vertAlign w:val="superscript"/>
              </w:rPr>
              <w:t>5a</w:t>
            </w:r>
            <w:r>
              <w:t xml:space="preserve"> </w:t>
            </w:r>
            <w:r>
              <w:rPr>
                <w:b/>
                <w:i/>
              </w:rPr>
              <w:t>[Europejskie wytyczne dotyczące walidacji uczenia się pozaformalnego i nieformalnego],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Cedefop (2023),</w:t>
            </w:r>
            <w:r>
              <w:t xml:space="preserve"> </w:t>
            </w:r>
            <w:r>
              <w:rPr>
                <w:b/>
                <w:i/>
              </w:rPr>
              <w:t>Europejskie wytyczne w sprawie walidacji uczenia się pozaformalnego i nieformalnego.</w:t>
            </w:r>
            <w:r>
              <w:t xml:space="preserve"> </w:t>
            </w:r>
            <w:r>
              <w:rPr>
                <w:b/>
                <w:i/>
              </w:rPr>
              <w:t>Luksemburg,</w:t>
            </w:r>
            <w:r>
              <w:t xml:space="preserve"> </w:t>
            </w:r>
            <w:r>
              <w:rPr>
                <w:b/>
                <w:i/>
              </w:rPr>
              <w:t>Urząd Publikacji,</w:t>
            </w:r>
            <w:r>
              <w:t xml:space="preserve"> </w:t>
            </w:r>
            <w:r>
              <w:rPr>
                <w:b/>
                <w:i/>
              </w:rPr>
              <w:t>Seria referencyjna Cedefop;</w:t>
            </w:r>
            <w:r>
              <w:t xml:space="preserve"> </w:t>
            </w:r>
            <w:r>
              <w:rPr>
                <w:b/>
                <w:i/>
              </w:rPr>
              <w:t>nr 124, http://data.europa.eu/doi/10.2801/389827.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17 d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publikację Europejskiej Fundacji Kształcenia z 2025 r. pt. „Outreach to Young People not in Employment, Education or Training:</w:t>
            </w:r>
            <w:r>
              <w:t xml:space="preserve"> </w:t>
            </w:r>
            <w:r>
              <w:rPr>
                <w:b/>
                <w:i/>
              </w:rPr>
              <w:t>A practical Manual for Outreach”</w:t>
            </w:r>
            <w:r>
              <w:rPr>
                <w:b/>
                <w:i/>
                <w:vertAlign w:val="superscript"/>
              </w:rPr>
              <w:t>6a</w:t>
            </w:r>
            <w:r>
              <w:t xml:space="preserve"> </w:t>
            </w:r>
            <w:r>
              <w:rPr>
                <w:b/>
                <w:i/>
              </w:rPr>
              <w:t>[Działania informacyjne skierowane do młodzieży niekształcącej się, niepracującej ani nieszkolącej się: podręcznik praktyczny],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6a</w:t>
            </w:r>
            <w:r>
              <w:t xml:space="preserve"> </w:t>
            </w:r>
            <w:r>
              <w:rPr>
                <w:b/>
                <w:i/>
              </w:rPr>
              <w:t>Europejska Fundacja Kształcenia (2025), „Outreach to Young People not in Employment, Education of Training:</w:t>
            </w:r>
            <w:r>
              <w:t xml:space="preserve"> </w:t>
            </w:r>
            <w:r>
              <w:rPr>
                <w:b/>
                <w:i/>
              </w:rPr>
              <w:t>A practical Manual for Outreach”, Turyn, Włochy.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17 e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publikację Cedefop z 2026 r. pt. „An EU reference framework for lifelong guidance: 18 guidelines for policy and system development”</w:t>
            </w:r>
            <w:r>
              <w:rPr>
                <w:b/>
                <w:i/>
                <w:vertAlign w:val="superscript"/>
              </w:rPr>
              <w:t>7a</w:t>
            </w:r>
            <w:r>
              <w:t xml:space="preserve"> </w:t>
            </w:r>
            <w:r>
              <w:rPr>
                <w:b/>
                <w:i/>
              </w:rPr>
              <w:t>[Unijne ramy odniesienia dotyczące poradnictwa przez całe życie: 18 wytycznych dotyczących rozwoju polityki i systemu]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7a</w:t>
            </w:r>
            <w:r>
              <w:t xml:space="preserve"> </w:t>
            </w:r>
            <w:r>
              <w:rPr>
                <w:b/>
                <w:i/>
              </w:rPr>
              <w:t>Cedefop (2026),</w:t>
            </w:r>
            <w:r>
              <w:t xml:space="preserve"> </w:t>
            </w:r>
            <w:r>
              <w:rPr>
                <w:b/>
                <w:i/>
              </w:rPr>
              <w:t>„An EU reference framework for lifelong guidance.</w:t>
            </w:r>
            <w:r>
              <w:t xml:space="preserve"> </w:t>
            </w:r>
            <w:r>
              <w:rPr>
                <w:b/>
                <w:i/>
              </w:rPr>
              <w:t>18 guidelines for policy and systems development”,</w:t>
            </w:r>
            <w:r>
              <w:t xml:space="preserve"> </w:t>
            </w:r>
            <w:r>
              <w:rPr>
                <w:b/>
                <w:i/>
              </w:rPr>
              <w:t>seria referencyjna Cedefop nr 125,</w:t>
            </w:r>
            <w:r>
              <w:t xml:space="preserve"> </w:t>
            </w:r>
            <w:r>
              <w:rPr>
                <w:b/>
                <w:i/>
              </w:rPr>
              <w:t>Urząd Publikacji Unii Europejskiej,</w:t>
            </w:r>
            <w:r>
              <w:t xml:space="preserve"> </w:t>
            </w:r>
            <w:r>
              <w:rPr>
                <w:b/>
                <w:i/>
              </w:rPr>
              <w:t>DOI:</w:t>
            </w:r>
            <w:r>
              <w:t xml:space="preserve"> </w:t>
            </w:r>
            <w:r>
              <w:rPr>
                <w:b/>
                <w:i/>
              </w:rPr>
              <w:t>10.2801/8255414.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uwzględniając europejską ocenę wdrożenia Biura Analiz Parlamentu Europejskiego z 18 grudnia 2025 r. pt. „Wdrożenie wzmocnionej gwarancji dla młodzieży – tendencje w państwach członkowskich UE, wpływ, finansowanie UE i zarządzanie”,</w:t>
            </w:r>
          </w:p>
        </w:tc>
        <w:tc>
          <w:tcPr>
            <w:tcW w:w="4876" w:type="dxa"/>
            <w:tcBorders>
              <w:top w:val="nil"/>
              <w:left w:val="nil"/>
              <w:bottom w:val="nil"/>
              <w:right w:val="nil"/>
            </w:tcBorders>
          </w:tcPr>
          <w:p>
            <w:pPr>
              <w:pStyle w:val="Normal6a"/>
            </w:pPr>
            <w:r>
              <w:rPr>
                <w:b/>
                <w:i/>
              </w:rPr>
              <w:t>–</w:t>
            </w:r>
            <w:r>
              <w:tab/>
            </w:r>
            <w:r>
              <w:t>uwzględniając europejską ocenę wdrożenia Biura Analiz Parlamentu Europejskiego z 18 grudnia 2025 r. pt. „Wdrożenie wzmocnionej gwarancji dla młodzieży – tendencje w państwach członkowskich UE, wpływ, finansowanie UE i zarządzanie”</w:t>
            </w:r>
            <w:r>
              <w:rPr>
                <w:b/>
                <w:i/>
                <w:vertAlign w:val="superscript"/>
              </w:rPr>
              <w:t>8a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8a</w:t>
            </w:r>
            <w:r>
              <w:t xml:space="preserve"> </w:t>
            </w:r>
            <w:r>
              <w:rPr>
                <w:b/>
                <w:i/>
              </w:rPr>
              <w:t>https://www.europarl.europa.eu/thinktank/pl/document/EPRS_STU(2025)774714.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18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badanie opublikowane przez Europejski Komitet Regionów w czerwcu 2022 r. pt. „The local implementation of the Reinforced Youth Guarantee” [Lokalne wdrażanie wzmocnionej gwarancji dla młodzieży],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18 b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dokument przedstawiający stanowisko Europejskiego Forum Młodzieży z 13 marca 2025 r. pt. „Youth Guarantee: How to support young people finding a pathway” [Gwarancja dla młodzieży: jak wspierać młodych ludzi w poszukiwaniu ścieżki kształcenia],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Niels Geuking, Pascal Arimont, Romana Tomc, David Casa, Isabelle Le Callennec,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19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rezolucję Parlamentu Europejskiego z dnia 21 listopada 2023 r. pt. „Ograniczenie nierówności i wspieranie włączenia społecznego w czasach kryzysu z myślą o dzieciach i ich rodzinach”</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https://eur-lex.europa.eu/legal-content/PL/TXT/HTML/?uri=OJ:C_202404211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19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swoją rezolucję z dnia 17 lutego 2022 r. w sprawie wzmocnienia pozycji młodzieży w Europie:</w:t>
            </w:r>
            <w:r>
              <w:t xml:space="preserve"> </w:t>
            </w:r>
            <w:r>
              <w:rPr>
                <w:b/>
                <w:i/>
              </w:rPr>
              <w:t>zatrudnienie i odbudowa społeczna po pandemii</w:t>
            </w:r>
            <w:r>
              <w:rPr>
                <w:b/>
                <w:i/>
                <w:vertAlign w:val="superscript"/>
              </w:rPr>
              <w:t>9a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9a</w:t>
            </w:r>
            <w:r>
              <w:t xml:space="preserve"> </w:t>
            </w:r>
            <w:r>
              <w:rPr>
                <w:b/>
                <w:i/>
              </w:rPr>
              <w:t>Dz.U. C 342 z 6.9.2022, s. 265–275.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19 b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swoją rezolucję z dnia 11 marca 2025 r. w sprawie Europejskiego Funduszu Społecznego Plus po roku 2027</w:t>
            </w:r>
            <w:r>
              <w:rPr>
                <w:b/>
                <w:i/>
                <w:vertAlign w:val="superscript"/>
              </w:rPr>
              <w:t>10a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10a</w:t>
            </w:r>
            <w:r>
              <w:t xml:space="preserve"> </w:t>
            </w:r>
            <w:r>
              <w:rPr>
                <w:b/>
                <w:i/>
              </w:rPr>
              <w:t>Dz.U. C, C/2025/3146.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19 c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rezolucję Parlamentu Europejskiego z dnia 27 listopada 2025 r. w sprawie strategii UE na rzecz praw osób z niepełnosprawnościami na okres po 2024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mając na uwadze, że wzmocniona gwarancja dla młodzieży (RYG) to zobowiązanie państw członkowskich, że </w:t>
            </w:r>
            <w:r>
              <w:rPr>
                <w:b/>
                <w:i/>
              </w:rPr>
              <w:t>każda osoba młoda</w:t>
            </w:r>
            <w:r>
              <w:t xml:space="preserve"> poniżej 30 roku życia </w:t>
            </w:r>
            <w:r>
              <w:rPr>
                <w:b/>
                <w:i/>
              </w:rPr>
              <w:t>otrzyma</w:t>
            </w:r>
            <w:r>
              <w:t xml:space="preserve"> ofertę wysokiej jakości zatrudnienia, dalszego kształcenia, przygotowania zawodowego lub stażu w ciągu czterech miesięcy od uzyskania statusu osoby bezrobotnej lub zakończenia kształcenia;</w:t>
            </w:r>
          </w:p>
        </w:tc>
        <w:tc>
          <w:tcPr>
            <w:tcW w:w="4876" w:type="dxa"/>
            <w:tcBorders>
              <w:top w:val="nil"/>
              <w:left w:val="nil"/>
              <w:bottom w:val="nil"/>
              <w:right w:val="nil"/>
            </w:tcBorders>
          </w:tcPr>
          <w:p>
            <w:pPr>
              <w:pStyle w:val="Normal6a"/>
            </w:pPr>
            <w:r>
              <w:t>A.</w:t>
            </w:r>
            <w:r>
              <w:tab/>
            </w:r>
            <w:r>
              <w:t xml:space="preserve">mając na uwadze, że wzmocniona gwarancja dla młodzieży (RYG) to zobowiązanie państw członkowskich, że </w:t>
            </w:r>
            <w:r>
              <w:rPr>
                <w:b/>
                <w:i/>
              </w:rPr>
              <w:t>teoretycznie wszyscy młodzi obywatele</w:t>
            </w:r>
            <w:r>
              <w:t xml:space="preserve"> poniżej 30 roku życia </w:t>
            </w:r>
            <w:r>
              <w:rPr>
                <w:b/>
                <w:i/>
              </w:rPr>
              <w:t>otrzymają</w:t>
            </w:r>
            <w:r>
              <w:t xml:space="preserve"> ofertę wysokiej jakości zatrudnienia, dalszego kształcenia, przygotowania zawodowego lub stażu w ciągu czterech miesięcy od uzyskania statusu osoby bezrobotnej lub zakończenia kształcenia</w:t>
            </w:r>
            <w:r>
              <w:rPr>
                <w:b/>
                <w:i/>
              </w:rPr>
              <w:t>, oraz że zobowiązanie to zderzyło się z realiami w terenie i okazało się iluzją biurokratyczną, gdyż po upływie tego terminu ponad połowa młodych ludzi w Unii nadal czeka na ofertę</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mając na uwadze, że wzmocniona gwarancja dla młodzieży (RYG) to zobowiązanie państw członkowskich, że każda osoba młoda poniżej 30 roku życia otrzyma ofertę wysokiej jakości zatrudnienia, dalszego kształcenia, przygotowania zawodowego lub stażu w ciągu czterech miesięcy od uzyskania statusu osoby bezrobotnej lub zakończenia kształcenia;</w:t>
            </w:r>
          </w:p>
        </w:tc>
        <w:tc>
          <w:tcPr>
            <w:tcW w:w="4876" w:type="dxa"/>
            <w:tcBorders>
              <w:top w:val="nil"/>
              <w:left w:val="nil"/>
              <w:bottom w:val="nil"/>
              <w:right w:val="nil"/>
            </w:tcBorders>
          </w:tcPr>
          <w:p>
            <w:pPr>
              <w:pStyle w:val="Normal6a"/>
            </w:pPr>
            <w:r>
              <w:t>A.</w:t>
            </w:r>
            <w:r>
              <w:tab/>
            </w:r>
            <w:r>
              <w:t xml:space="preserve">mając na uwadze, że wzmocniona gwarancja dla młodzieży (RYG) to zobowiązanie państw członkowskich, że każda osoba młoda poniżej 30 roku życia otrzyma ofertę wysokiej jakości zatrudnienia, dalszego kształcenia, przygotowania zawodowego lub stażu w ciągu czterech miesięcy od uzyskania statusu osoby bezrobotnej lub zakończenia kształcenia; </w:t>
            </w:r>
            <w:r>
              <w:rPr>
                <w:b/>
                <w:i/>
              </w:rPr>
              <w:t>mając na uwadze, że od czasu ustanowienia gwarancji dla młodzieży w 2013 r. około 60 mln młodych Europejczyków skorzystało z oferty objętej tym programem;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mając na uwadze, że </w:t>
            </w:r>
            <w:r>
              <w:rPr>
                <w:b/>
                <w:i/>
              </w:rPr>
              <w:t>wzmocniona gwarancja</w:t>
            </w:r>
            <w:r>
              <w:t xml:space="preserve"> dla młodzieży </w:t>
            </w:r>
            <w:r>
              <w:rPr>
                <w:b/>
                <w:i/>
              </w:rPr>
              <w:t>(RYG)</w:t>
            </w:r>
            <w:r>
              <w:t xml:space="preserve"> to zobowiązanie państw członkowskich</w:t>
            </w:r>
            <w:r>
              <w:rPr>
                <w:b/>
                <w:i/>
              </w:rPr>
              <w:t>, że każda osoba młoda</w:t>
            </w:r>
            <w:r>
              <w:t xml:space="preserve"> poniżej 30 roku życia </w:t>
            </w:r>
            <w:r>
              <w:rPr>
                <w:b/>
                <w:i/>
              </w:rPr>
              <w:t>otrzyma</w:t>
            </w:r>
            <w:r>
              <w:t xml:space="preserve"> ofertę </w:t>
            </w:r>
            <w:r>
              <w:rPr>
                <w:b/>
                <w:i/>
              </w:rPr>
              <w:t>wysokiej jakości</w:t>
            </w:r>
            <w:r>
              <w:t xml:space="preserve"> zatrudnienia, dalszego kształcenia, przygotowania zawodowego lub stażu w ciągu czterech miesięcy od uzyskania statusu osoby bezrobotnej lub zakończenia kształcenia;</w:t>
            </w:r>
          </w:p>
        </w:tc>
        <w:tc>
          <w:tcPr>
            <w:tcW w:w="4876" w:type="dxa"/>
            <w:tcBorders>
              <w:top w:val="nil"/>
              <w:left w:val="nil"/>
              <w:bottom w:val="nil"/>
              <w:right w:val="nil"/>
            </w:tcBorders>
          </w:tcPr>
          <w:p>
            <w:pPr>
              <w:pStyle w:val="Normal6a"/>
            </w:pPr>
            <w:r>
              <w:t>A.</w:t>
            </w:r>
            <w:r>
              <w:tab/>
            </w:r>
            <w:r>
              <w:t xml:space="preserve">mając na uwadze, że </w:t>
            </w:r>
            <w:r>
              <w:rPr>
                <w:b/>
                <w:i/>
              </w:rPr>
              <w:t>gwarancję</w:t>
            </w:r>
            <w:r>
              <w:t xml:space="preserve"> dla młodzieży </w:t>
            </w:r>
            <w:r>
              <w:rPr>
                <w:b/>
                <w:i/>
              </w:rPr>
              <w:t>ustanowiono w 2013 r. i umocniono w 2020 r. (RYG);</w:t>
            </w:r>
            <w:r>
              <w:t xml:space="preserve"> </w:t>
            </w:r>
            <w:r>
              <w:rPr>
                <w:b/>
                <w:i/>
              </w:rPr>
              <w:t>mając na uwadze, że jest</w:t>
            </w:r>
            <w:r>
              <w:t xml:space="preserve"> to zobowiązanie państw członkowskich </w:t>
            </w:r>
            <w:r>
              <w:rPr>
                <w:b/>
                <w:i/>
              </w:rPr>
              <w:t>wobec młodych ludzi</w:t>
            </w:r>
            <w:r>
              <w:t xml:space="preserve"> poniżej 30 roku życia </w:t>
            </w:r>
            <w:r>
              <w:rPr>
                <w:b/>
                <w:i/>
              </w:rPr>
              <w:t>gwarantujące im</w:t>
            </w:r>
            <w:r>
              <w:t xml:space="preserve"> ofertę zatrudnienia, dalszego kształcenia, przygotowania zawodowego lub stażu w ciągu czterech miesięcy od uzyskania statusu osoby bezrobotnej lub zakończenia kształcenia;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mając na uwadze, że celem RYG jest zwalczanie bezrobocia, bierności zawodowej i niepełnego zatrudnienia młodzieży oraz wspieranie trwałej integracji młodych ludzi w wysokiej jakości kształceniu, szkoleniu i na rynku pracy;</w:t>
            </w:r>
            <w:r>
              <w:t xml:space="preserve"> </w:t>
            </w:r>
            <w:r>
              <w:rPr>
                <w:b/>
                <w:i/>
              </w:rPr>
              <w:t>mając na uwadze, że cele RYG odzwierciedlają wspólne priorytety polityczne Parlamentu Europejskiego, Komisji i państw członkowskich w obecnych wieloletnich ramach finansowych (WRF), dzięki czemu przyczyniają się do osiągnięcia celu Unii, jakim jest zrównoważony wzrost gospodarczy i tworzenie wysokiej jakości miejsc pracy zgodnie z Europejskim filarem praw socjalnych;</w:t>
            </w:r>
            <w:r>
              <w:t xml:space="preserve"> </w:t>
            </w:r>
            <w:r>
              <w:rPr>
                <w:b/>
                <w:i/>
              </w:rPr>
              <w:t>mając na uwadze, że utrzymujące się problemy i nowe szybko zmieniające się wyzwania związane z integracją młodych ludzi na rynku pracy wymagają utrzymania tych priorytetów po zakończeniu obecnego okresu programowania;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mając na uwadze, że państwa członkowskie zasadniczo utrzymały silne zaangażowanie polityczne we wdrażanie gwarancji dla młodzieży i krajowych planów wdrażania;</w:t>
            </w:r>
            <w:r>
              <w:t xml:space="preserve"> </w:t>
            </w:r>
            <w:r>
              <w:rPr>
                <w:b/>
                <w:i/>
              </w:rPr>
              <w:t>mając na uwadze, że podjęto szczególne wysiłki w celu wzmocnienia zdolności w zakresie wsparcia młodzieży NEET i wzajemnego uczenia się poprzez spotkania koordynatorów krajowych na szczeblu unijnym i poza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mając na uwadze, że w badaniach Eurofoundu podkreślono, iż populacja młodzieży NEET jest wysoce zróżnicowana i składa się z odrębnych podgrup, z których każda zmaga się z wyjątkowymi barierami strukturalnymi i potrzebami, które uniemożliwiają jej udaną integrację na rynku pracy;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mając na uwadze, że przy opracowywaniu i wdrażaniu takich środków należy w pełni przestrzegać zasady pomocniczości oraz kompetencji państw członkowskich w dziedzinie edukacji, szkolenia i polityki zatrudnienia;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mając na uwadze, że odsetek młodzieży NEET w UE powrócił do tendencji spadkowej po pandemii;</w:t>
            </w:r>
            <w:r>
              <w:t xml:space="preserve"> </w:t>
            </w:r>
            <w:r>
              <w:rPr>
                <w:b/>
                <w:i/>
              </w:rPr>
              <w:t>mając na uwadze, że plan działania na rzecz Europejskiego filaru praw socjalnych obejmuje cel zmniejszenia do 2030 r. odsetka młodzieży NEET do 9 % wśród osób w wieku 15–29 lat;</w:t>
            </w:r>
            <w:r>
              <w:t xml:space="preserve"> </w:t>
            </w:r>
            <w:r>
              <w:rPr>
                <w:b/>
                <w:i/>
              </w:rPr>
              <w:t>mając na uwadze, że cel ten jest możliwy do osiągnięcia pomimo znacznych dysproporcji między państwami członkowskimi i regionami</w:t>
            </w:r>
            <w:r>
              <w:rPr>
                <w:b/>
                <w:i/>
                <w:vertAlign w:val="superscript"/>
              </w:rPr>
              <w:t>11a</w:t>
            </w:r>
            <w:r>
              <w:rPr>
                <w:b/>
                <w:i/>
              </w:rPr>
              <w:t>, oraz mając na uwadze, że osiągnięcie tego celu nadal pozostawiłoby znaczną liczbę młodych ludzi w niepewnej sytuacji;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11a</w:t>
            </w:r>
            <w:r>
              <w:t xml:space="preserve"> </w:t>
            </w:r>
            <w:r>
              <w:rPr>
                <w:b/>
                <w:i/>
              </w:rPr>
              <w:t>https://doi.org/10.2908/LFSI_NEET_Q.</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mając na uwadze, że młodzież NEET stanowi zróżnicowaną grupę młodych ludzi o różnych doświadczeniach życiowych;</w:t>
            </w:r>
            <w:r>
              <w:t xml:space="preserve"> </w:t>
            </w:r>
            <w:r>
              <w:rPr>
                <w:b/>
                <w:i/>
              </w:rPr>
              <w:t>mając na uwadze, że w badaniach</w:t>
            </w:r>
            <w:r>
              <w:rPr>
                <w:b/>
                <w:i/>
                <w:vertAlign w:val="superscript"/>
              </w:rPr>
              <w:t>1a</w:t>
            </w:r>
            <w:r>
              <w:t xml:space="preserve"> </w:t>
            </w:r>
            <w:r>
              <w:rPr>
                <w:b/>
                <w:i/>
              </w:rPr>
              <w:t>Eurofoundu podkreślono, iż populacja młodzieży NEET jest wysoce zróżnicowana i składa się z odrębnych podgrup, z których każda zmaga się z wyjątkowymi barierami strukturalnymi, które uniemożliwiają jej udaną integrację na rynku pracy, w związku z czym potrzebuje spersonalizowanego wsparcia dostosowanego do jej szczególnych potrzeb;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Eurofound, „Exploring the diversity of NEETs”, Urząd Publikacji Unii Europejskiej, Luksemburg, 2016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mając na uwadze, że przy wdrażaniu i ulepszaniu RYG należy zwrócić szczególną uwagę na młodzież NEET znajdującą się w trudnej sytuacji oraz osoby najbardziej oddalone od rynku pracy, do których często trudno dotrzeć;</w:t>
            </w:r>
            <w:r>
              <w:t xml:space="preserve"> </w:t>
            </w:r>
            <w:r>
              <w:rPr>
                <w:b/>
                <w:i/>
              </w:rPr>
              <w:t>mając na uwadze, że grupa ta obejmuje kobiety, osoby z różnych środowisk etnicznych, społeczności romskie i wędrowne, młodych ludzi doświadczających bezdomności, młodych ludzi, którzy opuścili placówki opieki instytucjonalnej, osoby LGBTQIA+, młodych ludzi o statusie migranta lub uchodźcy, młodych ludzi z niepełnosprawnościami, młodych ludzi doświadczających dyskryminacji ze względu na religię lub przekonania, młodych ludzi z chorobami przewlekłymi lub uzależnieniami, młodych rodziców, a także młodych ludzi pełniących rolę opiekunów nieformalnych;</w:t>
            </w:r>
            <w:r>
              <w:t xml:space="preserve"> </w:t>
            </w:r>
            <w:r>
              <w:rPr>
                <w:b/>
                <w:i/>
              </w:rPr>
              <w:t>mając na uwadze, że należy dokonać wyraźnego rozróżnienia między młodzieżą NEET, która jest nieumyślnie wykluczona z kształcenia, zatrudnienia lub szkolenia, a osobami, które są bierne zawodowo z wyboru;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mając na uwadze, że wśród młodzieży NEET utrzymują się różnice w traktowaniu kobiet i mężczyzn, a odsetek młodzieży NEET wśród młodych kobiet stale przewyższa odsetek młodych mężczyzn NEET w UE</w:t>
            </w:r>
            <w:r>
              <w:rPr>
                <w:b/>
                <w:i/>
                <w:vertAlign w:val="superscript"/>
              </w:rPr>
              <w:t>12a</w:t>
            </w:r>
            <w:r>
              <w:rPr>
                <w:b/>
                <w:i/>
              </w:rPr>
              <w:t>;</w:t>
            </w:r>
            <w:r>
              <w:t xml:space="preserve"> </w:t>
            </w:r>
            <w:r>
              <w:rPr>
                <w:b/>
                <w:i/>
              </w:rPr>
              <w:t>mając na uwadze, że sytuację tę można częściowo wytłumaczyć nierównym podziałem obowiązków związanych z opieką nad dziećmi oraz normami społecznymi;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12a</w:t>
            </w:r>
            <w:r>
              <w:t xml:space="preserve"> </w:t>
            </w:r>
            <w:r>
              <w:rPr>
                <w:b/>
                <w:i/>
              </w:rPr>
              <w:t>https://www.eurofound.europa.eu/en/surveys-and-data/data-catalogue/neet-rates-gender-15-29-age-group.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mając na uwadze, że integracja młodzieży NEET na rynku pracy staje się coraz bardziej złożona, co wynika z takich czynników jak wzrost gospodarki fuch oraz wzrost niepewnych i niestandardowych form zatrudnienia, rozwój sztucznej inteligencji i cyfryzacji oraz kryzys kosztów utrzymania, w tym rosnące koszty mieszkaniowe;</w:t>
            </w:r>
            <w:r>
              <w:t xml:space="preserve"> </w:t>
            </w:r>
            <w:r>
              <w:rPr>
                <w:b/>
                <w:i/>
              </w:rPr>
              <w:t>mając na uwadze, że zmiany te tworzą bariery strukturalne dla trwałego zatrudnienia i pogłębiają nierówności, które pozostawiają w tyle młodzież NEET znajdującą się w trudnej sytuacji;</w:t>
            </w:r>
            <w:r>
              <w:t xml:space="preserve"> </w:t>
            </w:r>
            <w:r>
              <w:rPr>
                <w:b/>
                <w:i/>
              </w:rPr>
              <w:t>mając na uwadze, że należy zreformować i wzmocnić wdrażanie planu działania na rzecz młodzieży NEET, aby skutecznie reagować na te wyzwania i priorytetowo traktować młodzież NEET najbardziej oddaloną od rynku pracy;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mając na uwadze, że Romowie stanowią grupę o najwyższym odsetku młodzieży NEET w UE — wynosi on 47 % wśród osób w wieku 16–24 lat przy średniej UE wynoszącej w tej grupie wiekowej 9 %</w:t>
            </w:r>
            <w:r>
              <w:rPr>
                <w:b/>
                <w:i/>
                <w:vertAlign w:val="superscript"/>
              </w:rPr>
              <w:t>13a</w:t>
            </w:r>
            <w:r>
              <w:rPr>
                <w:b/>
                <w:i/>
              </w:rPr>
              <w:t>;</w:t>
            </w:r>
            <w:r>
              <w:t xml:space="preserve"> </w:t>
            </w:r>
            <w:r>
              <w:rPr>
                <w:b/>
                <w:i/>
              </w:rPr>
              <w:t>mając na uwadze, że żadne z państw członkowskich objętych badaniem nie jest bliskie osiągnięcia celów określonych w unijnych ramach strategicznych dotyczących Romów</w:t>
            </w:r>
            <w:r>
              <w:rPr>
                <w:b/>
                <w:i/>
                <w:vertAlign w:val="superscript"/>
              </w:rPr>
              <w:t>14a</w:t>
            </w:r>
            <w:r>
              <w:t xml:space="preserve"> </w:t>
            </w:r>
            <w:r>
              <w:rPr>
                <w:b/>
                <w:i/>
              </w:rPr>
              <w:t>oraz mając na uwadze, że bez ukierunkowanego i strategicznego podejścia państw członkowskich Unia Europejska może narazić pokolenie młodych Romów i Trawelerów na ryzyko wykluczenia z kształcenia, szkolenia i rynku pracy;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13a</w:t>
            </w:r>
            <w:r>
              <w:t xml:space="preserve"> </w:t>
            </w:r>
            <w:r>
              <w:rPr>
                <w:b/>
                <w:i/>
              </w:rPr>
              <w:t>„Rights of Roma and Travellers in 13 European countries — Perspectives from the Roma Survey 2024” [Prawa Romów i Trawelerów w 13 krajach europejskich – perspektywy z badania dotyczącego Romów z 2024 r.], Agencja Praw Podstawowych Unii Europejskiej (FRA), 2 października 2025 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14a</w:t>
            </w:r>
            <w:r>
              <w:t xml:space="preserve"> </w:t>
            </w:r>
            <w:r>
              <w:rPr>
                <w:b/>
                <w:i/>
              </w:rPr>
              <w:t xml:space="preserve">Komisja Europejska (7.10.2020 r.), </w:t>
            </w:r>
            <w:r>
              <w:t xml:space="preserve"> </w:t>
            </w:r>
            <w:r>
              <w:rPr>
                <w:b/>
                <w:i/>
              </w:rPr>
              <w:t>„Unijne ramy strategiczne na rzecz równouprawnienia, włączenia społecznego i udziału Romów na lata 2020–2030” (COM(2020) 620 final), https://eur-lex.europa.eu/resource.html?uri=cellar:9a007e7e-08ad-11eb-a511-01aa75ed71a1.0004.02/DOC_1&amp;format=PDF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e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Ae.</w:t>
            </w:r>
            <w:r>
              <w:tab/>
            </w:r>
            <w:r>
              <w:rPr>
                <w:b/>
                <w:i/>
              </w:rPr>
              <w:t>mając na uwadze, że wchodzenie młodych ludzi na rynek pracy po zakończeniu edukacji stało się dłuższe, mniej liniowe i coraz bardziej niepewne, a wielu z nich doświadcza naprzemiennie okresów zatrudnienia, bezrobocia i bierności zawodowej lub ugrzęzło w niestandardowych formach pracy;</w:t>
            </w:r>
            <w:r>
              <w:t xml:space="preserve"> </w:t>
            </w:r>
            <w:r>
              <w:rPr>
                <w:b/>
                <w:i/>
              </w:rPr>
              <w:t>mając na uwadze, że RYG nie jest wystarczająco dostosowana do tych rozdrobnionych ścieżek i nadal opiera się na sztywnych, jednorazowych środkach;</w:t>
            </w:r>
            <w:r>
              <w:t xml:space="preserve"> </w:t>
            </w:r>
            <w:r>
              <w:rPr>
                <w:b/>
                <w:i/>
              </w:rPr>
              <w:t>mając na uwadze, że skuteczna integracja na rynku pracy, w szczególności w przypadku młodzieży NEET znajdującej się w trudnej sytuacji, wymaga elastycznego, spersonalizowanego i długoterminowego wsparcia;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e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Ae.</w:t>
            </w:r>
            <w:r>
              <w:tab/>
            </w:r>
            <w:r>
              <w:rPr>
                <w:b/>
                <w:i/>
              </w:rPr>
              <w:t>mając na uwadze, że według badania Agencji Praw Podstawowych Unii Europejskiej z 2021 r. dotyczącego Romów 19 % romskich kobiet i 14 % romskich mężczyzn nigdy nie uczęszczało do szkoły, a jedynie 23 % romskich kobiet i 32 % romskich mężczyzn kontynuuje naukę po 16. roku życia</w:t>
            </w:r>
            <w:r>
              <w:rPr>
                <w:b/>
                <w:i/>
                <w:vertAlign w:val="superscript"/>
              </w:rPr>
              <w:t>15a</w:t>
            </w:r>
            <w:r>
              <w:rPr>
                <w:b/>
                <w:i/>
              </w:rPr>
              <w:t>;</w:t>
            </w:r>
            <w:r>
              <w:t xml:space="preserve"> </w:t>
            </w:r>
            <w:r>
              <w:rPr>
                <w:b/>
                <w:i/>
              </w:rPr>
              <w:t>mając na uwadze, że dane segregowane według kryterium płci pokazują, że średnio 61 % młodych kobiet i 33 % młodych mężczyzn w społecznościach Romów i Trawelerów należy do grupy młodzieży NEET</w:t>
            </w:r>
            <w:r>
              <w:rPr>
                <w:b/>
                <w:i/>
                <w:vertAlign w:val="superscript"/>
              </w:rPr>
              <w:t>16a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15a</w:t>
            </w:r>
            <w:r>
              <w:t xml:space="preserve"> </w:t>
            </w:r>
            <w:r>
              <w:rPr>
                <w:b/>
                <w:i/>
              </w:rPr>
              <w:t>Rada Europy (2025),</w:t>
            </w:r>
            <w:r>
              <w:t xml:space="preserve"> </w:t>
            </w:r>
            <w:r>
              <w:rPr>
                <w:b/>
                <w:i/>
              </w:rPr>
              <w:t>„Equality of Roma and Traveller women and girls” [Równość kobiet i dziewcząt w społeczności Romów i Trawelerów], nr ref. 094724GBR,</w:t>
            </w:r>
            <w:r>
              <w:t xml:space="preserve"> </w:t>
            </w:r>
            <w:r>
              <w:rPr>
                <w:b/>
                <w:i/>
              </w:rPr>
              <w:t>Rada Europy, https://edoc.coe.int/en/roma-and-travellers/12078-equality-of-roma-and-traveller-women-and-girls.html;</w:t>
            </w:r>
            <w:r>
              <w:t xml:space="preserve"> </w:t>
            </w:r>
            <w:r>
              <w:rPr>
                <w:b/>
                <w:i/>
              </w:rPr>
              <w:t>Agencja Praw Podstawowych Unii Europejskiej (2020),</w:t>
            </w:r>
            <w:r>
              <w:t xml:space="preserve"> </w:t>
            </w:r>
            <w:r>
              <w:rPr>
                <w:b/>
                <w:i/>
              </w:rPr>
              <w:t>„Roma and travellers in six countries” [Romowie i Trawelerzy w sześciu krajach]:</w:t>
            </w:r>
            <w:r>
              <w:t xml:space="preserve"> </w:t>
            </w:r>
            <w:r>
              <w:rPr>
                <w:b/>
                <w:i/>
              </w:rPr>
              <w:t>badanie dotyczące Romów i Trawelerów (sprawozdanie FRA),</w:t>
            </w:r>
            <w:r>
              <w:t xml:space="preserve"> </w:t>
            </w:r>
            <w:r>
              <w:rPr>
                <w:b/>
                <w:i/>
              </w:rPr>
              <w:t>Urząd Publikacji Unii Europejskiej, https://fra.europa.eu/sites/default/files/fra_uploads/fra-2020-roma-travellers-six-countries_en.pdf.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16a</w:t>
            </w:r>
            <w:r>
              <w:t xml:space="preserve"> </w:t>
            </w:r>
            <w:r>
              <w:rPr>
                <w:b/>
                <w:i/>
              </w:rPr>
              <w:t>Agencja Praw Podstawowych Unii Europejskiej (2025),</w:t>
            </w:r>
            <w:r>
              <w:t xml:space="preserve"> </w:t>
            </w:r>
            <w:r>
              <w:rPr>
                <w:b/>
                <w:i/>
              </w:rPr>
              <w:t>„Rights of Roma and Travellers in 13 European countries – Perspectives from the Roma Survey 2024” [Prawa Romów i Trawelerów w 13 krajach europejskich – obserwacje z badania dotyczącego Romów z 2024 r.].</w:t>
            </w:r>
            <w:r>
              <w:t xml:space="preserve"> </w:t>
            </w:r>
            <w:r>
              <w:rPr>
                <w:b/>
                <w:i/>
              </w:rPr>
              <w:t>FRA, https://fra.europa.eu/pl/publication/2025/roma-survey-2024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f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Af.</w:t>
            </w:r>
            <w:r>
              <w:tab/>
            </w:r>
            <w:r>
              <w:rPr>
                <w:b/>
                <w:i/>
              </w:rPr>
              <w:t>mając na uwadze, że młodzi ludzie są w nieproporcjonalnym stopniu narażeni na nisko płatną pracę</w:t>
            </w:r>
            <w:r>
              <w:rPr>
                <w:b/>
                <w:i/>
                <w:vertAlign w:val="superscript"/>
              </w:rPr>
              <w:t>1a</w:t>
            </w:r>
            <w:r>
              <w:rPr>
                <w:b/>
                <w:i/>
              </w:rPr>
              <w:t>, a także niepewne i niestandardowe formy zatrudnienia, w tym umowy na czas określony, umowy zerogodzinowe i fikcyjne samozatrudnienie</w:t>
            </w:r>
            <w:r>
              <w:rPr>
                <w:b/>
                <w:i/>
                <w:vertAlign w:val="superscript"/>
              </w:rPr>
              <w:t>1b</w:t>
            </w:r>
            <w:r>
              <w:rPr>
                <w:b/>
                <w:i/>
              </w:rPr>
              <w:t>;</w:t>
            </w:r>
            <w:r>
              <w:t xml:space="preserve"> </w:t>
            </w:r>
            <w:r>
              <w:rPr>
                <w:b/>
                <w:i/>
              </w:rPr>
              <w:t>mając na uwadze, że często nie mają oni dostępu do odpowiedniej ochrony zatrudnienia i świadczeń socjalnych;</w:t>
            </w:r>
            <w:r>
              <w:t xml:space="preserve"> </w:t>
            </w:r>
            <w:r>
              <w:rPr>
                <w:b/>
                <w:i/>
              </w:rPr>
              <w:t>mając na uwadze, że młodzi ludzie są również bardziej narażeni na zwolnienie z pracy z powodu automatyzacji;</w:t>
            </w:r>
            <w:r>
              <w:t xml:space="preserve"> </w:t>
            </w:r>
            <w:r>
              <w:rPr>
                <w:b/>
                <w:i/>
              </w:rPr>
              <w:t>mając na uwadze, że takie warunki dają ograniczone bezpieczeństwo finansowe i osłabiają ścieżki trwałej integracji na rynku pracy;</w:t>
            </w:r>
            <w:r>
              <w:t xml:space="preserve"> </w:t>
            </w:r>
            <w:r>
              <w:rPr>
                <w:b/>
                <w:i/>
              </w:rPr>
              <w:t>mając na uwadze, że dotyczy to w szczególności młodzieży NEET znajdującej się w trudnej sytuacji, która jest nadreprezentowana na stanowiskach wymagających niskich kwalifikacji i w miejscach pracy niskiej jakości;</w:t>
            </w:r>
            <w:r>
              <w:t xml:space="preserve"> </w:t>
            </w:r>
            <w:r>
              <w:rPr>
                <w:b/>
                <w:i/>
              </w:rPr>
              <w:t>mając na uwadze, że RYG powinna aktywnie przeciwdziałać niepewności zatrudnienia i niskim płacom oraz skupić się na pracy zarobkowej, a nie na wolontariacie;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„Procention of low-paid workers in EU countries” [Odsetek nisko opłacanych pracowników w państwach UE], 2022 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Eurostat, „Young people on the labour market – statistics” [Młodzi ludzie na rynku pracy – statystyki], 2018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f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Af.</w:t>
            </w:r>
            <w:r>
              <w:tab/>
            </w:r>
            <w:r>
              <w:rPr>
                <w:b/>
                <w:i/>
              </w:rPr>
              <w:t>mając na uwadze, że osoby opuszczające system opieki stanowią grupę szczególnie zagrożoną statusem młodzieży NEET, jednak ze względu na brak wystarczająco wiarygodnych danych liczba tych osób na szczeblu UE pozostaje niejasna, podobnie jak w przypadku działań informacyjnych, które mają na celu wsparcie tych osób, i możliwości dostępnych dla nich po opuszczeniu systemu opieki;</w:t>
            </w:r>
            <w:r>
              <w:t xml:space="preserve"> </w:t>
            </w:r>
            <w:r>
              <w:rPr>
                <w:b/>
                <w:i/>
              </w:rPr>
              <w:t>mając na uwadze, że młodzi ludzie opuszczający placówki opieki instytucjonalnej często stają w obliczu nagłego przejścia na niezależność życiową bez odpowiedniej ciągłości edukacji, stabilności mieszkaniowej lub poradnictwa zawodowego, co zwiększa ryzyko bezrobocia, ubóstwa i wykluczenia społecznego tych osób;</w:t>
            </w:r>
            <w:r>
              <w:t xml:space="preserve"> </w:t>
            </w:r>
            <w:r>
              <w:rPr>
                <w:b/>
                <w:i/>
              </w:rPr>
              <w:t>mając na uwadze, że wzmocnione wdrażanie gwarancji dla młodzieży mogłoby wyeliminować te luki w okresach przejściowych za pomocą dostosowanych do potrzeb mechanizmów wsparcia;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g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Ag.</w:t>
            </w:r>
            <w:r>
              <w:tab/>
            </w:r>
            <w:r>
              <w:rPr>
                <w:b/>
                <w:i/>
              </w:rPr>
              <w:t>mając na uwadze, że rośnie niepełne zatrudnienie młodzieży, a zatrudnienie w niepełnym wymiarze czasu pracy wśród młodych ludzi jest znacznie wyższe niż wśród ogółu ludności aktywnej zawodowo</w:t>
            </w:r>
            <w:r>
              <w:rPr>
                <w:b/>
                <w:i/>
                <w:vertAlign w:val="superscript"/>
              </w:rPr>
              <w:t>1a</w:t>
            </w:r>
            <w:r>
              <w:rPr>
                <w:b/>
                <w:i/>
              </w:rPr>
              <w:t>;</w:t>
            </w:r>
            <w:r>
              <w:t xml:space="preserve"> </w:t>
            </w:r>
            <w:r>
              <w:rPr>
                <w:b/>
                <w:i/>
              </w:rPr>
              <w:t>mając na uwadze, że różnica ta jest jeszcze bardziej widoczna wśród młodych kobiet;</w:t>
            </w:r>
            <w:r>
              <w:t xml:space="preserve"> </w:t>
            </w:r>
            <w:r>
              <w:rPr>
                <w:b/>
                <w:i/>
              </w:rPr>
              <w:t>mając na uwadze, że duża część umów o pracę w niepełnym wymiarze godzin ma charakter wymuszony, co odzwierciedla strukturalną niezdolność rynku pracy do zapewnienia odpowiednich możliwości pracy w pełnym wymiarze godzin;</w:t>
            </w:r>
            <w:r>
              <w:t xml:space="preserve"> </w:t>
            </w:r>
            <w:r>
              <w:rPr>
                <w:b/>
                <w:i/>
              </w:rPr>
              <w:t>mając na uwadze, że wymuszona praca w niepełnym wymiarze godzin osłabia potencjał zarobkowy, rozwój kariery, dostęp do ochrony socjalnej i prawa emerytalne;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„Part-time and full-time employment – statistics” [Zatrudnienie w niepełnym i pełnym wymiarze czasu pracy – statystyki], 2025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g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Ag.</w:t>
            </w:r>
            <w:r>
              <w:tab/>
            </w:r>
            <w:r>
              <w:rPr>
                <w:b/>
                <w:i/>
              </w:rPr>
              <w:t>mając na uwadze, że uprzedzenia, stygmatyzacja i utrzymujące się stereotypy mogą ograniczać dostęp do staży i przygotowania zawodowego młodych ludzi z placówek opieki instytucjonalnej, młodych ludzi z niepełnosprawnością fizyczną lub intelektualną oraz młodych Romów;</w:t>
            </w:r>
            <w:r>
              <w:t xml:space="preserve"> </w:t>
            </w:r>
            <w:r>
              <w:rPr>
                <w:b/>
                <w:i/>
              </w:rPr>
              <w:t>mając na uwadze, że usunięcie takich barier i promowanie praktyk rekrutacyjnych sprzyjających włączeniu społecznemu ma zasadnicze znaczenie dla zapewnienia równego dostępu do wysokiej jakości pierwszych doświadczeń zawodowych;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h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Ah.</w:t>
            </w:r>
            <w:r>
              <w:tab/>
            </w:r>
            <w:r>
              <w:rPr>
                <w:b/>
                <w:i/>
              </w:rPr>
              <w:t>mając na uwadze, że tradycyjne ścieżki od edukacji do zatrudnienia ulegają erozji ze względu na strukturalny niedobór wysokiej jakości miejsc pracy na stanowiskach najniższego szczebla;</w:t>
            </w:r>
            <w:r>
              <w:t xml:space="preserve"> </w:t>
            </w:r>
            <w:r>
              <w:rPr>
                <w:b/>
                <w:i/>
              </w:rPr>
              <w:t>mając na uwadze, że wielu młodych ludzi — mimo że są dobrze wykształceni i wykwalifikowani — ma trudności z przełożeniem swoich kwalifikacji na stabilne zatrudnienie;</w:t>
            </w:r>
            <w:r>
              <w:t xml:space="preserve"> </w:t>
            </w:r>
            <w:r>
              <w:rPr>
                <w:b/>
                <w:i/>
              </w:rPr>
              <w:t>mając na uwadze, że wskaźnik zatrudnienia niedawnych absolwentów spada</w:t>
            </w:r>
            <w:r>
              <w:rPr>
                <w:b/>
                <w:i/>
                <w:vertAlign w:val="superscript"/>
              </w:rPr>
              <w:t>1a</w:t>
            </w:r>
            <w:r>
              <w:rPr>
                <w:b/>
                <w:i/>
              </w:rPr>
              <w:t>, a liczba młodych ludzi wykonujących pracę znacznie poniżej swoich kwalifikacji rośnie</w:t>
            </w:r>
            <w:r>
              <w:rPr>
                <w:b/>
                <w:i/>
                <w:vertAlign w:val="superscript"/>
              </w:rPr>
              <w:t>1b</w:t>
            </w:r>
            <w:r>
              <w:rPr>
                <w:b/>
                <w:i/>
              </w:rPr>
              <w:t>;</w:t>
            </w:r>
            <w:r>
              <w:t xml:space="preserve"> </w:t>
            </w:r>
            <w:r>
              <w:rPr>
                <w:b/>
                <w:i/>
              </w:rPr>
              <w:t>mając na uwadze, że prowadzi to do geograficznego przemieszczenia, które jeszcze bardziej ogranicza możliwości młodzieży NEET znajdującej się w trudnej sytuacji i nieposiadającej kwalifikacji;</w:t>
            </w:r>
            <w:r>
              <w:t xml:space="preserve"> </w:t>
            </w:r>
            <w:r>
              <w:rPr>
                <w:b/>
                <w:i/>
              </w:rPr>
              <w:t>mając na uwadze, że rosnące bariery utrudniające młodym ludziom integrację na rynku pracy podważają spójność społeczną i zaufanie instytucjonalne;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„Employment rates of recent graduates” [Wskaźniki zatrudnienia niedawnych absolwentów], 2025 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Eurostat, „Young people – qualifications, skills and job alignment” [Młodzi ludzie – kwalifikacje, umiejętności i dostosowanie stanowisk], 2025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i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Ai.</w:t>
            </w:r>
            <w:r>
              <w:tab/>
            </w:r>
            <w:r>
              <w:rPr>
                <w:b/>
                <w:i/>
              </w:rPr>
              <w:t>mając na uwadze, że w 2024 r. prawie co czwarta młoda osoba w Unii była zagrożona ubóstwem lub wykluczeniem społecznym ; jest to o 3,1 punktu procentowego więcej niż w przypadku ogółu ludności</w:t>
            </w:r>
            <w:r>
              <w:rPr>
                <w:b/>
                <w:i/>
                <w:vertAlign w:val="superscript"/>
              </w:rPr>
              <w:t>1a</w:t>
            </w:r>
            <w:r>
              <w:rPr>
                <w:b/>
                <w:i/>
              </w:rPr>
              <w:t>;</w:t>
            </w:r>
            <w:r>
              <w:t xml:space="preserve"> </w:t>
            </w:r>
            <w:r>
              <w:rPr>
                <w:b/>
                <w:i/>
              </w:rPr>
              <w:t>mając na uwadze, że nierówności strukturalne, takie jak deprywacja materialna i utrzymująca się niekorzystna sytuacja społeczna, utrudniają dostęp do rynku pracy i samodzielne życie;</w:t>
            </w:r>
            <w:r>
              <w:t xml:space="preserve"> </w:t>
            </w:r>
            <w:r>
              <w:rPr>
                <w:b/>
                <w:i/>
              </w:rPr>
              <w:t>mając na uwadze, że aktywizacji zawodowej nie można osiągnąć bez dostępu do podstawowych warunków umożliwiających samodzielne życie, takich jak mieszkalnictwo, transport, opieka nad dziećmi i wsparcie w zakresie opieki;</w:t>
            </w:r>
            <w:r>
              <w:t xml:space="preserve"> </w:t>
            </w:r>
            <w:r>
              <w:rPr>
                <w:b/>
                <w:i/>
              </w:rPr>
              <w:t>mając na uwadze, że trwała integracja na rynku pracy wymaga całościowego podejścia, które obejmuje wszelkie pogłębiające się bariery;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„Young people – social inclusion” [Młodzi ludzie – włączenie społeczne], 2025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j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Aj.</w:t>
            </w:r>
            <w:r>
              <w:tab/>
            </w:r>
            <w:r>
              <w:rPr>
                <w:b/>
                <w:i/>
              </w:rPr>
              <w:t>mając na uwadze, że młodzieży NEET znajdującej się w trudnej sytuacji może brakować funkcjonalnej umiejętności czytania i pisania, umiejętności rozumowania matematycznego i umiejętności cyfrowych , które są wymagane, aby uzyskać dostęp do wysokiej jakości kształcenia, szkolenia lub rynku pracy;</w:t>
            </w:r>
            <w:r>
              <w:t xml:space="preserve"> </w:t>
            </w:r>
            <w:r>
              <w:rPr>
                <w:b/>
                <w:i/>
              </w:rPr>
              <w:t>mając na uwadze, że RYG często uznaje takie umiejętności za rzecz oczywistą, co ogranicza młodzieży NEET znajdującej się w trudnej sytuacji możliwości dostępu do środków w zakresie zatrudnienia i szkoleń oraz do korzystania z nich;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k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Ak.</w:t>
            </w:r>
            <w:r>
              <w:tab/>
            </w:r>
            <w:r>
              <w:rPr>
                <w:b/>
                <w:i/>
              </w:rPr>
              <w:t>mając na uwadze, że wyniki młodych ludzi w czytaniu, matematyce i naukach przyrodniczych w całej Unii spadają, a osoby ze środowisk defaworyzowanych pod względem społeczno-ekonomicznym są ponad sześciokrotnie bardziej narażone na słabe wyniki w nauce niż ich rówieśnicy</w:t>
            </w:r>
            <w:r>
              <w:rPr>
                <w:b/>
                <w:i/>
                <w:vertAlign w:val="superscript"/>
              </w:rPr>
              <w:t>1a</w:t>
            </w:r>
            <w:r>
              <w:rPr>
                <w:b/>
                <w:i/>
              </w:rPr>
              <w:t>;</w:t>
            </w:r>
            <w:r>
              <w:t xml:space="preserve"> </w:t>
            </w:r>
            <w:r>
              <w:rPr>
                <w:b/>
                <w:i/>
              </w:rPr>
              <w:t>mając na uwadze, że RYG musi aktywnie uwzględniać te niepokojące tendencje, aby zapobiec pogłębianiu się podziałów społecznych i zapewnić równy dostęp do edukacji i przyszłych możliwości zatrudnienia;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Komisja Europejska, Monitor Kształcenia i Szkolenia z 2024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mając na uwadze, że </w:t>
            </w:r>
            <w:r>
              <w:rPr>
                <w:b/>
                <w:i/>
              </w:rPr>
              <w:t>trudno ustalić bezpośredni związek przyczynowy</w:t>
            </w:r>
            <w:r>
              <w:t xml:space="preserve"> między wdrożeniem RYG a odnotowanymi wynikami w zakresie zmniejszenia odsetka młodzieży NEET i bezrobocia młodzieży;</w:t>
            </w:r>
          </w:p>
        </w:tc>
        <w:tc>
          <w:tcPr>
            <w:tcW w:w="4876" w:type="dxa"/>
            <w:tcBorders>
              <w:top w:val="nil"/>
              <w:left w:val="nil"/>
              <w:bottom w:val="nil"/>
              <w:right w:val="nil"/>
            </w:tcBorders>
          </w:tcPr>
          <w:p>
            <w:pPr>
              <w:pStyle w:val="Normal6a"/>
            </w:pPr>
            <w:r>
              <w:t>B.</w:t>
            </w:r>
            <w:r>
              <w:tab/>
            </w:r>
            <w:r>
              <w:t xml:space="preserve">mając na uwadze, że </w:t>
            </w:r>
            <w:r>
              <w:rPr>
                <w:b/>
                <w:i/>
              </w:rPr>
              <w:t>niemożliwe jest ustalenie bezpośredniego związku przyczynowego</w:t>
            </w:r>
            <w:r>
              <w:t xml:space="preserve"> między wdrożeniem RYG a odnotowanymi wynikami w zakresie zmniejszenia odsetka młodzieży NEET i bezrobocia młodzieży</w:t>
            </w:r>
            <w:r>
              <w:rPr>
                <w:b/>
                <w:i/>
              </w:rPr>
              <w:t>, co dowodzi strukturalnej nieskuteczności europejskiej inżynierii społecznej</w:t>
            </w:r>
            <w:r>
              <w:t xml:space="preserve">; </w:t>
            </w:r>
            <w:r>
              <w:rPr>
                <w:b/>
                <w:i/>
              </w:rPr>
              <w:t>mając na uwadze, że tworzenie miejsc pracy dla młodych ludzi nie zależy od scentralizowanych dyrektyw, lecz wynika przede wszystkim z suwerenności fiskalnej państw członkowskich, krajowego zdrowia gospodarczego i konkurencyjności naszych MŚP;</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mając na uwadze, że trudno ustalić bezpośredni związek przyczynowy między wdrożeniem RYG a odnotowanymi wynikami w zakresie zmniejszenia odsetka młodzieży NEET i bezrobocia młodzieży;</w:t>
            </w:r>
          </w:p>
        </w:tc>
        <w:tc>
          <w:tcPr>
            <w:tcW w:w="4876" w:type="dxa"/>
            <w:tcBorders>
              <w:top w:val="nil"/>
              <w:left w:val="nil"/>
              <w:bottom w:val="nil"/>
              <w:right w:val="nil"/>
            </w:tcBorders>
          </w:tcPr>
          <w:p>
            <w:pPr>
              <w:pStyle w:val="Normal6a"/>
            </w:pPr>
            <w:r>
              <w:t>B.</w:t>
            </w:r>
            <w:r>
              <w:tab/>
            </w:r>
            <w:r>
              <w:t xml:space="preserve">mając na uwadze, że trudno ustalić bezpośredni związek przyczynowy między wdrożeniem RYG a odnotowanymi wynikami w zakresie zmniejszenia odsetka młodzieży NEET i bezrobocia młodzieży; </w:t>
            </w:r>
            <w:r>
              <w:rPr>
                <w:b/>
                <w:i/>
              </w:rPr>
              <w:t>uwypukla to potrzebę większego skupienia się na wymiernych wynikach dla osób młodych, lepszego dostosowania do potrzeb krajowego rynku pracy oraz większej synergii z programami unijnymi, takimi jak Europejski Fundusz Społeczny Plus (EFS+), Erasmus+ i Europejski Korpus Solidarności;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mając na uwadze, że trudno ustalić bezpośredni związek przyczynowy między wdrożeniem RYG a odnotowanymi wynikami w zakresie zmniejszenia odsetka młodzieży NEET i bezrobocia młodzieży;</w:t>
            </w:r>
          </w:p>
        </w:tc>
        <w:tc>
          <w:tcPr>
            <w:tcW w:w="4876" w:type="dxa"/>
            <w:tcBorders>
              <w:top w:val="nil"/>
              <w:left w:val="nil"/>
              <w:bottom w:val="nil"/>
              <w:right w:val="nil"/>
            </w:tcBorders>
          </w:tcPr>
          <w:p>
            <w:pPr>
              <w:pStyle w:val="Normal6a"/>
            </w:pPr>
            <w:r>
              <w:t>B.</w:t>
            </w:r>
            <w:r>
              <w:tab/>
            </w:r>
            <w:r>
              <w:t>mając na uwadze, że trudno ustalić bezpośredni związek przyczynowy między wdrożeniem RYG a odnotowanymi wynikami w zakresie zmniejszenia odsetka młodzieży NEET i bezrobocia młodzieży</w:t>
            </w:r>
            <w:r>
              <w:rPr>
                <w:b/>
                <w:i/>
              </w:rPr>
              <w:t>, zwłaszcza w sytuacji, gdy systemy RYG są częścią szerszej polityki krajowej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mając na uwadze, że według danych europejskich ścieżki wstępnego kształcenia i szkolenia zawodowego (IVET) zwierające silny komponent uczenia się w miejscu pracy są najskuteczniejszym narzędziem zapobiegania statusowi NEET: wskaźniki zatrudnienia młodych ludzi, którzy ukończyli ścieżki kształcenia przewidujące co najmniej siedmiomiesięczny okres uczenia się w miejscu pracy, sięgają 90,5 %, a młodych ludzi, którzy nie mieli dostępu do takich ścieżek – 69,7 %;</w:t>
            </w:r>
            <w:r>
              <w:t xml:space="preserve"> </w:t>
            </w:r>
            <w:r>
              <w:rPr>
                <w:b/>
                <w:i/>
              </w:rPr>
              <w:t>mając na uwadze, że dzięki ustrukturyzowanej naprzemienności kształcenia w szkole i w miejscu pracy dualne systemy szkolenia zawodowego dają praktyczne umiejętności i strukturalnie zmniejszają niedopasowanie między popytem na pracę a jej podażą;</w:t>
            </w:r>
            <w:r>
              <w:t xml:space="preserve"> </w:t>
            </w:r>
            <w:r>
              <w:rPr>
                <w:b/>
                <w:i/>
              </w:rPr>
              <w:t>mając na uwadze, że państwa członkowskie o silnych dualnych systemach szkolenia zawodowego mają najniższe stopy bezrobocia młodzieży w Unii Europejskiej;</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Niels Geuking, Romana Tomc, David Casa, Isabelle Le Callennec,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mając na uwadze, że skuteczne wdrożenie wzmocnionej gwarancji dla młodzieży wymaga ukierunkowanych, zintegrowanych i uwzględniających potrzeby rodziny środków, w szczególności dla młodych rodziców, łączących wsparcie zatrudnienia z dostępem do kształcenia i szkolenia, opieki nad dziećmi, usług społecznych oraz, w stosownych przypadkach, odpowiedniego wsparcia dochodu, aby zapewnić trwałą integrację na rynku pracy, zapobiegać długotrwałemu wykluczeniu, promować równouprawnienie płci i wspierać trwałą równowagę między życiem zawodowym a prywatnym;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mając na uwadze, że ustalenia Europejskiego Trybunału Obrachunkowego wskazują, iż odpowiednio finansowane, inkluzywne i oparte na prawach polityki młodzieżowe – w tym RYG – przyczyniają się do poprawy dostępu młodych ludzi do wysokiej jakości zatrudnienia, kształcenia i szkolenia;</w:t>
            </w:r>
            <w:r>
              <w:t xml:space="preserve"> </w:t>
            </w:r>
            <w:r>
              <w:rPr>
                <w:b/>
                <w:i/>
              </w:rPr>
              <w:t>mając na uwadze, że wzmocnione monitorowanie, gromadzenie danych w podziale na odpowiednie kategorie oraz ocena skutków mają zasadnicze znaczenie dla pełnego uchwycenia rezultatów tych polityk, zwłaszcza w odniesieniu do grup słabszych i zmarginalizowanych;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mając na uwadze, że istnieje niemal tyle modeli wdrażania gwarancji dla młodzieży, ile państw członkowskich;</w:t>
            </w:r>
            <w:r>
              <w:t xml:space="preserve"> </w:t>
            </w:r>
            <w:r>
              <w:rPr>
                <w:b/>
                <w:i/>
              </w:rPr>
              <w:t>mając na uwadze, że ustalenia instytucjonalne dotyczące wdrażania gwarancji dla młodzieży obejmują zarówno włączenie gwarancji dla młodzieży do istniejących systemów krajowych, jak i stworzenie odrębnego modelu krajowego;</w:t>
            </w:r>
            <w:r>
              <w:t xml:space="preserve"> </w:t>
            </w:r>
            <w:r>
              <w:rPr>
                <w:b/>
                <w:i/>
              </w:rPr>
              <w:t>mając na uwadze, że istnieją także różne mechanizmy zarządzania —od scentralizowanych modeli koordynowanych na szczeblu krajowym po w pełni zdecentralizowane modele na szczeblu lokalnym;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Martine Kemp, Regina Doherty, Liesbet Sommen, 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mając na uwadze, że w zaleceniu Rady z 16 czerwca 2022 r. w sprawie europejskiego podejścia do mikropoświadczeń uznano mikropoświadczenia za kluczowe narzędzie elastycznych, inkluzywnych i ukierunkowanych ścieżek uczenia się, które umożliwiają osobom fizycznym nabywanie, aktualizowanie i poświadczanie umiejętności w sposób modułowy, w szczególności w odpowiedzi na potrzeby rynku pracy oraz transformację ekologiczną i cyfrową;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mając na uwadze, że inwestycje w młodych ludzi za pośrednictwem gwarancji dla młodzieży stanowią inwestycję w przyszłość Unii, która zwiększa spójność społeczną oraz sprawiedliwość i solidarność międzypokoleniową, ogranicza ubóstwo i wykluczenie społeczne oraz przyczynia się do tworzenia odpornej siły roboczej i konkurencyjnej gospodarki;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mając na uwadze, że skuteczność wzmocnionej gwarancji dla młodzieży zależy od przejrzystego i skutecznego wykorzystania środków unijnych i krajowych, a także od solidnych systemów monitorowania i oceny, umożliwiających pomiar długoterminowych wyników w zakresie zatrudnienia młodych beneficjentów;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mając na uwadze, że bezrobocie młodzieży i niepewne formy zatrudnienia bezpośrednio wiążą się z nierównościami strukturalnymi, polityką oszczędności, deregulacją rynków pracy i niedofinansowaniem usług publicznych;</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mając na uwadze, że zdecydowana większość państw członkowskich opiera się na strategii „najpierw zatrudnienie”, podczas gdy inne priorytetowo traktują podejście ukierunkowane na szkolenia;</w:t>
            </w:r>
            <w:r>
              <w:t xml:space="preserve"> </w:t>
            </w:r>
            <w:r>
              <w:rPr>
                <w:b/>
                <w:i/>
              </w:rPr>
              <w:t>mając na uwadze, że w 2024 r. 35,2 % udanego i terminowego przejścia przez etap przygotowawczy gwarancji dla młodzieży doprowadziło do zatrudnienia, 6,5 % do edukacji, 2,5 % do staży i 1,6 % do przygotowania zawodowego</w:t>
            </w:r>
            <w:r>
              <w:rPr>
                <w:b/>
                <w:i/>
                <w:vertAlign w:val="superscript"/>
              </w:rPr>
              <w:t>17a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17a</w:t>
            </w:r>
            <w:r>
              <w:t xml:space="preserve"> </w:t>
            </w:r>
            <w:r>
              <w:rPr>
                <w:b/>
                <w:i/>
              </w:rPr>
              <w:t>Komisja Europejska, Dyrekcja Generalna ds. Zatrudnienia, Spraw Społecznych i Włączenia Społecznego, Tabela danych dotyczących wskaźników bezpośrednich gwarancji dla młodzieży, luty 2026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mając na uwadze, że Eurofound szacuje, iż brak zaangażowania młodzieży i brak integracji młodzieży NEET na rynku pracy kosztuje Unię prawie 100 mld EUR rocznie</w:t>
            </w:r>
            <w:r>
              <w:rPr>
                <w:b/>
                <w:i/>
                <w:vertAlign w:val="superscript"/>
              </w:rPr>
              <w:t>1a</w:t>
            </w:r>
            <w:r>
              <w:rPr>
                <w:b/>
                <w:i/>
              </w:rPr>
              <w:t>, co podkreśla pilną konieczność gospodarczą i społeczną zapewnienia skutecznego wzmocnienia RYG;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Eurofound, „Employment and social developments in Europe” [Zatrudnienie i zmiany społeczne w Europie],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mając na uwadze, że EFS+ był głównym instrumentem finansowania RYG w okresie 2021–2027;</w:t>
            </w:r>
            <w:r>
              <w:t xml:space="preserve"> </w:t>
            </w:r>
            <w:r>
              <w:rPr>
                <w:b/>
                <w:i/>
              </w:rPr>
              <w:t>mając na uwadze, że instytucje zarządzające powinny zwiększyć zdolność do absorpcji środków, w szczególności na obszarach oddalonych;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mając na uwadze, że wielu młodych ludzi pracuje na stanowiskach tymczasowych, niskopłatnych i niepewnych, bez pełnych praw pracowniczych i socjalnych;</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mając na uwadze, że młodzi ludzie coraz częściej muszą wykazywać się elastycznością i mobilnością geograficzną w kształceniu, szkoleniu i karierze zawodowej;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mając na uwadze, że gwarancja dla młodzieży nie może zastąpić prawa do stabilnego zatrudnienia z pełnymi prawami ani legitymizować rozwoju nieodpłatnej lub niedostatecznie płatnej pracy w postaci programów staży i praktyk;</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mając na uwadze, że bierna zawodowo i znajdująca się w trudnej sytuacji młodzież NEET jest najczęściej pomijana w działaniach w ramach gwarancji dla młodzieży, ponieważ inicjatywa ta w większym stopniu przynosi korzyści osobom znajdującym się bliżej rynku pracy, co określa się mianem „efektu selekcji”, który prowadzi do zawyżonej oceny rzeczywistego wpływu RYG na całą populację NEET;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mając na uwadze, że konkurencyjność Unii zależy również od umiejętności jej siły roboczej i zdolności do aktywizacji młodzieży w wieku produkcyjnym w celu rozwiązania problemu niedoboru siły roboczej i kwalifikacji;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mając na uwadze, że dostęp do niedrogich i odpowiednich mieszkań wysokiej jakości jest warunkiem wstępnym skutecznego uczestnictwa w edukacji, przyuczaniu do zawodu, stażach i zatrudnieniu;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mając na uwadze, że nadal istnieją instytucjonalne i strukturalne bariery utrudniające uruchomienie gwarancji dla młodzieży i jej praktyczne wdrożenie w państwach członkowskich i na szczeblu lokalnym, takie jak przeszkody w wymianie danych między służbami, niedopasowanie oferty kształcenia i szkolenia do rynku pracy, a także niekorzystna sytuacja społeczno-gospodarcza słabszych grup społecznych;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mając na uwadze, że skuteczność gwarancji dla młodzieży powinna być mierzona nie tylko natychmiastowym wejściem młodych ludzi na rynek pracy lub podjęciem kształceniem czy szkolenia, ale także jakością, trwałością i długoterminowymi perspektywami zawodowymi wynikającymi z takich możliwości;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biorąc pod uwagę, że młodzież należąca do mniejszości etnicznych, rasowych lub religijnych częściej boryka się z problemem niedopasowania umiejętności do rynku pracy;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 e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w:t>
            </w:r>
            <w:r>
              <w:tab/>
            </w:r>
            <w:r>
              <w:rPr>
                <w:b/>
                <w:i/>
              </w:rPr>
              <w:t>mając na uwadze, że politykę młodzieżową należy uznać nie tylko za priorytet społeczny, ale również za strategiczną inwestycję w kapitał ludzki UE, konkurencyjność i długoterminową odporność gospodarczą;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 f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Bf.</w:t>
            </w:r>
            <w:r>
              <w:tab/>
            </w:r>
            <w:r>
              <w:rPr>
                <w:b/>
                <w:i/>
              </w:rPr>
              <w:t>mając na uwadze, że młodzież NEET, młodzi rodzice, w szczególności osoby samotnie wychowujące dzieci, oraz młode osoby znajdujące się w trudnej sytuacji są bardziej narażone na cierpienie psychiczne i długoterminowe wykluczenie z rynku pracy;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 g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Bg.</w:t>
            </w:r>
            <w:r>
              <w:tab/>
            </w:r>
            <w:r>
              <w:rPr>
                <w:b/>
                <w:i/>
              </w:rPr>
              <w:t>mając na uwadze, że zdrowie psychiczne i dobrostan mają zasadnicze znaczenie dla uczestnictwa w rynku pracy i można je wzmocnić za pomocą zapobiegawczych, wczesnych środków psychospołecznych w ramach aktywizacji, nie naruszając przy tym odpowiedzialności państw członkowskich za opiekę zdrowotną;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 h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Bh.</w:t>
            </w:r>
            <w:r>
              <w:tab/>
            </w:r>
            <w:r>
              <w:rPr>
                <w:b/>
                <w:i/>
              </w:rPr>
              <w:t>mając na uwadze, że automatyzacja i sztuczna inteligencja przekształcają rynki pracy, co grozi wykluczeniem młodych ludzi, którzy nie mają podstawowych umiejętności w zakresie sztucznej inteligencji;</w:t>
            </w:r>
            <w:r>
              <w:t xml:space="preserve"> </w:t>
            </w:r>
            <w:r>
              <w:rPr>
                <w:b/>
                <w:i/>
              </w:rPr>
              <w:t>mając na uwadze, że gwarancja dla młodzieży powinna proaktywnie zająć się tą kwestią, aby zapewnić młodym ludziom szanse na zatrudnienie;</w:t>
            </w:r>
            <w:r>
              <w:t xml:space="preserve"> </w:t>
            </w:r>
            <w:r>
              <w:rPr>
                <w:b/>
                <w:i/>
              </w:rPr>
              <w:t>mając na uwadze, że sztuczna inteligencja może pomóc w pokonaniu barier (uczenia się) (poprzez technologie wspomagające), jeżeli młodzi ludzie wcześnie zdobędą umiejętności cyfrowe i podstawowe umiejętności w zakresie sztucznej inteligencji;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 i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Bi.</w:t>
            </w:r>
            <w:r>
              <w:tab/>
            </w:r>
            <w:r>
              <w:rPr>
                <w:b/>
                <w:i/>
              </w:rPr>
              <w:t>mając na uwadze, że gwarancja dla młodzieży opiera się na zasadzie wzajemnych zobowiązań, zgodnie z którą młodzi ludzie mają nie tylko prawo do wysokiej jakości oferty, ale również obowiązek aktywnego uczestnictwa i akceptowania rozsądnych możliwości zatrudnienia, szkolenia lub kształcenia;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Niels Geuking, Romana Tomc, Liesbet Sommen, Maravillas Abadía Jover,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 j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Bj.</w:t>
            </w:r>
            <w:r>
              <w:tab/>
            </w:r>
            <w:r>
              <w:rPr>
                <w:b/>
                <w:i/>
              </w:rPr>
              <w:t>mając na uwadze, że w związku z tym państwa członkowskie powinny zapewnić, aby w przypadku powtarzającej się i nieuzasadnionej odmowy przyjęcia rozsądnych ofert można było zastosować odpowiednie środki zgodnie z prawem krajowym, aby zapobiec bierności i promować osobistą odpowiedzialność młodych ludzi;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787.791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44</w:t>
    </w:r>
    <w:r>
      <w:fldChar w:fldCharType="end"/>
    </w:r>
    <w:r>
      <w:t>/</w:t>
    </w:r>
    <w:r>
      <w:fldChar w:fldCharType="begin"/>
    </w:r>
    <w:r>
      <w:instrText xml:space="preserve"> NUMPAGES </w:instrText>
    </w:r>
    <w:r>
      <w:fldChar w:fldCharType="separate"/>
    </w:r>
    <w:r>
      <w:t>44</w:t>
    </w:r>
    <w:r>
      <w:fldChar w:fldCharType="end"/>
    </w:r>
    <w:r>
      <w:tab/>
    </w:r>
    <w:r>
      <w:rPr>
        <w:rStyle w:val="HideTWBExt"/>
      </w:rPr>
      <w:t>&lt;PathFdR&gt;</w:t>
    </w:r>
    <w:r>
      <w:t>AM\1342335PL.docx</w:t>
    </w:r>
    <w:r>
      <w:rPr>
        <w:rStyle w:val="HideTWBExt"/>
      </w:rPr>
      <w:t>&lt;/PathFdR&gt;</w:t>
    </w:r>
  </w:p>
  <w:p>
    <w:pPr>
      <w:pStyle w:val="EPFooter2"/>
    </w:pPr>
    <w:r>
      <w:t>PL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AM\1342335PL.docx</w:t>
    </w:r>
    <w:r>
      <w:rPr>
        <w:rStyle w:val="HideTWBExt"/>
      </w:rPr>
      <w:t>&lt;/PathFdR&gt;</w:t>
    </w:r>
    <w:r>
      <w:tab/>
    </w:r>
    <w:r>
      <w:fldChar w:fldCharType="begin"/>
    </w:r>
    <w:r>
      <w:instrText xml:space="preserve"> PAGE </w:instrText>
    </w:r>
    <w:r>
      <w:fldChar w:fldCharType="separate"/>
    </w:r>
    <w:r>
      <w:t>43</w:t>
    </w:r>
    <w:r>
      <w:fldChar w:fldCharType="end"/>
    </w:r>
    <w:r>
      <w:t>/</w:t>
    </w:r>
    <w:r>
      <w:fldChar w:fldCharType="begin"/>
    </w:r>
    <w:r>
      <w:instrText xml:space="preserve"> NUMPAGES </w:instrText>
    </w:r>
    <w:r>
      <w:fldChar w:fldCharType="separate"/>
    </w:r>
    <w:r>
      <w:t>44</w:t>
    </w:r>
    <w:r>
      <w:fldChar w:fldCharType="end"/>
    </w:r>
    <w:r>
      <w:tab/>
    </w:r>
    <w:r>
      <w:t>PE</w:t>
    </w:r>
    <w:r>
      <w:rPr>
        <w:rStyle w:val="HideTWBExt"/>
      </w:rPr>
      <w:t>&lt;NoPE&gt;</w:t>
    </w:r>
    <w:r>
      <w:t>787.791</w:t>
    </w:r>
    <w:r>
      <w:rPr>
        <w:rStyle w:val="HideTWBExt"/>
      </w:rPr>
      <w:t>&lt;/NoPE&gt;</w:t>
    </w:r>
    <w:r>
      <w:rPr>
        <w:rStyle w:val="HideTWBExt"/>
      </w:rPr>
      <w:t>&lt;Version&gt;</w:t>
    </w:r>
    <w:r>
      <w:t>v01-00</w:t>
    </w:r>
    <w:r>
      <w:rPr>
        <w:rStyle w:val="HideTWBExt"/>
      </w:rPr>
      <w:t>&lt;/Version&gt;</w:t>
    </w:r>
  </w:p>
  <w:p>
    <w:pPr>
      <w:pStyle w:val="EPFooter2"/>
    </w:pPr>
    <w:r>
      <w:tab/>
    </w:r>
    <w:r>
      <w:tab/>
    </w:r>
    <w:r>
      <w:t>PL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AM\1342335PL.docx</w:t>
    </w:r>
    <w:r>
      <w:rPr>
        <w:rStyle w:val="HideTWBExt"/>
      </w:rPr>
      <w:t>&lt;/PathFdR&gt;</w:t>
    </w:r>
    <w:r>
      <w:tab/>
    </w:r>
    <w:r>
      <w:tab/>
    </w:r>
    <w:r>
      <w:t>PE</w:t>
    </w:r>
    <w:r>
      <w:rPr>
        <w:rStyle w:val="HideTWBExt"/>
      </w:rPr>
      <w:t>&lt;NoPE&gt;</w:t>
    </w:r>
    <w:r>
      <w:t>787.791</w:t>
    </w:r>
    <w:r>
      <w:rPr>
        <w:rStyle w:val="HideTWBExt"/>
      </w:rPr>
      <w:t>&lt;/NoPE&gt;</w:t>
    </w:r>
    <w:r>
      <w:rPr>
        <w:rStyle w:val="HideTWBExt"/>
      </w:rPr>
      <w:t>&lt;Version&gt;</w:t>
    </w:r>
    <w:r>
      <w:t>v01-00</w:t>
    </w:r>
    <w:r>
      <w:rPr>
        <w:rStyle w:val="HideTWBExt"/>
      </w:rPr>
      <w:t>&lt;/Version&gt;</w:t>
    </w:r>
  </w:p>
  <w:p>
    <w:pPr>
      <w:pStyle w:val="EPFooter2"/>
    </w:pPr>
    <w:r>
      <w:t>PL</w:t>
    </w:r>
    <w:r>
      <w:tab/>
    </w:r>
    <w:r>
      <w:rPr>
        <w:rStyle w:val="EPFooter2Motto"/>
      </w:rPr>
      <w:t>Zjednoczona w różnorodności</w:t>
    </w:r>
    <w:r>
      <w:tab/>
    </w:r>
    <w:r>
      <w:t>PL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44</Pages>
  <Words>6549</Words>
  <Characters>42065</Characters>
  <Application>Microsoft Office Word</Application>
  <DocSecurity>0</DocSecurity>
  <Lines>1</Lines>
  <Paragraphs>732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1342335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507824</vt:lpwstr>
  </property>
  <property fmtid="{D5CDD505-2E9C-101B-9397-08002B2CF9AE}" pid="7" name="dmxml.render.traceId">
    <vt:lpwstr>6a16a3d49991bd69778abf34d9afff71</vt:lpwstr>
  </property>
  <property fmtid="{D5CDD505-2E9C-101B-9397-08002B2CF9AE}" pid="8" name="FooterPath">
    <vt:lpwstr>AM\1342335PL.docx</vt:lpwstr>
  </property>
  <property fmtid="{D5CDD505-2E9C-101B-9397-08002B2CF9AE}" pid="9" name="PE Number">
    <vt:lpwstr>787.791</vt:lpwstr>
  </property>
  <property fmtid="{D5CDD505-2E9C-101B-9397-08002B2CF9AE}" pid="10" name="UID">
    <vt:lpwstr>eu.europa.europarl-DIN1-2026-0000110653_01.00-pl-01.00_text-xml</vt:lpwstr>
  </property>
</Properties>
</file>