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Comissão do Emprego e dos Assuntos Sociais</w:t>
      </w:r>
      <w:r>
        <w:rPr>
          <w:rStyle w:val="HideTWBExt"/>
        </w:rPr>
        <w:t>&lt;/Commission&gt;</w:t>
      </w:r>
    </w:p>
    <w:p>
      <w:pPr>
        <w:pStyle w:val="LineBottom"/>
      </w:pPr>
      <w:r>
        <w:t xml:space="preserve"> </w:t>
      </w:r>
    </w:p>
    <w:p>
      <w:pPr>
        <w:pStyle w:val="CoverReference"/>
      </w:pPr>
      <w:r>
        <w:rPr>
          <w:rStyle w:val="HideTWBExt"/>
        </w:rPr>
        <w:t>&lt;RefProc&gt;</w:t>
      </w:r>
      <w:r>
        <w:t>2025/2184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{23/04/2026}</w:t>
      </w:r>
      <w:r>
        <w:t>23.4.2026</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1</w:t>
      </w:r>
      <w:r>
        <w:t xml:space="preserve"> - </w:t>
      </w:r>
      <w:r>
        <w:t>80</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Hristo Petrov</w:t>
      </w:r>
      <w:r>
        <w:rPr>
          <w:rStyle w:val="HideTWBExt"/>
        </w:rPr>
        <w:t>&lt;/Rapporteur&gt;</w:t>
      </w:r>
    </w:p>
    <w:p>
      <w:pPr>
        <w:pStyle w:val="CoverNormal24a"/>
      </w:pPr>
      <w:r>
        <w:rPr>
          <w:rStyle w:val="HideTWBExt"/>
        </w:rPr>
        <w:t>&lt;DocRefPE&gt;</w:t>
      </w:r>
      <w:r>
        <w:t>(PE785.214v01-00)</w:t>
      </w:r>
      <w:r>
        <w:rPr>
          <w:rStyle w:val="HideTWBExt"/>
        </w:rPr>
        <w:t>&lt;/DocRefPE&gt;</w:t>
      </w:r>
    </w:p>
    <w:p>
      <w:pPr>
        <w:pStyle w:val="CoverNormal"/>
      </w:pPr>
      <w:r>
        <w:rPr>
          <w:rStyle w:val="HideTWBExt"/>
        </w:rPr>
        <w:t>&lt;Titre&gt;</w:t>
      </w:r>
      <w:r>
        <w:t>Aplicação da Recomendação do Conselho, de 30 de outubro de 2020, relativa a «Uma ponte para o emprego — Reforçar a Garantia para a Juventude» e que substitui a Recomendação do Conselho, de 22 de abril de 2013, relativa ao estabelecimento de uma Garantia para a Juventude</w:t>
      </w:r>
      <w:r>
        <w:rPr>
          <w:rStyle w:val="HideTWBExt"/>
        </w:rPr>
        <w:t>&lt;/Titre&gt;</w:t>
      </w:r>
    </w:p>
    <w:p>
      <w:pPr>
        <w:pStyle w:val="CoverNormal24a"/>
      </w:pPr>
      <w:r>
        <w:rPr>
          <w:rStyle w:val="HideTWBExt"/>
        </w:rPr>
        <w:t>&lt;DocRef&gt;</w:t>
      </w:r>
      <w:r>
        <w:t>(2025/2184(INI))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2-A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os objetivos de política social estabelecidos nos artigos 151.º e 153.º do TFUE, em conjugação com o artigo 3.º do Regulamento (CE) n.º 883/2004 relativo à segurança social e aos benefícios sociais,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Tendo em conta o Pilar Europeu dos Direitos Sociais, proclamado e assinado pelo Conselho, pelo Parlamento e pela Comissão em 17 de novembro de 2017, nomeadamente os princípios 1, 3 e 4,</w:t>
            </w:r>
          </w:p>
        </w:tc>
        <w:tc>
          <w:tcPr>
            <w:tcW w:w="4876" w:type="dxa"/>
            <w:tcBorders>
              <w:top w:val="nil"/>
              <w:left w:val="nil"/>
              <w:bottom w:val="nil"/>
              <w:right w:val="nil"/>
            </w:tcBorders>
          </w:tcPr>
          <w:p>
            <w:pPr>
              <w:pStyle w:val="Normal6a"/>
            </w:pPr>
            <w:r>
              <w:rPr>
                <w:b/>
                <w:i/>
              </w:rPr>
              <w:t>–</w:t>
            </w:r>
            <w:r>
              <w:tab/>
            </w:r>
            <w:r>
              <w:t xml:space="preserve">Tendo em conta o Pilar Europeu dos Direitos Sociais, proclamado e assinado pelo Conselho, pelo Parlamento e pela Comissão em 17 de novembro de 2017, nomeadamente os princípios 1, 3 e 4, </w:t>
            </w:r>
            <w:r>
              <w:rPr>
                <w:b/>
                <w:i/>
              </w:rPr>
              <w:t>bem como o seu objetivo de reduzir a taxa NEET para 9% até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Tendo em conta o Pilar Europeu dos Direitos Sociais, proclamado e assinado pelo Conselho, pelo Parlamento e pela Comissão em 17 de novembro de 2017, nomeadamente os princípios 1, 3 e 4,</w:t>
            </w:r>
          </w:p>
        </w:tc>
        <w:tc>
          <w:tcPr>
            <w:tcW w:w="4876" w:type="dxa"/>
            <w:tcBorders>
              <w:top w:val="nil"/>
              <w:left w:val="nil"/>
              <w:bottom w:val="nil"/>
              <w:right w:val="nil"/>
            </w:tcBorders>
          </w:tcPr>
          <w:p>
            <w:pPr>
              <w:pStyle w:val="Normal6a"/>
            </w:pPr>
            <w:r>
              <w:rPr>
                <w:b/>
                <w:i/>
              </w:rPr>
              <w:t>–</w:t>
            </w:r>
            <w:r>
              <w:tab/>
            </w:r>
            <w:r>
              <w:t xml:space="preserve">Tendo em conta o Pilar Europeu dos Direitos Sociais, proclamado e assinado pelo Conselho, pelo Parlamento e pela Comissão em 17 de novembro de 2017, nomeadamente os princípios 1, 3 e 4, </w:t>
            </w:r>
            <w:r>
              <w:rPr>
                <w:b/>
                <w:i/>
              </w:rPr>
              <w:t>bem como o seu objetivo de reduzir a taxa NEET para 9% até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5-A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os artigos 7.º e 17.º da Carta Social Europeia revista,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as conclusões do Conselho sobre o papel da animação juvenil no apoio ao desenvolvimento entre os jovens de competências essenciais para a vida que facilitem uma transição bem-sucedida para a idade adulta, a cidadania ativa e a vida profissional (2017/C 189/06)</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JO C 189 de 15.6.2017, pp. 30-34.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6-B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execução da Estratégia da UE para a Juventude (2019-2021) (2021/C 504 1/02)</w:t>
            </w:r>
            <w:r>
              <w:rPr>
                <w:b/>
                <w:i/>
                <w:vertAlign w:val="superscript"/>
              </w:rPr>
              <w:t>2-B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2-B</w:t>
            </w:r>
            <w:r>
              <w:t xml:space="preserve"> </w:t>
            </w:r>
            <w:r>
              <w:rPr>
                <w:b/>
                <w:i/>
              </w:rPr>
              <w:t>JO C 504I de 14.12.2021, pp. 10-11.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6-C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Comunicação da Comissão Europeia de 20 de janeiro de 2026, intitulada «União da Igualdade:</w:t>
            </w:r>
            <w:r>
              <w:t xml:space="preserve"> </w:t>
            </w:r>
            <w:r>
              <w:rPr>
                <w:b/>
                <w:i/>
              </w:rPr>
              <w:t>Estratégia contra o Racismo 2026-2030» (COM(2026)0012)</w:t>
            </w:r>
            <w:r>
              <w:rPr>
                <w:b/>
                <w:i/>
                <w:vertAlign w:val="superscript"/>
              </w:rPr>
              <w:t>2-C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2-C</w:t>
            </w:r>
            <w:r>
              <w:t xml:space="preserve"> </w:t>
            </w:r>
            <w:r>
              <w:rPr>
                <w:b/>
                <w:i/>
              </w:rPr>
              <w:t>COM/2026/12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6-D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Relatório da FRA intitulado «Being Black in the EU – Experiences of people of African descent» [Ser negro na UE — Experiências de pessoas de origem africana]</w:t>
            </w:r>
            <w:r>
              <w:rPr>
                <w:b/>
                <w:i/>
                <w:vertAlign w:val="superscript"/>
              </w:rPr>
              <w:t>2-D</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2-D</w:t>
            </w:r>
            <w:r>
              <w:t xml:space="preserve"> </w:t>
            </w:r>
            <w:r>
              <w:rPr>
                <w:b/>
                <w:i/>
              </w:rPr>
              <w:t>https://fra.europa.eu/pt/publication/2023/being-black-eu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6-E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Relatório da FRA intitulado «Being Muslim in the EU – Experiences of Muslims» [Ser muçulmano na UE — Experiências dos muçulmanos]</w:t>
            </w:r>
            <w:r>
              <w:rPr>
                <w:b/>
                <w:i/>
                <w:vertAlign w:val="superscript"/>
              </w:rPr>
              <w:t>2-E</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2-E</w:t>
            </w:r>
            <w:r>
              <w:t xml:space="preserve"> </w:t>
            </w:r>
            <w:r>
              <w:rPr>
                <w:b/>
                <w:i/>
              </w:rPr>
              <w:t>https://fra.europa.eu/pt/publication/2024/being-muslim-eu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as mensagens-chave do Comité do Emprego (COEM), aprovadas pelo Conselho na sua formação EPSCO em 2016, 2018, 2019, 2021, 2023, 2025 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10-A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os Objetivos de Desenvolvimento Sustentável (ODS) das Nações Unidas, em particular o objetivo 8, adotados pelos líderes mundiais em setembro de 2015 e aprovados pelo Conselho,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12-A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Carta Social Europeia, nomeadamente os artigos 7.º e 17.º,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12-B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Agenda 2030 e os Objetivos de Desenvolvimento Sustentável, nomeadamente o objetivo 8, «Promover o crescimento económico inclusivo e sustentável, o emprego pleno e produtivo e o trabalho digno para todos»,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16-A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Recomendação do Conselho, de 9 de março de 2026, sobre o capital humano na União Europeia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JO C, C/2026/1687.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16-B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parecer do Comité das Regiões Europeu, de 5 de fevereiro de 2021, intitulado «Apoio ao emprego dos jovens:</w:t>
            </w:r>
            <w:r>
              <w:t xml:space="preserve"> </w:t>
            </w:r>
            <w:r>
              <w:rPr>
                <w:b/>
                <w:i/>
              </w:rPr>
              <w:t>uma ponte para o emprego da próxima geração e Reforçar a Garantia para a Juventude</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JO C 106 de 26.3.2021, pp. 7-11.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17-A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parecer do Comité Económico e Social Europeu, de 29 de outubro de 2020, intitulado «Reforçar a Garantia para a Juventude»,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17-A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relatório da Eurofound de 2024, intitulado «Becoming adults: Young people in a post-pandemic world» [Tornar-se adulto: os jovens num mundo pós-pandemia]</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Eurofound (2024), «Becoming adults:</w:t>
            </w:r>
            <w:r>
              <w:t xml:space="preserve"> </w:t>
            </w:r>
            <w:r>
              <w:rPr>
                <w:b/>
                <w:i/>
              </w:rPr>
              <w:t>Young people in a post-pandemic world» [Tornar-se adulto: os jovens num mundo pós-pandemia], Serviço das Publicações da União Europeia, Luxemburgo.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17-B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relatório de 2024 da Eurofound intitulado «Young people in the Western Balkans» [Jovens nos Balcãs Ocidentais]</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EEurofound (2024), «Young people in the Western Balkans» [Jovens nos Balcãs Ocidentais], Serviço das Publicações da União Europeia, Luxemburgo.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17-C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publicação do CEDEFOP, de 2023, intitulada «European guidelines for validating non-formal and informal learning» (Orientações europeias para a validação da aprendizagem não formal e informal)</w:t>
            </w:r>
            <w:r>
              <w:rPr>
                <w:b/>
                <w:i/>
                <w:vertAlign w:val="superscript"/>
              </w:rPr>
              <w:t>5-A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Cedefop (2023),</w:t>
            </w:r>
            <w:r>
              <w:t xml:space="preserve"> </w:t>
            </w:r>
            <w:r>
              <w:rPr>
                <w:b/>
                <w:i/>
              </w:rPr>
              <w:t>«European guidelines for validating non-formal and informal learning» [Orientações para a validação da aprendizagem não formal e informal],</w:t>
            </w:r>
            <w:r>
              <w:t xml:space="preserve"> </w:t>
            </w:r>
            <w:r>
              <w:rPr>
                <w:b/>
                <w:i/>
              </w:rPr>
              <w:t>Luxemburgo,</w:t>
            </w:r>
            <w:r>
              <w:t xml:space="preserve"> </w:t>
            </w:r>
            <w:r>
              <w:rPr>
                <w:b/>
                <w:i/>
              </w:rPr>
              <w:t>Serviço das Publicações,</w:t>
            </w:r>
            <w:r>
              <w:t xml:space="preserve"> </w:t>
            </w:r>
            <w:r>
              <w:rPr>
                <w:b/>
                <w:i/>
              </w:rPr>
              <w:t>Série de referência do Cedefop,</w:t>
            </w:r>
            <w:r>
              <w:t xml:space="preserve"> </w:t>
            </w:r>
            <w:r>
              <w:rPr>
                <w:b/>
                <w:i/>
              </w:rPr>
              <w:t>n.º 124 http://data.europa.eu/doi/10.2801/389827.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17-D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publicação de 2025 da Fundação Europeia para a Formação intitulada «Outreach to Young People not in Employment, Education or Training:</w:t>
            </w:r>
            <w:r>
              <w:t xml:space="preserve"> </w:t>
            </w:r>
            <w:r>
              <w:rPr>
                <w:b/>
                <w:i/>
              </w:rPr>
              <w:t>A practical Manual for Outreach» [Sensibilizar os jovens que não estão empregados, a estudar ou em formação: Um manual prático para a sensibilização]</w:t>
            </w:r>
            <w:r>
              <w:rPr>
                <w:b/>
                <w:i/>
                <w:vertAlign w:val="superscript"/>
              </w:rPr>
              <w:t>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Fundação Europeia para a Formação (2025), «Outreach to Young People not in Employment, Education of Training:</w:t>
            </w:r>
            <w:r>
              <w:t xml:space="preserve"> </w:t>
            </w:r>
            <w:r>
              <w:rPr>
                <w:b/>
                <w:i/>
              </w:rPr>
              <w:t>A practical Manual for Outreach» [Sensibilizar os jovens que não estão empregados, a estudar ou em formação: Um manual prático para a sensibilização], Turim, Itália.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17-E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publicação do CEDEFOP, de 2026, intitulada «An EU reference framework for lifelong guidance: 18 guidelines for policy and systems development.» [Um quadro de referência da UE para a orientação ao longo da vida: 18 orientações para o desenvolvimento de políticas e sistemas]</w:t>
            </w:r>
            <w:r>
              <w:rPr>
                <w:b/>
                <w:i/>
                <w:vertAlign w:val="superscript"/>
              </w:rPr>
              <w:t>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7-A</w:t>
            </w:r>
            <w:r>
              <w:t xml:space="preserve"> </w:t>
            </w:r>
            <w:r>
              <w:rPr>
                <w:b/>
                <w:i/>
              </w:rPr>
              <w:t>Cedefop (2023),</w:t>
            </w:r>
            <w:r>
              <w:t xml:space="preserve"> </w:t>
            </w:r>
            <w:r>
              <w:rPr>
                <w:b/>
                <w:i/>
              </w:rPr>
              <w:t>«An EU reference framework for lifelong guidance.</w:t>
            </w:r>
            <w:r>
              <w:t xml:space="preserve"> </w:t>
            </w:r>
            <w:r>
              <w:rPr>
                <w:b/>
                <w:i/>
              </w:rPr>
              <w:t>18 guidelines for policy and systems development.» [Um quadro de referência da UE para a orientação ao longo da vida: 18 orientações para o desenvolvimento de políticas e sistemas],</w:t>
            </w:r>
            <w:r>
              <w:t xml:space="preserve"> </w:t>
            </w:r>
            <w:r>
              <w:rPr>
                <w:b/>
                <w:i/>
              </w:rPr>
              <w:t>Série de referência do Cedefop, 125,</w:t>
            </w:r>
            <w:r>
              <w:t xml:space="preserve"> </w:t>
            </w:r>
            <w:r>
              <w:rPr>
                <w:b/>
                <w:i/>
              </w:rPr>
              <w:t>Serviço das Publicações da União Europeia,</w:t>
            </w:r>
            <w:r>
              <w:t xml:space="preserve"> </w:t>
            </w:r>
            <w:r>
              <w:rPr>
                <w:b/>
                <w:i/>
              </w:rPr>
              <w:t>DOI:</w:t>
            </w:r>
            <w:r>
              <w:t xml:space="preserve"> </w:t>
            </w:r>
            <w:r>
              <w:rPr>
                <w:b/>
                <w:i/>
              </w:rPr>
              <w:t>10.2801/8255414.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Tendo em conta a avaliação da implementação europeia, de 18 de dezembro de 2025, intitulada «The implementation of the reinforced Youth Guarantee — Trends in EU Member States, impact, EU funding and governance» [A implementação da Garantia para a Juventude reforçada — Tendências nos Estados-Membros da UE, impacto, financiamento da UE e governação], publicada pelo Serviço de Estudos do Parlamento Europeu,</w:t>
            </w:r>
          </w:p>
        </w:tc>
        <w:tc>
          <w:tcPr>
            <w:tcW w:w="4876" w:type="dxa"/>
            <w:tcBorders>
              <w:top w:val="nil"/>
              <w:left w:val="nil"/>
              <w:bottom w:val="nil"/>
              <w:right w:val="nil"/>
            </w:tcBorders>
          </w:tcPr>
          <w:p>
            <w:pPr>
              <w:pStyle w:val="Normal6a"/>
            </w:pPr>
            <w:r>
              <w:rPr>
                <w:b/>
                <w:i/>
              </w:rPr>
              <w:t>–</w:t>
            </w:r>
            <w:r>
              <w:tab/>
            </w:r>
            <w:r>
              <w:t>Tendo em conta a avaliação da implementação europeia, de 18 de dezembro de 2025, intitulada «The implementation of the reinforced Youth Guarantee — Trends in EU Member States, impact, EU funding and governance» [A implementação da Garantia para a Juventude reforçada — Tendências nos Estados-Membros da UE, impacto, financiamento da UE e governação], publicada pelo Serviço de Estudos do Parlamento Europeu</w:t>
            </w:r>
            <w:r>
              <w:rPr>
                <w:b/>
                <w:i/>
                <w:vertAlign w:val="superscript"/>
              </w:rPr>
              <w:t>8-A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8-A</w:t>
            </w:r>
            <w:r>
              <w:t xml:space="preserve"> </w:t>
            </w:r>
            <w:r>
              <w:rPr>
                <w:b/>
                <w:i/>
              </w:rPr>
              <w:t>https://www.europarl.europa.eu/thinktank/pt/document/EPRS_STU(2025)765770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18-A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estudo publicado pelo Comité das Regiões Europeu, em junho de 2022, intitulado «The local implementation of the Reinforced Youth Guarantee» [A aplicação local da Garantia para a Juventude reforçada],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18-B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o documento de posição do Fórum Europeu da Juventude, de 13 de março de 2025, intitulado «Youth Guarantee: How to support young people finding a pathway» [Garantia para a Juventude: Como apoiar os jovens na procura de um caminho],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Niels Geuking, Pascal Arimont, Romana Tomc, David Casa, Isabelle Le Callennec,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Resolução do Parlamento Europeu, de 21 de novembro de 2023, intitulado «Redução das desigualdades e promoção da inclusão social em tempos de crise para as crianças e as suas famílias»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https://eur-lex.europa.eu/legal-content/PT/TXT/?uri=CELEX:52023IP0408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19-A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17 de fevereiro de 2022, sobre capacitar os jovens europeus:</w:t>
            </w:r>
            <w:r>
              <w:t xml:space="preserve"> </w:t>
            </w:r>
            <w:r>
              <w:rPr>
                <w:b/>
                <w:i/>
              </w:rPr>
              <w:t>emprego e relançamento social após a pandemia</w:t>
            </w:r>
            <w:r>
              <w:rPr>
                <w:b/>
                <w:i/>
                <w:vertAlign w:val="superscript"/>
              </w:rPr>
              <w:t>9-A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9-A</w:t>
            </w:r>
            <w:r>
              <w:t xml:space="preserve"> </w:t>
            </w:r>
            <w:r>
              <w:rPr>
                <w:b/>
                <w:i/>
              </w:rPr>
              <w:t>JO C 342 de 6.9.2022, pp. 265-275.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19-B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11 de março de 2025, sobre o Fundo Social Europeu Mais pós-2027</w:t>
            </w:r>
            <w:r>
              <w:rPr>
                <w:b/>
                <w:i/>
                <w:vertAlign w:val="superscript"/>
              </w:rPr>
              <w:t>10-A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10-A</w:t>
            </w:r>
            <w:r>
              <w:t xml:space="preserve"> </w:t>
            </w:r>
            <w:r>
              <w:rPr>
                <w:b/>
                <w:i/>
              </w:rPr>
              <w:t>JO C, C/2025/3146.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Citação 19-C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Tendo em conta a sua Resolução, de 27 de novembro de 2025, sobre a estratégia da UE sobre os direitos das pessoas com deficiência para o período após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a Garantia para a Juventude reforçada representa um compromisso assumido pelos Estados-Membros junto dos jovens com menos de 30 anos de lhes oferecerem boas oportunidades de emprego de qualidade, formação contínua, aprendizagem ou estágio no prazo de quatro meses após terem ficado desempregados ou terem terminado o ensino;</w:t>
            </w:r>
          </w:p>
        </w:tc>
        <w:tc>
          <w:tcPr>
            <w:tcW w:w="4876" w:type="dxa"/>
            <w:tcBorders>
              <w:top w:val="nil"/>
              <w:left w:val="nil"/>
              <w:bottom w:val="nil"/>
              <w:right w:val="nil"/>
            </w:tcBorders>
          </w:tcPr>
          <w:p>
            <w:pPr>
              <w:pStyle w:val="Normal6a"/>
            </w:pPr>
            <w:r>
              <w:t>A.</w:t>
            </w:r>
            <w:r>
              <w:tab/>
            </w:r>
            <w:r>
              <w:t>Considerando que a Garantia para a Juventude reforçada representa um compromisso assumido pelos Estados-Membros junto dos jovens com menos de 30 anos de lhes oferecerem</w:t>
            </w:r>
            <w:r>
              <w:rPr>
                <w:b/>
                <w:i/>
              </w:rPr>
              <w:t>, em teoria,</w:t>
            </w:r>
            <w:r>
              <w:t xml:space="preserve"> boas oportunidades de emprego de qualidade, formação contínua, aprendizagem ou estágio no prazo de quatro meses após terem ficado desempregados ou terem terminado o ensino; </w:t>
            </w:r>
            <w:r>
              <w:rPr>
                <w:b/>
                <w:i/>
              </w:rPr>
              <w:t>que, na prática, esse compromisso se deparou com obstáculos e se revelou uma quimera burocrática, com mais de metade dos jovens da União ainda à espera de uma proposta após esse prazo;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que a Garantia para a Juventude reforçada representa um compromisso assumido pelos Estados-Membros junto dos jovens com menos de 30 anos de lhes oferecerem boas oportunidades de emprego de qualidade, formação contínua, aprendizagem ou estágio no prazo de quatro meses após terem ficado desempregados ou terem terminado o ensino;</w:t>
            </w:r>
          </w:p>
        </w:tc>
        <w:tc>
          <w:tcPr>
            <w:tcW w:w="4876" w:type="dxa"/>
            <w:tcBorders>
              <w:top w:val="nil"/>
              <w:left w:val="nil"/>
              <w:bottom w:val="nil"/>
              <w:right w:val="nil"/>
            </w:tcBorders>
          </w:tcPr>
          <w:p>
            <w:pPr>
              <w:pStyle w:val="Normal6a"/>
            </w:pPr>
            <w:r>
              <w:t>A.</w:t>
            </w:r>
            <w:r>
              <w:tab/>
            </w:r>
            <w:r>
              <w:t xml:space="preserve">Considerando que a Garantia para a Juventude reforçada representa um compromisso assumido pelos Estados-Membros junto dos jovens com menos de 30 anos de lhes oferecerem boas oportunidades de emprego de qualidade, formação contínua, aprendizagem ou estágio no prazo de quatro meses após terem ficado desempregados ou terem terminado o ensino; </w:t>
            </w:r>
            <w:r>
              <w:rPr>
                <w:b/>
                <w:i/>
              </w:rPr>
              <w:t>que, desde a sua criação em 2013, cerca de 60 milhões de jovens europeus beneficiaram de uma proposta ao abrigo da Garantia para a Juventude;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Considerando que a Garantia para a Juventude reforçada representa um compromisso assumido pelos Estados-Membros junto dos jovens com menos de 30 anos de lhes oferecerem </w:t>
            </w:r>
            <w:r>
              <w:rPr>
                <w:b/>
                <w:i/>
              </w:rPr>
              <w:t>boas</w:t>
            </w:r>
            <w:r>
              <w:t xml:space="preserve"> oportunidades de emprego de qualidade, formação contínua, aprendizagem ou estágio no prazo de quatro meses após terem ficado desempregados ou terem terminado o ensino;</w:t>
            </w:r>
          </w:p>
        </w:tc>
        <w:tc>
          <w:tcPr>
            <w:tcW w:w="4876" w:type="dxa"/>
            <w:tcBorders>
              <w:top w:val="nil"/>
              <w:left w:val="nil"/>
              <w:bottom w:val="nil"/>
              <w:right w:val="nil"/>
            </w:tcBorders>
          </w:tcPr>
          <w:p>
            <w:pPr>
              <w:pStyle w:val="Normal6a"/>
            </w:pPr>
            <w:r>
              <w:t>A.</w:t>
            </w:r>
            <w:r>
              <w:tab/>
            </w:r>
            <w:r>
              <w:t xml:space="preserve">Considerando que a Garantia para a Juventude </w:t>
            </w:r>
            <w:r>
              <w:rPr>
                <w:b/>
                <w:i/>
              </w:rPr>
              <w:t>foi criada em 2013 e</w:t>
            </w:r>
            <w:r>
              <w:t xml:space="preserve"> reforçada </w:t>
            </w:r>
            <w:r>
              <w:rPr>
                <w:b/>
                <w:i/>
              </w:rPr>
              <w:t>em 2020 (Garantia para a Juventude reforçada);</w:t>
            </w:r>
            <w:r>
              <w:t xml:space="preserve"> </w:t>
            </w:r>
            <w:r>
              <w:rPr>
                <w:b/>
                <w:i/>
              </w:rPr>
              <w:t>que</w:t>
            </w:r>
            <w:r>
              <w:t xml:space="preserve"> representa um compromisso assumido pelos Estados-Membros junto dos jovens com menos de 30 anos de lhes oferecerem oportunidades de emprego de qualidade, formação contínua, aprendizagem ou estágio no prazo de quatro meses após terem ficado desempregados ou terem terminado o ensino;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Considerando que o objetivo da Garantia para a Juventude reforçada é combater o desemprego, a inatividade e o subemprego dos jovens e apoiar a integração sustentável dos jovens numa educação, formação e mercado de trabalho de qualidade;</w:t>
            </w:r>
            <w:r>
              <w:t xml:space="preserve"> </w:t>
            </w:r>
            <w:r>
              <w:rPr>
                <w:b/>
                <w:i/>
              </w:rPr>
              <w:t>que os objetivos da Garantia para a Juventude reforçada refletem as prioridades políticas comuns do Parlamento Europeu, da Comissão e dos Estados-Membros no âmbito do atual quadro financeiro plurianual (QFP), contribuindo para o objetivo da União de crescimento económico sustentável e de criação de empregos de elevada qualidade, em consonância com o Pilar Europeu dos Direitos Sociais;</w:t>
            </w:r>
            <w:r>
              <w:t xml:space="preserve"> </w:t>
            </w:r>
            <w:r>
              <w:rPr>
                <w:b/>
                <w:i/>
              </w:rPr>
              <w:t>que os problemas persistentes e os novos desafios em rápida evolução para a integração dos jovens no mercado de trabalho exigem que estas prioridades sejam mantidas para além do atual período de programação;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Considerando que, de um modo geral, os Estados-Membros mantiveram um forte empenho político na aplicação da Garantia para a Juventude e dos seus planos nacionais de execução;</w:t>
            </w:r>
            <w:r>
              <w:t xml:space="preserve"> </w:t>
            </w:r>
            <w:r>
              <w:rPr>
                <w:b/>
                <w:i/>
              </w:rPr>
              <w:t>que foram envidados esforços específicos para reforçar as capacidades de apoio aos NEET e os exercícios de aprendizagem mútua através de reuniões de coordenadores nacionais a nível da UE ou não;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Kathleen Funchion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Considerando que a investigação da Eurofound salienta que a população NEET é altamente heterogénea e é composta por subgrupos distintos, cada um dos quais enfrenta obstáculos e necessidades estruturais únicos que impedem a sua integração bem-sucedida no mercado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Considerando que a conceção e a aplicação dessas medidas devem respeitar plenamente o princípio da subsidiariedade e as competências dos Estados-Membros no domínio das políticas de educação, formação e emprego;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Considerando que a taxa NEET na UE retomou a sua tendência descendente após o período pós-pandemia;</w:t>
            </w:r>
            <w:r>
              <w:t xml:space="preserve"> </w:t>
            </w:r>
            <w:r>
              <w:rPr>
                <w:b/>
                <w:i/>
              </w:rPr>
              <w:t>que o Plano de Ação sobre o Pilar Europeu dos Direitos Sociais inclui o objetivo de reduzir a taxa NEET para 9 % nos jovens entre os 15 e os 29 anos até 2030;</w:t>
            </w:r>
            <w:r>
              <w:t xml:space="preserve"> </w:t>
            </w:r>
            <w:r>
              <w:rPr>
                <w:b/>
                <w:i/>
              </w:rPr>
              <w:t>que este objetivo está em vias de ser alcançado, apesar das disparidades significativas entre os Estados-Membros e as regiões</w:t>
            </w:r>
            <w:r>
              <w:rPr>
                <w:b/>
                <w:i/>
                <w:vertAlign w:val="superscript"/>
              </w:rPr>
              <w:t>11-A</w:t>
            </w:r>
            <w:r>
              <w:rPr>
                <w:b/>
                <w:i/>
              </w:rPr>
              <w:t>, e que a consecução deste objetivo continuaria a deixar um número significativo de jovens em situações precárias;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11-A</w:t>
            </w:r>
            <w:r>
              <w:t xml:space="preserve"> </w:t>
            </w:r>
            <w:r>
              <w:rPr>
                <w:b/>
                <w:i/>
              </w:rPr>
              <w:t>https://doi.org/10.2908/LFSI_NEET_Q.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Considerando que os jovens que não trabalham, não estudam nem seguem qualquer formação (NEET) constituem um grupo diversificado de jovens com diferentes experiências de vida;</w:t>
            </w:r>
            <w:r>
              <w:t xml:space="preserve"> </w:t>
            </w:r>
            <w:r>
              <w:rPr>
                <w:b/>
                <w:i/>
              </w:rPr>
              <w:t>que a investigação</w:t>
            </w:r>
            <w:r>
              <w:rPr>
                <w:b/>
                <w:i/>
                <w:vertAlign w:val="superscript"/>
              </w:rPr>
              <w:t>1-A</w:t>
            </w:r>
            <w:r>
              <w:t xml:space="preserve"> </w:t>
            </w:r>
            <w:r>
              <w:rPr>
                <w:b/>
                <w:i/>
              </w:rPr>
              <w:t>da Eurofound salienta que a população NEET é altamente heterogénea e é composta por subgrupos distintos, cada um dos quais enfrenta obstáculos estruturais únicos que impedem a sua integração bem-sucedida no mercado de trabalho, e, por isso, necessitam de um apoio adaptado e personalizado para responder às suas necessidades específicas;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(2016), Exploring the diversity of NEETs [Explorar a diversidade dos NEET], Serviço das Publicações da União Europeia, Luxemburgo.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Considerando que a aplicação e a melhoria da Garantia para a Juventude reforçada devem prestar especial atenção aos NEET em situações vulneráveis e às pessoas mais afastadas do mercado de trabalho, que são frequentemente difíceis de alcançar;</w:t>
            </w:r>
            <w:r>
              <w:t xml:space="preserve"> </w:t>
            </w:r>
            <w:r>
              <w:rPr>
                <w:b/>
                <w:i/>
              </w:rPr>
              <w:t>que tal inclui as mulheres, as pessoas de diferentes origens étnicas, as comunidades cigana e itinerante, os jovens sem-abrigo, os jovens que abandonaram os cuidados institucionais, as pessoas LGBTQIA+, os jovens com estatuto de migrantes ou refugiados, os jovens com deficiência, os jovens vítimas de discriminação em razão da religião ou crença, os jovens que enfrentam doenças crónicas ou dependência, os jovens progenitores, bem como os jovens que atuam como cuidadores informais;</w:t>
            </w:r>
            <w:r>
              <w:t xml:space="preserve"> </w:t>
            </w:r>
            <w:r>
              <w:rPr>
                <w:b/>
                <w:i/>
              </w:rPr>
              <w:t>que deve ser feita uma distinção clara entre os NEET que são involuntariamente excluídos do ensino, do emprego ou da formação e os que estão voluntariamente inativos;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Considerando que existe uma disparidade de género persistente entre os NEET, sendo a taxa NEET entre as mulheres jovens sistematicamente superior à dos homens jovens na UE</w:t>
            </w:r>
            <w:r>
              <w:rPr>
                <w:b/>
                <w:i/>
                <w:vertAlign w:val="superscript"/>
              </w:rPr>
              <w:t>12-A</w:t>
            </w:r>
            <w:r>
              <w:rPr>
                <w:b/>
                <w:i/>
              </w:rPr>
              <w:t>;</w:t>
            </w:r>
            <w:r>
              <w:t xml:space="preserve"> </w:t>
            </w:r>
            <w:r>
              <w:rPr>
                <w:b/>
                <w:i/>
              </w:rPr>
              <w:t>que esta situação pode ser parcialmente explicada pela distribuição desigual das responsabilidades de acolhimento de crianças e das normas sociais;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12-A</w:t>
            </w:r>
            <w:r>
              <w:t xml:space="preserve"> </w:t>
            </w:r>
            <w:r>
              <w:rPr>
                <w:b/>
                <w:i/>
              </w:rPr>
              <w:t>https://www.eurofound.europa.eu/en/surveys-and-data/data-catalogue/neet-rates-gender-15-29-age-group.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Considerando que a integração dos NEET no mercado de trabalho se tornou cada vez mais complexa, impulsionada por fatores como o crescimento da economia dos serviços pontuais e o aumento das formas de emprego precárias e atípicas, o aumento da inteligência artificial e da digitalização e a crise do custo de vida, incluindo o aumento dos custos da habitação;</w:t>
            </w:r>
            <w:r>
              <w:t xml:space="preserve"> </w:t>
            </w:r>
            <w:r>
              <w:rPr>
                <w:b/>
                <w:i/>
              </w:rPr>
              <w:t>que esta evolução cria obstáculos estruturais ao emprego sustentável e agrava as desigualdades que deixam os NEET vulneráveis para trás;</w:t>
            </w:r>
            <w:r>
              <w:t xml:space="preserve"> </w:t>
            </w:r>
            <w:r>
              <w:rPr>
                <w:b/>
                <w:i/>
              </w:rPr>
              <w:t>que a aplicação da Garantia para a Juventude deve ser reformada e reforçada, a fim de responder eficazmente a estes desafios e dar prioridade aos NEET mais afastados do mercado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Considerando que os ciganos são o grupo com a taxa NEET mais elevada da UE, com 47 % para a faixa etária dos 16-24 anos, em comparação com uma média da UE de 9 % para o mesmo grupo etário</w:t>
            </w:r>
            <w:r>
              <w:rPr>
                <w:b/>
                <w:i/>
                <w:vertAlign w:val="superscript"/>
              </w:rPr>
              <w:t>13-A</w:t>
            </w:r>
            <w:r>
              <w:rPr>
                <w:b/>
                <w:i/>
              </w:rPr>
              <w:t>;</w:t>
            </w:r>
            <w:r>
              <w:t xml:space="preserve"> </w:t>
            </w:r>
            <w:r>
              <w:rPr>
                <w:b/>
                <w:i/>
              </w:rPr>
              <w:t>que nenhum dos Estados-Membros inquiridos está prestes a alcançar os objetivos estabelecidos no Quadro Estratégico da UE</w:t>
            </w:r>
            <w:r>
              <w:rPr>
                <w:b/>
                <w:i/>
                <w:vertAlign w:val="superscript"/>
              </w:rPr>
              <w:t>14-A</w:t>
            </w:r>
            <w:r>
              <w:t xml:space="preserve"> </w:t>
            </w:r>
            <w:r>
              <w:rPr>
                <w:b/>
                <w:i/>
              </w:rPr>
              <w:t>para os Ciganos e que, sem uma abordagem específica e estratégica por parte dos Estados-Membros, a UE corre o risco de deixar uma geração de jovens ciganos e itinerantes em risco de exclusão do ensino, da formação e do mercado de trabalho;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13-A</w:t>
            </w:r>
            <w:r>
              <w:t xml:space="preserve"> </w:t>
            </w:r>
            <w:r>
              <w:rPr>
                <w:b/>
                <w:i/>
              </w:rPr>
              <w:t>Agência dos Direitos Fundamentais da União Europeia (FRA) , «Rights of Roma and Travellers in 13 European countries — Perspetives from the Roma Survey 2024» [Direitos dos ciganos e das comunidades itinerantes em 13 países europeus — Perspetivas do inquérito sobre os ciganos de 2024], 2 de outubro de 2025.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Comissão Europeia, 7 de outubro de 2020,</w:t>
            </w:r>
            <w:r>
              <w:t xml:space="preserve"> </w:t>
            </w:r>
            <w:r>
              <w:rPr>
                <w:b/>
                <w:i/>
              </w:rPr>
              <w:t>Quadro estratégico da UE para a igualdade, a inclusão e a participação dos ciganos 2020-2030 (COM (2020) 620 final). https://commission.europa.eu/document/download/99cc0720-68c2-4300-854f-592bf21dceaf_en?filename=eu_roma_strategic_framework_for_equality_inclusion_and_participation_for_2020_-_2030.pdf.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Considerando que a transição do ensino para o mercado de trabalho se tornou mais longa, menos linear e cada vez mais insegura para os jovens, com muitos a deslocarem-se entre o emprego, o desemprego e a inatividade ou a ficarem presos a formas atípicas de trabalho;</w:t>
            </w:r>
            <w:r>
              <w:t xml:space="preserve"> </w:t>
            </w:r>
            <w:r>
              <w:rPr>
                <w:b/>
                <w:i/>
              </w:rPr>
              <w:t>que a Garantia para a Juventude não se adaptou suficientemente a estas vias fragmentadas e continua a basear-se em medidas rígidas e pontuais;</w:t>
            </w:r>
            <w:r>
              <w:t xml:space="preserve"> </w:t>
            </w:r>
            <w:r>
              <w:rPr>
                <w:b/>
                <w:i/>
              </w:rPr>
              <w:t>que uma integração eficaz no mercado de trabalho, em particular para os NEET vulneráveis, exige um apoio flexível, personalizado e a longo prazo;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Considerando que, de acordo com o inquérito da Agência dos Direitos Fundamentais da União Europeia sobre os ciganos, de 2021, 19 % das mulheres ciganas nunca frequentaram a escola, em comparação com 14 % dos homens ciganos, e que apenas 23 % das mulheres ciganas continuam a frequentar o ensino após os 16 anos, em comparação com 32 % dos homens ciganos</w:t>
            </w:r>
            <w:r>
              <w:rPr>
                <w:b/>
                <w:i/>
                <w:vertAlign w:val="superscript"/>
              </w:rPr>
              <w:t>15-A</w:t>
            </w:r>
            <w:r>
              <w:rPr>
                <w:b/>
                <w:i/>
              </w:rPr>
              <w:t>;</w:t>
            </w:r>
            <w:r>
              <w:t xml:space="preserve"> </w:t>
            </w:r>
            <w:r>
              <w:rPr>
                <w:b/>
                <w:i/>
              </w:rPr>
              <w:t>que os dados desagregados por género mostram que, em média, 61% das jovens e mulheres ciganas e itinerantes são NEET, em comparação com 33% dos jovens ciganos</w:t>
            </w:r>
            <w:r>
              <w:rPr>
                <w:b/>
                <w:i/>
                <w:vertAlign w:val="superscript"/>
              </w:rPr>
              <w:t>16-A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15-A</w:t>
            </w:r>
            <w:r>
              <w:t xml:space="preserve"> </w:t>
            </w:r>
            <w:r>
              <w:rPr>
                <w:b/>
                <w:i/>
              </w:rPr>
              <w:t>Conselho da Europa (2025),</w:t>
            </w:r>
            <w:r>
              <w:t xml:space="preserve"> </w:t>
            </w:r>
            <w:r>
              <w:rPr>
                <w:b/>
                <w:i/>
              </w:rPr>
              <w:t>«Equality of Roma and Traveller women and girls» [Igualdade das mulheres e das raparigas ciganas e itinerantes] (Ref. 094724GBR),</w:t>
            </w:r>
            <w:r>
              <w:t xml:space="preserve"> </w:t>
            </w:r>
            <w:r>
              <w:rPr>
                <w:b/>
                <w:i/>
              </w:rPr>
              <w:t>Conselho da Europa. https://edoc.coe.int/en/roma-and-travellers/12078-equality-of-roma-and-traveller-women-and-girls.html;</w:t>
            </w:r>
            <w:r>
              <w:t xml:space="preserve"> </w:t>
            </w:r>
            <w:r>
              <w:rPr>
                <w:b/>
                <w:i/>
              </w:rPr>
              <w:t>Agência dos Direitos Fundamentais da União Europeia (2020)</w:t>
            </w:r>
            <w:r>
              <w:t xml:space="preserve"> </w:t>
            </w:r>
            <w:r>
              <w:rPr>
                <w:b/>
                <w:i/>
              </w:rPr>
              <w:t>«Roma and Travellers in six countries — </w:t>
            </w:r>
            <w:r>
              <w:t xml:space="preserve"> </w:t>
            </w:r>
            <w:r>
              <w:rPr>
                <w:b/>
                <w:i/>
              </w:rPr>
              <w:t>Roma and Travellers survey» [Ciganos e comunidades itinerantes em seis países — Inquérito aos ciganos e itinerantes], relatório da FRA,</w:t>
            </w:r>
            <w:r>
              <w:t xml:space="preserve"> </w:t>
            </w:r>
            <w:r>
              <w:rPr>
                <w:b/>
                <w:i/>
              </w:rPr>
              <w:t>Serviço das Publicações da União Europeia. https://fra.europa.eu/sites/default/files/fra_uploads/fra-2020-roma-travellers-six-countries_en.pdf.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16-A</w:t>
            </w:r>
            <w:r>
              <w:t xml:space="preserve"> </w:t>
            </w:r>
            <w:r>
              <w:rPr>
                <w:b/>
                <w:i/>
              </w:rPr>
              <w:t>Agência dos Direitos Fundamentais da União Europeia (2025)</w:t>
            </w:r>
            <w:r>
              <w:t xml:space="preserve"> </w:t>
            </w:r>
            <w:r>
              <w:rPr>
                <w:b/>
                <w:i/>
              </w:rPr>
              <w:t>«Rights of Roma and Travellers in 13 European countries — Perspetives from the Roma Survey 2024» [Direitos dos ciganos e das comunidades itinerantes em 13 países europeus — Perspetivas do inquérito sobre os ciganos de 2024].</w:t>
            </w:r>
            <w:r>
              <w:t xml:space="preserve"> </w:t>
            </w:r>
            <w:r>
              <w:rPr>
                <w:b/>
                <w:i/>
              </w:rPr>
              <w:t>https://fra.europa.eu/en/publication/2025/roma-survey-2024.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Considerando que os jovens estão desproporcionadamente expostos a trabalho mal remunerado</w:t>
            </w:r>
            <w:r>
              <w:rPr>
                <w:b/>
                <w:i/>
                <w:vertAlign w:val="superscript"/>
              </w:rPr>
              <w:t>1-A</w:t>
            </w:r>
            <w:r>
              <w:rPr>
                <w:b/>
                <w:i/>
              </w:rPr>
              <w:t>, bem como a formas de emprego precárias e atípicas, incluindo contratos a termo, contratos sem especificação do horário de trabalho e falso trabalho por conta própria</w:t>
            </w:r>
            <w:r>
              <w:rPr>
                <w:b/>
                <w:i/>
                <w:vertAlign w:val="superscript"/>
              </w:rPr>
              <w:t>1-B</w:t>
            </w:r>
            <w:r>
              <w:rPr>
                <w:b/>
                <w:i/>
              </w:rPr>
              <w:t>;</w:t>
            </w:r>
            <w:r>
              <w:t xml:space="preserve"> </w:t>
            </w:r>
            <w:r>
              <w:rPr>
                <w:b/>
                <w:i/>
              </w:rPr>
              <w:t>que, muitas vezes, não têm acesso a uma proteção adequada do emprego e a prestações sociais;</w:t>
            </w:r>
            <w:r>
              <w:t xml:space="preserve"> </w:t>
            </w:r>
            <w:r>
              <w:rPr>
                <w:b/>
                <w:i/>
              </w:rPr>
              <w:t>que os jovens estão também expostos a um maior risco de deslocação profissional devido à automatização;</w:t>
            </w:r>
            <w:r>
              <w:t xml:space="preserve"> </w:t>
            </w:r>
            <w:r>
              <w:rPr>
                <w:b/>
                <w:i/>
              </w:rPr>
              <w:t>que essas condições proporcionam uma segurança financeira limitada e comprometem as vias para uma integração sustentável no mercado de trabalho;</w:t>
            </w:r>
            <w:r>
              <w:t xml:space="preserve"> </w:t>
            </w:r>
            <w:r>
              <w:rPr>
                <w:b/>
                <w:i/>
              </w:rPr>
              <w:t>que esta situação afeta particularmente os NEET vulneráveis, que estão desproporcionadamente concentrados em empregos pouco qualificados e de baixa qualidade;</w:t>
            </w:r>
            <w:r>
              <w:t xml:space="preserve"> </w:t>
            </w:r>
            <w:r>
              <w:rPr>
                <w:b/>
                <w:i/>
              </w:rPr>
              <w:t>que a Garantia para a Juventude deve combater ativamente a precariedade e os baixos salários e centrar-se no emprego remunerado e não no voluntariado;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(2022), «Proportion of low-paid workers in EU countries» [Proporção de trabalhadores com salários baixos nos países da 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(2018), «Young people on the labour market — statistics» [Jovens no mercado de trabalho — estatísticas].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Considerando que os jovens que nemeficiaram da prestação de ajudas sociais são um grupo particularmente exposto ao risco do estatuto de NEET, mas que, devido à insuficiência de dados fiáveis, o seu número a nível da UE continua a ser pouco claro, tal como as medidas de sensibilização em vigor para os apoiar e as oportunidades à sua disposição após a saída dos cuidados;</w:t>
            </w:r>
            <w:r>
              <w:t xml:space="preserve"> </w:t>
            </w:r>
            <w:r>
              <w:rPr>
                <w:b/>
                <w:i/>
              </w:rPr>
              <w:t>que os jovens que saem dos cuidados institucionais enfrentam frequentemente transições abruptas para a independência sem continuidade educativa adequada, estabilidade da habitação ou orientação profissional, aumentando o seu risco de desemprego, pobreza e exclusão social;</w:t>
            </w:r>
            <w:r>
              <w:t xml:space="preserve"> </w:t>
            </w:r>
            <w:r>
              <w:rPr>
                <w:b/>
                <w:i/>
              </w:rPr>
              <w:t>que o reforço da aplicação da Garantia para a Juventude poderia colmatar estas lacunas de transição através de mecanismos de apoio adaptados;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Considerando que o subemprego dos jovens está a aumentar e que o emprego a tempo parcial entre os jovens é significativamente mais elevado do que o da população ativa em geral</w:t>
            </w:r>
            <w:r>
              <w:rPr>
                <w:b/>
                <w:i/>
                <w:vertAlign w:val="superscript"/>
              </w:rPr>
              <w:t>1-A</w:t>
            </w:r>
            <w:r>
              <w:rPr>
                <w:b/>
                <w:i/>
              </w:rPr>
              <w:t>;</w:t>
            </w:r>
            <w:r>
              <w:t xml:space="preserve"> </w:t>
            </w:r>
            <w:r>
              <w:rPr>
                <w:b/>
                <w:i/>
              </w:rPr>
              <w:t>que esta disparidade é ainda mais acentuada entre as mulheres jovens;</w:t>
            </w:r>
            <w:r>
              <w:t xml:space="preserve"> </w:t>
            </w:r>
            <w:r>
              <w:rPr>
                <w:b/>
                <w:i/>
              </w:rPr>
              <w:t>que grand eparte dos regimes de trabalho a tempo parcial é involuntária, refletindo uma incapacidade estrutural do mercado de trabalho para proporcionar oportunidades adequadas a tempo inteiro;</w:t>
            </w:r>
            <w:r>
              <w:t xml:space="preserve"> </w:t>
            </w:r>
            <w:r>
              <w:rPr>
                <w:b/>
                <w:i/>
              </w:rPr>
              <w:t>que o trabalho a tempo parcial involuntário compromete o potencial de remuneração, a progressão na carreira, o acesso à proteção social e os direitos de pensão;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(2025), «Part-time and full-time employment - statistics» [Trabalho a tempo parcial e a tempo inteiro — estatísticas].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Considerando que os preconceitos, o estigma e os estereótipos persistentes podem limitar o acesso a estágios e aprendizagens de jovens provenientes dos cuidados institucionais, de jovens com deficiências físicas ou de desenvolvimento intelectual e de jovens ciganos;</w:t>
            </w:r>
            <w:r>
              <w:t xml:space="preserve"> </w:t>
            </w:r>
            <w:r>
              <w:rPr>
                <w:b/>
                <w:i/>
              </w:rPr>
              <w:t>que a eliminação desses obstáculos e a promoção de práticas de recrutamento inclusivas são essenciais para garantir a igualdade de acesso a primeiras experiências de trabalho de qualidade;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Considerando que os percursos tradicionais do ensino para o emprego estão a deteriorar-se devido a uma escassez estrutural de empregos de início de carreira de qualidade;</w:t>
            </w:r>
            <w:r>
              <w:t xml:space="preserve"> </w:t>
            </w:r>
            <w:r>
              <w:rPr>
                <w:b/>
                <w:i/>
              </w:rPr>
              <w:t>que muitos jovens, apesar de possuírem qualificações e competências elevadas, têm dificuldade em converter as suas qualificações em empregos estáveis;</w:t>
            </w:r>
            <w:r>
              <w:t xml:space="preserve"> </w:t>
            </w:r>
            <w:r>
              <w:rPr>
                <w:b/>
                <w:i/>
              </w:rPr>
              <w:t>que a taxa de emprego dos recém-diplomados está a diminuir</w:t>
            </w:r>
            <w:r>
              <w:rPr>
                <w:b/>
                <w:i/>
                <w:vertAlign w:val="superscript"/>
              </w:rPr>
              <w:t>1-A</w:t>
            </w:r>
            <w:r>
              <w:t xml:space="preserve"> </w:t>
            </w:r>
            <w:r>
              <w:rPr>
                <w:b/>
                <w:i/>
              </w:rPr>
              <w:t>e que o número de jovens em profissões muito abaixo do seu nível de qualificação está a aumentar</w:t>
            </w:r>
            <w:r>
              <w:rPr>
                <w:b/>
                <w:i/>
                <w:vertAlign w:val="superscript"/>
              </w:rPr>
              <w:t>1-B</w:t>
            </w:r>
            <w:r>
              <w:rPr>
                <w:b/>
                <w:i/>
              </w:rPr>
              <w:t>;</w:t>
            </w:r>
            <w:r>
              <w:t xml:space="preserve"> </w:t>
            </w:r>
            <w:r>
              <w:rPr>
                <w:b/>
                <w:i/>
              </w:rPr>
              <w:t>que tal cria um efeito de deslocação que limita ainda mais as oportunidades para os NEET vulneráveis que não possuem qualificações;</w:t>
            </w:r>
            <w:r>
              <w:t xml:space="preserve"> </w:t>
            </w:r>
            <w:r>
              <w:rPr>
                <w:b/>
                <w:i/>
              </w:rPr>
              <w:t>que os obstáculos crescentes à integração dos jovens no mercado de trabalho comprometem a coesão social e a confiança institucional;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(2025), «Employment rates of recent graduates» [Taxas de emprego dos recém-diplomados].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Eurostat (2025), «Young people — qualifications, skills and job align» [Jovens — qualificações, competências e alinhamento profissional].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Considerando que quase um quarto jovens na União estava em risco de pobreza ou exclusão social em 2024, uma taxa que é 3.1 pontos percentuais superior à da população total</w:t>
            </w:r>
            <w:r>
              <w:rPr>
                <w:b/>
                <w:i/>
                <w:vertAlign w:val="superscript"/>
              </w:rPr>
              <w:t>1-A</w:t>
            </w:r>
            <w:r>
              <w:rPr>
                <w:b/>
                <w:i/>
              </w:rPr>
              <w:t>;</w:t>
            </w:r>
            <w:r>
              <w:t xml:space="preserve"> </w:t>
            </w:r>
            <w:r>
              <w:rPr>
                <w:b/>
                <w:i/>
              </w:rPr>
              <w:t>que as desigualdades estruturais, como a privação material e a desvantagem social persistente, comprometem a capacidade de aceder ao mercado de trabalho e de viver de forma independente;</w:t>
            </w:r>
            <w:r>
              <w:t xml:space="preserve"> </w:t>
            </w:r>
            <w:r>
              <w:rPr>
                <w:b/>
                <w:i/>
              </w:rPr>
              <w:t>que a inserção profissional não pode ser alcançada sem o acesso a condições favoráveis básicas, como a habitação, os transportes, o acolhimento de crianças e o apoio à prestação de cuidados;</w:t>
            </w:r>
            <w:r>
              <w:t xml:space="preserve"> </w:t>
            </w:r>
            <w:r>
              <w:rPr>
                <w:b/>
                <w:i/>
              </w:rPr>
              <w:t>que a integração sustentável no mercado de trabalho exige uma abordagem holística que aborde todos os obstáculos que agravam a situação;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Eurostat (2025), «Young people - social inclusion» [Jovens — inclusão social].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A-J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A-J.</w:t>
            </w:r>
            <w:r>
              <w:tab/>
            </w:r>
            <w:r>
              <w:rPr>
                <w:b/>
                <w:i/>
              </w:rPr>
              <w:t>Considerando que os NEET vulneráveis podem não dispor das competências funcionais de literacia, numeracia e literacia digital necessárias para aceder à educação, à formação ou a um mercado de trabalho de qualidade;</w:t>
            </w:r>
            <w:r>
              <w:t xml:space="preserve"> </w:t>
            </w:r>
            <w:r>
              <w:rPr>
                <w:b/>
                <w:i/>
              </w:rPr>
              <w:t>que a Garantia para a Juventude toma frequentemente essas competências como um dado adquirido, limitando assim a capacidade de os NEET vulneráveis acederem e beneficiarem de medidas de emprego e formação;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A-k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A-K.</w:t>
            </w:r>
            <w:r>
              <w:tab/>
            </w:r>
            <w:r>
              <w:rPr>
                <w:b/>
                <w:i/>
              </w:rPr>
              <w:t>Considerando que o desempenho dos jovens em leitura, matemática e ciências em toda a União está a diminuir e que os jovens oriundos de meios socioeconómicos desfavorecidos têm uma probabilidade seis vezes superior de ficar aquém do que os seus pares</w:t>
            </w:r>
            <w:r>
              <w:rPr>
                <w:b/>
                <w:i/>
                <w:vertAlign w:val="superscript"/>
              </w:rPr>
              <w:t>1-A</w:t>
            </w:r>
            <w:r>
              <w:rPr>
                <w:b/>
                <w:i/>
              </w:rPr>
              <w:t>;</w:t>
            </w:r>
            <w:r>
              <w:t xml:space="preserve"> </w:t>
            </w:r>
            <w:r>
              <w:rPr>
                <w:b/>
                <w:i/>
              </w:rPr>
              <w:t>que a Garantia para a Juventude deve ter ativamente em conta estas tendências preocupantes para evitar o agravamento das clivagens sociais e assegurar a igualdade de acesso à educação e a futuras oportunidades de emprego;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Comissão Europeia, Monitor da Educação e da formação de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Marie Dauchy, Séverine Werbrouck, Mélanie Disdier, Margarita de la Pisa Carrión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que é </w:t>
            </w:r>
            <w:r>
              <w:rPr>
                <w:b/>
                <w:i/>
              </w:rPr>
              <w:t>difícil</w:t>
            </w:r>
            <w:r>
              <w:t xml:space="preserve"> estabelecer uma relação de causalidade direta entre a implementação da Garantia para a Juventude e os resultados observados em termos de redução da taxa NEET e do desemprego dos jovens;</w:t>
            </w:r>
          </w:p>
        </w:tc>
        <w:tc>
          <w:tcPr>
            <w:tcW w:w="4876" w:type="dxa"/>
            <w:tcBorders>
              <w:top w:val="nil"/>
              <w:left w:val="nil"/>
              <w:bottom w:val="nil"/>
              <w:right w:val="nil"/>
            </w:tcBorders>
          </w:tcPr>
          <w:p>
            <w:pPr>
              <w:pStyle w:val="Normal6a"/>
            </w:pPr>
            <w:r>
              <w:t>B.</w:t>
            </w:r>
            <w:r>
              <w:tab/>
            </w:r>
            <w:r>
              <w:t xml:space="preserve">Considerando que é </w:t>
            </w:r>
            <w:r>
              <w:rPr>
                <w:b/>
                <w:i/>
              </w:rPr>
              <w:t>impossível</w:t>
            </w:r>
            <w:r>
              <w:t xml:space="preserve"> estabelecer uma relação de causalidade direta entre a implementação da Garantia para a Juventude </w:t>
            </w:r>
            <w:r>
              <w:rPr>
                <w:b/>
                <w:i/>
              </w:rPr>
              <w:t>reforçada</w:t>
            </w:r>
            <w:r>
              <w:t xml:space="preserve"> e os resultados observados em termos de redução da taxa NEET e do desemprego dos jovens</w:t>
            </w:r>
            <w:r>
              <w:rPr>
                <w:b/>
                <w:i/>
              </w:rPr>
              <w:t>, o que demonstra a ineficácia estrutural da engenharia social europeia</w:t>
            </w:r>
            <w:r>
              <w:t xml:space="preserve">; </w:t>
            </w:r>
            <w:r>
              <w:rPr>
                <w:b/>
                <w:i/>
              </w:rPr>
              <w:t>que os empregos para os jovens não são criados por diretivas centralizadas, mas sobretudo pela soberania fiscal dos Estados-Membros, por uma economia nacional sólida e por PME competitivas;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é difícil estabelecer uma relação de causalidade direta entre a implementação da Garantia para a Juventude e os resultados observados em termos de redução da taxa NEET e do desemprego dos jovens;</w:t>
            </w:r>
          </w:p>
        </w:tc>
        <w:tc>
          <w:tcPr>
            <w:tcW w:w="4876" w:type="dxa"/>
            <w:tcBorders>
              <w:top w:val="nil"/>
              <w:left w:val="nil"/>
              <w:bottom w:val="nil"/>
              <w:right w:val="nil"/>
            </w:tcBorders>
          </w:tcPr>
          <w:p>
            <w:pPr>
              <w:pStyle w:val="Normal6a"/>
            </w:pPr>
            <w:r>
              <w:t>B.</w:t>
            </w:r>
            <w:r>
              <w:tab/>
            </w:r>
            <w:r>
              <w:t xml:space="preserve">Considerando que é difícil estabelecer uma relação de causalidade direta entre a implementação da Garantia para a Juventude </w:t>
            </w:r>
            <w:r>
              <w:rPr>
                <w:b/>
                <w:i/>
              </w:rPr>
              <w:t>reforçada</w:t>
            </w:r>
            <w:r>
              <w:t xml:space="preserve"> e os resultados observados em termos de redução da taxa NEET e do desemprego dos jovens; </w:t>
            </w:r>
            <w:r>
              <w:rPr>
                <w:b/>
                <w:i/>
              </w:rPr>
              <w:t>que tal salienta a necessidade de uma maior ênfase em resultados tangíveis para os jovens, de um melhor alinhamento com as necessidades do mercado de trabalho nacional e de sinergias mais estreitas com programas da União, como o Fundo Social Europeu Mais (FSE +), o Erasmus+ e o Corpo Europeu de Solidariedade;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que é difícil estabelecer uma relação de causalidade direta entre a implementação da Garantia para a Juventude e os resultados observados em termos de redução da taxa NEET e do desemprego dos jovens;</w:t>
            </w:r>
          </w:p>
        </w:tc>
        <w:tc>
          <w:tcPr>
            <w:tcW w:w="4876" w:type="dxa"/>
            <w:tcBorders>
              <w:top w:val="nil"/>
              <w:left w:val="nil"/>
              <w:bottom w:val="nil"/>
              <w:right w:val="nil"/>
            </w:tcBorders>
          </w:tcPr>
          <w:p>
            <w:pPr>
              <w:pStyle w:val="Normal6a"/>
            </w:pPr>
            <w:r>
              <w:t>B.</w:t>
            </w:r>
            <w:r>
              <w:tab/>
            </w:r>
            <w:r>
              <w:t xml:space="preserve">Considerando que é difícil estabelecer uma relação de causalidade direta entre a implementação da Garantia para a Juventude </w:t>
            </w:r>
            <w:r>
              <w:rPr>
                <w:b/>
                <w:i/>
              </w:rPr>
              <w:t>reforçada</w:t>
            </w:r>
            <w:r>
              <w:t xml:space="preserve"> e os resultados observados em termos de redução da taxa NEET e do desemprego dos jovens</w:t>
            </w:r>
            <w:r>
              <w:rPr>
                <w:b/>
                <w:i/>
              </w:rPr>
              <w:t>, particularmente quando os regimes da Garantia para a Juventude reforçada estão integrados em políticas nacionais mais amplas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Elena Donazzan, Chiara Gemma, Mariateresa Vivaldini, Lara Magoni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Considerando que os dados europeus mostram que os percursos de educação e formação profissional iniciais (EFPI) com uma forte componente de aprendizagem em contexto laboral são o instrumento mais eficaz para evitar que as pessoas acabem em situações NEET, na medida em que os jovens que concluem percursos de aprendizagem em contexto laboral com uma duração mínima de sete meses registam taxas de emprego que atingem 90,5 %, em comparação com 69,7 % para os que não têm acesso a esses percursos;</w:t>
            </w:r>
            <w:r>
              <w:t xml:space="preserve"> </w:t>
            </w:r>
            <w:r>
              <w:rPr>
                <w:b/>
                <w:i/>
              </w:rPr>
              <w:t>que os sistemas duais de ensino e formação profissional utilizam uma alternância estruturada entre a escola e o trabalho para gerar competências úteis no mercado de trabalho e reduzir significativamente o fosso entre a oferta e a procura de emprego;</w:t>
            </w:r>
            <w:r>
              <w:t xml:space="preserve"> </w:t>
            </w:r>
            <w:r>
              <w:rPr>
                <w:b/>
                <w:i/>
              </w:rPr>
              <w:t>que os Estados-Membros que dispõem de sistemas duais sólidos de ensino e formação profissional apresentam as taxas de desemprego juvenil mais baixas da UE;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Niels Geuking, Romana Tomc, David Casa, Isabelle Le Callennec,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Considerando que a aplicação eficaz da Garantia para a Juventude reforçada exige medidas específicas, integradas e sensíveis à situação familiar, em particular para os jovens progenitores, que combinem o apoio ao emprego com o acesso à educação e à formação, ao acolhimento de crianças, aos serviços sociais e, se for caso disso, a um apoio adequado ao rendimento, a fim de assegurar uma integração duradoura no mercado de trabalho, prevenir a exclusão a longo prazo, promover a igualdade de género e apoiar um equilíbrio sustentável entre a vida profissional e a vida familiar;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Considerando que os dados do Tribunal de Contas Europeu indicam que políticas da juventude bem financiadas, inclusivas e baseadas em direitos — incluindo a Garantia para a Juventude reforçada — contribuem positivamente para melhorar o acesso dos jovens ao emprego, à educação e à formação de qualidade;</w:t>
            </w:r>
            <w:r>
              <w:t xml:space="preserve"> </w:t>
            </w:r>
            <w:r>
              <w:rPr>
                <w:b/>
                <w:i/>
              </w:rPr>
              <w:t>que um acompanhamento mais rigoroso, a recolha de dados desagregados e avaliações de impacto são essenciais para captar plenamente os seus resultados, em particular no que diz respeito aos grupos vulneráveis e marginalizados;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Considerando que existem quase tantos modelos de execução da Garantia para a Juventude quantos os Estados-Membros;</w:t>
            </w:r>
            <w:r>
              <w:t xml:space="preserve"> </w:t>
            </w:r>
            <w:r>
              <w:rPr>
                <w:b/>
                <w:i/>
              </w:rPr>
              <w:t>que as disposições institucionais para a sua aplicação vão desde a integração da Garantia para a Juventude nos sistemas nacionais existentes até à criação de um modelo nacional separado;</w:t>
            </w:r>
            <w:r>
              <w:t xml:space="preserve"> </w:t>
            </w:r>
            <w:r>
              <w:rPr>
                <w:b/>
                <w:i/>
              </w:rPr>
              <w:t>que os mecanismos de governação também variam entre modelos centralizados coordenados a nível nacional e modelos totalmente descentralizados a nível local;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Martine Kemp, Regina Doherty, Liesbet Sommen, Niels Geuking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Considerando que a Recomendação do Conselho, de 16 de junho de 2022, relativa a uma abordagem europeia das microcredenciais reconhece as microcredenciais como um instrumento fundamental para percursos de aprendizagem flexíveis, inclusivos e específicos, que permitem às pessoas adquirir, atualizar e certificar as suas competências de forma modular, em particular em resposta às necessidades do mercado de trabalho e às transições ecológica e digital;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Considerando que o investimento nos jovens através da Garantia para a Juventude reforçada constitui um investimento no futuro da União, reforçando a coesão social e a equidade e solidariedade intergeracionais, reduzindo a pobreza e a exclusão social e contribuindo para uma mão de obra resiliente e uma economia competitiva;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Lara Magoni, Elena Donazzan, Marlena Maląg, Mariateresa Vivaldini, Francesco Torselli, Chiara Gemma,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Considerando que a eficácia da Garantia para a Juventude reforçada depende da utilização transparente e eficiente dos fundos nacionais e da UE, bem como de sistemas sólidos de acompanhamento e avaliação capazes de medir os resultados a longo prazo em matéria de emprego para os jovens beneficiários;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Considerando que o desemprego dos jovens e o trabalho precário estão diretamente ligados às desigualdades estruturais, à austeridade, à desregulamentação dos mercados de trabalho e ao subfinanciamento dos serviços públicos;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Considerando que uma clara maioria de Estados-Membros depende de uma estratégia de prioridade ao emprego, enquanto outros dão prioridade a uma abordagem centrada na formação;</w:t>
            </w:r>
            <w:r>
              <w:t xml:space="preserve"> </w:t>
            </w:r>
            <w:r>
              <w:rPr>
                <w:b/>
                <w:i/>
              </w:rPr>
              <w:t>que, em 2024, 35,2 % das saídas positivas e atempadas da fase preparatória da Garantia para a Juventude conduziram ao emprego, 6,5 % à educação, 2,5 % a estágios e 1,6 % a aprendizagens</w:t>
            </w:r>
            <w:r>
              <w:rPr>
                <w:b/>
                <w:i/>
                <w:vertAlign w:val="superscript"/>
              </w:rPr>
              <w:t>17-A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17-A</w:t>
            </w:r>
            <w:r>
              <w:t xml:space="preserve"> </w:t>
            </w:r>
            <w:r>
              <w:rPr>
                <w:b/>
                <w:i/>
              </w:rPr>
              <w:t>Comissão Europeia, Direção-Geral do Emprego, dos Assuntos Sociais &amp; Inclusão, Tabela de dados sobre os indicadores diretos da Garantia para a Juventude, fevereiro de 2026.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Aodhán Ó Ríordáin, Estelle Ceulemans, Vilija Blinkevičiūtė, Idoia Mendia, Romana Jerković, Alicia Homs Ginel, Gabriele Bischoff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Considerando que a Eurofound estima que a desvinculação dos jovens e a não integração dos jovens NEET no mercado de trabalho custam à União quase 100 mil milhões de EUR por ano</w:t>
            </w:r>
            <w:r>
              <w:rPr>
                <w:b/>
                <w:i/>
                <w:vertAlign w:val="superscript"/>
              </w:rPr>
              <w:t>1-A</w:t>
            </w:r>
            <w:r>
              <w:rPr>
                <w:b/>
                <w:i/>
              </w:rPr>
              <w:t>, salientando o imperativo económico e social urgente de assegurar o reforço eficaz da Garantia para a Juventude;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(2025), «Employment and Social Developments in Europe» [Evolução do emprego e da situação social na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Considerando que o FSE+ tem sido o principal instrumento de financiamento da Garantia para a Juventude reforçada para o período de 2021-2027;</w:t>
            </w:r>
            <w:r>
              <w:t xml:space="preserve"> </w:t>
            </w:r>
            <w:r>
              <w:rPr>
                <w:b/>
                <w:i/>
              </w:rPr>
              <w:t>que as autoridades de gestão têm de melhorar as suas capacidades de absorção, especialmente nas zonas remotas;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Considerando que uma grande percentagem de jovens trabalha em empregos temporários, mal remunerados e precários, sem plenos direitos laborais e sociais;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Considerando que os jovens são cada vez mais obrigados a demonstrar flexibilidade e mobilidade geográfica na sua educação, formação e carreira profissional;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Considerando que os regimes de garantia para a juventude não podem substituir o direito a um emprego estável por direitos plenos, nem legalizar a proliferação do trabalho não remunerado ou mal remunerado através de programas de «estágio» e de «formação»;</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Considerando que os NEET inativos e vulneráveis são, na maioria das vezes, excluídos das iniciativas da Garantia para a Juventude, uma vez que beneficia principalmente os jovens mais próximos do mercado de trabalho — um fenómeno também designado por «efeito de seleção» —, conduzindo a uma sobrevalorização do impacto real da Garantia para a Juventude na população NEET global;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Considerando que a competitividade da União depende igualmente das competências da sua mão de obra e da sua capacidade para ativar a população jovem em idade ativa, a fim de fazer face à escassez de mão de obra e de competências;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Considerando que o acesso a habitação adequada, de qualidade e a preços acessíveis é uma condição prévia para o êxito da participação na educação, nos programas de aprendizagem, nos estágios e no emprego;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Hristo Petrov, Irena Joveva, Martin Hojsík, Elisabetta Gualmini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Considerando que subsistem obstáculos institucionais e estruturais à operacionalização da Garantia para a Juventude e à sua aplicação prática nos Estados-Membros e a nível local, tais como obstáculos à partilha de dados entre serviços, o desfasamento entre a oferta de educação e formação e o mercado de trabalho, bem como as desvantagens socioeconómicas enfrentadas pelos grupos vulneráveis;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Considerando que a eficácia da Garantia para a Juventude deve ser medida não só pela entrada imediata dos jovens no mercado de trabalho, na educação ou na formação, mas também pela qualidade, sustentabilidade e perspetivas de carreira a longo prazo das oportunidades que daí decorrerem;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Gordan Bosanac</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Considerando que os jovens de minorias étnicas, raciais ou religiosas são mais propensos a encontrar-se em situação de desfasamento entre as suas competências e o emprego;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Niels Geuking, Maravillas Abadía Jover,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Considerando que a política de juventude deve ser vista não só como uma prioridade social, mas também como um investimento estratégico no capital humano, na competitividade e na resiliência económica a longo prazo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Considerando que os jovens NEET, os progenitores jovens, em particular as famílias monoparentais, e os jovens vulneráveis, estão expostos a um risco mais elevado de sofrimento psicológico e exclusão a longo prazo do mercado de trabalho;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B-G.</w:t>
            </w:r>
            <w:r>
              <w:tab/>
            </w:r>
            <w:r>
              <w:rPr>
                <w:b/>
                <w:i/>
              </w:rPr>
              <w:t>Considerando que a saúde mental e o bem-estar são essenciais para a participação no mercado de trabalho e podem ser reforçados através de medidas psicossociais preventivas e precoces no âmbito da ativação, sem afetar a responsabilidade dos Estados-Membros pelos cuidados de saúde;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Niels Geuking, Romana Tomc, Miriam Lexmann, Liesbet Sommen, Sérgio Humberto, Martine Kemp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B-H.</w:t>
            </w:r>
            <w:r>
              <w:tab/>
            </w:r>
            <w:r>
              <w:rPr>
                <w:b/>
                <w:i/>
              </w:rPr>
              <w:t>Considerando que a automatização e a IA estão a reconfigurar os mercados de trabalho, correndo o risco de exclusão dos jovens sem competências básicas em IA;</w:t>
            </w:r>
            <w:r>
              <w:t xml:space="preserve"> </w:t>
            </w:r>
            <w:r>
              <w:rPr>
                <w:b/>
                <w:i/>
              </w:rPr>
              <w:t>que a Garantia para a Juventude deve abordar esta questão de forma proativa, a fim de assegurar a empregabilidade dos jovens;</w:t>
            </w:r>
            <w:r>
              <w:t xml:space="preserve"> </w:t>
            </w:r>
            <w:r>
              <w:rPr>
                <w:b/>
                <w:i/>
              </w:rPr>
              <w:t>que a IA pode ajudar a superar os obstáculos — de aprendizagem — através de tecnologias de apoio, se os jovens adquirirem literacia digital precoce e competências básicas em 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Niels Geuking, Romana Tomc, Liesbet Sommen,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B-I.</w:t>
            </w:r>
            <w:r>
              <w:tab/>
            </w:r>
            <w:r>
              <w:rPr>
                <w:b/>
                <w:i/>
              </w:rPr>
              <w:t>Considerando que a Garantia para a Juventude se baseia num princípio de obrigação mútua, segundo o qual os jovens têm não só o direito a uma oferta de elevada qualidade, mas também o dever de participar ativamente e de aceitar oportunidades razoáveis de emprego, formação ou educação;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Niels Geuking, Romana Tomc, Liesbet Sommen, Maravillas Abadía Jover, Sérgio Humberto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Considerando B-J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B-J.</w:t>
            </w:r>
            <w:r>
              <w:tab/>
            </w:r>
            <w:r>
              <w:rPr>
                <w:b/>
                <w:i/>
              </w:rPr>
              <w:t>Considerando que os Estados-Membros devem, por conseguinte, assegurar que, em caso de recusa repetida e injustificada de ofertas razoáveis, possam ser aplicadas medidas adequadas, em conformidade com a legislação nacional, para evitar a passividade e promover a responsabilidade pessoal dos jovens;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787.791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44</w:t>
    </w:r>
    <w:r>
      <w:fldChar w:fldCharType="end"/>
    </w:r>
    <w:r>
      <w:tab/>
    </w:r>
    <w:r>
      <w:rPr>
        <w:rStyle w:val="HideTWBExt"/>
      </w:rPr>
      <w:t>&lt;PathFdR&gt;</w:t>
    </w:r>
    <w:r>
      <w:t>AM\1342335PT.docx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AM\1342335PT.docx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44</w:t>
    </w:r>
    <w:r>
      <w:fldChar w:fldCharType="end"/>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AM\1342335PT.docx</w:t>
    </w:r>
    <w:r>
      <w:rPr>
        <w:rStyle w:val="HideTWBExt"/>
      </w:rPr>
      <w:t>&lt;/PathFdR&gt;</w:t>
    </w:r>
    <w:r>
      <w:tab/>
    </w:r>
    <w:r>
      <w:tab/>
    </w:r>
    <w:r>
      <w:t>PE</w:t>
    </w:r>
    <w:r>
      <w:rPr>
        <w:rStyle w:val="HideTWBExt"/>
      </w:rPr>
      <w:t>&lt;NoPE&gt;</w:t>
    </w:r>
    <w:r>
      <w:t>787.791</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44</Pages>
  <Words>7441</Words>
  <Characters>43124</Characters>
  <Application>Microsoft Office Word</Application>
  <DocSecurity>0</DocSecurity>
  <Lines>1</Lines>
  <Paragraphs>732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1342335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507685</vt:lpwstr>
  </property>
  <property fmtid="{D5CDD505-2E9C-101B-9397-08002B2CF9AE}" pid="7" name="dmxml.render.traceId">
    <vt:lpwstr>6a16990a1254a567266266d8b3c8f174</vt:lpwstr>
  </property>
  <property fmtid="{D5CDD505-2E9C-101B-9397-08002B2CF9AE}" pid="8" name="FooterPath">
    <vt:lpwstr>AM\1342335PT.docx</vt:lpwstr>
  </property>
  <property fmtid="{D5CDD505-2E9C-101B-9397-08002B2CF9AE}" pid="9" name="PE Number">
    <vt:lpwstr>787.791</vt:lpwstr>
  </property>
  <property fmtid="{D5CDD505-2E9C-101B-9397-08002B2CF9AE}" pid="10" name="UID">
    <vt:lpwstr>eu.europa.europarl-DIN1-2026-0000110653_01.00-pt-01.00_text-xml</vt:lpwstr>
  </property>
</Properties>
</file>