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Comisia pentru ocuparea forței de muncă și afaceri sociale</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Punerea în aplicare a recomandării Consiliului privind „O punte către locuri de muncă – consolidarea Garanției pentru tineret” și de înlocuire a Recomandării Consiliului din 22 aprilie 2013 privind înființarea unei garanții pentru tineret</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obiectivele de politică socială stabilite la articolele 151 și 153 din TFUE, coroborate cu articolul 3 din Regulamentul (CE) nr. 883/2004 privind securitatea și protecția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având în vedere Pilonul european al drepturilor sociale, proclamat și semnat de Consiliu, Parlament și Comisie la 17 noiembrie 2017, în special principiile 1, 3 și 4,</w:t>
            </w:r>
          </w:p>
        </w:tc>
        <w:tc>
          <w:tcPr>
            <w:tcW w:w="4876" w:type="dxa"/>
            <w:tcBorders>
              <w:top w:val="nil"/>
              <w:left w:val="nil"/>
              <w:bottom w:val="nil"/>
              <w:right w:val="nil"/>
            </w:tcBorders>
          </w:tcPr>
          <w:p>
            <w:pPr>
              <w:pStyle w:val="Normal6a"/>
            </w:pPr>
            <w:r>
              <w:rPr>
                <w:b/>
                <w:i/>
              </w:rPr>
              <w:t>–</w:t>
            </w:r>
            <w:r>
              <w:tab/>
            </w:r>
            <w:r>
              <w:t xml:space="preserve">având în vedere Pilonul european al drepturilor sociale, proclamat și semnat de Consiliu, Parlament și Comisie la 17 noiembrie 2017, în special principiile 1, 3 și 4, </w:t>
            </w:r>
            <w:r>
              <w:rPr>
                <w:b/>
                <w:i/>
              </w:rPr>
              <w:t>și obiectivul său de a reduce proporția de tineri NEET la 9 % în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având în vedere Pilonul european al drepturilor sociale, proclamat și semnat de Consiliu, Parlament și Comisie la 17 noiembrie 2017, în special principiile 1, 3 și 4,</w:t>
            </w:r>
          </w:p>
        </w:tc>
        <w:tc>
          <w:tcPr>
            <w:tcW w:w="4876" w:type="dxa"/>
            <w:tcBorders>
              <w:top w:val="nil"/>
              <w:left w:val="nil"/>
              <w:bottom w:val="nil"/>
              <w:right w:val="nil"/>
            </w:tcBorders>
          </w:tcPr>
          <w:p>
            <w:pPr>
              <w:pStyle w:val="Normal6a"/>
            </w:pPr>
            <w:r>
              <w:rPr>
                <w:b/>
                <w:i/>
              </w:rPr>
              <w:t>–</w:t>
            </w:r>
            <w:r>
              <w:tab/>
            </w:r>
            <w:r>
              <w:t xml:space="preserve">având în vedere Pilonul european al drepturilor sociale, proclamat și semnat de Consiliu, Parlament și Comisie la 17 noiembrie 2017, în special principiile 1, 3 și 4, </w:t>
            </w:r>
            <w:r>
              <w:rPr>
                <w:b/>
                <w:i/>
              </w:rPr>
              <w:t>și obiectivul său de a reduce proporția de tineri NEET la 9 % în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articolele 7 și 17 din Carta socială europeană revizuită,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Concluziile Consiliului privind rolul activităților pentru tineret în sprijinirea dezvoltării în rândul tinerilor a deprinderilor de viață esențiale care le facilitează tranziția cu succes către vârsta adultă, cetățenia activă și viața profesională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JO C 189, 15.6.2017, p. 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punerea în aplicare a Strategiei UE pentru tineret (2019-2021) (2021/C 504 I/02)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JO C 504I, 14.12.2021, p.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Europene din 20 ianuarie 2026 intitulată „O Uniune a egalității:</w:t>
            </w:r>
            <w:r>
              <w:t xml:space="preserve"> </w:t>
            </w:r>
            <w:r>
              <w:rPr>
                <w:b/>
                <w:i/>
              </w:rPr>
              <w:t>Strategia UE de combatere a rasismului 2026-2030”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COM(2026)0012.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FRA intitulat „Being Black in the EU – Experiences of people of African descent” (Ce înseamnă să fii persoană de culoare în UE – Experiențe ale persoanelor de origine africană)</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https://fra.europa.eu/ro/publication/2023/being-black-eu.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FRA intitulat „Being Muslim in the EU – Experiences of Muslims” (Ce înseamnă să fii musulman în UE – Experiențe ale musulmanilor)</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https://fra.europa.eu/ro/publication/2024/being-muslim-eu.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mesajele-cheie transmise de Comisia pentru ocuparea forței de muncă (EMCO), aprobate de Consiliu în formațiunea EPSCO în 2016, 2018, 2019, 2021, 2023, 2025 și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10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obiectivele de dezvoltare durabilă (ODD) ale Organizației Națiunilor Unite, în special obiectivul 8, adoptat de liderii mondiali în septembrie 2015 și aprobat de Consiliu,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Carta socială europeană, în special articolele 7 și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Agenda 2030 pentru obiectivele de dezvoltare durabilă, în special obiectivul nr. 8 „Promovarea creșterii economice susținute, favorabile incluziunii și durabile, a ocupării depline și productive a forței de muncă și a muncii decente pentru toți”,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Recomandarea Consiliului din 9 martie 2026 privind capitalul uman în Uniunea Europeană</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avizul Comitetului European al Regiunilor din 5 februarie 2021 intitulat „Sprijinirea ocupării forței de muncă în rândul tinerilor:</w:t>
            </w:r>
            <w:r>
              <w:t xml:space="preserve"> </w:t>
            </w:r>
            <w:r>
              <w:rPr>
                <w:b/>
                <w:i/>
              </w:rPr>
              <w:t>O punte către locuri de muncă pentru generația viitoare și consolidarea Garanției pentru tineret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JO C 106, 26.3.2021, p.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avizul Comitetului Economic și Social European din 29 octombrie 2020 intitulat „Consolidarea Garanției pentru tineret”,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Eurofound din 2024 intitulat „Când devin adulți: tinerii în lumea post-pandemie”</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(Când devin adulți: tinerii în lumea post-pandemie), Oficiul pentru Publicații al Uniunii Europene,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17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Eurofound din 2024 intitulat „Tinerii din Balcanii de Vest”</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(Tinerii din Balcanii de Vest), Oficiul pentru Publicații al Uniunii Europene,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17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publicația CEDEFOP din 2023 intitulată „Orientări europene pentru validarea învățării non-formale și informale”</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Orientări europene privind validarea învățării non-formale și informale.</w:t>
            </w:r>
            <w:r>
              <w:t xml:space="preserve"> </w:t>
            </w:r>
            <w:r>
              <w:rPr>
                <w:b/>
                <w:i/>
              </w:rPr>
              <w:t>Luxemburg:</w:t>
            </w:r>
            <w:r>
              <w:t xml:space="preserve"> </w:t>
            </w:r>
            <w:r>
              <w:rPr>
                <w:b/>
                <w:i/>
              </w:rPr>
              <w:t>Oficiul pentru Publicații.</w:t>
            </w:r>
            <w:r>
              <w:t xml:space="preserve"> </w:t>
            </w:r>
            <w:r>
              <w:rPr>
                <w:b/>
                <w:i/>
              </w:rPr>
              <w:t>Seria de referință Cedefop;</w:t>
            </w:r>
            <w:r>
              <w:t xml:space="preserve"> </w:t>
            </w:r>
            <w:r>
              <w:rPr>
                <w:b/>
                <w:i/>
              </w:rPr>
              <w:t>Nr.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17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publicația Fundației Europene de Formare din 2025 intitulată „Activități de sensibilizare a tinerilor care nu sunt încadrați profesional și nu urmează niciun program educațional sau de formare:</w:t>
            </w:r>
            <w:r>
              <w:t xml:space="preserve"> </w:t>
            </w:r>
            <w:r>
              <w:rPr>
                <w:b/>
                <w:i/>
              </w:rPr>
              <w:t>Un manual practic de informare”</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Fundația Europeană de Formare (2025), Activități de sensibilizare a tinerilor care nu sunt încadrați profesional și nu urmează niciun program educațional sau de formare:</w:t>
            </w:r>
            <w:r>
              <w:t xml:space="preserve"> </w:t>
            </w:r>
            <w:r>
              <w:rPr>
                <w:b/>
                <w:i/>
              </w:rPr>
              <w:t>Un manual practic de informare, Torino, Italia.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17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publicația CEDEFOP din 2026 intitulată „Un cadru de referință al UE pentru orientarea pe tot parcursul vieții: 18 orientări pentru elaborarea de politici și sisteme”</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Un cadru de referință al UE pentru orientarea pe tot parcursul vieții.</w:t>
            </w:r>
            <w:r>
              <w:t xml:space="preserve"> </w:t>
            </w:r>
            <w:r>
              <w:rPr>
                <w:b/>
                <w:i/>
              </w:rPr>
              <w:t>18 orientări pentru elaborarea de politici și sisteme.</w:t>
            </w:r>
            <w:r>
              <w:t xml:space="preserve"> </w:t>
            </w:r>
            <w:r>
              <w:rPr>
                <w:b/>
                <w:i/>
              </w:rPr>
              <w:t>Seria de referință Cedefop, 125;</w:t>
            </w:r>
            <w:r>
              <w:t xml:space="preserve"> </w:t>
            </w:r>
            <w:r>
              <w:rPr>
                <w:b/>
                <w:i/>
              </w:rPr>
              <w:t>Oficiul pentru Publicații al Uniunii Europene.</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având în vedere evaluarea punerii în aplicare la nivel european din 18 decembrie 2025 intitulată „The implementation of the reinforced Youth Guarantee – Trends in EU Member States, impact, EU funding and governance” (Punerea în aplicare a Garanției pentru tineret consolidate – Tendințe în statele membre ale UE, impact, finanțare din partea UE și guvernanță), publicată de Serviciul de Cercetare al Parlamentului European,</w:t>
            </w:r>
          </w:p>
        </w:tc>
        <w:tc>
          <w:tcPr>
            <w:tcW w:w="4876" w:type="dxa"/>
            <w:tcBorders>
              <w:top w:val="nil"/>
              <w:left w:val="nil"/>
              <w:bottom w:val="nil"/>
              <w:right w:val="nil"/>
            </w:tcBorders>
          </w:tcPr>
          <w:p>
            <w:pPr>
              <w:pStyle w:val="Normal6a"/>
            </w:pPr>
            <w:r>
              <w:rPr>
                <w:b/>
                <w:i/>
              </w:rPr>
              <w:t>–</w:t>
            </w:r>
            <w:r>
              <w:tab/>
            </w:r>
            <w:r>
              <w:t>având în vedere evaluarea punerii în aplicare la nivel european din 18 decembrie 2025 intitulată „The implementation of the reinforced Youth Guarantee – Trends in EU Member States, impact, EU funding and governance” (Punerea în aplicare a Garanției pentru tineret consolidate – Tendințe în statele membre ale UE, impact, finanțare din partea UE și guvernanță), publicată de Serviciul de Cercetare al Parlamentului European</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https://www.europarl.europa.eu/thinktank/ro/document/EPRS_STU(2025)774714.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18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studiul publicat de Comitetul European al Regiunilor în iunie 2022 intitulat „The local implementation of the Reinforced Youth Guarantee” (Punerea în aplicare la nivel local a Garanției pentru tineret consolidate),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18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documentul de poziție al Forumului European de Tineret din 13 martie 2025 intitulat „Garanția pentru tineret: cum pot fi sprijiniți tinerii să-și găsească calea”,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Parlamentului European din 21 noiembrie 2023 referitoare la reducerea inegalităților și promovarea incluziunii sociale în perioade de criză pentru copii și familiile acestora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https://eur-lex.europa.eu/eli/C/2024/4211/oj/rou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17 februarie 2022 referitoare la capacitarea tineretului european:</w:t>
            </w:r>
            <w:r>
              <w:t xml:space="preserve"> </w:t>
            </w:r>
            <w:r>
              <w:rPr>
                <w:b/>
                <w:i/>
              </w:rPr>
              <w:t>ocuparea forței de muncă și redresarea socială după pandemie</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JO C 342, 6.9.2022, p. 265.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19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11 martie 2025 referitoare la Fondul social european Plus după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JO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19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27 noiembrie 2025 referitoare la Strategia UE după 2024 privind drepturile persoanelor cu dizabilități,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Garanția pentru tineret consolidată este un angajament asumat de </w:t>
            </w:r>
            <w:r>
              <w:rPr>
                <w:b/>
                <w:i/>
              </w:rPr>
              <w:t>toate</w:t>
            </w:r>
            <w:r>
              <w:t xml:space="preserve"> statele membre </w:t>
            </w:r>
            <w:r>
              <w:rPr>
                <w:b/>
                <w:i/>
              </w:rPr>
              <w:t>pentru ca toți</w:t>
            </w:r>
            <w:r>
              <w:t xml:space="preserve"> tinerii cu vârsta sub 30 de ani </w:t>
            </w:r>
            <w:r>
              <w:rPr>
                <w:b/>
                <w:i/>
              </w:rPr>
              <w:t>să beneficieze de o ofertă de angajare</w:t>
            </w:r>
            <w:r>
              <w:t xml:space="preserve"> de calitate, </w:t>
            </w:r>
            <w:r>
              <w:rPr>
                <w:b/>
                <w:i/>
              </w:rPr>
              <w:t>de o opțiune de continuare a studiilor, de intrare în</w:t>
            </w:r>
            <w:r>
              <w:t xml:space="preserve"> ucenicie sau </w:t>
            </w:r>
            <w:r>
              <w:rPr>
                <w:b/>
                <w:i/>
              </w:rPr>
              <w:t>de efectuare a unui</w:t>
            </w:r>
            <w:r>
              <w:t xml:space="preserve"> stagiu</w:t>
            </w:r>
            <w:r>
              <w:rPr>
                <w:b/>
                <w:i/>
              </w:rPr>
              <w:t>, într-un interval</w:t>
            </w:r>
            <w:r>
              <w:t xml:space="preserve"> de patru luni de la </w:t>
            </w:r>
            <w:r>
              <w:rPr>
                <w:b/>
                <w:i/>
              </w:rPr>
              <w:t>momentul în care devin șomeri</w:t>
            </w:r>
            <w:r>
              <w:t xml:space="preserve"> sau de la </w:t>
            </w:r>
            <w:r>
              <w:rPr>
                <w:b/>
                <w:i/>
              </w:rPr>
              <w:t>cel în care nu mai urmează o formă de învățământ</w:t>
            </w:r>
            <w:r>
              <w:t>;</w:t>
            </w:r>
          </w:p>
        </w:tc>
        <w:tc>
          <w:tcPr>
            <w:tcW w:w="4876" w:type="dxa"/>
            <w:tcBorders>
              <w:top w:val="nil"/>
              <w:left w:val="nil"/>
              <w:bottom w:val="nil"/>
              <w:right w:val="nil"/>
            </w:tcBorders>
          </w:tcPr>
          <w:p>
            <w:pPr>
              <w:pStyle w:val="Normal6a"/>
            </w:pPr>
            <w:r>
              <w:t>A.</w:t>
            </w:r>
            <w:r>
              <w:tab/>
            </w:r>
            <w:r>
              <w:t xml:space="preserve">întrucât Garanția pentru tineret consolidată este un angajament asumat de statele membre </w:t>
            </w:r>
            <w:r>
              <w:rPr>
                <w:b/>
                <w:i/>
              </w:rPr>
              <w:t>față de</w:t>
            </w:r>
            <w:r>
              <w:t xml:space="preserve"> tinerii </w:t>
            </w:r>
            <w:r>
              <w:rPr>
                <w:b/>
                <w:i/>
              </w:rPr>
              <w:t>cetățeni</w:t>
            </w:r>
            <w:r>
              <w:t xml:space="preserve"> cu vârsta sub 30 de ani </w:t>
            </w:r>
            <w:r>
              <w:rPr>
                <w:b/>
                <w:i/>
              </w:rPr>
              <w:t>de a le oferi un loc de muncă</w:t>
            </w:r>
            <w:r>
              <w:t xml:space="preserve"> de calitate, </w:t>
            </w:r>
            <w:r>
              <w:rPr>
                <w:b/>
                <w:i/>
              </w:rPr>
              <w:t>o educație continuă, o</w:t>
            </w:r>
            <w:r>
              <w:t xml:space="preserve"> ucenicie sau </w:t>
            </w:r>
            <w:r>
              <w:rPr>
                <w:b/>
                <w:i/>
              </w:rPr>
              <w:t>un</w:t>
            </w:r>
            <w:r>
              <w:t xml:space="preserve"> stagiu </w:t>
            </w:r>
            <w:r>
              <w:rPr>
                <w:b/>
                <w:i/>
              </w:rPr>
              <w:t>în termen</w:t>
            </w:r>
            <w:r>
              <w:t xml:space="preserve"> de patru luni de la </w:t>
            </w:r>
            <w:r>
              <w:rPr>
                <w:b/>
                <w:i/>
              </w:rPr>
              <w:t>intrarea în șomaj</w:t>
            </w:r>
            <w:r>
              <w:t xml:space="preserve"> sau de la </w:t>
            </w:r>
            <w:r>
              <w:rPr>
                <w:b/>
                <w:i/>
              </w:rPr>
              <w:t>finalizarea studiilor, întrucât acest angajament s-a confruntat cu realitățile de pe teren și se dovedește a fi o iluzie birocratică, peste jumătate dintre tinerii din UE așteptând încă o ofertă după acest termen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Garanția pentru tineret consolidată este un angajament asumat de toate statele membre pentru ca toți tinerii cu vârsta sub 30 de ani să beneficieze de o ofertă de angajare de calitate, de o opțiune de continuare a studiilor, de intrare în ucenicie sau de efectuare a unui stagiu, într-un interval de patru luni de la momentul în care devin șomeri sau de la cel în care nu mai urmează o formă de învățământ;</w:t>
            </w:r>
          </w:p>
        </w:tc>
        <w:tc>
          <w:tcPr>
            <w:tcW w:w="4876" w:type="dxa"/>
            <w:tcBorders>
              <w:top w:val="nil"/>
              <w:left w:val="nil"/>
              <w:bottom w:val="nil"/>
              <w:right w:val="nil"/>
            </w:tcBorders>
          </w:tcPr>
          <w:p>
            <w:pPr>
              <w:pStyle w:val="Normal6a"/>
            </w:pPr>
            <w:r>
              <w:t>A.</w:t>
            </w:r>
            <w:r>
              <w:tab/>
            </w:r>
            <w:r>
              <w:t xml:space="preserve">întrucât Garanția pentru tineret consolidată este un angajament asumat de toate statele membre pentru ca toți tinerii cu vârsta sub 30 de ani să beneficieze de o ofertă de angajare de calitate, de o opțiune de continuare a studiilor, de intrare în ucenicie sau de efectuare a unui stagiu, într-un interval de patru luni de la momentul în care devin șomeri sau de la cel în care nu mai urmează o formă de învățământ; </w:t>
            </w:r>
            <w:r>
              <w:rPr>
                <w:b/>
                <w:i/>
              </w:rPr>
              <w:t>întrucât, de la înființarea sa în 2013, aproximativ 60 de milioane de tineri europeni au aplicat în cadrul Garanției pentru tineret;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Garanția pentru tineret consolidată este un angajament asumat de toate statele membre pentru ca toți tinerii cu vârsta sub 30 de ani să beneficieze de o ofertă de angajare de calitate, de o opțiune de continuare a studiilor, de intrare în ucenicie sau de efectuare a unui stagiu, într-un interval de patru luni de la momentul în care devin șomeri sau de la cel în care nu mai urmează o formă de învățământ;</w:t>
            </w:r>
          </w:p>
        </w:tc>
        <w:tc>
          <w:tcPr>
            <w:tcW w:w="4876" w:type="dxa"/>
            <w:tcBorders>
              <w:top w:val="nil"/>
              <w:left w:val="nil"/>
              <w:bottom w:val="nil"/>
              <w:right w:val="nil"/>
            </w:tcBorders>
          </w:tcPr>
          <w:p>
            <w:pPr>
              <w:pStyle w:val="Normal6a"/>
            </w:pPr>
            <w:r>
              <w:t>A.</w:t>
            </w:r>
            <w:r>
              <w:tab/>
            </w:r>
            <w:r>
              <w:t xml:space="preserve">întrucât Garanția pentru tineret </w:t>
            </w:r>
            <w:r>
              <w:rPr>
                <w:b/>
                <w:i/>
              </w:rPr>
              <w:t>a fost instituită în 2013 și</w:t>
            </w:r>
            <w:r>
              <w:t xml:space="preserve"> consolidată </w:t>
            </w:r>
            <w:r>
              <w:rPr>
                <w:b/>
                <w:i/>
              </w:rPr>
              <w:t>în 2020;</w:t>
            </w:r>
            <w:r>
              <w:t xml:space="preserve"> </w:t>
            </w:r>
            <w:r>
              <w:rPr>
                <w:b/>
                <w:i/>
              </w:rPr>
              <w:t>întrucât</w:t>
            </w:r>
            <w:r>
              <w:t xml:space="preserve"> este un angajament asumat de toate statele membre pentru ca toți tinerii cu vârsta sub 30 de ani să beneficieze de o ofertă de angajare de calitate, de o opțiune de continuare a studiilor, de intrare în ucenicie sau de efectuare a unui stagiu, într-un interval de patru luni de la momentul în care devin șomeri sau de la cel în care nu mai urmează o formă de învățământ;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obiectivul Garanției pentru tineret consolidate este de a combate șomajul, inactivitatea și subocuparea în rândul tinerilor și de a sprijini integrarea sustenabilă a tinerilor în educație, formare și piața muncii de calitate;</w:t>
            </w:r>
            <w:r>
              <w:t xml:space="preserve"> </w:t>
            </w:r>
            <w:r>
              <w:rPr>
                <w:b/>
                <w:i/>
              </w:rPr>
              <w:t>întrucât obiectivele sale reflectă prioritățile politice comune ale Parlamentului European, ale Comisiei și ale statelor membre în actualul cadru financiar multianual (CFM), contribuind la obiectivul Uniunii de creștere economică sustenabilă și de creare de locuri de muncă de înaltă calitate, în conformitate cu Pilonul european al drepturilor sociale;</w:t>
            </w:r>
            <w:r>
              <w:t xml:space="preserve"> </w:t>
            </w:r>
            <w:r>
              <w:rPr>
                <w:b/>
                <w:i/>
              </w:rPr>
              <w:t>întrucât problemele persistente și noile provocări în evoluție rapidă la integrarea tinerilor pe piața muncii impun ca aceste priorități să fie menținute și după perioada de programare actuală;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statele membre și-au menținut, în general, un angajament politic ferm față de punerea în aplicare a Garanției pentru tineret și a planurilor lor naționale de punere în aplicare;</w:t>
            </w:r>
            <w:r>
              <w:t xml:space="preserve"> </w:t>
            </w:r>
            <w:r>
              <w:rPr>
                <w:b/>
                <w:i/>
              </w:rPr>
              <w:t>întrucât s-au depus eforturi deosebite pentru a consolida capacitățile de sprijin pentru tinerii NEET și exercițiile de învățare reciprocă prin reuniuni ale coordonatorilor naționali la nivelul UE sau în afara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cercetările Eurofound subliniază că populația de tineri NEET este foarte eterogenă și constă în subgrupuri distincte, fiecare confruntându-se cu bariere și nevoi structurale unice care împiedică integrarea lor cu succes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conceperea și punerea în aplicare a unor astfel de măsuri ar trebui să respecte pe deplin principiul subsidiarității și competențele statelor membre în domeniul politicilor în materie de educație, de formare și de ocupare a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ponderea tinerilor NEET din UE și-a reluat tendința descendentă după perioada post-pandemie;</w:t>
            </w:r>
            <w:r>
              <w:t xml:space="preserve"> </w:t>
            </w:r>
            <w:r>
              <w:rPr>
                <w:b/>
                <w:i/>
              </w:rPr>
              <w:t>întrucât Planul de acțiune privind Pilonul european al drepturilor sociale include obiectivul de reducere a ratei NEET la 9 % în rândul persoanelor cu vârste cuprinse între 15 și 29 de ani până în 2030;</w:t>
            </w:r>
            <w:r>
              <w:t xml:space="preserve"> </w:t>
            </w:r>
            <w:r>
              <w:rPr>
                <w:b/>
                <w:i/>
              </w:rPr>
              <w:t>întrucât acest obiectiv este pe cale de a fi atins, în pofida disparităților semnificative dintre statele membre și regiuni</w:t>
            </w:r>
            <w:r>
              <w:rPr>
                <w:b/>
                <w:i/>
                <w:vertAlign w:val="superscript"/>
              </w:rPr>
              <w:t>11a</w:t>
            </w:r>
            <w:r>
              <w:rPr>
                <w:b/>
                <w:i/>
              </w:rPr>
              <w:t>, și întrucât atingerea acestui obiectiv ar lăsa în continuare un număr semnificativ de tineri în situații precare;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tinerii care nu sunt încadrați profesional și nu urmează niciun program educațional sau de formare (NEET) constituie un grup eterogen de tineri, cu experiențe de viață diferite;</w:t>
            </w:r>
            <w:r>
              <w:t xml:space="preserve"> </w:t>
            </w:r>
            <w:r>
              <w:rPr>
                <w:b/>
                <w:i/>
              </w:rPr>
              <w:t>întrucât cercetările Eurofound</w:t>
            </w:r>
            <w:r>
              <w:rPr>
                <w:b/>
                <w:i/>
                <w:vertAlign w:val="superscript"/>
              </w:rPr>
              <w:t>1a</w:t>
            </w:r>
            <w:r>
              <w:t xml:space="preserve"> </w:t>
            </w:r>
            <w:r>
              <w:rPr>
                <w:b/>
                <w:i/>
              </w:rPr>
              <w:t>subliniază că populația de tineri NEET este foarte eterogenă și constă în subgrupuri distincte, fiecare confruntându-se cu bariere structurale unice care împiedică integrarea lor cu succes pe piața muncii, necesitând deci asistență personalizată, pe măsură, pentru nevoile proprii;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(O analiză a diversității tinerilor NEET), Oficiul pentru Publicații al Uniunii Europene, Luxemburg,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întrucât punerea în aplicare și îmbunătățirea Garanției pentru tineret consolidate trebuie să acorde o atenție deosebită tinerilor care nu sunt încadrați profesional și nu urmează niciun program educațional sau de formare aflați în situații vulnerabile și persoanelor celor mai îndepărtate de piața muncii, care sunt adesea greu accesibile;</w:t>
            </w:r>
            <w:r>
              <w:t xml:space="preserve"> </w:t>
            </w:r>
            <w:r>
              <w:rPr>
                <w:b/>
                <w:i/>
              </w:rPr>
              <w:t>întrucât printre acestea se numără femeile, persoanele care provin din medii etnice diverse, comunitățile de romi și nomazi, tinerii fără adăpost, tinerii care au părăsit centrele de îngrijire instituționalizată, persoanele LGBTQIA+, tinerii cu statut de migrant sau de refugiat, tinerii cu dizabilități, tinerii care se confruntă cu discriminarea pe motive de religie sau convingeri, tinerii care se confruntă cu boli cronice sau dependență, tinerii părinți, precum și tinerii care acționează ca îngrijitori informali;</w:t>
            </w:r>
            <w:r>
              <w:t xml:space="preserve"> </w:t>
            </w:r>
            <w:r>
              <w:rPr>
                <w:b/>
                <w:i/>
              </w:rPr>
              <w:t>întrucât trebuie să se facă o distincție clară între tinerii NEET care sunt excluși în mod involuntar de la educație, ocuparea unui loc de muncă sau formare și cei care sunt inactivi în mod voluntar;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întrucât există o disparitate de gen persistentă în rândul tinerilor NEET, rata NEET în rândul femeilor tinere depășind-o în mod constant pe cea a bărbaților tineri din UE</w:t>
            </w:r>
            <w:r>
              <w:rPr>
                <w:b/>
                <w:i/>
                <w:vertAlign w:val="superscript"/>
              </w:rPr>
              <w:t>12a</w:t>
            </w:r>
            <w:r>
              <w:rPr>
                <w:b/>
                <w:i/>
              </w:rPr>
              <w:t>;</w:t>
            </w:r>
            <w:r>
              <w:t xml:space="preserve"> </w:t>
            </w:r>
            <w:r>
              <w:rPr>
                <w:b/>
                <w:i/>
              </w:rPr>
              <w:t>întrucât această situație poate fi explicată parțial prin distribuția inegală a responsabilităților de îngrijire a copiilor și a normelor sociale;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https://www.eurofound.europa.eu/ro/surveys-and-data/data-catalogue/neet-rates-gender-15-29-age-group.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întrucât integrarea pe piața muncii a tinerilor care nu sunt încadrați profesional și nu urmează niciun program educațional sau de formare a devenit din ce în ce mai complexă, determinată de factori precum creșterea economiei la cerere și creșterea formelor precare și atipice de ocupare a forței de muncă, dezvoltarea inteligenței artificiale și a digitalizării, precum și criza costului vieții, inclusiv creșterea costurilor locuințelor;</w:t>
            </w:r>
            <w:r>
              <w:t xml:space="preserve"> </w:t>
            </w:r>
            <w:r>
              <w:rPr>
                <w:b/>
                <w:i/>
              </w:rPr>
              <w:t>întrucât aceste evoluții creează bariere structurale în calea ocupării sustenabile a forței de muncă și exacerbează inegalitățile care îi lasă în urmă pe tinerii NEET vulnerabili;</w:t>
            </w:r>
            <w:r>
              <w:t xml:space="preserve"> </w:t>
            </w:r>
            <w:r>
              <w:rPr>
                <w:b/>
                <w:i/>
              </w:rPr>
              <w:t>întrucât punerea în aplicare a Garanției pentru tineret consolidate trebuie reformată și întărită pentru a răspunde cum trebuie acestor provocări și pentru a acorda prioritate tinerilor NEET cu cel mai dificil acces la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întrucât romii sunt grupul cu cea mai ridicată rată NEET din UE, de 47 % pentru persoanele cu vârste cuprinse între 16 și 24 de ani, comparativ cu media UE de 9 % pentru aceeași grupă de vârstă</w:t>
            </w:r>
            <w:r>
              <w:rPr>
                <w:b/>
                <w:i/>
                <w:vertAlign w:val="superscript"/>
              </w:rPr>
              <w:t>13a</w:t>
            </w:r>
            <w:r>
              <w:rPr>
                <w:b/>
                <w:i/>
              </w:rPr>
              <w:t>;</w:t>
            </w:r>
            <w:r>
              <w:t xml:space="preserve"> </w:t>
            </w:r>
            <w:r>
              <w:rPr>
                <w:b/>
                <w:i/>
              </w:rPr>
              <w:t>întrucât niciunul dintre statele membre intervievate nu este aproape de atingerea obiectivelor stabilite în Cadrul strategic al UE pentru romi</w:t>
            </w:r>
            <w:r>
              <w:rPr>
                <w:b/>
                <w:i/>
                <w:vertAlign w:val="superscript"/>
              </w:rPr>
              <w:t>14a</w:t>
            </w:r>
            <w:r>
              <w:t xml:space="preserve"> </w:t>
            </w:r>
            <w:r>
              <w:rPr>
                <w:b/>
                <w:i/>
              </w:rPr>
              <w:t>și întrucât, fără o abordare specifică și strategică din partea statelor membre, UE riscă să expună o generație de tineri romi și nomazi riscului de excluziune de la educație, formare și de pe piața muncii;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(Drepturile romilor și ale nomazilor în 13 țări europene – Perspectivele sondajului privind romii din 2024), Agenția pentru Drepturi Fundamentale a Uniunii Europene (FRA), 2 octombrie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Comisia Europeană (7 octombrie 2020).</w:t>
            </w:r>
            <w:r>
              <w:t xml:space="preserve"> </w:t>
            </w:r>
            <w:r>
              <w:rPr>
                <w:b/>
                <w:i/>
              </w:rPr>
              <w:t>Cadrul strategic al UE pentru egalitatea, incluziunea și participarea romilor pentru perioada 2020-2030 [COM (2020)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întrucât tranziția de la educație la piața muncii a devenit mai lungă, mai puțin liniară și din ce în ce mai nesigură pentru tineri, mulți dintre aceștia trecând de la un loc de muncă la altul, de la șomaj la inactivitate sau fiind blocați în forme atipice de muncă;</w:t>
            </w:r>
            <w:r>
              <w:t xml:space="preserve"> </w:t>
            </w:r>
            <w:r>
              <w:rPr>
                <w:b/>
                <w:i/>
              </w:rPr>
              <w:t>întrucât Garanția pentru tineret consolidată nu s-a adaptat suficient la aceste căi fragmentate și continuă să se bazeze pe măsuri rigide, cu caracter excepțional;</w:t>
            </w:r>
            <w:r>
              <w:t xml:space="preserve"> </w:t>
            </w:r>
            <w:r>
              <w:rPr>
                <w:b/>
                <w:i/>
              </w:rPr>
              <w:t>întrucât integrarea efectivă pe piața muncii, în special pentru tinerii NEET vulnerabili, necesită un sprijin flexibil, personalizat și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întrucât, potrivit sondajului privind romii realizat de Agenția pentru Drepturi Fundamentale a Uniunii Europene, 2 021,19 % dintre femeile rome nu au frecventat niciodată școala, comparativ cu 14 % dintre bărbații romi, și doar 23 % dintre femeile rome rămân în sistemul de învățământ după vârsta de 16 ani, comparativ cu 32 % dintre bărbații romi</w:t>
            </w:r>
            <w:r>
              <w:rPr>
                <w:b/>
                <w:i/>
                <w:vertAlign w:val="superscript"/>
              </w:rPr>
              <w:t>15a</w:t>
            </w:r>
            <w:r>
              <w:rPr>
                <w:b/>
                <w:i/>
              </w:rPr>
              <w:t>;</w:t>
            </w:r>
            <w:r>
              <w:t xml:space="preserve"> </w:t>
            </w:r>
            <w:r>
              <w:rPr>
                <w:b/>
                <w:i/>
              </w:rPr>
              <w:t>întrucât datele defalcate în funcție de gen arată că, în medie, 61 % dintre tinerii romi și femeile nomade sunt NEET, comparativ cu 33 % dintre tinerii romi</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Consiliul Europei (2025).</w:t>
            </w:r>
            <w:r>
              <w:t xml:space="preserve"> </w:t>
            </w:r>
            <w:r>
              <w:rPr>
                <w:b/>
                <w:i/>
              </w:rPr>
              <w:t>Egalitatea femeilor și fetelor rome și nomade (Ref. 094724GBR).</w:t>
            </w:r>
            <w:r>
              <w:t xml:space="preserve"> </w:t>
            </w:r>
            <w:r>
              <w:rPr>
                <w:b/>
                <w:i/>
              </w:rPr>
              <w:t>Consiliul Europei. https://edoc.coe.int/en/roma-and-travellers/12078-equality-of-roma-and-traveller-women-and-girls.html;</w:t>
            </w:r>
            <w:r>
              <w:t xml:space="preserve"> </w:t>
            </w:r>
            <w:r>
              <w:rPr>
                <w:b/>
                <w:i/>
              </w:rPr>
              <w:t>Agenția pentru Drepturi Fundamentale a Uniunii Europene (2020).</w:t>
            </w:r>
            <w:r>
              <w:t xml:space="preserve"> </w:t>
            </w:r>
            <w:r>
              <w:rPr>
                <w:b/>
                <w:i/>
              </w:rPr>
              <w:t>Romi și nomazi din șase țări:</w:t>
            </w:r>
            <w:r>
              <w:t xml:space="preserve"> </w:t>
            </w:r>
            <w:r>
              <w:rPr>
                <w:b/>
                <w:i/>
              </w:rPr>
              <w:t>Sondajul privind romii și nomazii (Raportul FRA).</w:t>
            </w:r>
            <w:r>
              <w:t xml:space="preserve"> </w:t>
            </w:r>
            <w:r>
              <w:rPr>
                <w:b/>
                <w:i/>
              </w:rPr>
              <w:t>Oficiul pentru Publicații al Uniunii Europene.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Agenția pentru Drepturi Fundamentale a Uniunii Europene (2025).</w:t>
            </w:r>
            <w:r>
              <w:t xml:space="preserve"> </w:t>
            </w:r>
            <w:r>
              <w:rPr>
                <w:b/>
                <w:i/>
              </w:rPr>
              <w:t>„Rights of Roma and Travellers in 13 European countries – Perspectives from the Roma Survey 2024” (Drepturile romilor și ale nomazilor în 13 țări europene – Perspectivele sondajului privind romii din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întrucât tinerii sunt expuși în mod disproporționat la locuri de muncă prost plătite</w:t>
            </w:r>
            <w:r>
              <w:rPr>
                <w:b/>
                <w:i/>
                <w:vertAlign w:val="superscript"/>
              </w:rPr>
              <w:t>1a</w:t>
            </w:r>
            <w:r>
              <w:rPr>
                <w:b/>
                <w:i/>
              </w:rPr>
              <w:t>, precum și la forme precare și atipice de ocupare a forței de muncă, inclusiv contracte pe durată determinată, contracte cu zero ore de lucru și activități independente fictive</w:t>
            </w:r>
            <w:r>
              <w:rPr>
                <w:b/>
                <w:i/>
                <w:vertAlign w:val="superscript"/>
              </w:rPr>
              <w:t>1b</w:t>
            </w:r>
            <w:r>
              <w:rPr>
                <w:b/>
                <w:i/>
              </w:rPr>
              <w:t>;</w:t>
            </w:r>
            <w:r>
              <w:t xml:space="preserve"> </w:t>
            </w:r>
            <w:r>
              <w:rPr>
                <w:b/>
                <w:i/>
              </w:rPr>
              <w:t>întrucât, adesea, aceștia nu au acces la o protecție adecvată a locurilor de muncă și la prestații sociale;</w:t>
            </w:r>
            <w:r>
              <w:t xml:space="preserve"> </w:t>
            </w:r>
            <w:r>
              <w:rPr>
                <w:b/>
                <w:i/>
              </w:rPr>
              <w:t>întrucât tinerii sunt, de asemenea, expuși unui risc mai mare de disponibilizare din cauza automatizării;</w:t>
            </w:r>
            <w:r>
              <w:t xml:space="preserve"> </w:t>
            </w:r>
            <w:r>
              <w:rPr>
                <w:b/>
                <w:i/>
              </w:rPr>
              <w:t>întrucât astfel de condiții oferă o securitate financiară limitată și subminează căile de integrare sustenabilă pe piața muncii;</w:t>
            </w:r>
            <w:r>
              <w:t xml:space="preserve"> </w:t>
            </w:r>
            <w:r>
              <w:rPr>
                <w:b/>
                <w:i/>
              </w:rPr>
              <w:t>întrucât acest lucru afectează în special tinerii NEET vulnerabili, care sunt concentrați în mod disproporționat în locuri de muncă slab calificate și de slabă calitate;</w:t>
            </w:r>
            <w:r>
              <w:t xml:space="preserve"> </w:t>
            </w:r>
            <w:r>
              <w:rPr>
                <w:b/>
                <w:i/>
              </w:rPr>
              <w:t>întrucât Garanția pentru tineret consolidată trebuie să abordeze activ precaritatea și salariile mici și să se concentreze mai degrabă pe munca remunerată decât pe voluntariat;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„Proporția lucrătorilor slab remunerați din țările UE”,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„Tinerii pe piața forței de muncă – statistici”,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întrucât persoanele care părăsesc sistemul de îngrijire sunt un grup deosebit de expus riscului de a deveni tineri NEET, însă, din cauza datelor fiabile insuficiente, numărul lor la nivelul UE rămâne incert, la fel ca și măsurile de informare instituite pentru a le sprijini și oportunitățile de care dispun după părăsirea sistemului de îngrijire;</w:t>
            </w:r>
            <w:r>
              <w:t xml:space="preserve"> </w:t>
            </w:r>
            <w:r>
              <w:rPr>
                <w:b/>
                <w:i/>
              </w:rPr>
              <w:t>întrucât tinerii care părăsesc centrele de îngrijire instituționalizată se confruntă adesea cu tranziții bruște către independență, fără o continuitate educațională adecvată, fără o stabilitate a domiciliului sau orientare profesională, ceea ce le expune unui risc accentuat de șomaj, sărăcie și excluziune socială;</w:t>
            </w:r>
            <w:r>
              <w:t xml:space="preserve"> </w:t>
            </w:r>
            <w:r>
              <w:rPr>
                <w:b/>
                <w:i/>
              </w:rPr>
              <w:t>întrucât punerea în aplicare consolidată a Garanției pentru tineret ar putea trata aceste lacune în materie de tranziție prin mecanisme de sprijin adaptate;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întrucât subocuparea forței de muncă în rândul tinerilor este în creștere, numărul locurilor de muncă cu fracțiune de normă în rândul tinerilor fiind semnificativ mai mare decât cel al populației active în general</w:t>
            </w:r>
            <w:r>
              <w:rPr>
                <w:b/>
                <w:i/>
                <w:vertAlign w:val="superscript"/>
              </w:rPr>
              <w:t>1a</w:t>
            </w:r>
            <w:r>
              <w:rPr>
                <w:b/>
                <w:i/>
              </w:rPr>
              <w:t>;</w:t>
            </w:r>
            <w:r>
              <w:t xml:space="preserve"> </w:t>
            </w:r>
            <w:r>
              <w:rPr>
                <w:b/>
                <w:i/>
              </w:rPr>
              <w:t>întrucât această disparitate este și mai pronunțată în rândul femeilor tinere;</w:t>
            </w:r>
            <w:r>
              <w:t xml:space="preserve"> </w:t>
            </w:r>
            <w:r>
              <w:rPr>
                <w:b/>
                <w:i/>
              </w:rPr>
              <w:t>întrucât un procent ridicat de contracte de muncă cu fracțiune de normă sunt involuntare, reflectând un eșec structural al pieței muncii de a oferi oportunități adecvate cu normă întreagă;</w:t>
            </w:r>
            <w:r>
              <w:t xml:space="preserve"> </w:t>
            </w:r>
            <w:r>
              <w:rPr>
                <w:b/>
                <w:i/>
              </w:rPr>
              <w:t>întrucât munca involuntară cu fracțiune de normă subminează potențialul de câștig, evoluția în carieră, accesul la protecție socială și drepturile de pensie;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(Ocuparea forței de muncă cu fracțiune de normă și cu normă întreagă – statistici),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întrucât prejudecățile, stigmatizarea și stereotipurile persistente pot limita accesul la stagii și ucenicii al tinerilor care provin din medii de îngrijire instituționalizată, al tinerilor cu dizabilități fizice sau intelectuale și al tinerilor romi;</w:t>
            </w:r>
            <w:r>
              <w:t xml:space="preserve"> </w:t>
            </w:r>
            <w:r>
              <w:rPr>
                <w:b/>
                <w:i/>
              </w:rPr>
              <w:t>întrucât eliminarea acestor bariere și promovarea unor practici de recrutare incluzive sunt esențiale pentru a asigura accesul egal la primele experiențe profesionale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întrucât parcursurile tradiționale de la educație la ocuparea unui loc de muncă se erodează din cauza unui deficit structural de locuri de muncă de bază de calitate;</w:t>
            </w:r>
            <w:r>
              <w:t xml:space="preserve"> </w:t>
            </w:r>
            <w:r>
              <w:rPr>
                <w:b/>
                <w:i/>
              </w:rPr>
              <w:t>întrucât mulți tineri, deși au un nivel ridicat de educație și de calificare, întâmpină dificultăți în a-și transpune calificările în locuri de muncă stabile;</w:t>
            </w:r>
            <w:r>
              <w:t xml:space="preserve"> </w:t>
            </w:r>
            <w:r>
              <w:rPr>
                <w:b/>
                <w:i/>
              </w:rPr>
              <w:t>întrucât rata de ocupare a forței de muncă pentru proaspeții absolvenți este în scădere</w:t>
            </w:r>
            <w:r>
              <w:rPr>
                <w:b/>
                <w:i/>
                <w:vertAlign w:val="superscript"/>
              </w:rPr>
              <w:t>1a</w:t>
            </w:r>
            <w:r>
              <w:rPr>
                <w:b/>
                <w:i/>
              </w:rPr>
              <w:t>, iar numărul tinerilor cu ocupații mult sub nivelul lor de calificare este în creștere</w:t>
            </w:r>
            <w:r>
              <w:rPr>
                <w:b/>
                <w:i/>
                <w:vertAlign w:val="superscript"/>
              </w:rPr>
              <w:t>1b</w:t>
            </w:r>
            <w:r>
              <w:rPr>
                <w:b/>
                <w:i/>
              </w:rPr>
              <w:t>;</w:t>
            </w:r>
            <w:r>
              <w:t xml:space="preserve"> </w:t>
            </w:r>
            <w:r>
              <w:rPr>
                <w:b/>
                <w:i/>
              </w:rPr>
              <w:t>întrucât acest lucru creează un efect de strămutare care limitează și mai mult oportunitățile pentru tinerii NEET vulnerabili fără calificări;</w:t>
            </w:r>
            <w:r>
              <w:t xml:space="preserve"> </w:t>
            </w:r>
            <w:r>
              <w:rPr>
                <w:b/>
                <w:i/>
              </w:rPr>
              <w:t>întrucât barierele tot mai mari la integrarea tinerilor pe piața muncii subminează coeziunea socială și încrederea instituțională;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„Ratele de ocupare a forței de muncă ale proaspeților absolvenți”,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 (Tinerii – calificări, competențe și alinierea locurilor de muncă),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întrucât aproape unul din patru tineri din Uniune era expus riscului de sărăcie sau de excluziune socială în 2024, o rată cu 3.1 puncte procentuale mai mare decât cea a populației totale</w:t>
            </w:r>
            <w:r>
              <w:rPr>
                <w:b/>
                <w:i/>
                <w:vertAlign w:val="superscript"/>
              </w:rPr>
              <w:t>1a</w:t>
            </w:r>
            <w:r>
              <w:rPr>
                <w:b/>
                <w:i/>
              </w:rPr>
              <w:t>;</w:t>
            </w:r>
            <w:r>
              <w:t xml:space="preserve"> </w:t>
            </w:r>
            <w:r>
              <w:rPr>
                <w:b/>
                <w:i/>
              </w:rPr>
              <w:t>întrucât inegalitățile structurale, cum ar fi lipsurile materiale și dezavantajul social persistent, subminează capacitatea de a avea acces la piața muncii și de a trăi independent;</w:t>
            </w:r>
            <w:r>
              <w:t xml:space="preserve"> </w:t>
            </w:r>
            <w:r>
              <w:rPr>
                <w:b/>
                <w:i/>
              </w:rPr>
              <w:t>întrucât activarea ocupării forței de muncă nu poate fi realizată fără acces la condiții favorizante de bază, cum ar fi locuințele, transportul, îngrijirea copiilor și sprijinul pentru îngrijire;</w:t>
            </w:r>
            <w:r>
              <w:t xml:space="preserve"> </w:t>
            </w:r>
            <w:r>
              <w:rPr>
                <w:b/>
                <w:i/>
              </w:rPr>
              <w:t>întrucât integrarea sustenabilă pe piața muncii necesită o abordare holistică care să abordeze orice bariere care se întăresc;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(Tinerii – incluziunea socială),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Aj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întrucât este posibil ca tinerii NEET vulnerabili să nu dispună de o alfabetizare funcțională, de competențele numerice și competențele digitale necesare pentru a avea acces la educație, formare sau piața muncii de calitate;</w:t>
            </w:r>
            <w:r>
              <w:t xml:space="preserve"> </w:t>
            </w:r>
            <w:r>
              <w:rPr>
                <w:b/>
                <w:i/>
              </w:rPr>
              <w:t>întrucât Garanția pentru tineret consolidată pleacă adesea de la premisa că aceste competențe sunt de la sine înțelese, limitând astfel capacitatea tinerilor NEET vulnerabili de a accesa măsuri de ocupare a forței de muncă și de formare și de a beneficia de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Ak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întrucât performanțele tinerilor la citire, matematică și științe în întreaga Uniune sunt în scădere, iar cei care provin din medii socioeconomice defavorizate sunt de peste șase ori mai susceptibili de a obține rezultate slabe decât colegii lor</w:t>
            </w:r>
            <w:r>
              <w:rPr>
                <w:b/>
                <w:i/>
                <w:vertAlign w:val="superscript"/>
              </w:rPr>
              <w:t>1a</w:t>
            </w:r>
            <w:r>
              <w:rPr>
                <w:b/>
                <w:i/>
              </w:rPr>
              <w:t>;</w:t>
            </w:r>
            <w:r>
              <w:t xml:space="preserve"> </w:t>
            </w:r>
            <w:r>
              <w:rPr>
                <w:b/>
                <w:i/>
              </w:rPr>
              <w:t>întrucât Garanția pentru tineret consolidată trebuie să ia în considerare în mod activ aceste tendințe îngrijorătoare pentru a preveni adâncirea decalajelor sociale și pentru a asigura accesul egal la educație și la oportunități viitoare de angajare;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Comisia Europeană „Education and Training Monitor 2024” („Monitorul educației și formării”).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este </w:t>
            </w:r>
            <w:r>
              <w:rPr>
                <w:b/>
                <w:i/>
              </w:rPr>
              <w:t>dificil</w:t>
            </w:r>
            <w:r>
              <w:t xml:space="preserve"> să se stabilească o legătură cauzală directă între </w:t>
            </w:r>
            <w:r>
              <w:rPr>
                <w:b/>
                <w:i/>
              </w:rPr>
              <w:t>aplicarea</w:t>
            </w:r>
            <w:r>
              <w:t xml:space="preserve"> Garanției pentru tineret și rezultatele observate în reducerea </w:t>
            </w:r>
            <w:r>
              <w:rPr>
                <w:b/>
                <w:i/>
              </w:rPr>
              <w:t>numărului de tineri</w:t>
            </w:r>
            <w:r>
              <w:t xml:space="preserve"> NEET și a șomajului în rândul tinerilor,</w:t>
            </w:r>
          </w:p>
        </w:tc>
        <w:tc>
          <w:tcPr>
            <w:tcW w:w="4876" w:type="dxa"/>
            <w:tcBorders>
              <w:top w:val="nil"/>
              <w:left w:val="nil"/>
              <w:bottom w:val="nil"/>
              <w:right w:val="nil"/>
            </w:tcBorders>
          </w:tcPr>
          <w:p>
            <w:pPr>
              <w:pStyle w:val="Normal6a"/>
            </w:pPr>
            <w:r>
              <w:t>B.</w:t>
            </w:r>
            <w:r>
              <w:tab/>
            </w:r>
            <w:r>
              <w:t xml:space="preserve">întrucât este </w:t>
            </w:r>
            <w:r>
              <w:rPr>
                <w:b/>
                <w:i/>
              </w:rPr>
              <w:t>imposibil</w:t>
            </w:r>
            <w:r>
              <w:t xml:space="preserve"> să se stabilească o legătură cauzală directă între </w:t>
            </w:r>
            <w:r>
              <w:rPr>
                <w:b/>
                <w:i/>
              </w:rPr>
              <w:t>punerea în aplicare a</w:t>
            </w:r>
            <w:r>
              <w:t xml:space="preserve"> Garanției pentru tineret și rezultatele observate în </w:t>
            </w:r>
            <w:r>
              <w:rPr>
                <w:b/>
                <w:i/>
              </w:rPr>
              <w:t>ceea ce privește</w:t>
            </w:r>
            <w:r>
              <w:t xml:space="preserve"> reducerea </w:t>
            </w:r>
            <w:r>
              <w:rPr>
                <w:b/>
                <w:i/>
              </w:rPr>
              <w:t>ratei</w:t>
            </w:r>
            <w:r>
              <w:t xml:space="preserve"> NEET și a șomajului în rândul tinerilor, </w:t>
            </w:r>
            <w:r>
              <w:rPr>
                <w:b/>
                <w:i/>
              </w:rPr>
              <w:t>ceea ce demonstrează ineficacitatea structurală a ingineriei sociale europene;</w:t>
            </w:r>
            <w:r>
              <w:t xml:space="preserve"> </w:t>
            </w:r>
            <w:r>
              <w:rPr>
                <w:b/>
                <w:i/>
              </w:rPr>
              <w:t>întrucât locurile de muncă pentru tineri nu sunt create prin directive centralizate, ci, mai presus de toate, prin suveranitatea fiscală a statelor membre, o economie internă solidă și IMM-uri competitive;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este dificil să se stabilească o legătură cauzală directă între aplicarea Garanției pentru tineret și rezultatele observate în reducerea numărului de tineri NEET și a șomajului în rândul tinerilor,</w:t>
            </w:r>
          </w:p>
        </w:tc>
        <w:tc>
          <w:tcPr>
            <w:tcW w:w="4876" w:type="dxa"/>
            <w:tcBorders>
              <w:top w:val="nil"/>
              <w:left w:val="nil"/>
              <w:bottom w:val="nil"/>
              <w:right w:val="nil"/>
            </w:tcBorders>
          </w:tcPr>
          <w:p>
            <w:pPr>
              <w:pStyle w:val="Normal6a"/>
            </w:pPr>
            <w:r>
              <w:t>B.</w:t>
            </w:r>
            <w:r>
              <w:tab/>
            </w:r>
            <w:r>
              <w:t xml:space="preserve">întrucât este dificil să se stabilească o legătură cauzală directă între aplicarea Garanției pentru tineret și rezultatele observate în reducerea numărului de tineri NEET și a șomajului în rândul tinerilor, </w:t>
            </w:r>
            <w:r>
              <w:rPr>
                <w:b/>
                <w:i/>
              </w:rPr>
              <w:t>acest lucru evidențiază necesitatea unui accent mai puternic pe rezultatele concrete pentru tineri, a unei mai bune alinieri la nevoile pieței naționale a forței de muncă și a unor sinergii mai strânse cu programele Uniunii, cum ar fi Fondul social european Plus (FSE+), Erasmus+ și Corpul european de solidaritate;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este dificil să se stabilească o legătură cauzală directă între aplicarea Garanției pentru tineret și rezultatele observate în reducerea numărului de tineri NEET și a șomajului în rândul tinerilor,</w:t>
            </w:r>
          </w:p>
        </w:tc>
        <w:tc>
          <w:tcPr>
            <w:tcW w:w="4876" w:type="dxa"/>
            <w:tcBorders>
              <w:top w:val="nil"/>
              <w:left w:val="nil"/>
              <w:bottom w:val="nil"/>
              <w:right w:val="nil"/>
            </w:tcBorders>
          </w:tcPr>
          <w:p>
            <w:pPr>
              <w:pStyle w:val="Normal6a"/>
            </w:pPr>
            <w:r>
              <w:t>B.</w:t>
            </w:r>
            <w:r>
              <w:tab/>
            </w:r>
            <w:r>
              <w:t xml:space="preserve">întrucât este dificil să se stabilească o legătură cauzală directă între aplicarea Garanției pentru tineret și rezultatele observate în reducerea numărului de tineri NEET și a șomajului în rândul tinerilor, </w:t>
            </w:r>
            <w:r>
              <w:rPr>
                <w:b/>
                <w:i/>
              </w:rPr>
              <w:t>mai ales dacă mecanismele din Garanția pentru tineret consolidată sunt integrate în politici naționale mai ample,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datele europene arată că parcursurile de educație și formare profesională inițială (IVET) care prezintă o componentă solidă de învățare la locul de muncă sunt cel mai eficient instrument pentru a împiedica tinerii să devină tineri NEET, în măsura în care tinerii care finalizează parcursuri de învățare la locul de muncă de cel puțin șapte luni înregistrează rate de ocupare a forței de muncă de până la 90,5 %, față de 69,7 % pentru cei care nu au acces la aceste parcursuri;</w:t>
            </w:r>
            <w:r>
              <w:t xml:space="preserve"> </w:t>
            </w:r>
            <w:r>
              <w:rPr>
                <w:b/>
                <w:i/>
              </w:rPr>
              <w:t>întrucât sistemele duale de educație și formare profesională utilizează o alternanță structurată între școală și muncă pentru a genera competențe comercializabile și pentru a reduce simțitor decalajul dintre cererea și oferta de locuri de muncă;</w:t>
            </w:r>
            <w:r>
              <w:t xml:space="preserve"> </w:t>
            </w:r>
            <w:r>
              <w:rPr>
                <w:b/>
                <w:i/>
              </w:rPr>
              <w:t>întrucât statele membre care au sisteme duale solide de educație și formare profesională au cele mai scăzute rate ale șomajului în rândul tinerilor din 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punerea în aplicare efectivă a Garanției pentru tineret consolidate necesită măsuri specifice, integrate și sensibile la nevoile familiilor, în special pentru tinerii părinți, care să combine sprijinul pentru ocuparea forței de muncă cu accesul la educație și formare, servicii de îngrijire a copiilor, servicii sociale și, după caz, un sprijin adecvat pentru venit, pentru a asigura integrarea durabilă pe piața muncii, a preveni excluziunea pe termen lung, a promova egalitatea de gen și a sprijini echilibrul sustenabil dintre viața profesională și cea privată;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dovezi furnizate de Curtea de Conturi Europeană arată că politicile de tineret bine finanțate, incluzive și bazate pe drepturi – inclusiv Garanția pentru tineret – contribuie la îmbunătățirea accesului tinerilor la o ofertă de angajare, educație și formare de calitate;</w:t>
            </w:r>
            <w:r>
              <w:t xml:space="preserve"> </w:t>
            </w:r>
            <w:r>
              <w:rPr>
                <w:b/>
                <w:i/>
              </w:rPr>
              <w:t>întrucât intensificarea monitorizării, colectarea de date dezagregate și evaluarea impactului sunt esențiale pentru a reflecta pe deplin rezultatele Garanției pentru tineret, în special pentru grupurile vulnerabile și marginalizate;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există aproape la fel de multe modele de punere în aplicare a Garanției pentru tineret ca și statele membre;</w:t>
            </w:r>
            <w:r>
              <w:t xml:space="preserve"> </w:t>
            </w:r>
            <w:r>
              <w:rPr>
                <w:b/>
                <w:i/>
              </w:rPr>
              <w:t>întrucât mecanismele instituționale pentru punerea sa în aplicare variază de la integrarea Garanției pentru tineret în sistemele naționale existente până la crearea unui model național separat;</w:t>
            </w:r>
            <w:r>
              <w:t xml:space="preserve"> </w:t>
            </w:r>
            <w:r>
              <w:rPr>
                <w:b/>
                <w:i/>
              </w:rPr>
              <w:t>întrucât mecanismele de guvernanță variază, de asemenea, între modelele centralizate coordonate la nivel național și modelele complet descentralizate la nivel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Recomandarea Consiliului din 16 iunie 2022 privind o abordare europeană a microcertificatelor recunoaște microcertificatele ca fiind un instrument-cheie pentru parcursuri de învățare flexibile, incluzive și specifice, care le permit persoanelor să dobândească, să își actualizeze și să își certifice competențele într-un mod modular, în special ca răspuns la nevoile pieței muncii și la tranziția verde și cea digitală;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investițiile în tineri prin intermediul Garanției pentru tineret consolidate constituie o investiție în viitorul Uniunii, consolidând coeziunea socială și echitatea și solidaritatea între generații, reducând sărăcia și excluziunea socială și contribuind la o forță de muncă rezilientă și la o economie competitivă;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eficacitatea Garanției pentru tineret consolidate depinde de utilizarea transparentă și eficientă a fondurilor UE și naționale, precum și de sisteme solide de monitorizare și de evaluare, capabile să măsoare rezultatele pe termen lung în materie de ocupare a forței de muncă pentru beneficiarii tineri;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șomajul în rândul tinerilor și locurile de muncă precare sunt direct legate de inegalitățile structurale, austeritate, dereglementarea piețelor muncii și subfinanțarea serviciilor publice;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o majoritate clară a statelor membre se bazează pe o strategie care acordă prioritate ocupării forței de muncă, în timp ce altele acordă prioritate unei abordări axate pe formare;</w:t>
            </w:r>
            <w:r>
              <w:t xml:space="preserve"> </w:t>
            </w:r>
            <w:r>
              <w:rPr>
                <w:b/>
                <w:i/>
              </w:rPr>
              <w:t>întrucât, în 2024, 35,2 % dintre ieșirile pozitive și în timp util din etapa pregătitoare a Garanției pentru tineret au condus la ocuparea forței de muncă, 6,5 % la educație, 2,5 % la stagii și 1,6 % la ucenicie</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Comisia Europeană, Direcția Generală Ocuparea Forței de Muncă, Afaceri Sociale și Incluziune, „Data table on Youth Guarantee Direct indicators” (Tabelul de date privind indicatorii direcți ai Garanției pentru tineret), februarie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Eurofound estimează că dezangajarea tinerilor și neintegrarea tinerilor care nu sunt încadrați profesional și nu urmează niciun program educațional sau de formare pe piața muncii costă Uniunea aproape 100 de miliarde EUR pe an</w:t>
            </w:r>
            <w:r>
              <w:rPr>
                <w:b/>
                <w:i/>
                <w:vertAlign w:val="superscript"/>
              </w:rPr>
              <w:t>1a</w:t>
            </w:r>
            <w:r>
              <w:rPr>
                <w:b/>
                <w:i/>
              </w:rPr>
              <w:t>, subliniind imperativul economic și social urgent de a asigura consolidarea efectivă a Garanției pentru tineret consolidate;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(Ocuparea forței de muncă și evoluții sociale în Europa),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FSE+ este principalul instrument pentru finanțarea Garanției pentru tineret în perioada 2021-2027;</w:t>
            </w:r>
            <w:r>
              <w:t xml:space="preserve"> </w:t>
            </w:r>
            <w:r>
              <w:rPr>
                <w:b/>
                <w:i/>
              </w:rPr>
              <w:t>întrucât autoritățile de management trebuie să își îmbunătățească capacitățile de absorbție, în special în zonele îndepărtate;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o mare parte a tinerilor lucrează în locuri de muncă temporare, prost plătite și precare, fără drepturi sociale și de muncă depline;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tinerilor li se cere din ce în ce mai mult să dea dovadă de flexibilitate și mobilitate geografică în educație, formare și cariere profesionale;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sistemele de garanție pentru tineret nu pot înlocui dreptul la un loc de muncă stabil cu drepturi depline și nici nu pot legaliza proliferarea muncii neremunerate sau prost plătite prin programe de „stagiu” și „formare”;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tinerii NEET inactivi și vulnerabili sunt cel mai frecvent ignorați de inițiativele din cadrul Garanției pentru tineret, deoarece aceasta se adresează în principal tinerilor cu acces mai ușor la piața forței de muncă, fenomen numit și „efect de selectare a elitei”, ceea ce supraestimează impactul real al Garanției pentru tineret asupra populației NEET generale;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competitivitatea Uniunii depinde, de asemenea, de competențele forței sale de muncă și de capacitatea sa de a activa populația tânără în vârstă de muncă pentru a aborda deficitul de forță de muncă și de competențe;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accesul la locuințe la prețuri accesibile, adecvate și de calitate este o condiție prealabilă pentru participarea cu succes la educație, ucenicii, stagii și ocuparea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întrucât există în continuare bariere instituționale și structurale în calea operaționalizării Garanției pentru tineret și a punerii sale în practică în statele membre și la nivel local, cum ar fi obstacolele în calea schimbului de date între servicii, neconcordanța dintre oferta de educație și formare și piața muncii, precum și dezavantajele socioeconomice cu care se confruntă grupurile vulnerabile;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întrucât eficacitatea Garanției pentru tineret ar trebui măsurată nu numai prin intrarea imediată a tinerilor pe piața muncii, în educație sau în formare, ci și prin calitatea, sustenabilitatea și perspectivele de carieră pe termen lung ale unor astfel de oportunități;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întrucât în special tinerii care aparțin minorităților etnice, rasiale sau religioase s-ar putea confrunta cu o situație de neconcordanță între competențele lor și oferta lor de angajare;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întrucât politica pentru tineret ar trebui recunoscută nu numai ca o prioritate socială, ci și ca o investiție strategică în capitalul uman, în competitivitatea și reziliența economică pe termen lung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întrucât tinerii NEET, părinții tineri, în special părinții singuri și tinerii vulnerabili se confruntă cu un risc mai mare de suferință psihologică și de excluziune pe termen lung de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întrucât sănătatea mintală și bunăstarea sunt esențiale pentru participarea pe piața muncii și pot fi consolidate prin măsuri psihosociale preventive timpurii ca parte a activării, fără a afecta responsabilitatea statelor membre în ceea ce privește asistența medicală;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întrucât automatizarea și IA remodelează piețele muncii, riscând excluziunea tinerilor fără competențe de bază în domeniul IA;</w:t>
            </w:r>
            <w:r>
              <w:t xml:space="preserve"> </w:t>
            </w:r>
            <w:r>
              <w:rPr>
                <w:b/>
                <w:i/>
              </w:rPr>
              <w:t>întrucât Garanția pentru tineret trebuie să abordeze în mod proactiv acest aspect pentru a le asigura capacitatea de inserție profesională;</w:t>
            </w:r>
            <w:r>
              <w:t xml:space="preserve"> </w:t>
            </w:r>
            <w:r>
              <w:rPr>
                <w:b/>
                <w:i/>
              </w:rPr>
              <w:t>întrucât IA poate contribui la depășirea barierelor (de învățare) (prin tehnologiile automatizate de asistare), dacă tinerii dobândesc competențe digitale timpurii și competențe de bază în domeniul 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întrucât Garanția pentru tineret se bazează pe principiul obligației reciproce, conform căruia tinerii au nu numai dreptul la o ofertă de înaltă calitate, ci și datoria de a participa activ și de a accepta oportunități rezonabile de angajare, formare sau educație;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Bj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întrucât statele membre trebuie, prin urmare, să se asigure că, în caz de refuz repetat și nejustificat al unor oferte rezonabile, se pot aplica măsuri adecvate, în conformitate cu legislația națională, pentru a preveni pasivitatea și a promova responsabilitatea personală a tinerilor;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AM\1342335RO.docx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AM\1342335RO.docx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AM\1342335RO.docx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7243</Words>
  <Characters>43945</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508713</vt:lpwstr>
  </property>
  <property fmtid="{D5CDD505-2E9C-101B-9397-08002B2CF9AE}" pid="7" name="dmxml.render.traceId">
    <vt:lpwstr>6a16fff23b153f2831025a7cf89d5978</vt:lpwstr>
  </property>
  <property fmtid="{D5CDD505-2E9C-101B-9397-08002B2CF9AE}" pid="8" name="FooterPath">
    <vt:lpwstr>AM\1342335RO.docx</vt:lpwstr>
  </property>
  <property fmtid="{D5CDD505-2E9C-101B-9397-08002B2CF9AE}" pid="9" name="PE Number">
    <vt:lpwstr>787.791</vt:lpwstr>
  </property>
  <property fmtid="{D5CDD505-2E9C-101B-9397-08002B2CF9AE}" pid="10" name="UID">
    <vt:lpwstr>eu.europa.europarl-DIN1-2026-0000110653_01.00-ro-01.00_text-xml</vt:lpwstr>
  </property>
</Properties>
</file>