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Európsky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Výbor pre zamestnanosť a sociálne veci</w:t>
      </w:r>
      <w:r>
        <w:rPr>
          <w:rStyle w:val="HideTWBExt"/>
        </w:rPr>
        <w:t>&lt;/Commission&gt;</w:t>
      </w:r>
    </w:p>
    <w:p>
      <w:pPr>
        <w:pStyle w:val="LineBottom"/>
      </w:pPr>
      <w:r>
        <w:t xml:space="preserve"> </w:t>
      </w:r>
    </w:p>
    <w:p>
      <w:pPr>
        <w:pStyle w:val="CoverReference"/>
      </w:pPr>
      <w:r>
        <w:rPr>
          <w:rStyle w:val="HideTWBExt"/>
        </w:rPr>
        <w:t>&lt;RefProc&gt;</w:t>
      </w:r>
      <w:r>
        <w:t>2025/2184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{23/04/2026}</w:t>
      </w:r>
      <w:r>
        <w:t>23.4.2026</w:t>
      </w:r>
      <w:r>
        <w:rPr>
          <w:rStyle w:val="HideTWBExt"/>
        </w:rPr>
        <w:t>&lt;/Date&gt;</w:t>
      </w:r>
    </w:p>
    <w:p>
      <w:pPr>
        <w:pStyle w:val="CoverDocType"/>
      </w:pPr>
      <w:r>
        <w:rPr>
          <w:rStyle w:val="HideTWBExt"/>
        </w:rPr>
        <w:t>&lt;TypeAM&gt;</w:t>
      </w:r>
      <w:r>
        <w:t>POZMEŇUJÚCE NÁVRHY</w:t>
      </w:r>
      <w:r>
        <w:rPr>
          <w:rStyle w:val="HideTWBExt"/>
        </w:rPr>
        <w:t>&lt;/TypeAM&gt;</w:t>
      </w:r>
    </w:p>
    <w:p>
      <w:pPr>
        <w:pStyle w:val="CoverDocType24a"/>
      </w:pPr>
      <w:r>
        <w:rPr>
          <w:rStyle w:val="HideTWBExt"/>
        </w:rPr>
        <w:t>&lt;RangeAM&gt;</w:t>
      </w:r>
      <w:r>
        <w:t>1</w:t>
      </w:r>
      <w:r>
        <w:t xml:space="preserve"> - </w:t>
      </w:r>
      <w:r>
        <w:t>80</w:t>
      </w:r>
      <w:r>
        <w:rPr>
          <w:rStyle w:val="HideTWBExt"/>
        </w:rPr>
        <w:t>&lt;/RangeAM&gt;</w:t>
      </w:r>
    </w:p>
    <w:p>
      <w:pPr>
        <w:pStyle w:val="CoverBold"/>
      </w:pPr>
      <w:r>
        <w:rPr>
          <w:rStyle w:val="HideTWBExt"/>
        </w:rPr>
        <w:t>&lt;TitreType&gt;</w:t>
      </w:r>
      <w:r>
        <w:t>Návrh správy</w:t>
      </w:r>
      <w:r>
        <w:rPr>
          <w:rStyle w:val="HideTWBExt"/>
        </w:rPr>
        <w:t>&lt;/TitreType&gt;</w:t>
      </w:r>
    </w:p>
    <w:p>
      <w:pPr>
        <w:pStyle w:val="CoverBold"/>
      </w:pPr>
      <w:r>
        <w:rPr>
          <w:rStyle w:val="HideTWBExt"/>
        </w:rPr>
        <w:t>&lt;Rapporteur&gt;</w:t>
      </w:r>
      <w:r>
        <w:t>Hristo Petrov</w:t>
      </w:r>
      <w:r>
        <w:rPr>
          <w:rStyle w:val="HideTWBExt"/>
        </w:rPr>
        <w:t>&lt;/Rapporteur&gt;</w:t>
      </w:r>
    </w:p>
    <w:p>
      <w:pPr>
        <w:pStyle w:val="CoverNormal24a"/>
      </w:pPr>
      <w:r>
        <w:rPr>
          <w:rStyle w:val="HideTWBExt"/>
        </w:rPr>
        <w:t>&lt;DocRefPE&gt;</w:t>
      </w:r>
      <w:r>
        <w:t>(PE785.214v01-00)</w:t>
      </w:r>
      <w:r>
        <w:rPr>
          <w:rStyle w:val="HideTWBExt"/>
        </w:rPr>
        <w:t>&lt;/DocRefPE&gt;</w:t>
      </w:r>
    </w:p>
    <w:p>
      <w:pPr>
        <w:pStyle w:val="CoverNormal"/>
      </w:pPr>
      <w:r>
        <w:rPr>
          <w:rStyle w:val="HideTWBExt"/>
        </w:rPr>
        <w:t>&lt;Titre&gt;</w:t>
      </w:r>
      <w:r>
        <w:t>Vykonávanie odporúčania Rady z 30. októbra 2020 o moste k pracovným miestam – posilnení záruky pre mladých ľudí, a ktorým sa nahrádza odporúčanie Rady z 22. apríla 2013 o zavedení záruky pre mladých ľudí</w:t>
      </w:r>
      <w:r>
        <w:rPr>
          <w:rStyle w:val="HideTWBExt"/>
        </w:rPr>
        <w:t>&lt;/Titre&gt;</w:t>
      </w:r>
    </w:p>
    <w:p>
      <w:pPr>
        <w:pStyle w:val="CoverNormal24a"/>
      </w:pPr>
      <w:r>
        <w:rPr>
          <w:rStyle w:val="HideTWBExt"/>
        </w:rPr>
        <w:t>&lt;DocRef&gt;</w:t>
      </w:r>
      <w:r>
        <w:t>(2025/2184(INI))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Pozmeňujúci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ciele sociálnej politiky stanovené v článkoch 151 a 153 ZFEÚ v spojení s článkom 3 nariadenia (ES) č. 883/2004 o sociálnom zabezpečení a dávkach,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so zreteľom na Európsky pilier sociálnych práv vyhlásený a podpísaný Radou, Parlamentom a Komisiou 17. novembra 2017, najmä na jeho zásady 1, 3 a 4,</w:t>
            </w:r>
          </w:p>
        </w:tc>
        <w:tc>
          <w:tcPr>
            <w:tcW w:w="4876" w:type="dxa"/>
            <w:tcBorders>
              <w:top w:val="nil"/>
              <w:left w:val="nil"/>
              <w:bottom w:val="nil"/>
              <w:right w:val="nil"/>
            </w:tcBorders>
          </w:tcPr>
          <w:p>
            <w:pPr>
              <w:pStyle w:val="Normal6a"/>
            </w:pPr>
            <w:r>
              <w:rPr>
                <w:b/>
                <w:i/>
              </w:rPr>
              <w:t>–</w:t>
            </w:r>
            <w:r>
              <w:tab/>
            </w:r>
            <w:r>
              <w:t xml:space="preserve">so zreteľom na Európsky pilier sociálnych práv vyhlásený a podpísaný Radou, Parlamentom a Komisiou 17. novembra 2017, najmä na jeho zásady 1, 3 a 4 </w:t>
            </w:r>
            <w:r>
              <w:rPr>
                <w:b/>
                <w:i/>
              </w:rPr>
              <w:t>a jeho cieľ znížiť mieru NEET do roku 2030 na 9 %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so zreteľom na Európsky pilier sociálnych práv vyhlásený a podpísaný Radou, Parlamentom a Komisiou 17. novembra 2017, najmä na jeho zásady 1, 3 a 4,</w:t>
            </w:r>
          </w:p>
        </w:tc>
        <w:tc>
          <w:tcPr>
            <w:tcW w:w="4876" w:type="dxa"/>
            <w:tcBorders>
              <w:top w:val="nil"/>
              <w:left w:val="nil"/>
              <w:bottom w:val="nil"/>
              <w:right w:val="nil"/>
            </w:tcBorders>
          </w:tcPr>
          <w:p>
            <w:pPr>
              <w:pStyle w:val="Normal6a"/>
            </w:pPr>
            <w:r>
              <w:rPr>
                <w:b/>
                <w:i/>
              </w:rPr>
              <w:t>–</w:t>
            </w:r>
            <w:r>
              <w:tab/>
            </w:r>
            <w:r>
              <w:t xml:space="preserve">so zreteľom na Európsky pilier sociálnych práv vyhlásený a podpísaný Radou, Parlamentom a Komisiou 17. novembra 2017, najmä na jeho zásady 1, 3 a 4 </w:t>
            </w:r>
            <w:r>
              <w:rPr>
                <w:b/>
                <w:i/>
              </w:rPr>
              <w:t>a jeho cieľ znížiť mieru NEET do roku 2030 na 9 %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5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články 7 a 17 revidovanej Európskej sociálnej charty,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6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závery Rady o úlohe práce s mládežou pri podpore mladých ľudí v rozvíjaní základných životných zručností uľahčujúcich ich úspešný prechod do dospelosti, aktívneho občianstva a pracovného života (2017/C 189/06)</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Ú. v. EÚ C 189, 15.6.2017, s. 30 – 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6 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vykonávanie stratégie EÚ pre mládež (2019 – 2021) (2021/C 504 1/02)</w:t>
            </w:r>
            <w:r>
              <w:rPr>
                <w:b/>
                <w:i/>
                <w:vertAlign w:val="superscript"/>
              </w:rPr>
              <w:t>2b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2b</w:t>
            </w:r>
            <w:r>
              <w:t xml:space="preserve"> </w:t>
            </w:r>
            <w:r>
              <w:rPr>
                <w:b/>
                <w:i/>
              </w:rPr>
              <w:t>Ú. v. EÚ C 504I, 14.12.2021, s. 10 – 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6 c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oznámenie Európskej komisie z 20. januára 2026 s názvom Únia rovnosti:</w:t>
            </w:r>
            <w:r>
              <w:t xml:space="preserve"> </w:t>
            </w:r>
            <w:r>
              <w:rPr>
                <w:b/>
                <w:i/>
              </w:rPr>
              <w:t>Stratégia proti rasizmu na roky 2026 – 2030 (COM(2026)0012)</w:t>
            </w:r>
            <w:r>
              <w:rPr>
                <w:b/>
                <w:i/>
                <w:vertAlign w:val="superscript"/>
              </w:rPr>
              <w:t>2c</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2c</w:t>
            </w:r>
            <w:r>
              <w:t xml:space="preserve"> </w:t>
            </w:r>
            <w:r>
              <w:rPr>
                <w:b/>
                <w:i/>
              </w:rPr>
              <w:t>COM(2026) 12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6 d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správu agentúry FRA s názvom Being Black in the EU – Experiences of people of African descent (Život s tmavou pleťou v EÚ – skúsenosti ľudí afrického pôvodu)</w:t>
            </w:r>
            <w:r>
              <w:rPr>
                <w:b/>
                <w:i/>
                <w:vertAlign w:val="superscript"/>
              </w:rPr>
              <w:t>2d</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2d</w:t>
            </w:r>
            <w:r>
              <w:t xml:space="preserve"> </w:t>
            </w:r>
            <w:r>
              <w:rPr>
                <w:b/>
                <w:i/>
              </w:rPr>
              <w:t>https://fra.europa.eu/sk/publication/2023/being-black-eu.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6 e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správu agentúry FRA s názvom Being Muslim in the EU – Experiences of Muslims (Byť moslimom v EÚ – skúsenosti moslimov)</w:t>
            </w:r>
            <w:r>
              <w:rPr>
                <w:b/>
                <w:i/>
                <w:vertAlign w:val="superscript"/>
              </w:rPr>
              <w:t>2e</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2e</w:t>
            </w:r>
            <w:r>
              <w:t xml:space="preserve"> </w:t>
            </w:r>
            <w:r>
              <w:rPr>
                <w:b/>
                <w:i/>
              </w:rPr>
              <w:t>https://fra.europa.eu/sk/publication/2024/being-muslim-eu.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9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kľúčové posolstvá Výboru pre zamestnanosť (EMCO), ktoré Rada v zložení EPSCO schválila v rokoch 2016, 2018, 2019, 2021, 2023, 2025 a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10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ciele Organizácie Spojených národov v oblasti udržateľného rozvoja, najmä na cieľ 8, ktoré prijali svetoví lídri v septembri 2015 a ktoré schválila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12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Európsku sociálnu chartu, najmä na jej články 7 a 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12 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Agendu 2030 a ciele udržateľného rozvoja, najmä na cieľ 8 – Podporovať stabilný, inkluzívny a udržateľný hospodársky rast, plnú a produktívnu zamestnanosť a dôstojnú prácu pre všetkých,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16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odporúčanie Rady z 9. marca 2026 týkajúce sa ľudského kapitálu v Európskej únii</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Ú. v. EÚ C, C/2026/1687.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16 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stanovisko Európskeho výboru regiónov z 5. februára 2021 s názvom Podpora zamestnanosti mladých ľudí:</w:t>
            </w:r>
            <w:r>
              <w:t xml:space="preserve"> </w:t>
            </w:r>
            <w:r>
              <w:rPr>
                <w:b/>
                <w:i/>
              </w:rPr>
              <w:t>most k pracovným miestam pre ďalšiu generáciu – posilnenie záruky pre mladých ľudí</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Ú. v. EÚ C 106, 26.3.2021, s. 7 – 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17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stanovisko Európskeho hospodárskeho a sociálneho výboru z 29. októbra 2020 s názvom Reinforcing the Youth Guarantee (Posilnenie záruky pre mladých ľudí),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17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správu nadácie Eurofound z roku 2024 s názvom Dospievanie: mladí ľudia vo svete po pandémii</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Eurofound (2024), Becoming adults:</w:t>
            </w:r>
            <w:r>
              <w:t xml:space="preserve"> </w:t>
            </w:r>
            <w:r>
              <w:rPr>
                <w:b/>
                <w:i/>
              </w:rPr>
              <w:t>Young people in a post-pandemic world, Úrad pre vydávanie publikácií Európskej únie, Luxemburg.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17 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správu nadácie Eurofound z roku 2024 s názvom Mladí ľudia na západnom Balkáne</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Eurofound (2024), Young people in the Western Balkans, Úrad pre vydávanie publikácií Európskej únie, Luxemburg.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17 c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publikáciu strediska Cedefop z roku 2023 s názvom Európske usmernenia pre potvrdzovanie neformálneho vzdelávania a informálneho učenia sa</w:t>
            </w:r>
            <w:r>
              <w:rPr>
                <w:b/>
                <w:i/>
                <w:vertAlign w:val="superscript"/>
              </w:rPr>
              <w:t>5a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Cedefop (2023).</w:t>
            </w:r>
            <w:r>
              <w:t xml:space="preserve"> </w:t>
            </w:r>
            <w:r>
              <w:rPr>
                <w:b/>
                <w:i/>
              </w:rPr>
              <w:t>European guidelines for validating non-formal and informal learning.</w:t>
            </w:r>
            <w:r>
              <w:t xml:space="preserve"> </w:t>
            </w:r>
            <w:r>
              <w:rPr>
                <w:b/>
                <w:i/>
              </w:rPr>
              <w:t>Luxemburg:</w:t>
            </w:r>
            <w:r>
              <w:t xml:space="preserve"> </w:t>
            </w:r>
            <w:r>
              <w:rPr>
                <w:b/>
                <w:i/>
              </w:rPr>
              <w:t>Úrad pre publikácie.</w:t>
            </w:r>
            <w:r>
              <w:t xml:space="preserve"> </w:t>
            </w:r>
            <w:r>
              <w:rPr>
                <w:b/>
                <w:i/>
              </w:rPr>
              <w:t>Referenčná séria Cedefop;</w:t>
            </w:r>
            <w:r>
              <w:t xml:space="preserve"> </w:t>
            </w:r>
            <w:r>
              <w:rPr>
                <w:b/>
                <w:i/>
              </w:rPr>
              <w:t>č. 124, http://data.europa.eu/doi/10.2801/389827.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17 d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publikáciu Európskej nadácie pre odborné vzdelávanie z roku 2025 s názvom Kontakt s mladými ľuďmi, ktorí nie sú zamestnaní, ani nie sú v procese vzdelávania alebo odbornej prípravy:</w:t>
            </w:r>
            <w:r>
              <w:t xml:space="preserve"> </w:t>
            </w:r>
            <w:r>
              <w:rPr>
                <w:b/>
                <w:i/>
              </w:rPr>
              <w:t>praktická príručka pre kontakt</w:t>
            </w:r>
            <w:r>
              <w:rPr>
                <w:b/>
                <w:i/>
                <w:vertAlign w:val="superscript"/>
              </w:rPr>
              <w:t>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Európska nadácia pre odborné vzdelávanie (2025), Outreach to Young People not in Employment, Education of Training:</w:t>
            </w:r>
            <w:r>
              <w:t xml:space="preserve"> </w:t>
            </w:r>
            <w:r>
              <w:rPr>
                <w:b/>
                <w:i/>
              </w:rPr>
              <w:t>A practical Manual for Outreach, Turín, Taliansko.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17 e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publikáciu strediska Cedefop z roku 2026 s názvom Referenčný rámec EÚ pre celoživotné poradenstvo: 18 usmernení pre rozvoj politiky a systémov</w:t>
            </w:r>
            <w:r>
              <w:rPr>
                <w:b/>
                <w:i/>
                <w:vertAlign w:val="superscript"/>
              </w:rPr>
              <w:t>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Cedefop (2026).</w:t>
            </w:r>
            <w:r>
              <w:t xml:space="preserve"> </w:t>
            </w:r>
            <w:r>
              <w:rPr>
                <w:b/>
                <w:i/>
              </w:rPr>
              <w:t>An EU reference framework for lifelong guidance:</w:t>
            </w:r>
            <w:r>
              <w:t xml:space="preserve"> </w:t>
            </w:r>
            <w:r>
              <w:rPr>
                <w:b/>
                <w:i/>
              </w:rPr>
              <w:t>18 guidelines for policy and systems development.</w:t>
            </w:r>
            <w:r>
              <w:t xml:space="preserve"> </w:t>
            </w:r>
            <w:r>
              <w:rPr>
                <w:b/>
                <w:i/>
              </w:rPr>
              <w:t>Referenčná séria Cedefop; č. 125.</w:t>
            </w:r>
            <w:r>
              <w:t xml:space="preserve"> </w:t>
            </w:r>
            <w:r>
              <w:rPr>
                <w:b/>
                <w:i/>
              </w:rPr>
              <w:t>Úrad pre vydávanie publikácií Európskej únie.</w:t>
            </w:r>
            <w:r>
              <w:t xml:space="preserve"> </w:t>
            </w:r>
            <w:r>
              <w:rPr>
                <w:b/>
                <w:i/>
              </w:rPr>
              <w:t>DOI:</w:t>
            </w:r>
            <w:r>
              <w:t xml:space="preserve"> </w:t>
            </w:r>
            <w:r>
              <w:rPr>
                <w:b/>
                <w:i/>
              </w:rPr>
              <w:t>10.2801/8255414.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so zreteľom na posúdenie vykonávania na európskej úrovni z 18. decembra 2025 s názvom The implementation of the reinforced Youth Guarantee – Trends in EU Member States, impact, EU funding and governance (Vykonávanie posilnenej záruky pre mladých ľudí – trendy v členských štátoch EÚ, vplyv, financovanie a riadenie zo strany EÚ), ktoré uverejnila Výskumná služba Európskeho parlamentu,</w:t>
            </w:r>
          </w:p>
        </w:tc>
        <w:tc>
          <w:tcPr>
            <w:tcW w:w="4876" w:type="dxa"/>
            <w:tcBorders>
              <w:top w:val="nil"/>
              <w:left w:val="nil"/>
              <w:bottom w:val="nil"/>
              <w:right w:val="nil"/>
            </w:tcBorders>
          </w:tcPr>
          <w:p>
            <w:pPr>
              <w:pStyle w:val="Normal6a"/>
            </w:pPr>
            <w:r>
              <w:rPr>
                <w:b/>
                <w:i/>
              </w:rPr>
              <w:t>–</w:t>
            </w:r>
            <w:r>
              <w:tab/>
            </w:r>
            <w:r>
              <w:t>so zreteľom na posúdenie vykonávania na európskej úrovni z 18. decembra 2025 s názvom The implementation of the reinforced Youth Guarantee – Trends in EU Member States, impact, EU funding and governance (Vykonávanie posilnenej záruky pre mladých ľudí – trendy v členských štátoch EÚ, vplyv, financovanie a riadenie zo strany EÚ), ktoré uverejnila Výskumná služba Európskeho parlamentu</w:t>
            </w:r>
            <w:r>
              <w:rPr>
                <w:b/>
                <w:i/>
                <w:vertAlign w:val="superscript"/>
              </w:rPr>
              <w:t>8a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8a</w:t>
            </w:r>
            <w:r>
              <w:t xml:space="preserve"> </w:t>
            </w:r>
            <w:r>
              <w:rPr>
                <w:b/>
                <w:i/>
              </w:rPr>
              <w:t>https://www.europarl.europa.eu/thinktank/sk/document/EPRS_STU(2025)774714.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18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štúdiu s názvom The local implementation of the Reinforced Youth Guarantee (Miestne vykonávanie posilnenej záruky pre mladých ľudí), ktorú Európsky výbor regiónov uverejnil v júni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18 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pozičný dokument Európskeho fóra mládeže z 13. marca 2025 s názvom Youth Guarantee: How to support young people finding a pathway (Záruka pre mladých ľudí: ako podporiť mladých ľudí pri hľadaní cesty),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19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uznesenie Európskeho parlamentu z 21. novembra 2023 s názvom Znižovanie nerovností a podpora sociálneho začlenenia detí a ich rodín v čase krízy</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https://eur-lex.europa.eu/eli/C/2024/4211/oj.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19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svoje uznesenie zo 17. februára 2022 o posilnení postavenia európskej mládeže:</w:t>
            </w:r>
            <w:r>
              <w:t xml:space="preserve"> </w:t>
            </w:r>
            <w:r>
              <w:rPr>
                <w:b/>
                <w:i/>
              </w:rPr>
              <w:t>zamestnanosť a sociálne zotavenie po pandémii</w:t>
            </w:r>
            <w:r>
              <w:rPr>
                <w:b/>
                <w:i/>
                <w:vertAlign w:val="superscript"/>
              </w:rPr>
              <w:t>9a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9a</w:t>
            </w:r>
            <w:r>
              <w:t xml:space="preserve"> </w:t>
            </w:r>
            <w:r>
              <w:rPr>
                <w:b/>
                <w:i/>
              </w:rPr>
              <w:t>Ú. v. EÚ C 342, 6.9.2022, s. 265 – 275.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19 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svoje uznesenie z 11. marca 2025 o Európskom sociálnom fonde plus po roku 2027</w:t>
            </w:r>
            <w:r>
              <w:rPr>
                <w:b/>
                <w:i/>
                <w:vertAlign w:val="superscript"/>
              </w:rPr>
              <w:t>10a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10a</w:t>
            </w:r>
            <w:r>
              <w:t xml:space="preserve"> </w:t>
            </w:r>
            <w:r>
              <w:rPr>
                <w:b/>
                <w:i/>
              </w:rPr>
              <w:t>Ú. v. EÚ C, C/2025/3146.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19 c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svoje uznesenie z 27. novembra 2025 o stratégii EÚ v oblasti práv osôb so zdravotným postihnutím na obdobie po roku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keďže posilnená záruka pre mladých ľudí predstavuje záväzok všetkých členských štátov voči mladým </w:t>
            </w:r>
            <w:r>
              <w:rPr>
                <w:b/>
                <w:i/>
              </w:rPr>
              <w:t>ľuďom</w:t>
            </w:r>
            <w:r>
              <w:t xml:space="preserve"> vo veku do 30 rokov </w:t>
            </w:r>
            <w:r>
              <w:rPr>
                <w:b/>
                <w:i/>
              </w:rPr>
              <w:t>ponúknuť im príležitosti</w:t>
            </w:r>
            <w:r>
              <w:t xml:space="preserve"> na kvalitné zamestnanie, ďalšie vzdelávanie, učňovskú prípravu alebo stáž do štyroch mesiacov od straty zamestnania alebo ukončenia vzdelávania;</w:t>
            </w:r>
          </w:p>
        </w:tc>
        <w:tc>
          <w:tcPr>
            <w:tcW w:w="4876" w:type="dxa"/>
            <w:tcBorders>
              <w:top w:val="nil"/>
              <w:left w:val="nil"/>
              <w:bottom w:val="nil"/>
              <w:right w:val="nil"/>
            </w:tcBorders>
          </w:tcPr>
          <w:p>
            <w:pPr>
              <w:pStyle w:val="Normal6a"/>
            </w:pPr>
            <w:r>
              <w:t>A.</w:t>
            </w:r>
            <w:r>
              <w:tab/>
            </w:r>
            <w:r>
              <w:t xml:space="preserve">keďže posilnená záruka pre mladých ľudí predstavuje záväzok všetkých členských štátov voči mladým </w:t>
            </w:r>
            <w:r>
              <w:rPr>
                <w:b/>
                <w:i/>
              </w:rPr>
              <w:t>občanom</w:t>
            </w:r>
            <w:r>
              <w:t xml:space="preserve"> vo veku do 30 rokov</w:t>
            </w:r>
            <w:r>
              <w:rPr>
                <w:b/>
                <w:i/>
              </w:rPr>
              <w:t>, ktorá teoreticky spočíva v ponuke príležitostí</w:t>
            </w:r>
            <w:r>
              <w:t xml:space="preserve"> na kvalitné zamestnanie, ďalšie vzdelávanie, učňovskú prípravu alebo stáž do štyroch mesiacov od straty zamestnania alebo ukončenia vzdelávania; </w:t>
            </w:r>
            <w:r>
              <w:rPr>
                <w:b/>
                <w:i/>
              </w:rPr>
              <w:t>keďže tento záväzok sa v praxi stretol s prekážkami a ukázal sa ako byrokratická ilúzia, pretože viac ako polovica mladých ľudí Únie stále čaká na ponuku aj po uplynutí tejto lehoty;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keďže posilnená záruka pre mladých ľudí predstavuje záväzok všetkých členských štátov voči mladým ľuďom vo veku do 30 rokov ponúknuť im príležitosti na kvalitné zamestnanie, ďalšie vzdelávanie, učňovskú prípravu alebo stáž do štyroch mesiacov od straty zamestnania alebo ukončenia vzdelávania;</w:t>
            </w:r>
          </w:p>
        </w:tc>
        <w:tc>
          <w:tcPr>
            <w:tcW w:w="4876" w:type="dxa"/>
            <w:tcBorders>
              <w:top w:val="nil"/>
              <w:left w:val="nil"/>
              <w:bottom w:val="nil"/>
              <w:right w:val="nil"/>
            </w:tcBorders>
          </w:tcPr>
          <w:p>
            <w:pPr>
              <w:pStyle w:val="Normal6a"/>
            </w:pPr>
            <w:r>
              <w:t>A.</w:t>
            </w:r>
            <w:r>
              <w:tab/>
            </w:r>
            <w:r>
              <w:t xml:space="preserve">keďže posilnená záruka pre mladých ľudí predstavuje záväzok všetkých členských štátov voči mladým ľuďom vo veku do 30 rokov ponúknuť im príležitosti na kvalitné zamestnanie, ďalšie vzdelávanie, učňovskú prípravu alebo stáž do štyroch mesiacov od straty zamestnania alebo ukončenia vzdelávania; </w:t>
            </w:r>
            <w:r>
              <w:rPr>
                <w:b/>
                <w:i/>
              </w:rPr>
              <w:t>keďže od zavedenia záruky pre mladých ľudí v roku 2013 využilo ponuku v rámci týchto systémov približne 60 miliónov mladých Európanov;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keďže </w:t>
            </w:r>
            <w:r>
              <w:rPr>
                <w:b/>
                <w:i/>
              </w:rPr>
              <w:t>posilnená</w:t>
            </w:r>
            <w:r>
              <w:t xml:space="preserve"> záruka pre mladých ľudí </w:t>
            </w:r>
            <w:r>
              <w:rPr>
                <w:b/>
                <w:i/>
              </w:rPr>
              <w:t>predstavuje</w:t>
            </w:r>
            <w:r>
              <w:t xml:space="preserve"> záväzok všetkých členských štátov voči mladým ľuďom vo veku do 30 rokov ponúknuť im príležitosti na kvalitné zamestnanie, ďalšie vzdelávanie, učňovskú prípravu alebo stáž do štyroch mesiacov od straty zamestnania alebo ukončenia vzdelávania;</w:t>
            </w:r>
          </w:p>
        </w:tc>
        <w:tc>
          <w:tcPr>
            <w:tcW w:w="4876" w:type="dxa"/>
            <w:tcBorders>
              <w:top w:val="nil"/>
              <w:left w:val="nil"/>
              <w:bottom w:val="nil"/>
              <w:right w:val="nil"/>
            </w:tcBorders>
          </w:tcPr>
          <w:p>
            <w:pPr>
              <w:pStyle w:val="Normal6a"/>
            </w:pPr>
            <w:r>
              <w:t>A.</w:t>
            </w:r>
            <w:r>
              <w:tab/>
            </w:r>
            <w:r>
              <w:t xml:space="preserve">keďže záruka pre mladých ľudí </w:t>
            </w:r>
            <w:r>
              <w:rPr>
                <w:b/>
                <w:i/>
              </w:rPr>
              <w:t>bola zavedená v roku 2013 a posilnená v roku 2020;</w:t>
            </w:r>
            <w:r>
              <w:t xml:space="preserve"> </w:t>
            </w:r>
            <w:r>
              <w:rPr>
                <w:b/>
                <w:i/>
              </w:rPr>
              <w:t>keďže ide o</w:t>
            </w:r>
            <w:r>
              <w:t xml:space="preserve"> záväzok všetkých členských štátov voči mladým ľuďom vo veku do 30 rokov ponúknuť im príležitosti na kvalitné zamestnanie, ďalšie vzdelávanie, učňovskú prípravu alebo stáž do štyroch mesiacov od straty zamestnania alebo ukončenia vzdelávania;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keďže cieľom posilnenej záruky pre mladých ľudí je bojovať proti nezamestnanosti, neaktivite a podzamestnanosti mladých ľudí a podporovať udržateľné začleňovanie mladých ľudí do kvalitného vzdelávania, odbornej prípravy a trhu práce;</w:t>
            </w:r>
            <w:r>
              <w:t xml:space="preserve"> </w:t>
            </w:r>
            <w:r>
              <w:rPr>
                <w:b/>
                <w:i/>
              </w:rPr>
              <w:t>keďže ciele posilnenej záruky pre mladých ľudí odrážajú spoločné politické priority Európskeho parlamentu, Komisie a členských štátov v rámci súčasného viacročného finančného rámca (VFR) a prispievajú k cieľu Únie, ktorým je udržateľný hospodársky rast a vytváranie kvalitných pracovných miest v súlade s Európskym pilierom sociálnych práv;</w:t>
            </w:r>
            <w:r>
              <w:t xml:space="preserve"> </w:t>
            </w:r>
            <w:r>
              <w:rPr>
                <w:b/>
                <w:i/>
              </w:rPr>
              <w:t>keďže pretrvávajúce problémy a nové rýchlo sa vyvíjajúce výzvy v oblasti integrácie mladých ľudí do trhu práce si vyžadujú, aby sa tieto priority zachovali aj po skončení súčasného programového obdobia;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keďže členské štáty si vo všeobecnosti zachovali silný politický záväzok vykonávať záruku pre mladých ľudí a svoje národné plány vykonávania;</w:t>
            </w:r>
            <w:r>
              <w:t xml:space="preserve"> </w:t>
            </w:r>
            <w:r>
              <w:rPr>
                <w:b/>
                <w:i/>
              </w:rPr>
              <w:t>keďže sa vynaložilo osobitné úsilie na posilnenie podporných kapacít pre NEET a vzájomného učenia prostredníctvom stretnutí národných koordinátorov na úrovni EÚ alebo mimo 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keďže výskum nadácie Eurofound poukazuje na to, že populácia NEET je veľmi rôznorodá a pozostáva z rôznych podskupín, pričom každá čelí jedinečným štrukturálnym prekážkam a potrebám, ktoré bránia ich úspešnej integrácii do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keďže pri navrhovaní a vykonávaní takýchto opatrení by sa mala plne rešpektovať zásada subsidiarity a právomoci členských štátov v oblasti politík vzdelávania, odbornej prípravy a zamestnanosti;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keďže miera NEET v EÚ zaznamenala v období po pandémii opäť klesajúci trend;</w:t>
            </w:r>
            <w:r>
              <w:t xml:space="preserve"> </w:t>
            </w:r>
            <w:r>
              <w:rPr>
                <w:b/>
                <w:i/>
              </w:rPr>
              <w:t>keďže Akčný plán na realizáciu Európskeho piliera sociálnych práv zahŕňa cieľ znížiť do roku 2030 mieru NEET v prípade osôb vo veku 15 – 29 rokov na 9 %;</w:t>
            </w:r>
            <w:r>
              <w:t xml:space="preserve"> </w:t>
            </w:r>
            <w:r>
              <w:rPr>
                <w:b/>
                <w:i/>
              </w:rPr>
              <w:t>keďže splnenie tohto cieľa je na dobrej ceste, a to napriek značným rozdielom medzi členskými štátmi a regiónmi</w:t>
            </w:r>
            <w:r>
              <w:rPr>
                <w:b/>
                <w:i/>
                <w:vertAlign w:val="superscript"/>
              </w:rPr>
              <w:t>11a</w:t>
            </w:r>
            <w:r>
              <w:rPr>
                <w:b/>
                <w:i/>
              </w:rPr>
              <w:t>, a keďže aj po dosiahnutí tohto cieľa by bol značný počet mladých ľudí naďalej v neistej situácii;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11a</w:t>
            </w:r>
            <w:r>
              <w:t xml:space="preserve"> </w:t>
            </w:r>
            <w:r>
              <w:rPr>
                <w:b/>
                <w:i/>
              </w:rPr>
              <w:t>https://doi.org/10.2908/LFSI_NEET_Q.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keďže mladí ľudia, ktorí nie sú zamestnaní, ani nie sú v procese vzdelávania alebo odbornej prípravy (NEET), tvoria rôznorodú skupinu mládeže s rozmanitými životnými skúsenosťami;</w:t>
            </w:r>
            <w:r>
              <w:t xml:space="preserve"> </w:t>
            </w:r>
            <w:r>
              <w:rPr>
                <w:b/>
                <w:i/>
              </w:rPr>
              <w:t>keďže výskum nadácie Eurofound</w:t>
            </w:r>
            <w:r>
              <w:rPr>
                <w:b/>
                <w:i/>
                <w:vertAlign w:val="superscript"/>
              </w:rPr>
              <w:t>1a</w:t>
            </w:r>
            <w:r>
              <w:t xml:space="preserve"> </w:t>
            </w:r>
            <w:r>
              <w:rPr>
                <w:b/>
                <w:i/>
              </w:rPr>
              <w:t>poukazuje na to, že populácia NEET je veľmi rôznorodá a pozostáva z rôznych podskupín, pričom každá čelí jedinečným štrukturálnym prekážkam, ktoré bránia ich úspešnej integrácii do trhu práce, a preto si vyžadujú personalizovanú podporu prispôsobenú ich osobitným potrebám;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Exploring the diversity of NEETs (Skúmanie rozmanitosti NEET), Úrad pre vydávanie publikácií Európskej únie, Luxemburg, 2016.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keďže pri vykonávaní a zlepšovaní posilnenej záruky pre mladých ľudí sa musí venovať osobitná pozornosť mladým ľuďom NEET v zraniteľných situáciách a tým, ktorí sú najviac vzdialení od trhu práce a často sú ťažko dosiahnuteľní;</w:t>
            </w:r>
            <w:r>
              <w:t xml:space="preserve"> </w:t>
            </w:r>
            <w:r>
              <w:rPr>
                <w:b/>
                <w:i/>
              </w:rPr>
              <w:t>keďže to zahŕňa ženy, ľudí z rôznych etnických prostredí, rómske komunity a komunity Travellerov, mladých ľudí bez domova, mladých ľudí, ktorí opustili inštitucionálnu starostlivosť, LGBTQIA+ osoby, mladých ľudí s postavením migranta alebo utečenca, mladých ľudí so zdravotným postihnutím, mladých ľudí čeliacich diskriminácii na základe náboženstva alebo viery, mladých ľudí s chronickými chorobami alebo závislosťou, mladých rodičov, ako aj mladých ľudí, ktorí pôsobia ako neformálni opatrovatelia;</w:t>
            </w:r>
            <w:r>
              <w:t xml:space="preserve"> </w:t>
            </w:r>
            <w:r>
              <w:rPr>
                <w:b/>
                <w:i/>
              </w:rPr>
              <w:t>keďže treba jasne rozlišovať medzi NEET, ktorí sú nedobrovoľne vylúčení zo vzdelávania, zamestnania alebo odbornej prípravy, a tými, ktorí sú dobrovoľne neaktívni;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keďže medzi mladými ľuďmi, ktorí nie sú zamestnaní, ani nie sú v procese vzdelávania alebo odbornej prípravy, pretrvávajú rodové rozdiely, pričom miera NEET u mladých žien v EÚ neustále prevyšuje túto mieru u mladých mužov</w:t>
            </w:r>
            <w:r>
              <w:rPr>
                <w:b/>
                <w:i/>
                <w:vertAlign w:val="superscript"/>
              </w:rPr>
              <w:t>12a</w:t>
            </w:r>
            <w:r>
              <w:rPr>
                <w:b/>
                <w:i/>
              </w:rPr>
              <w:t>;</w:t>
            </w:r>
            <w:r>
              <w:t xml:space="preserve"> </w:t>
            </w:r>
            <w:r>
              <w:rPr>
                <w:b/>
                <w:i/>
              </w:rPr>
              <w:t>keďže túto situáciu možno čiastočne vysvetliť nerovnomerným rozdelením povinností súvisiacich so starostlivosťou o deti a sociálnymi normami;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12a</w:t>
            </w:r>
            <w:r>
              <w:t xml:space="preserve"> </w:t>
            </w:r>
            <w:r>
              <w:rPr>
                <w:b/>
                <w:i/>
              </w:rPr>
              <w:t>https://www.eurofound.europa.eu/sk/surveys-and-data/data-catalogue/neet-rates-gender-15-29-age-group.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keďže integrácia osôb NEET do trhu práce sa stáva čoraz zložitejšou v dôsledku faktorov, ako je vzostup tzv. gig ekonomiky a nárast neistých a neštandardných foriem zamestnania, umelej inteligencie a digitalizácie a kríza životných nákladov vrátane rastúcich nákladov na bývanie;</w:t>
            </w:r>
            <w:r>
              <w:t xml:space="preserve"> </w:t>
            </w:r>
            <w:r>
              <w:rPr>
                <w:b/>
                <w:i/>
              </w:rPr>
              <w:t>keďže tento vývoj vytvára štrukturálne prekážky udržateľnej zamestnanosti a prehlbuje nerovnosti, v dôsledku ktorých sú zraniteľné osoby NEET opomínané;</w:t>
            </w:r>
            <w:r>
              <w:t xml:space="preserve"> </w:t>
            </w:r>
            <w:r>
              <w:rPr>
                <w:b/>
                <w:i/>
              </w:rPr>
              <w:t>keďže vykonávanie posilnenej záruky pre mladých ľudí sa musí zreformovať a zintenzívniť, aby účinne reagovalo na tieto výzvy a uprednostňovalo osoby NEET, ktoré sú najviac vzdialené od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keďže Rómovia sú skupinou s najvyššou mierou NEET v EÚ, a to 47 % v prípade osôb vo veku 16 – 24 rokov, v porovnaní s priemerom EÚ na úrovni 9 % pre rovnakú vekovú skupinu</w:t>
            </w:r>
            <w:r>
              <w:rPr>
                <w:b/>
                <w:i/>
                <w:vertAlign w:val="superscript"/>
              </w:rPr>
              <w:t>13a</w:t>
            </w:r>
            <w:r>
              <w:rPr>
                <w:b/>
                <w:i/>
              </w:rPr>
              <w:t>;</w:t>
            </w:r>
            <w:r>
              <w:t xml:space="preserve"> </w:t>
            </w:r>
            <w:r>
              <w:rPr>
                <w:b/>
                <w:i/>
              </w:rPr>
              <w:t>keďže ani jeden z členských štátov zapojených do prieskumu sa nepribližuje k dosiahnutiu cieľov stanovených v strategickom rámci EÚ pre Rómov</w:t>
            </w:r>
            <w:r>
              <w:rPr>
                <w:b/>
                <w:i/>
                <w:vertAlign w:val="superscript"/>
              </w:rPr>
              <w:t>14a</w:t>
            </w:r>
            <w:r>
              <w:t xml:space="preserve"> </w:t>
            </w:r>
            <w:r>
              <w:rPr>
                <w:b/>
                <w:i/>
              </w:rPr>
              <w:t>a keďže bez cieleného a strategického prístupu členských štátov hrozí, že v EÚ bude generácia mladých Rómov a Travellerov vystavená riziku vylúčenia zo vzdelávania, odbornej prípravy a z trhu práce;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13a</w:t>
            </w:r>
            <w:r>
              <w:t xml:space="preserve"> </w:t>
            </w:r>
            <w:r>
              <w:rPr>
                <w:b/>
                <w:i/>
              </w:rPr>
              <w:t>Rights of Roma and Travellers in 13 European countries - Perspectives from the Roma Survey 2024 (Práva Rómov a Travellerov v 13 európskych krajinách – perspektívy z prieskumu o Rómoch z roku 2024), Agentúra Európskej únie pre základné práva (FRA), 2. októbra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14a</w:t>
            </w:r>
            <w:r>
              <w:t xml:space="preserve"> </w:t>
            </w:r>
            <w:r>
              <w:rPr>
                <w:b/>
                <w:i/>
              </w:rPr>
              <w:t>Európska komisia (7. októbra 2020),</w:t>
            </w:r>
            <w:r>
              <w:t xml:space="preserve"> </w:t>
            </w:r>
            <w:r>
              <w:rPr>
                <w:b/>
                <w:i/>
              </w:rPr>
              <w:t>Strategický rámec EÚ pre rovnosť, začleňovanie a účasť Rómov na roky 2020 – 2030 (COM(2020) 620 final), https://commission.europa.eu/document/download/99cc0720-68c2-4300-854f-592bf21dceaf_en?filename=eu_roma_strategic_framework_for_equality_inclusion_and_participation_for_2020_-_2030.pdf.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e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keďže prechod zo vzdelávania na trh práce je pre mladých ľudí dlhší, menej priamočiary a čoraz neistejší, pričom mnohí z nich sa pohybujú medzi zamestnaním, nezamestnanosťou a neaktivitou alebo uviazli v neštandardných formách práce;</w:t>
            </w:r>
            <w:r>
              <w:t xml:space="preserve"> </w:t>
            </w:r>
            <w:r>
              <w:rPr>
                <w:b/>
                <w:i/>
              </w:rPr>
              <w:t>keďže posilnená záruka pre mladých ľudí sa dostatočne neprispôsobila týmto roztriešteným cestám a naďalej sa spolieha na nepružné, jednorazové opatrenia;</w:t>
            </w:r>
            <w:r>
              <w:t xml:space="preserve"> </w:t>
            </w:r>
            <w:r>
              <w:rPr>
                <w:b/>
                <w:i/>
              </w:rPr>
              <w:t>keďže účinná integrácia do trhu práce, najmä v prípade zraniteľných osôb NEET, si vyžaduje flexibilnú, personalizovanú a dlhodobú podporu;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e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keďže z prieskumu Agentúry Európskej únie pre základné práva o Rómoch za rok 2021 vyplýva, že 19 % rómskych žien nikdy nenavštevovalo školu v porovnaní so 14 % rómskych mužov a len 23 % rómskych žien pokračuje vo vzdelávaní po dosiahnutí veku 16 rokov v porovnaní s 32 % rómskych mužov</w:t>
            </w:r>
            <w:r>
              <w:rPr>
                <w:b/>
                <w:i/>
                <w:vertAlign w:val="superscript"/>
              </w:rPr>
              <w:t>15a</w:t>
            </w:r>
            <w:r>
              <w:rPr>
                <w:b/>
                <w:i/>
              </w:rPr>
              <w:t>;</w:t>
            </w:r>
            <w:r>
              <w:t xml:space="preserve"> </w:t>
            </w:r>
            <w:r>
              <w:rPr>
                <w:b/>
                <w:i/>
              </w:rPr>
              <w:t>keďže údaje rozčlenené podľa pohlavia ukazujú, že v priemere 61 % mladých rómskych žien a žien z komunity Travellerov patrí do skupiny NEET v porovnaní s 33 % mladých rómskych mužov</w:t>
            </w:r>
            <w:r>
              <w:rPr>
                <w:b/>
                <w:i/>
                <w:vertAlign w:val="superscript"/>
              </w:rPr>
              <w:t>16a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15a</w:t>
            </w:r>
            <w:r>
              <w:t xml:space="preserve"> </w:t>
            </w:r>
            <w:r>
              <w:rPr>
                <w:b/>
                <w:i/>
              </w:rPr>
              <w:t>Rada Európy (2025),</w:t>
            </w:r>
            <w:r>
              <w:t xml:space="preserve"> </w:t>
            </w:r>
            <w:r>
              <w:rPr>
                <w:b/>
                <w:i/>
              </w:rPr>
              <w:t>Equality of Roma and Traveller women and girls (Rovnosť žien a dievčat z komunity Rómov a Travellerov) (Ref. 094724GBR),</w:t>
            </w:r>
            <w:r>
              <w:t xml:space="preserve"> </w:t>
            </w:r>
            <w:r>
              <w:rPr>
                <w:b/>
                <w:i/>
              </w:rPr>
              <w:t>Rada Európy, https://edoc.coe.int/en/roma-and-travellers/12078-equality-of-roma-and-traveller-women-and-girls.html;</w:t>
            </w:r>
            <w:r>
              <w:t xml:space="preserve"> </w:t>
            </w:r>
            <w:r>
              <w:rPr>
                <w:b/>
                <w:i/>
              </w:rPr>
              <w:t>Agentúra Európskej únie pre základné práva (2020),</w:t>
            </w:r>
            <w:r>
              <w:t xml:space="preserve"> </w:t>
            </w:r>
            <w:r>
              <w:rPr>
                <w:b/>
                <w:i/>
              </w:rPr>
              <w:t>Roma and Travellers in six countries: Roma and Travellers survey</w:t>
            </w:r>
            <w:r>
              <w:t xml:space="preserve"> </w:t>
            </w:r>
            <w:r>
              <w:rPr>
                <w:b/>
                <w:i/>
              </w:rPr>
              <w:t>(Rómovia a Travelleri v šiestich krajinách: prieskum medzi Rómami a Travellermi) (správa agentúry FRA),</w:t>
            </w:r>
            <w:r>
              <w:t xml:space="preserve"> </w:t>
            </w:r>
            <w:r>
              <w:rPr>
                <w:b/>
                <w:i/>
              </w:rPr>
              <w:t>Úrad pre vydávanie publikácií Európskej únie, https://fra.europa.eu/sites/default/files/fra_uploads/fra-2020-roma-travellers-six-countries_en.pdf.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16a</w:t>
            </w:r>
            <w:r>
              <w:t xml:space="preserve"> </w:t>
            </w:r>
            <w:r>
              <w:rPr>
                <w:b/>
                <w:i/>
              </w:rPr>
              <w:t>Agentúra Európskej únie pre základné práva (2025),</w:t>
            </w:r>
            <w:r>
              <w:t xml:space="preserve"> </w:t>
            </w:r>
            <w:r>
              <w:rPr>
                <w:b/>
                <w:i/>
              </w:rPr>
              <w:t>Rights of Roma and Travellers in 13 European countries – Perspectives from the Roma Survey 2024 (Práva Rómov a Travellerov v 13 európskych krajinách – perspektívy z prieskumu o Rómoch z roku 2024),</w:t>
            </w:r>
            <w:r>
              <w:t xml:space="preserve"> </w:t>
            </w:r>
            <w:r>
              <w:rPr>
                <w:b/>
                <w:i/>
              </w:rPr>
              <w:t>FRA, https://fra.europa.eu/en/publication/2025/roma-survey-2024.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f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keďže mladí ľudia sú neúmerne vystavení slabo platenej práci</w:t>
            </w:r>
            <w:r>
              <w:rPr>
                <w:b/>
                <w:i/>
                <w:vertAlign w:val="superscript"/>
              </w:rPr>
              <w:t>1a</w:t>
            </w:r>
            <w:r>
              <w:rPr>
                <w:b/>
                <w:i/>
              </w:rPr>
              <w:t>, ako aj neistým a neštandardným formám zamestnania vrátane zmlúv na dobu určitú, pracovných zmlúv na nula hodín a nepravej samostatnej zárobkovej činnosti</w:t>
            </w:r>
            <w:r>
              <w:rPr>
                <w:b/>
                <w:i/>
                <w:vertAlign w:val="superscript"/>
              </w:rPr>
              <w:t>1b</w:t>
            </w:r>
            <w:r>
              <w:rPr>
                <w:b/>
                <w:i/>
              </w:rPr>
              <w:t>;</w:t>
            </w:r>
            <w:r>
              <w:t xml:space="preserve"> </w:t>
            </w:r>
            <w:r>
              <w:rPr>
                <w:b/>
                <w:i/>
              </w:rPr>
              <w:t>keďže často nemajú prístup k primeranej ochrane zamestnanosti a sociálnym dávkam;</w:t>
            </w:r>
            <w:r>
              <w:t xml:space="preserve"> </w:t>
            </w:r>
            <w:r>
              <w:rPr>
                <w:b/>
                <w:i/>
              </w:rPr>
              <w:t>keďže mladí ľudia sú takisto vystavení vyššiemu riziku presunu pracovných miest v dôsledku automatizácie;</w:t>
            </w:r>
            <w:r>
              <w:t xml:space="preserve"> </w:t>
            </w:r>
            <w:r>
              <w:rPr>
                <w:b/>
                <w:i/>
              </w:rPr>
              <w:t>keďže takéto podmienky poskytujú obmedzené finančné zabezpečenie a ohrozujú smerovanie k udržateľnej integrácii do trhu práce;</w:t>
            </w:r>
            <w:r>
              <w:t xml:space="preserve"> </w:t>
            </w:r>
            <w:r>
              <w:rPr>
                <w:b/>
                <w:i/>
              </w:rPr>
              <w:t>keďže to postihuje najmä zraniteľné osoby NEET, ktoré sú neúmerne sústredené v nízkokvalifikovaných a nízkokvalitných zamestnaniach;</w:t>
            </w:r>
            <w:r>
              <w:t xml:space="preserve"> </w:t>
            </w:r>
            <w:r>
              <w:rPr>
                <w:b/>
                <w:i/>
              </w:rPr>
              <w:t>keďže posilnená záruka pre mladých ľudí musí aktívne riešiť neistotu a nízke mzdy a zamerať sa skôr na platené zamestnanie než na dobrovoľníctvo;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Proportion of low-paid workers in EU countries (Podiel pracovníkov s nízkymi mzdami v krajinách EÚ), 2022.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Eurostat, Young people on the labour market - statistics (Mladí ľudia na trhu práce – štatistika), 2018.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f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keďže osoby opúšťajúce systém starostlivosti sú skupinou, ktorá je obzvlášť ohrozená postavením NEET, ale vzhľadom na nedostatočné spoľahlivé údaje zostáva ich počet na úrovni EÚ nejasný, rovnako ako zavedené osvetové opatrenia na ich podporu a príležitosti, ktoré majú k dispozícii po opustení systému starostlivosti;</w:t>
            </w:r>
            <w:r>
              <w:t xml:space="preserve"> </w:t>
            </w:r>
            <w:r>
              <w:rPr>
                <w:b/>
                <w:i/>
              </w:rPr>
              <w:t>keďže mladí ľudia, ktorí opúšťajú ústavnú starostlivosť, často čelia náhlemu prechodu k nezávislosti bez primeranej kontinuity vzdelávania, stability bývania alebo profesijného poradenstva, čím sa zvyšuje ich riziko nezamestnanosti, chudoby a sociálneho vylúčenia;</w:t>
            </w:r>
            <w:r>
              <w:t xml:space="preserve"> </w:t>
            </w:r>
            <w:r>
              <w:rPr>
                <w:b/>
                <w:i/>
              </w:rPr>
              <w:t>keďže vykonávanie posilnenej záruky pre mladých ľudí by mohlo riešiť tieto medzery pri prechode prostredníctvom prispôsobených podporných mechanizmov;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g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keďže podzamestnanosť mladých ľudí rastie, pričom zamestnanosť mladých ľudí na kratší pracovný čas je podstatne vyššia ako u celkovej pracujúcej populácie</w:t>
            </w:r>
            <w:r>
              <w:rPr>
                <w:b/>
                <w:i/>
                <w:vertAlign w:val="superscript"/>
              </w:rPr>
              <w:t>1a</w:t>
            </w:r>
            <w:r>
              <w:rPr>
                <w:b/>
                <w:i/>
              </w:rPr>
              <w:t>;</w:t>
            </w:r>
            <w:r>
              <w:t xml:space="preserve"> </w:t>
            </w:r>
            <w:r>
              <w:rPr>
                <w:b/>
                <w:i/>
              </w:rPr>
              <w:t>keďže tento rozdiel je ešte výraznejší v prípade mladých žien;</w:t>
            </w:r>
            <w:r>
              <w:t xml:space="preserve"> </w:t>
            </w:r>
            <w:r>
              <w:rPr>
                <w:b/>
                <w:i/>
              </w:rPr>
              <w:t>keďže vysoký podiel dohôd o práci na kratší pracovný čas je nedobrovoľný, čo odráža štrukturálne zlyhanie trhu práce pri poskytovaní primeraných príležitostí na plný úväzok;</w:t>
            </w:r>
            <w:r>
              <w:t xml:space="preserve"> </w:t>
            </w:r>
            <w:r>
              <w:rPr>
                <w:b/>
                <w:i/>
              </w:rPr>
              <w:t>keďže nedobrovoľná práca na kratší pracovný čas oslabuje zárobkový potenciál, kariérny postup, prístup k sociálnej ochrane a dôchodkové práva;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Part-time and full-time employment - statistics (Zamestnanie na kratší pracovný čas a plný pracovný čas – štatistika),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g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keďže predsudky, stigmatizácia a pretrvávajúce stereotypy môžu obmedziť prístup mladých ľudí z prostredia ústavnej starostlivosti, mladých ľudí s telesným alebo duševným vývinovým postihnutím a mladých Rómov k stážam a učňovskej príprave;</w:t>
            </w:r>
            <w:r>
              <w:t xml:space="preserve"> </w:t>
            </w:r>
            <w:r>
              <w:rPr>
                <w:b/>
                <w:i/>
              </w:rPr>
              <w:t>keďže riešenie takýchto prekážok a podpora inkluzívnych náborových postupov sú nevyhnutné na zabezpečenie rovnakého prístupu ku kvalitným prvým pracovným skúsenostiam;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h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Ah.</w:t>
            </w:r>
            <w:r>
              <w:tab/>
            </w:r>
            <w:r>
              <w:rPr>
                <w:b/>
                <w:i/>
              </w:rPr>
              <w:t>keďže tradičné cesty od vzdelávania k zamestnaniu sa narúšajú v dôsledku štrukturálneho nedostatku kvalitných pracovných miest pre absolventov;</w:t>
            </w:r>
            <w:r>
              <w:t xml:space="preserve"> </w:t>
            </w:r>
            <w:r>
              <w:rPr>
                <w:b/>
                <w:i/>
              </w:rPr>
              <w:t>keďže mnohí mladí ľudia majú napriek tomu, že sú vysoko vzdelaní a kvalifikovaní, ťažkosti zabezpečiť si vďaka svojej kvalifikácii stabilné zamestnanie;</w:t>
            </w:r>
            <w:r>
              <w:t xml:space="preserve"> </w:t>
            </w:r>
            <w:r>
              <w:rPr>
                <w:b/>
                <w:i/>
              </w:rPr>
              <w:t>keďže miera zamestnanosti čerstvých absolventov klesá</w:t>
            </w:r>
            <w:r>
              <w:rPr>
                <w:b/>
                <w:i/>
                <w:vertAlign w:val="superscript"/>
              </w:rPr>
              <w:t>1a</w:t>
            </w:r>
            <w:r>
              <w:t xml:space="preserve"> </w:t>
            </w:r>
            <w:r>
              <w:rPr>
                <w:b/>
                <w:i/>
              </w:rPr>
              <w:t>a počet mladých ľudí v zamestnaniach, ktoré sú hlboko pod úrovňou ich kvalifikácie, rastie</w:t>
            </w:r>
            <w:r>
              <w:rPr>
                <w:b/>
                <w:i/>
                <w:vertAlign w:val="superscript"/>
              </w:rPr>
              <w:t>1b</w:t>
            </w:r>
            <w:r>
              <w:rPr>
                <w:b/>
                <w:i/>
              </w:rPr>
              <w:t>;</w:t>
            </w:r>
            <w:r>
              <w:t xml:space="preserve"> </w:t>
            </w:r>
            <w:r>
              <w:rPr>
                <w:b/>
                <w:i/>
              </w:rPr>
              <w:t>keďže to vedie k efektu vytláčania, ktorý ďalej obmedzuje príležitosti pre zraniteľné osoby NEET bez kvalifikácie;</w:t>
            </w:r>
            <w:r>
              <w:t xml:space="preserve"> </w:t>
            </w:r>
            <w:r>
              <w:rPr>
                <w:b/>
                <w:i/>
              </w:rPr>
              <w:t>keďže rastúce prekážky integrácie mladých ľudí do trhu práce oslabujú sociálnu súdržnosť a inštitucionálnu dôveru;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Employment rates of recent graduates (Miery zamestnanosti čerstvých absolventov),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Eurostat, Young people - qualifications, skills and job alignment (Mladí ľudia – zosúladenie kvalifikácií, zručností a pracovných miest),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i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Ai.</w:t>
            </w:r>
            <w:r>
              <w:tab/>
            </w:r>
            <w:r>
              <w:rPr>
                <w:b/>
                <w:i/>
              </w:rPr>
              <w:t>keďže takmer každý štvrtý mladý človek v Únii bol v roku 2024 ohrozený chudobou alebo sociálnym vylúčením, čo je o 3,1 percentuálneho bodu viac ako v prípade celkového obyvateľstva</w:t>
            </w:r>
            <w:r>
              <w:rPr>
                <w:b/>
                <w:i/>
                <w:vertAlign w:val="superscript"/>
              </w:rPr>
              <w:t>1a</w:t>
            </w:r>
            <w:r>
              <w:rPr>
                <w:b/>
                <w:i/>
              </w:rPr>
              <w:t>;</w:t>
            </w:r>
            <w:r>
              <w:t xml:space="preserve"> </w:t>
            </w:r>
            <w:r>
              <w:rPr>
                <w:b/>
                <w:i/>
              </w:rPr>
              <w:t>keďže štrukturálne nerovnosti, ako je materiálna deprivácia a pretrvávajúce sociálne znevýhodnenie, oslabujú schopnosť prístupu na trh práce a nezávislého života;</w:t>
            </w:r>
            <w:r>
              <w:t xml:space="preserve"> </w:t>
            </w:r>
            <w:r>
              <w:rPr>
                <w:b/>
                <w:i/>
              </w:rPr>
              <w:t>keďže aktiváciu zamestnanosti nemožno dosiahnuť bez prístupu k základným podporným podmienkam, ako je bývanie, doprava, starostlivosť o deti a podpora v oblasti starostlivosti;</w:t>
            </w:r>
            <w:r>
              <w:t xml:space="preserve"> </w:t>
            </w:r>
            <w:r>
              <w:rPr>
                <w:b/>
                <w:i/>
              </w:rPr>
              <w:t>keďže udržateľná integrácia do trhu práce si vyžaduje celostný prístup k riešeniu akýchkoľvek prehlbujúcich sa prekážok;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Young people - social inclusion (Mladí ľudia – sociálne začlenenie),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j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Aj.</w:t>
            </w:r>
            <w:r>
              <w:tab/>
            </w:r>
            <w:r>
              <w:rPr>
                <w:b/>
                <w:i/>
              </w:rPr>
              <w:t>keďže zraniteľným osobám NEET môže chýbať funkčná gramotnosť, matematická gramotnosť a digitálne zručnosti potrebné na prístup ku kvalitnému vzdelávaniu, odbornej príprave alebo na trh práce;</w:t>
            </w:r>
            <w:r>
              <w:t xml:space="preserve"> </w:t>
            </w:r>
            <w:r>
              <w:rPr>
                <w:b/>
                <w:i/>
              </w:rPr>
              <w:t>keďže posilnená záruka pre mladých ľudí často považuje takéto zručnosti za samozrejmosť, čím obmedzuje schopnosť zraniteľných osôb NEET získať prístup k opatreniam v oblasti zamestnanosti a odbornej prípravy a využívať 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k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Ak.</w:t>
            </w:r>
            <w:r>
              <w:tab/>
            </w:r>
            <w:r>
              <w:rPr>
                <w:b/>
                <w:i/>
              </w:rPr>
              <w:t>keďže výsledky mladých ľudí v čítaní, matematike a prírodných vedách v celej Únii sa zhoršujú a u mladých ľudí zo znevýhodneného sociálno-ekonomického prostredia je viac ako šesťkrát vyššia pravdepodobnosť nedostatočných výsledkov ako u ich rovesníkov</w:t>
            </w:r>
            <w:r>
              <w:rPr>
                <w:b/>
                <w:i/>
                <w:vertAlign w:val="superscript"/>
              </w:rPr>
              <w:t>1a</w:t>
            </w:r>
            <w:r>
              <w:rPr>
                <w:b/>
                <w:i/>
              </w:rPr>
              <w:t>;</w:t>
            </w:r>
            <w:r>
              <w:t xml:space="preserve"> </w:t>
            </w:r>
            <w:r>
              <w:rPr>
                <w:b/>
                <w:i/>
              </w:rPr>
              <w:t>keďže posilnená záruka pre mladých ľudí musí aktívne zohľadňovať tieto znepokojujúce trendy s cieľom zabrániť prehlbovaniu sociálnych rozdielov a zabezpečiť rovnaký prístup k vzdelávaniu a budúcim pracovným príležitostiam;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Európska komisia, Monitor vzdelávania a odbornej prípravy za rok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keďže </w:t>
            </w:r>
            <w:r>
              <w:rPr>
                <w:b/>
                <w:i/>
              </w:rPr>
              <w:t>je ťažké</w:t>
            </w:r>
            <w:r>
              <w:t xml:space="preserve"> stanoviť priamu príčinnú súvislosť medzi vykonávaním posilnenej záruky pre mladých ľudí a pozorovanými výsledkami, pokiaľ ide o zníženie miery osôb NEET a nezamestnanosti mladých ľudí;</w:t>
            </w:r>
          </w:p>
        </w:tc>
        <w:tc>
          <w:tcPr>
            <w:tcW w:w="4876" w:type="dxa"/>
            <w:tcBorders>
              <w:top w:val="nil"/>
              <w:left w:val="nil"/>
              <w:bottom w:val="nil"/>
              <w:right w:val="nil"/>
            </w:tcBorders>
          </w:tcPr>
          <w:p>
            <w:pPr>
              <w:pStyle w:val="Normal6a"/>
            </w:pPr>
            <w:r>
              <w:t>B.</w:t>
            </w:r>
            <w:r>
              <w:tab/>
            </w:r>
            <w:r>
              <w:t xml:space="preserve">keďže </w:t>
            </w:r>
            <w:r>
              <w:rPr>
                <w:b/>
                <w:i/>
              </w:rPr>
              <w:t>nie je možné</w:t>
            </w:r>
            <w:r>
              <w:t xml:space="preserve"> stanoviť priamu príčinnú súvislosť medzi vykonávaním posilnenej záruky pre mladých ľudí a pozorovanými výsledkami, pokiaľ ide o zníženie miery osôb NEET a nezamestnanosti mladých ľudí</w:t>
            </w:r>
            <w:r>
              <w:rPr>
                <w:b/>
                <w:i/>
              </w:rPr>
              <w:t>, čo poukazuje na štrukturálnu neúčinnosť európskeho sociálneho inžinierstva</w:t>
            </w:r>
            <w:r>
              <w:t xml:space="preserve">; </w:t>
            </w:r>
            <w:r>
              <w:rPr>
                <w:b/>
                <w:i/>
              </w:rPr>
              <w:t>keďže vytváranie pracovných miest pre mladých ľudí nezávisí od centralizovaných smerníc, ale vyplýva predovšetkým z fiškálnej suverenity členských štátov, odolného domáceho hospodárstva a konkurencieschopnosti MSP;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keďže je ťažké stanoviť priamu príčinnú súvislosť medzi vykonávaním posilnenej záruky pre mladých ľudí a pozorovanými výsledkami, pokiaľ ide o zníženie miery osôb NEET a nezamestnanosti mladých ľudí;</w:t>
            </w:r>
          </w:p>
        </w:tc>
        <w:tc>
          <w:tcPr>
            <w:tcW w:w="4876" w:type="dxa"/>
            <w:tcBorders>
              <w:top w:val="nil"/>
              <w:left w:val="nil"/>
              <w:bottom w:val="nil"/>
              <w:right w:val="nil"/>
            </w:tcBorders>
          </w:tcPr>
          <w:p>
            <w:pPr>
              <w:pStyle w:val="Normal6a"/>
            </w:pPr>
            <w:r>
              <w:t>B.</w:t>
            </w:r>
            <w:r>
              <w:tab/>
            </w:r>
            <w:r>
              <w:t xml:space="preserve">keďže je ťažké stanoviť priamu príčinnú súvislosť medzi vykonávaním posilnenej záruky pre mladých ľudí a pozorovanými výsledkami, pokiaľ ide o zníženie miery osôb NEET a nezamestnanosti mladých ľudí; </w:t>
            </w:r>
            <w:r>
              <w:rPr>
                <w:b/>
                <w:i/>
              </w:rPr>
              <w:t>to zdôrazňuje potrebu väčšieho zamerania na hmatateľné výsledky pre mladých ľudí, lepšieho zosúladenia s vnútroštátnymi potrebami trhu práce a užších synergií s programami Únie, ako sú Európsky sociálny fond plus (ESF+), Erasmus+ a Európsky zbor solidarity;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keďže je ťažké stanoviť priamu príčinnú súvislosť medzi vykonávaním posilnenej záruky pre mladých ľudí a pozorovanými výsledkami, pokiaľ ide o zníženie miery osôb NEET a nezamestnanosti mladých ľudí;</w:t>
            </w:r>
          </w:p>
        </w:tc>
        <w:tc>
          <w:tcPr>
            <w:tcW w:w="4876" w:type="dxa"/>
            <w:tcBorders>
              <w:top w:val="nil"/>
              <w:left w:val="nil"/>
              <w:bottom w:val="nil"/>
              <w:right w:val="nil"/>
            </w:tcBorders>
          </w:tcPr>
          <w:p>
            <w:pPr>
              <w:pStyle w:val="Normal6a"/>
            </w:pPr>
            <w:r>
              <w:t>B.</w:t>
            </w:r>
            <w:r>
              <w:tab/>
            </w:r>
            <w:r>
              <w:t>keďže je ťažké stanoviť priamu príčinnú súvislosť medzi vykonávaním posilnenej záruky pre mladých ľudí a pozorovanými výsledkami, pokiaľ ide o zníženie miery osôb NEET a nezamestnanosti mladých ľudí</w:t>
            </w:r>
            <w:r>
              <w:rPr>
                <w:b/>
                <w:i/>
              </w:rPr>
              <w:t>, najmä ak sú systémy posilnenej záruky pre mladých ľudí zakotvené v širších vnútroštátnych politikách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keďže z európskych údajov vyplýva, že dráhy počiatočného odborného vzdelávania a prípravy so silnou zložku učenia sa na pracovisku sú najúčinnejším nástrojom na zabránenie tomu, aby sa ľudia ocitli v situácii NEET, pretože miera zamestnanosti mladých ľudí, ktorí absolvovali aspoň sedemmesačné učenie sa na pracovisku, dosahuje až 90,5 % v porovnaní so 69,7 % v prípade tých, ktorí k takýmto vzdelávacím dráham nemajú prístup;</w:t>
            </w:r>
            <w:r>
              <w:t xml:space="preserve"> </w:t>
            </w:r>
            <w:r>
              <w:rPr>
                <w:b/>
                <w:i/>
              </w:rPr>
              <w:t>keďže systémy duálneho odborného vzdelávania a prípravy vytvárajú vďaka štruktúrovanému striedaniu medzi školským a pracovným prostredím využiteľné zručnosti a štrukturálne znižujú rozdiel medzi dopytom po pracovných miestach a ich ponukou;</w:t>
            </w:r>
            <w:r>
              <w:t xml:space="preserve"> </w:t>
            </w:r>
            <w:r>
              <w:rPr>
                <w:b/>
                <w:i/>
              </w:rPr>
              <w:t>keďže členské štáty so spoľahlivými systémami duálneho odborného vzdelávania a prípravy majú najnižšiu mieru nezamestnanosti mladých ľudí v EÚ;</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Niels Geuking,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keďže účinné vykonávanie posilnenej záruky pre mladých ľudí si vyžaduje cielené a integrované opatrenia zamerané na rodinu, najmä pre mladých rodičov, ktoré kombinujú podporu zamestnanosti s prístupom k vzdelávaniu a odbornej príprave, starostlivosti o deti, sociálnym službám a v prípade potreby k primeranej podpore príjmu s cieľom zabezpečiť trvalú integráciu do trhu práce, zabrániť dlhodobému vylúčeniu, presadzovať rodovú rovnosť a podporovať udržateľnú rovnováhu medzi pracovným a súkromným životom;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keďže dôkazy Európskeho dvora audítorov naznačujú, že dobre financované, inkluzívne a na právach založené politiky v oblasti mládeže vrátane posilnenej záruky pre mladých ľudí pozitívne prispievajú k zlepšeniu prístupu mladých ľudí ku kvalitnému zamestnaniu, vzdelávaniu a odbornej príprave;</w:t>
            </w:r>
            <w:r>
              <w:t xml:space="preserve"> </w:t>
            </w:r>
            <w:r>
              <w:rPr>
                <w:b/>
                <w:i/>
              </w:rPr>
              <w:t>keďže na úplné zachytenie ich výsledkov, najmä v prípade zraniteľných a marginalizovaných skupín, je nevyhnutné dôslednejšie monitorovanie, zber rozčlenených údajov a posúdenie vplyvu;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keďže existuje takmer toľko modelov vykonávania záruky pre mladých ľudí, koľko je členských štátov;</w:t>
            </w:r>
            <w:r>
              <w:t xml:space="preserve"> </w:t>
            </w:r>
            <w:r>
              <w:rPr>
                <w:b/>
                <w:i/>
              </w:rPr>
              <w:t>keďže inštitucionálne opatrenia na jej vykonávanie siahajú od integrácie záruky pre mladých ľudí do existujúcich vnútroštátnych systémov až po vytvorenie samostatného vnútroštátneho modelu;</w:t>
            </w:r>
            <w:r>
              <w:t xml:space="preserve"> </w:t>
            </w:r>
            <w:r>
              <w:rPr>
                <w:b/>
                <w:i/>
              </w:rPr>
              <w:t>keďže sa rôznia aj mechanizmy riadenia, a to od centralizovaných modelov koordinovaných na vnútroštátnej úrovni po plne decentralizované modely na miestnej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Martine Kemp, Regina Doherty, Liesbet Sommen,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keďže v odporúčaní Rady zo 16. júna 2022 týkajúcom sa európskeho prístupu k mikrocertifikátom sa mikrocertifikáty uznávajú ako kľúčový nástroj pre flexibilné, inkluzívne a cielené vzdelávacie dráhy, ktorý jednotlivcom umožňuje získavať, aktualizovať a certifikovať svoje zručnosti modulárnym spôsobom, najmä v reakcii na potreby trhu práce a zelenú a digitálnu transformáciu;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keďže investície do mladých ľudí prostredníctvom posilnenej záruky pre mladých ľudí predstavujú investíciu do budúcnosti Únie, posilňujú sociálnu súdržnosť a medzigeneračnú spravodlivosť a solidaritu, znižujú chudobu a sociálne vylúčenie a prispievajú k odolnej pracovnej sile a konkurencieschopnému hospodárstvu;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keďže účinnosť posilnenej záruky pre mladých ľudí závisí od transparentného a efektívneho využívania finančných prostriedkov EÚ a členských štátov, ako aj od spoľahlivých systémov monitorovania a hodnotenia schopných merať dlhodobé výsledky v oblasti zamestnanosti mladých prijímateľov;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keďže nezamestnanosť mladých ľudí a neistá práca priamo súvisia so štrukturálnymi nerovnosťami, úspornými opatreniami, dereguláciou trhov práce a nedostatočným financovaním verejných služieb;</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keďže jasná väčšina členských štátov sa spolieha na stratégiu „zamestnanosť na prvom mieste“, zatiaľ čo iné uprednostňujú prístup zameraný na odbornú prípravu;</w:t>
            </w:r>
            <w:r>
              <w:t xml:space="preserve"> </w:t>
            </w:r>
            <w:r>
              <w:rPr>
                <w:b/>
                <w:i/>
              </w:rPr>
              <w:t>keďže v roku 2024 viedlo 35,2 % pozitívnych a včasných výstupov z prípravnej fázy záruky pre mladých ľudí k zamestnaniu, 6,5 % k vzdelávaniu, 2,5 % k stážam a 1,6 % k učňovskej príprave</w:t>
            </w:r>
            <w:r>
              <w:rPr>
                <w:b/>
                <w:i/>
                <w:vertAlign w:val="superscript"/>
              </w:rPr>
              <w:t>17a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17a</w:t>
            </w:r>
            <w:r>
              <w:t xml:space="preserve"> </w:t>
            </w:r>
            <w:r>
              <w:rPr>
                <w:b/>
                <w:i/>
              </w:rPr>
              <w:t>Európska komisia, Generálne riaditeľstvo pre zamestnanosť, sociálne záležitosti a začlenenie, tabuľka údajov – Priame ukazovatele záruky pre mladých ľudí, február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keďže nadácia Eurofound odhaduje, že neangažovanosť mladých ľudí a neschopnosť začleniť osoby NEET do trhu práce stoja Úniu takmer 100 miliárd EUR ročne</w:t>
            </w:r>
            <w:r>
              <w:rPr>
                <w:b/>
                <w:i/>
                <w:vertAlign w:val="superscript"/>
              </w:rPr>
              <w:t>1a</w:t>
            </w:r>
            <w:r>
              <w:rPr>
                <w:b/>
                <w:i/>
              </w:rPr>
              <w:t>, čo poukazuje na naliehavú hospodársku a sociálnu potrebu zabezpečiť účinné zlepšenie posilnenej záruky pre mladých ľudí;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Employment and social developments in Europe (Vývoj v oblasti zamestnanosti a sociálnej situácie v Európe),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keďže ESF+ je hlavným nástrojom na financovanie posilnenej záruky pre mladých ľudí na obdobie 2021 – 2027;</w:t>
            </w:r>
            <w:r>
              <w:t xml:space="preserve"> </w:t>
            </w:r>
            <w:r>
              <w:rPr>
                <w:b/>
                <w:i/>
              </w:rPr>
              <w:t>keďže riadiace orgány musia zlepšiť svoje absorpčné kapacity, najmä vo vzdialených oblastiach;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keďže veľká časť mladých ľudí pracuje na dočasných, slabo platených a neistých pracovných miestach bez plných pracovných a sociálnych práv;</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keďže od mladých ľudí sa v rámci ich vzdelávania, odbornej prípravy a profesionálnej kariéry čoraz viac vyžaduje flexibilita a geografická mobilita;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keďže systémy záruky pre mladých ľudí nemôžu nahradiť právo na stabilné zamestnanie so všetkými právami ani legalizovať rozširovanie neplatenej alebo nedostatočne platenej práce prostredníctvom programov „stáže“ a „odbornej prípravy“;</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keďže neaktívne a zraniteľné osoby NEET sú najčastejšie vynechávané z iniciatív záruky pre mladých ľudí, z ktorých majú úžitok najmä mladí ľudia bližšie k trhu práce, čo sa nazýva aj „efekt zlízania smotany“, ktorý nadhodnocuje skutočný vplyv posilnenej záruky pre mladých ľudí na celkovú populáciu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keďže konkurencieschopnosť Únie závisí aj od zručností jej pracovnej sily a jej schopnosti aktivovať populáciu mladých ľudí v produktívnom veku s cieľom riešiť nedostatok pracovnej sily a zručností;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keďže prístup k cenovo dostupnému, primeranému a kvalitnému bývaniu je predpokladom úspešnej účasti na vzdelávaní, učňovskej príprave, stážach a zamestnaní;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keďže stále pretrvávajú inštitucionálne a štrukturálne prekážky, ktoré bránia sfunkčneniu záruky pre mladých ľudí a jej praktickému vykonávaniu v členských štátoch a na miestnej úrovni, ako sú prekážky výmeny údajov medzi službami, nesúlad medzi poskytovaním vzdelávania a odbornej prípravy a trhom práce, ako aj sociálno-ekonomické nevýhody, ktorým čelia zraniteľné skupiny;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keďže účinnosť záruky pre mladých ľudí by sa mala merať nielen okamžitým nástupom mladých ľudí do zamestnania, vzdelávania alebo odbornej prípravy, ale aj kvalitou, udržateľnosťou a dlhodobými kariérnymi vyhliadkami takýchto príležitostí;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keďže u mladých ľudí z etnických, rasových alebo náboženských menšín je väčšia pravdepodobnosť, že sa ocitnú v situácii, keď ich zručnosti nebudú zodpovedať ich zamestnaniu;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e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keďže politika v oblasti mládeže by sa mala považovať nielen za sociálnu prioritu, ale aj za strategickú investíciu do ľudského kapitálu, konkurencieschopnosti a dlhodobej hospodárskej odolnosti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f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keďže mladí ľudia NEET, mladí rodičia, najmä osamelí rodičia, a mladí zraniteľní ľudia čelia vyššiemu riziku psychickej tiesne a dlhodobého vylúčenia z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g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Bg.</w:t>
            </w:r>
            <w:r>
              <w:tab/>
            </w:r>
            <w:r>
              <w:rPr>
                <w:b/>
                <w:i/>
              </w:rPr>
              <w:t>keďže duševné zdravie a pohoda sú nevyhnutné pre účasť na trhu práce a možno ich posilniť preventívnymi a včasnými psychosociálnymi opatreniami v rámci aktivácie bez toho, aby bola dotknutá zodpovednosť členských štátov za zdravotnú starostlivosť;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h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Bh.</w:t>
            </w:r>
            <w:r>
              <w:tab/>
            </w:r>
            <w:r>
              <w:rPr>
                <w:b/>
                <w:i/>
              </w:rPr>
              <w:t>keďže automatizácia a umelá inteligencia pretvárajú trhy práce, čo predstavuje riziko vylúčenia mladých ľudí bez základných zručností v oblasti umelej inteligencie;</w:t>
            </w:r>
            <w:r>
              <w:t xml:space="preserve"> </w:t>
            </w:r>
            <w:r>
              <w:rPr>
                <w:b/>
                <w:i/>
              </w:rPr>
              <w:t>keďže záruka pre mladých ľudí sa musí aktívne zaoberať touto otázkou s cieľom zabezpečiť ich zamestnateľnosť;</w:t>
            </w:r>
            <w:r>
              <w:t xml:space="preserve"> </w:t>
            </w:r>
            <w:r>
              <w:rPr>
                <w:b/>
                <w:i/>
              </w:rPr>
              <w:t>keďže umelá inteligencia môže pomôcť prekonať (vzdelávacie) prekážky (prostredníctvom asistenčných technológií), ak mladí ľudia získajú včas digitálnu gramotnosť a základné zručnosti v oblasti umelej inteligencie;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i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Bi.</w:t>
            </w:r>
            <w:r>
              <w:tab/>
            </w:r>
            <w:r>
              <w:rPr>
                <w:b/>
                <w:i/>
              </w:rPr>
              <w:t>keďže záruka pre mladých ľudí je založená na zásade vzájomnej povinnosti, podľa ktorej majú mladí ľudia nielen právo na kvalitnú ponuku, ale aj povinnosť aktívne sa zúčastňovať a prijímať zodpovedajúce možnosti zamestnania, odbornej prípravy alebo vzdelávania;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Niels Geuking, Romana Tomc, Liesbet Sommen, Maravillas Abadía Jover,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j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Bj.</w:t>
            </w:r>
            <w:r>
              <w:tab/>
            </w:r>
            <w:r>
              <w:rPr>
                <w:b/>
                <w:i/>
              </w:rPr>
              <w:t>keďže členské štáty preto musia zabezpečiť, aby sa v prípadoch opakovaného a neodôvodneného odmietnutia primeraných ponúk mohli uplatniť vhodné opatrenia v súlade s vnútroštátnym právom, ktoré zabránia pasivite a podporia osobnú zodpovednosť mladých ľudí;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787.791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42</w:t>
    </w:r>
    <w:r>
      <w:fldChar w:fldCharType="end"/>
    </w:r>
    <w:r>
      <w:t>/</w:t>
    </w:r>
    <w:r>
      <w:fldChar w:fldCharType="begin"/>
    </w:r>
    <w:r>
      <w:instrText xml:space="preserve"> NUMPAGES </w:instrText>
    </w:r>
    <w:r>
      <w:fldChar w:fldCharType="separate"/>
    </w:r>
    <w:r>
      <w:t>42</w:t>
    </w:r>
    <w:r>
      <w:fldChar w:fldCharType="end"/>
    </w:r>
    <w:r>
      <w:tab/>
    </w:r>
    <w:r>
      <w:rPr>
        <w:rStyle w:val="HideTWBExt"/>
      </w:rPr>
      <w:t>&lt;PathFdR&gt;</w:t>
    </w:r>
    <w:r>
      <w:t>AM\1342335SK.docx</w:t>
    </w:r>
    <w:r>
      <w:rPr>
        <w:rStyle w:val="HideTWBExt"/>
      </w:rPr>
      <w:t>&lt;/PathFdR&gt;</w:t>
    </w:r>
  </w:p>
  <w:p>
    <w:pPr>
      <w:pStyle w:val="EPFooter2"/>
    </w:pPr>
    <w:r>
      <w:t>SK</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AM\1342335SK.docx</w:t>
    </w:r>
    <w:r>
      <w:rPr>
        <w:rStyle w:val="HideTWBExt"/>
      </w:rPr>
      <w:t>&lt;/PathFdR&gt;</w:t>
    </w:r>
    <w:r>
      <w:tab/>
    </w:r>
    <w:r>
      <w:fldChar w:fldCharType="begin"/>
    </w:r>
    <w:r>
      <w:instrText xml:space="preserve"> PAGE </w:instrText>
    </w:r>
    <w:r>
      <w:fldChar w:fldCharType="separate"/>
    </w:r>
    <w:r>
      <w:t>41</w:t>
    </w:r>
    <w:r>
      <w:fldChar w:fldCharType="end"/>
    </w:r>
    <w:r>
      <w:t>/</w:t>
    </w:r>
    <w:r>
      <w:fldChar w:fldCharType="begin"/>
    </w:r>
    <w:r>
      <w:instrText xml:space="preserve"> NUMPAGES </w:instrText>
    </w:r>
    <w:r>
      <w:fldChar w:fldCharType="separate"/>
    </w:r>
    <w:r>
      <w:t>42</w:t>
    </w:r>
    <w:r>
      <w:fldChar w:fldCharType="end"/>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ab/>
    </w:r>
    <w:r>
      <w:tab/>
    </w:r>
    <w:r>
      <w:t>SK</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AM\1342335SK.docx</w:t>
    </w:r>
    <w:r>
      <w:rPr>
        <w:rStyle w:val="HideTWBExt"/>
      </w:rPr>
      <w:t>&lt;/PathFdR&gt;</w:t>
    </w:r>
    <w:r>
      <w:tab/>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SK</w:t>
    </w:r>
    <w:r>
      <w:tab/>
    </w:r>
    <w:r>
      <w:rPr>
        <w:rStyle w:val="EPFooter2Motto"/>
      </w:rPr>
      <w:t>Zjednotení v rozmanitosti</w:t>
    </w:r>
    <w:r>
      <w:tab/>
    </w:r>
    <w:r>
      <w:t>SK</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42</Pages>
  <Words>6547</Words>
  <Characters>40591</Characters>
  <Application>Microsoft Office Word</Application>
  <DocSecurity>0</DocSecurity>
  <Lines>1</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1342335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508116</vt:lpwstr>
  </property>
  <property fmtid="{D5CDD505-2E9C-101B-9397-08002B2CF9AE}" pid="7" name="dmxml.render.traceId">
    <vt:lpwstr>6a16b8f307d64d7584fc04c35df0334d</vt:lpwstr>
  </property>
  <property fmtid="{D5CDD505-2E9C-101B-9397-08002B2CF9AE}" pid="8" name="FooterPath">
    <vt:lpwstr>AM\1342335SK.docx</vt:lpwstr>
  </property>
  <property fmtid="{D5CDD505-2E9C-101B-9397-08002B2CF9AE}" pid="9" name="PE Number">
    <vt:lpwstr>787.791</vt:lpwstr>
  </property>
  <property fmtid="{D5CDD505-2E9C-101B-9397-08002B2CF9AE}" pid="10" name="UID">
    <vt:lpwstr>eu.europa.europarl-DIN1-2026-0000110653_01.00-sk-01.00_text-xml</vt:lpwstr>
  </property>
</Properties>
</file>