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Utskottet för sysselsättning och sociala frågor</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Genomförandet av rådets rekommendation av den 30 oktober 2020 om en väg till jobb – en förstärkt ungdomsgaranti och om ersättande av rådets rekommendation av den 22 april 2013 om att inrätta en ungdomsgaranti</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målen avseende socialpolitik i artiklarna 151 och 153 i EUF-fördraget jämförda med artikel 3 i förordning (EG) nr 883/2004 om samordning av de sociala trygghetssystemen,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med beaktande av den europeiska pelaren för sociala rättigheter, som proklamerades och undertecknades av rådet, parlamentet och kommissionen den 17 november 2017, i synnerhet principerna 1, 3 och 4,</w:t>
            </w:r>
          </w:p>
        </w:tc>
        <w:tc>
          <w:tcPr>
            <w:tcW w:w="4876" w:type="dxa"/>
            <w:tcBorders>
              <w:top w:val="nil"/>
              <w:left w:val="nil"/>
              <w:bottom w:val="nil"/>
              <w:right w:val="nil"/>
            </w:tcBorders>
          </w:tcPr>
          <w:p>
            <w:pPr>
              <w:pStyle w:val="Normal6a"/>
            </w:pPr>
            <w:r>
              <w:rPr>
                <w:b/>
                <w:i/>
              </w:rPr>
              <w:t>–</w:t>
            </w:r>
            <w:r>
              <w:tab/>
            </w:r>
            <w:r>
              <w:t xml:space="preserve">med beaktande av den europeiska pelaren för sociala rättigheter, som proklamerades och undertecknades av rådet, parlamentet och kommissionen den 17 november 2017, i synnerhet principerna 1, 3 och 4, </w:t>
            </w:r>
            <w:r>
              <w:rPr>
                <w:b/>
                <w:i/>
              </w:rPr>
              <w:t>och dess mål att minska andelen unga som varken arbetar eller studerar till 9 % senast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med beaktande av den europeiska pelaren för sociala rättigheter, som proklamerades och undertecknades av rådet, parlamentet och kommissionen den 17 november 2017, i synnerhet principerna 1, 3 och 4,</w:t>
            </w:r>
          </w:p>
        </w:tc>
        <w:tc>
          <w:tcPr>
            <w:tcW w:w="4876" w:type="dxa"/>
            <w:tcBorders>
              <w:top w:val="nil"/>
              <w:left w:val="nil"/>
              <w:bottom w:val="nil"/>
              <w:right w:val="nil"/>
            </w:tcBorders>
          </w:tcPr>
          <w:p>
            <w:pPr>
              <w:pStyle w:val="Normal6a"/>
            </w:pPr>
            <w:r>
              <w:rPr>
                <w:b/>
                <w:i/>
              </w:rPr>
              <w:t>–</w:t>
            </w:r>
            <w:r>
              <w:tab/>
            </w:r>
            <w:r>
              <w:t xml:space="preserve">med beaktande av den europeiska pelaren för sociala rättigheter, som proklamerades och undertecknades av rådet, parlamentet och kommissionen den 17 november 2017, i synnerhet principerna 1, 3 och 4, </w:t>
            </w:r>
            <w:r>
              <w:rPr>
                <w:b/>
                <w:i/>
              </w:rPr>
              <w:t>och dess mål att minska andelen unga som varken arbetar eller studerar till 9 % senast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artiklarna 7 och 17 i den reviderade europeiska sociala stadgan,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rådets slutsatser om ungdomsarbetets roll till stöd för ungdomars utveckling av viktiga livskunskaper som underlättar en lyckad övergång till vuxenlivet, ett aktivt medborgarskap och arbetslivet (2017/C 189/06),</w:t>
            </w:r>
            <w:r>
              <w:rPr>
                <w:b/>
                <w:i/>
                <w:vertAlign w:val="superscript"/>
              </w:rPr>
              <w:t>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EUT C 189, 15.6.2017, s.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6b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genomförandet av EU:s ungdomsstrategi 2019–2021 (2021/C 504 1/02),</w:t>
            </w:r>
            <w:r>
              <w:rPr>
                <w:b/>
                <w:i/>
                <w:vertAlign w:val="superscript"/>
              </w:rPr>
              <w:t>2b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EUT C 504I, 14.12.2021, s.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6c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meddelandet från Europeiska kommissionen av den 5 mars 2026, En jämlikhetsunion:</w:t>
            </w:r>
            <w:r>
              <w:t xml:space="preserve"> </w:t>
            </w:r>
            <w:r>
              <w:rPr>
                <w:b/>
                <w:i/>
              </w:rPr>
              <w:t>strategi mot rasism 2026–2030 (COM(2026)0012),</w:t>
            </w:r>
            <w:r>
              <w:rPr>
                <w:b/>
                <w:i/>
                <w:vertAlign w:val="superscript"/>
              </w:rPr>
              <w:t>2c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COM(2026)0012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6d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rapporten från Europeiska unionens byrå för grundläggande rättigheter (FRA) "Being Black in the EU – Experiences of people of African descent”,</w:t>
            </w:r>
            <w:r>
              <w:rPr>
                <w:b/>
                <w:i/>
                <w:vertAlign w:val="superscript"/>
              </w:rPr>
              <w:t>2d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https://fra.europa.eu/sv/publication/2023/being-black-eu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6e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rapporten från FRA "Being Muslim in the EU – Experiences of Muslims",</w:t>
            </w:r>
            <w:r>
              <w:rPr>
                <w:b/>
                <w:i/>
                <w:vertAlign w:val="superscript"/>
              </w:rPr>
              <w:t>2e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https://fra.europa.eu/sv/publication/2024/being-muslim-eu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sysselsättningskommitténs huvudbudskap, som godkändes av rådet i konstellationen sysselsättning, socialpolitik, hälso- och sjukvård samt konsumentfrågor 2016, 2018, 2019, 2021, 2023, 2025 och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10a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FN:s mål för hållbar utveckling, i synnerhet mål 8, som antogs av världens ledare i september 2015 och godkändes av 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den europeiska sociala stadgan, i synnerhet artiklarna 7 och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Agenda 2030 och målen för hållbar utveckling, i synnerhet mål 8 för hållbar utveckling om att verka för varaktig, inkluderande och hållbar ekonomisk tillväxt, full och produktiv sysselsättning med anständiga arbetsvillkor för 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rådets rekommendation av den 9 mars 2026 om Europeiska unionens humankapital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EUT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Europeiska regionkommitténs yttrande av den 5 februari 2021 om stöd till ungdomssysselsättning:</w:t>
            </w:r>
            <w:r>
              <w:t xml:space="preserve"> </w:t>
            </w:r>
            <w:r>
              <w:rPr>
                <w:b/>
                <w:i/>
              </w:rPr>
              <w:t>en väg till jobb för nästa generation genom en förstärkt ungdomsgaranti</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EUT C 106, 26.3.2021, s.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Europeiska ekonomiska och sociala kommitténs yttrande av den 29 oktober 2020 En förstärkt ungdomsgaranti,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Eurofounds rapport från 2024 "Becoming adults: Young people in a post-pandemic world"</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Europeiska unionens publikationsbyrå",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Eurofounds rapport från 2024 "Young people in the Western Balkans"</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Europeiska unionens publikationsbyrå, Luxemburg.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Cedefops publikation från 2023 om europeiska riktlinjer för validering av icke-formellt och informellt lärande</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"European guidelines for validating non-formal and informal learning".</w:t>
            </w:r>
            <w:r>
              <w:t xml:space="preserve"> </w:t>
            </w:r>
            <w:r>
              <w:rPr>
                <w:b/>
                <w:i/>
              </w:rPr>
              <w:t>Luxemburg:</w:t>
            </w:r>
            <w:r>
              <w:t xml:space="preserve"> </w:t>
            </w:r>
            <w:r>
              <w:rPr>
                <w:b/>
                <w:i/>
              </w:rPr>
              <w:t>Publikationsbyrån.</w:t>
            </w:r>
            <w:r>
              <w:t xml:space="preserve"> </w:t>
            </w:r>
            <w:r>
              <w:rPr>
                <w:b/>
                <w:i/>
              </w:rPr>
              <w:t>Cedefops referensserie</w:t>
            </w:r>
            <w:r>
              <w:t xml:space="preserve"> </w:t>
            </w:r>
            <w:r>
              <w:rPr>
                <w:b/>
                <w:i/>
              </w:rPr>
              <w:t>nr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Europeiska yrkesutbildningsstiftelsens publikation från 2025 "Outreach to Young People not in Employment, Education or Training:</w:t>
            </w:r>
            <w:r>
              <w:t xml:space="preserve"> </w:t>
            </w:r>
            <w:r>
              <w:rPr>
                <w:b/>
                <w:i/>
              </w:rPr>
              <w:t>A practical Manual for Outreach"</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Europeiska yrkesutbildningsstiftelsen (2025), "Outreach to Young People not in Employment, Education of Training:</w:t>
            </w:r>
            <w:r>
              <w:t xml:space="preserve"> </w:t>
            </w:r>
            <w:r>
              <w:rPr>
                <w:b/>
                <w:i/>
              </w:rPr>
              <w:t>A practical Manual for Outreach", Turin, Italien.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Cedefops publikation från 2026 "An EU reference framework for lifelong guidance: 18 guidelines for policy and system development"</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"An EU reference framework for lifelong guidance: </w:t>
            </w:r>
            <w:r>
              <w:t xml:space="preserve"> </w:t>
            </w:r>
            <w:r>
              <w:rPr>
                <w:b/>
                <w:i/>
              </w:rPr>
              <w:t>18 guidelines for policy and system development."</w:t>
            </w:r>
            <w:r>
              <w:t xml:space="preserve"> </w:t>
            </w:r>
            <w:r>
              <w:rPr>
                <w:b/>
                <w:i/>
              </w:rPr>
              <w:t>Cedefops referensserie, 125.</w:t>
            </w:r>
            <w:r>
              <w:t xml:space="preserve"> </w:t>
            </w:r>
            <w:r>
              <w:rPr>
                <w:b/>
                <w:i/>
              </w:rPr>
              <w:t>Europeiska unionens publikationsbyrå.</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med beaktande av bedömningen av genomförandet på EU-nivå av den 18 december ”The implementation of the reinforced Youth Guarantee – Trends in EU Member States, impact, EU funding and governance”, av Europaparlamentets utredningstjänst,</w:t>
            </w:r>
          </w:p>
        </w:tc>
        <w:tc>
          <w:tcPr>
            <w:tcW w:w="4876" w:type="dxa"/>
            <w:tcBorders>
              <w:top w:val="nil"/>
              <w:left w:val="nil"/>
              <w:bottom w:val="nil"/>
              <w:right w:val="nil"/>
            </w:tcBorders>
          </w:tcPr>
          <w:p>
            <w:pPr>
              <w:pStyle w:val="Normal6a"/>
            </w:pPr>
            <w:r>
              <w:rPr>
                <w:b/>
                <w:i/>
              </w:rPr>
              <w:t>–</w:t>
            </w:r>
            <w:r>
              <w:tab/>
            </w:r>
            <w:r>
              <w:t>med beaktande av bedömningen av genomförandet på EU-nivå av den 18 december ”The implementation of the reinforced Youth Guarantee – Trends in EU Member States, impact, EU funding and governance”, av Europaparlamentets utredningstjänst</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https://www.europarl.europa.eu/thinktank/sv/document/EPRS_STU(2025)774714.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den studie som Europeiska regionkommittén offentliggjorde i juni 2022 om genomförandet på lokal nivå av den förstärkta ungdomsgarantin,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18b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ståndpunktsdokumentet av den 13 mars 2025 från Europeiska ungdomsforumet "Youth Guarantee: How to support young people finding a pathway",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resolution av den 21 november 2023 Minskande av ojämlikheten och främjande av social inkludering i kristider för barn och deras familjer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https://eur-lex.europa.eu/eli/C/2024/4211/oj/swe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17 februari 2022 om att ge makt åt unga människor i EU:</w:t>
            </w:r>
            <w:r>
              <w:t xml:space="preserve"> </w:t>
            </w:r>
            <w:r>
              <w:rPr>
                <w:b/>
                <w:i/>
              </w:rPr>
              <w:t>Sysselsättning och social återhämtning efter pandemin</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EUT C 342, 6.9.2022, s.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19b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11 mars 2025 om Europeiska socialfonden+ efter 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EUT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19c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27 november 2025 om EU:s strategi för rättigheter för personer med funktionsnedsättning efter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Den förstärkta ungdomsgarantin är ett åtagande som gjorts av medlemsländerna gentemot unga under 30 år, som ska erbjudas högkvalitativ sysselsättning, vidareutbildning, lärlingsutbildning eller möjlighet till praktik inom fyra månader efter det att de blivit arbetslösa eller avslutat sin utbildning.</w:t>
            </w:r>
          </w:p>
        </w:tc>
        <w:tc>
          <w:tcPr>
            <w:tcW w:w="4876" w:type="dxa"/>
            <w:tcBorders>
              <w:top w:val="nil"/>
              <w:left w:val="nil"/>
              <w:bottom w:val="nil"/>
              <w:right w:val="nil"/>
            </w:tcBorders>
          </w:tcPr>
          <w:p>
            <w:pPr>
              <w:pStyle w:val="Normal6a"/>
            </w:pPr>
            <w:r>
              <w:t>A.</w:t>
            </w:r>
            <w:r>
              <w:tab/>
            </w:r>
            <w:r>
              <w:t xml:space="preserve">Den förstärkta ungdomsgarantin är ett åtagande som gjorts av medlemsländerna gentemot unga </w:t>
            </w:r>
            <w:r>
              <w:rPr>
                <w:b/>
                <w:i/>
              </w:rPr>
              <w:t>medborgare</w:t>
            </w:r>
            <w:r>
              <w:t xml:space="preserve"> under 30 år, som </w:t>
            </w:r>
            <w:r>
              <w:rPr>
                <w:b/>
                <w:i/>
              </w:rPr>
              <w:t>teoretiskt sett</w:t>
            </w:r>
            <w:r>
              <w:t xml:space="preserve"> ska erbjudas högkvalitativ sysselsättning, vidareutbildning, lärlingsutbildning eller möjlighet till praktik inom fyra månader efter det att de blivit arbetslösa eller avslutat sin utbildning. </w:t>
            </w:r>
            <w:r>
              <w:rPr>
                <w:b/>
                <w:i/>
              </w:rPr>
              <w:t>Detta åtagande har stött på hinder i praktiken och har visat sig vara en byråkratisk illusion, och mer än hälften av de unga i EU väntar fortfarande på ett erbjudande efter denna tidsfrist.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Den förstärkta ungdomsgarantin är ett åtagande som gjorts av medlemsländerna gentemot unga under 30 år, som ska erbjudas högkvalitativ sysselsättning, vidareutbildning, lärlingsutbildning eller möjlighet till praktik inom fyra månader efter det att de blivit arbetslösa eller avslutat sin utbildning.</w:t>
            </w:r>
          </w:p>
        </w:tc>
        <w:tc>
          <w:tcPr>
            <w:tcW w:w="4876" w:type="dxa"/>
            <w:tcBorders>
              <w:top w:val="nil"/>
              <w:left w:val="nil"/>
              <w:bottom w:val="nil"/>
              <w:right w:val="nil"/>
            </w:tcBorders>
          </w:tcPr>
          <w:p>
            <w:pPr>
              <w:pStyle w:val="Normal6a"/>
            </w:pPr>
            <w:r>
              <w:t>A.</w:t>
            </w:r>
            <w:r>
              <w:tab/>
            </w:r>
            <w:r>
              <w:t xml:space="preserve">Den förstärkta ungdomsgarantin är ett åtagande som gjorts av medlemsländerna gentemot unga under 30 år, som ska erbjudas högkvalitativ sysselsättning, vidareutbildning, lärlingsutbildning eller möjlighet till praktik inom fyra månader efter det att de blivit arbetslösa eller avslutat sin utbildning. </w:t>
            </w:r>
            <w:r>
              <w:rPr>
                <w:b/>
                <w:i/>
              </w:rPr>
              <w:t>Sedan den infördes 2013 har omkring 60 miljoner unga européer dragit nytta av erbjudanden inom ramen för ungdomsgarantin.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Den förstärkta ungdomsgarantin är ett åtagande som gjorts av medlemsländerna gentemot unga under 30 år, som ska erbjudas </w:t>
            </w:r>
            <w:r>
              <w:rPr>
                <w:b/>
                <w:i/>
              </w:rPr>
              <w:t>högkvalitativ</w:t>
            </w:r>
            <w:r>
              <w:t xml:space="preserve"> sysselsättning, vidareutbildning, lärlingsutbildning eller möjlighet till praktik inom fyra månader efter det att de blivit arbetslösa eller avslutat sin utbildning.</w:t>
            </w:r>
          </w:p>
        </w:tc>
        <w:tc>
          <w:tcPr>
            <w:tcW w:w="4876" w:type="dxa"/>
            <w:tcBorders>
              <w:top w:val="nil"/>
              <w:left w:val="nil"/>
              <w:bottom w:val="nil"/>
              <w:right w:val="nil"/>
            </w:tcBorders>
          </w:tcPr>
          <w:p>
            <w:pPr>
              <w:pStyle w:val="Normal6a"/>
            </w:pPr>
            <w:r>
              <w:t>A.</w:t>
            </w:r>
            <w:r>
              <w:tab/>
            </w:r>
            <w:r>
              <w:rPr>
                <w:b/>
                <w:i/>
              </w:rPr>
              <w:t>Ungdomsgarantin inrättades 2013 och förstärktes 2020 (</w:t>
            </w:r>
            <w:r>
              <w:t>den förstärkta ungdomsgarantin</w:t>
            </w:r>
            <w:r>
              <w:rPr>
                <w:b/>
                <w:i/>
              </w:rPr>
              <w:t>).</w:t>
            </w:r>
            <w:r>
              <w:t xml:space="preserve"> </w:t>
            </w:r>
            <w:r>
              <w:rPr>
                <w:b/>
                <w:i/>
              </w:rPr>
              <w:t>Den</w:t>
            </w:r>
            <w:r>
              <w:t xml:space="preserve"> är ett åtagande som gjorts av medlemsländerna gentemot unga under 30 år, som ska erbjudas </w:t>
            </w:r>
            <w:r>
              <w:rPr>
                <w:b/>
                <w:i/>
              </w:rPr>
              <w:t>kvalitativ</w:t>
            </w:r>
            <w:r>
              <w:t xml:space="preserve"> sysselsättning, vidareutbildning, lärlingsutbildning eller möjlighet till praktik inom fyra månader efter det att de blivit arbetslösa eller avslutat sin utbildning.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Syftet med den förstärkta ungdomsgarantin är att bekämpa ungdomsarbetslöshet, inaktivitet och undersysselsättning bland unga och att stödja en hållbar integrering av unga i utbildning av god kvalitet och på arbetsmarknaden.</w:t>
            </w:r>
            <w:r>
              <w:t xml:space="preserve"> </w:t>
            </w:r>
            <w:r>
              <w:rPr>
                <w:b/>
                <w:i/>
              </w:rPr>
              <w:t>Den förstärkta ungdomsgarantins mål återspeglar Europaparlamentets, kommissionens och medlemsstaternas gemensamma politiska prioriteringar inom ramen för den nuvarande fleråriga budgetramen och bidrar till unionens mål om hållbar ekonomisk tillväxt och skapande av arbetstillfällen av hög kvalitet i linje med den europeiska pelaren för sociala rättigheter.</w:t>
            </w:r>
            <w:r>
              <w:t xml:space="preserve"> </w:t>
            </w:r>
            <w:r>
              <w:rPr>
                <w:b/>
                <w:i/>
              </w:rPr>
              <w:t>På grund av ihållande problem och nya snabbt föränderliga utmaningar för unga personers integration på arbetsmarknaden krävs det att dessa prioriteringar behålls efter den nuvarande programperioden.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Medlemsstaterna har i allmänhet stått fast vid det starka politiska åtagandet om att genomföra ungdomsgarantin och de nationella genomförandeplanerna.</w:t>
            </w:r>
            <w:r>
              <w:t xml:space="preserve"> </w:t>
            </w:r>
            <w:r>
              <w:rPr>
                <w:b/>
                <w:i/>
              </w:rPr>
              <w:t>Särskilda insatser har gjorts för att stärka stödkapaciteten till förmån för unga som varken arbetar eller studerar och övningar för ömsesidigt lärande genom möten för nationella samordnare på EU-nivå och andra nivåer.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Eurofounds forskning visar att gruppen unga som varken arbetar eller studerar är mycket heterogen och består av olika undergrupper som alla står inför olika strukturella hinder och behov som hindrar dem från att integreras framgångsrikt på arbetsmarknaden.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Utformningen och genomförandet av åtgärder av detta slag bör fullt ut respektera subsidiaritetsprincipen och medlemsstaternas befogenheter på områdena för utbildnings- och sysselsättningspolitik.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Andelen unga som varken arbetar eller studerar i EU har åter börjat minska efter pandemin.</w:t>
            </w:r>
            <w:r>
              <w:t xml:space="preserve"> </w:t>
            </w:r>
            <w:r>
              <w:rPr>
                <w:b/>
                <w:i/>
              </w:rPr>
              <w:t>Handlingsplanen för den europeiska pelaren för sociala rättigheter innehåller ett mål om att minska andelen unga i åldern 15–29 år som varken arbetar eller studerar till 9 % senast 2030.</w:t>
            </w:r>
            <w:r>
              <w:t xml:space="preserve"> </w:t>
            </w:r>
            <w:r>
              <w:rPr>
                <w:b/>
                <w:i/>
              </w:rPr>
              <w:t>Detta mål är på god väg att uppnås, trots betydande skillnader mellan medlemsstater och regioner</w:t>
            </w:r>
            <w:r>
              <w:rPr>
                <w:b/>
                <w:i/>
                <w:vertAlign w:val="superscript"/>
              </w:rPr>
              <w:t>11a</w:t>
            </w:r>
            <w:r>
              <w:rPr>
                <w:b/>
                <w:i/>
              </w:rPr>
              <w:t>. Även om detta mål uppnås skulle ett betydande antal unga personer fortfarande befinna sig i utsatta situationer.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Unga som varken arbetar eller studerar är en brokig skara av unga personer med olika erfarenheter.</w:t>
            </w:r>
            <w:r>
              <w:t xml:space="preserve"> </w:t>
            </w:r>
            <w:r>
              <w:rPr>
                <w:b/>
                <w:i/>
              </w:rPr>
              <w:t>Eurofounds forskning</w:t>
            </w:r>
            <w:r>
              <w:rPr>
                <w:b/>
                <w:i/>
                <w:vertAlign w:val="superscript"/>
              </w:rPr>
              <w:t>1a</w:t>
            </w:r>
            <w:r>
              <w:t xml:space="preserve"> </w:t>
            </w:r>
            <w:r>
              <w:rPr>
                <w:b/>
                <w:i/>
              </w:rPr>
              <w:t>visar att gruppen unga som varken arbetar eller studerar är mycket heterogen och består av olika undergrupper som alla står inför olika strukturella hinder som hindrar dem från att integreras framgångsrikt på arbetsmarknaden, och att det därför krävs skräddarsytt, individanpassat stöd för att möta deras specifika behov.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Europeiska unionens publikationsbyrå, Luxemburg,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Vid genomförandet och förbättringen av den förstärkta ungdomsgarantin måste särskild uppmärksamhet ägnas åt unga som varken arbetar eller studerar som är i utsatta situationer och de som befinner sig längst bort från arbetsmarknaden, som ofta är svåra att nå.</w:t>
            </w:r>
            <w:r>
              <w:t xml:space="preserve"> </w:t>
            </w:r>
            <w:r>
              <w:rPr>
                <w:b/>
                <w:i/>
              </w:rPr>
              <w:t>Detta inbegriper kvinnor, personer med olika etniska bakgrunder, romer och resandefolk, unga personer som upplever hemlöshet, unga personer som har lämnat institutionsvård, hbtqia+-personer, unga personer med migrant- eller flyktingstatus, unga personer med funktionsnedsättning, unga personer som utsätts för diskriminering på grund av religion eller övertygelse, unga personer som drabbas av kroniska sjukdomar eller beroende, unga föräldrar samt unga personer som är anhörigvårdare.</w:t>
            </w:r>
            <w:r>
              <w:t xml:space="preserve"> </w:t>
            </w:r>
            <w:r>
              <w:rPr>
                <w:b/>
                <w:i/>
              </w:rPr>
              <w:t>En tydlig åtskillnad måste göras mellan unga som varken arbetar eller studerar och som är ofrivilligt utestängda från utbildning, arbete eller yrkesutbildning och de som är frivilligt inaktiva.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Det finns en ihållande klyfta mellan könen när det gäller unga som varken arbetar eller studerar, och andelen unga kvinnor som varken arbetar eller studerar är genomgående högre än andelen unga män i EU som varken arbetar eller studerar.</w:t>
            </w:r>
            <w:r>
              <w:rPr>
                <w:b/>
                <w:i/>
                <w:vertAlign w:val="superscript"/>
              </w:rPr>
              <w:t>12a</w:t>
            </w:r>
            <w:r>
              <w:t xml:space="preserve"> </w:t>
            </w:r>
            <w:r>
              <w:rPr>
                <w:b/>
                <w:i/>
              </w:rPr>
              <w:t>Denna situation kan delvis förklaras av ojämlik fördelning av barnomsorgsansvar och sociala normer.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Integrationen på arbetsmarknaden av unga som varken arbetar eller studerar har blivit alltmer komplex till följd av faktorer såsom gigekonomins tillväxt och ökningen av otrygga och atypiska anställningsformer, ökningen av artificiell intelligens och digitalisering samt levnadskostnadskrisen, inbegripet stigande boendekostnader.</w:t>
            </w:r>
            <w:r>
              <w:t xml:space="preserve"> </w:t>
            </w:r>
            <w:r>
              <w:rPr>
                <w:b/>
                <w:i/>
              </w:rPr>
              <w:t>Denna utveckling skapar strukturella hinder för hållbar sysselsättning och förvärrar ojämlikheter, vilket gör att utsatta unga som varken arbetar eller studerar lämnas på efterkälken.</w:t>
            </w:r>
            <w:r>
              <w:t xml:space="preserve"> </w:t>
            </w:r>
            <w:r>
              <w:rPr>
                <w:b/>
                <w:i/>
              </w:rPr>
              <w:t>Genomförandet av det förstärkta ungdomsgarantin måste reformeras och stärkas för att effektivt bemöta dessa utmaningar och prioritera de unga som varken arbetar eller studerar som befinner sig längst bort från arbetsmarknaden.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Romerna är den grupp som har högst andel unga som varken arbetar eller studerar i EU, med 47 % för 16–24-åringar, jämfört med ett EU-genomsnitt på 9 % för samma åldersgrupp.</w:t>
            </w:r>
            <w:r>
              <w:rPr>
                <w:b/>
                <w:i/>
                <w:vertAlign w:val="superscript"/>
              </w:rPr>
              <w:t>13a</w:t>
            </w:r>
            <w:r>
              <w:t xml:space="preserve"> </w:t>
            </w:r>
            <w:r>
              <w:rPr>
                <w:b/>
                <w:i/>
              </w:rPr>
              <w:t>Ingen av de medlemsstater som undersöktes är i närheten av att uppnå de mål som fastställts i EU:s strategiska ram för romer</w:t>
            </w:r>
            <w:r>
              <w:rPr>
                <w:b/>
                <w:i/>
                <w:vertAlign w:val="superscript"/>
              </w:rPr>
              <w:t>14a</w:t>
            </w:r>
            <w:r>
              <w:rPr>
                <w:b/>
                <w:i/>
              </w:rPr>
              <w:t>, och utan ett målinriktat och strategiskt tillvägagångssätt från medlemsstaternas sida riskerar EU att utsätta en generation unga romer och resandefolk för risken att att utestängas från utbildning och arbetsmarknaden.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Roma and Travellers in 13 European countries – Perspectives from the Roma Survey 2024 , Europeiska unionens byrå för grundläggande rättigheter (FRA), den 2 oktober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Europeiska kommissionen. (2020, den 7 oktober).</w:t>
            </w:r>
            <w:r>
              <w:t xml:space="preserve"> </w:t>
            </w:r>
            <w:r>
              <w:rPr>
                <w:b/>
                <w:i/>
              </w:rPr>
              <w:t>EU:s strategiska ram för romers jämlikhet, inkludering och deltagande 2020–2030 (COM (2020)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Övergången från utbildning till arbetsmarknad har blivit längre, mindre linjär och alltmer osäker för unga personer, och många rör sig mellan sysselsättning, arbetslöshet och inaktivitet eller fastnar i atypiska anställningsformer.</w:t>
            </w:r>
            <w:r>
              <w:t xml:space="preserve"> </w:t>
            </w:r>
            <w:r>
              <w:rPr>
                <w:b/>
                <w:i/>
              </w:rPr>
              <w:t>Den förstärkta ungdomsgarantin har inte i tillräcklig utsträckning anpassat sig till dessa fragmenterade vägar och förlitar sig fortfarande på stelbenta engångsåtgärder.</w:t>
            </w:r>
            <w:r>
              <w:t xml:space="preserve"> </w:t>
            </w:r>
            <w:r>
              <w:rPr>
                <w:b/>
                <w:i/>
              </w:rPr>
              <w:t>För en effektiv integration på arbetsmarknaden, särskilt för utsatta unga som varken arbetar eller studerar, krävs det flexibelt, individanpassat och långsiktigt stöd.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Enligt undersökningen om romer från Europeiska unionens byrå för grundläggande rättigheter för 2021 har 19 % av romska kvinnor aldrig gått i skolan, jämfört med 14 % av romska män, och fortsätter endast 23 % av romska kvinnor att gå i skolan efter 16 års ålder, jämfört med 32 % av romska män</w:t>
            </w:r>
            <w:r>
              <w:rPr>
                <w:b/>
                <w:i/>
                <w:vertAlign w:val="superscript"/>
              </w:rPr>
              <w:t>15a</w:t>
            </w:r>
            <w:r>
              <w:rPr>
                <w:b/>
                <w:i/>
              </w:rPr>
              <w:t>.</w:t>
            </w:r>
            <w:r>
              <w:t xml:space="preserve"> </w:t>
            </w:r>
            <w:r>
              <w:rPr>
                <w:b/>
                <w:i/>
              </w:rPr>
              <w:t>Könsuppdelade uppgifter visar att i genomsnitt 61 % av unga romska och resande kvinnor varken arbetar eller studerar, jämfört med 33 % av unga romska män</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Europarådet (2025).</w:t>
            </w:r>
            <w:r>
              <w:t xml:space="preserve"> </w:t>
            </w:r>
            <w:r>
              <w:rPr>
                <w:b/>
                <w:i/>
              </w:rPr>
              <w:t>Equality of Roma and Traveller women and girls (Ref. 094724GBR).</w:t>
            </w:r>
            <w:r>
              <w:t xml:space="preserve"> </w:t>
            </w:r>
            <w:r>
              <w:rPr>
                <w:b/>
                <w:i/>
              </w:rPr>
              <w:t>Europarådet. https://edoc.coe.int/en/roma-and-travellers/12078-equality-of-roma-and-traveller-women-and-girls.html;</w:t>
            </w:r>
            <w:r>
              <w:t xml:space="preserve"> </w:t>
            </w:r>
            <w:r>
              <w:rPr>
                <w:b/>
                <w:i/>
              </w:rPr>
              <w:t>Europeiska unionens byrå för grundläggande rättigheter. (2020).</w:t>
            </w:r>
            <w:r>
              <w:t xml:space="preserve"> </w:t>
            </w:r>
            <w:r>
              <w:rPr>
                <w:b/>
                <w:i/>
              </w:rPr>
              <w:t>Roma and Travellers in six countries:</w:t>
            </w:r>
            <w:r>
              <w:t xml:space="preserve"> </w:t>
            </w:r>
            <w:r>
              <w:rPr>
                <w:b/>
                <w:i/>
              </w:rPr>
              <w:t>Roma and Travellers survey (FRA-rapport).</w:t>
            </w:r>
            <w:r>
              <w:t xml:space="preserve"> </w:t>
            </w:r>
            <w:r>
              <w:rPr>
                <w:b/>
                <w:i/>
              </w:rPr>
              <w:t>Europeiska unionens publikationsbyrå.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Europeiska unionens byrå för grundläggande rättigheter. (2025).</w:t>
            </w:r>
            <w:r>
              <w:t xml:space="preserve"> </w:t>
            </w:r>
            <w:r>
              <w:rPr>
                <w:b/>
                <w:i/>
              </w:rPr>
              <w:t>Rights of Roma and Travellers in 13 European countries – Perspectives from the Roma Survey 2024.</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Unga personer är oproportionerligt utsatta för lågavlönat arbete</w:t>
            </w:r>
            <w:r>
              <w:rPr>
                <w:b/>
                <w:i/>
                <w:vertAlign w:val="superscript"/>
              </w:rPr>
              <w:t>1a</w:t>
            </w:r>
            <w:r>
              <w:t xml:space="preserve"> </w:t>
            </w:r>
            <w:r>
              <w:rPr>
                <w:b/>
                <w:i/>
              </w:rPr>
              <w:t>samt otrygga och atypiska anställningsformer, inbegripet visstidsanställningar, nolltidskontrakt och falskt egenföretagande</w:t>
            </w:r>
            <w:r>
              <w:rPr>
                <w:b/>
                <w:i/>
                <w:vertAlign w:val="superscript"/>
              </w:rPr>
              <w:t>1b</w:t>
            </w:r>
            <w:r>
              <w:rPr>
                <w:b/>
                <w:i/>
              </w:rPr>
              <w:t>.</w:t>
            </w:r>
            <w:r>
              <w:t xml:space="preserve"> </w:t>
            </w:r>
            <w:r>
              <w:rPr>
                <w:b/>
                <w:i/>
              </w:rPr>
              <w:t>De saknar ofta tillgång till lämpligt anställningsskydd och sociala förmåner.</w:t>
            </w:r>
            <w:r>
              <w:t xml:space="preserve"> </w:t>
            </w:r>
            <w:r>
              <w:rPr>
                <w:b/>
                <w:i/>
              </w:rPr>
              <w:t>Unga personer löper också större risk att bli uppsagda på grund av automatisering.</w:t>
            </w:r>
            <w:r>
              <w:t xml:space="preserve"> </w:t>
            </w:r>
            <w:r>
              <w:rPr>
                <w:b/>
                <w:i/>
              </w:rPr>
              <w:t>Dessa förutsättningar begränsar den ekonomiska säkerheten och undergräver vägarna till hållbar integration på arbetsmarknaden.</w:t>
            </w:r>
            <w:r>
              <w:t xml:space="preserve"> </w:t>
            </w:r>
            <w:r>
              <w:rPr>
                <w:b/>
                <w:i/>
              </w:rPr>
              <w:t>Detta drabbar särskilt utsatta unga som varken arbetar eller studerar, som i oproportionerligt hög grad har lågkvalificerade arbeten av låg kvalitet.</w:t>
            </w:r>
            <w:r>
              <w:t xml:space="preserve"> </w:t>
            </w:r>
            <w:r>
              <w:rPr>
                <w:b/>
                <w:i/>
              </w:rPr>
              <w:t>Den förstärkta ungdomsgarantin måste aktivt ta itu med otrygghet och låga löner och fokusera på avlönat arbete snarare än frivilligarbete.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"Proportion of low-paid workers in EU countries",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Personer som lämnar omsorg är en grupp som löper särskilt stor risk att varken arbeta eller studera, men eftersom det saknas tillförlitliga uppgifter på EU-nivå är det svårt att utvärdera antal, och samma gäller för de uppsökande åtgärder som vidtagits för att stödja dessa unga och de möjligheter som finns tillgängliga efter att ha lämnat omsorg.</w:t>
            </w:r>
            <w:r>
              <w:t xml:space="preserve"> </w:t>
            </w:r>
            <w:r>
              <w:rPr>
                <w:b/>
                <w:i/>
              </w:rPr>
              <w:t>Allt fler unga som lämnar institutionsvård ställs ofta inför abrupta övergångar till självständighet utan tillräcklig utbildningskontinuitet, bostadsstabilitet eller yrkesvägledning, vilket ökar deras risk för arbetslöshet, fattigdom och social utestängning.</w:t>
            </w:r>
            <w:r>
              <w:t xml:space="preserve"> </w:t>
            </w:r>
            <w:r>
              <w:rPr>
                <w:b/>
                <w:i/>
              </w:rPr>
              <w:t>Ett förstärkt genomförande av ungdomsgarantin skulle kunna åtgärda dessa brister i fråga om övergång med hjälp av skräddarsydda stödmekanismer.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Ag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Undersysselsättningen bland unga ökar, och deltidssysselsättningen bland unga personer är betydligt högre än bland den arbetande befolkningen i allmänhet</w:t>
            </w:r>
            <w:r>
              <w:rPr>
                <w:b/>
                <w:i/>
                <w:vertAlign w:val="superscript"/>
              </w:rPr>
              <w:t>1a</w:t>
            </w:r>
            <w:r>
              <w:rPr>
                <w:b/>
                <w:i/>
              </w:rPr>
              <w:t>.</w:t>
            </w:r>
            <w:r>
              <w:t xml:space="preserve"> </w:t>
            </w:r>
            <w:r>
              <w:rPr>
                <w:b/>
                <w:i/>
              </w:rPr>
              <w:t>Denna skillnad är ännu mer uttalad bland unga kvinnor.</w:t>
            </w:r>
            <w:r>
              <w:t xml:space="preserve"> </w:t>
            </w:r>
            <w:r>
              <w:rPr>
                <w:b/>
                <w:i/>
              </w:rPr>
              <w:t>En stor andel av arrangemangen för deltidsarbete är ofrivilliga, vilket återspeglar ett strukturellt misslyckande på arbetsmarknaden när det gäller att tillhandahålla tillräckliga möjligheter till heltidsarbete.</w:t>
            </w:r>
            <w:r>
              <w:t xml:space="preserve"> </w:t>
            </w:r>
            <w:r>
              <w:rPr>
                <w:b/>
                <w:i/>
              </w:rPr>
              <w:t>Ofrivilligt deltidsarbete undergräver inkomstpotentialen, karriärutvecklingen, tillgången till socialt skydd och pensionsrättigheter.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Ag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Fördomar, stigmatisering och ihållande stereotyper kan begränsa tillgången till praktik- och lärlingsplatser för unga personer med en bakgrund i institutionsvård, unga personer med fysiska eller intellektuella utvecklingsstörningar och unga romer.</w:t>
            </w:r>
            <w:r>
              <w:t xml:space="preserve"> </w:t>
            </w:r>
            <w:r>
              <w:rPr>
                <w:b/>
                <w:i/>
              </w:rPr>
              <w:t>Det är avgörande att ta itu med sådana hinder och främja inkluderande rekryteringspraxis för att säkerställa lika tillgång till en första arbetslivserfarenhet av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Ah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De traditionella vägarna från utbildning till sysselsättning håller på att urholkas på grund av den strukturella bristen på ingångsjobb av hög kvalitet.</w:t>
            </w:r>
            <w:r>
              <w:t xml:space="preserve"> </w:t>
            </w:r>
            <w:r>
              <w:rPr>
                <w:b/>
                <w:i/>
              </w:rPr>
              <w:t>Trots att många unga är högutbildade och kompetenta har de svårt att omsätta sina kvalifikationer i varaktig sysselsättning.</w:t>
            </w:r>
            <w:r>
              <w:t xml:space="preserve"> </w:t>
            </w:r>
            <w:r>
              <w:rPr>
                <w:b/>
                <w:i/>
              </w:rPr>
              <w:t>Sysselsättningsgraden för nyutexaminerade minskar</w:t>
            </w:r>
            <w:r>
              <w:rPr>
                <w:b/>
                <w:i/>
                <w:vertAlign w:val="superscript"/>
              </w:rPr>
              <w:t>1a</w:t>
            </w:r>
            <w:r>
              <w:t xml:space="preserve"> </w:t>
            </w:r>
            <w:r>
              <w:rPr>
                <w:b/>
                <w:i/>
              </w:rPr>
              <w:t>och antalet unga i yrken som understiger deras kvalifikationsnivå ökar</w:t>
            </w:r>
            <w:r>
              <w:rPr>
                <w:b/>
                <w:i/>
                <w:vertAlign w:val="superscript"/>
              </w:rPr>
              <w:t>1b</w:t>
            </w:r>
            <w:r>
              <w:rPr>
                <w:b/>
                <w:i/>
              </w:rPr>
              <w:t>.</w:t>
            </w:r>
            <w:r>
              <w:t xml:space="preserve"> </w:t>
            </w:r>
            <w:r>
              <w:rPr>
                <w:b/>
                <w:i/>
              </w:rPr>
              <w:t>Detta skapar en undanträngningseffekt som ytterligare begränsar möjligheterna för utsatta unga som varken arbetar eller studerar som saknar kvalifikationer.</w:t>
            </w:r>
            <w:r>
              <w:t xml:space="preserve"> </w:t>
            </w:r>
            <w:r>
              <w:rPr>
                <w:b/>
                <w:i/>
              </w:rPr>
              <w:t>De ökande hindren för unga personers integration på arbetsmarknaden undergräver den sociala sammanhållningen och förtroendet för institutionerna.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rates of recent graduates",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alignment",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Ai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Nästan en av fyra unga personer i unionen riskerade att drabbas av fattigdom eller social utestängning 2024, vilket är 3,1 procentenheter högre än för hela befolkningen</w:t>
            </w:r>
            <w:r>
              <w:rPr>
                <w:b/>
                <w:i/>
                <w:vertAlign w:val="superscript"/>
              </w:rPr>
              <w:t>1a</w:t>
            </w:r>
            <w:r>
              <w:rPr>
                <w:b/>
                <w:i/>
              </w:rPr>
              <w:t>.</w:t>
            </w:r>
            <w:r>
              <w:t xml:space="preserve"> </w:t>
            </w:r>
            <w:r>
              <w:rPr>
                <w:b/>
                <w:i/>
              </w:rPr>
              <w:t>Strukturella ojämlikheter, såsom materiell fattigdom och ihållande sociala nackdelar, undergräver möjligheten att få tillträde till arbetsmarknaden och till ett självständigt liv.</w:t>
            </w:r>
            <w:r>
              <w:t xml:space="preserve"> </w:t>
            </w:r>
            <w:r>
              <w:rPr>
                <w:b/>
                <w:i/>
              </w:rPr>
              <w:t>Sysselsättningsrelaterad aktivering kan inte åstadkommas utan tillgång till grundläggande nödvändiga förutsättningar såsom boende, transport, barnomsorg och omsorgsstöd.</w:t>
            </w:r>
            <w:r>
              <w:t xml:space="preserve"> </w:t>
            </w:r>
            <w:r>
              <w:rPr>
                <w:b/>
                <w:i/>
              </w:rPr>
              <w:t>För en hållbar integration på arbetsmarknaden krävs det en helhetssyn som avhjälper eventuella förstärkande hinder.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Aj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Utsatta unga som varken arbetar eller studerar kan sakna de funktionella läs-, skriv- och räknekunskaper och digitala färdigheter som krävs för att få tillgång till utbildning av god kvalitet eller till arbetsmarknaden.</w:t>
            </w:r>
            <w:r>
              <w:t xml:space="preserve"> </w:t>
            </w:r>
            <w:r>
              <w:rPr>
                <w:b/>
                <w:i/>
              </w:rPr>
              <w:t>I den förstärkta ungdomsgarantin tas ofta sådana färdigheter för givna, vilket begränsar möjligheterna för utsatta unga som varken arbetar eller studerar att få tillgång till och dra nytta av sysselsättnings- och utbildningsåtgärder.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Ak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Unga personers prestationer inom läsning, matematik och naturvetenskap minskar i hela unionen, och unga från en missgynnad socioekonomisk bakgrund löper mer än sex gånger större risk att underprestera än sina jämnåriga</w:t>
            </w:r>
            <w:r>
              <w:rPr>
                <w:b/>
                <w:i/>
                <w:vertAlign w:val="superscript"/>
              </w:rPr>
              <w:t>1a</w:t>
            </w:r>
            <w:r>
              <w:rPr>
                <w:b/>
                <w:i/>
              </w:rPr>
              <w:t>.</w:t>
            </w:r>
            <w:r>
              <w:t xml:space="preserve"> </w:t>
            </w:r>
            <w:r>
              <w:rPr>
                <w:b/>
                <w:i/>
              </w:rPr>
              <w:t>Den förstärkta ungdomsgarantin måste aktivt ta hänsyn till dessa oroande trender för att förhindra att de sociala klyftorna fördjupas och säkerställa lika tillgång till utbildning och framtida sysselsättningsmöjligheter.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Europeiska kommissionen, Education and Training Monitor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Det är </w:t>
            </w:r>
            <w:r>
              <w:rPr>
                <w:b/>
                <w:i/>
              </w:rPr>
              <w:t>svårt</w:t>
            </w:r>
            <w:r>
              <w:t xml:space="preserve"> att fastställa ett direkt orsakssamband mellan genomförandet av den förstärkta ungdomsgarantin och de resultat som har iakttagits i fråga om en minskad andel unga som varken arbetar eller studerar och minskad ungdomsarbetslöshet.</w:t>
            </w:r>
          </w:p>
        </w:tc>
        <w:tc>
          <w:tcPr>
            <w:tcW w:w="4876" w:type="dxa"/>
            <w:tcBorders>
              <w:top w:val="nil"/>
              <w:left w:val="nil"/>
              <w:bottom w:val="nil"/>
              <w:right w:val="nil"/>
            </w:tcBorders>
          </w:tcPr>
          <w:p>
            <w:pPr>
              <w:pStyle w:val="Normal6a"/>
            </w:pPr>
            <w:r>
              <w:t>B.</w:t>
            </w:r>
            <w:r>
              <w:tab/>
            </w:r>
            <w:r>
              <w:t xml:space="preserve">Det är </w:t>
            </w:r>
            <w:r>
              <w:rPr>
                <w:b/>
                <w:i/>
              </w:rPr>
              <w:t>omöjligt</w:t>
            </w:r>
            <w:r>
              <w:t xml:space="preserve"> att fastställa ett direkt orsakssamband mellan genomförandet av den förstärkta ungdomsgarantin och de resultat som har iakttagits i fråga om en minskad andel unga som varken arbetar eller studerar och minskad ungdomsarbetslöshet</w:t>
            </w:r>
            <w:r>
              <w:rPr>
                <w:b/>
                <w:i/>
              </w:rPr>
              <w:t>, vilket visar på den strukturella ineffektiviteten av den europeiska ingenjörskonsten på det sociala området</w:t>
            </w:r>
            <w:r>
              <w:t xml:space="preserve">. </w:t>
            </w:r>
            <w:r>
              <w:rPr>
                <w:b/>
                <w:i/>
              </w:rPr>
              <w:t>Skapandet av arbetstillfällen för unga är inte beroende av centraliserade förhållningsorder, utan härrör främst från medlemsstaternas skattesuveränitet, nationella ekonomiska hälsa och de små och medelstora företagens konkurrenskraft.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Det är svårt att fastställa ett direkt orsakssamband mellan genomförandet av den förstärkta ungdomsgarantin och de resultat som har iakttagits i fråga om en minskad andel unga som varken arbetar eller studerar och minskad ungdomsarbetslöshet.</w:t>
            </w:r>
          </w:p>
        </w:tc>
        <w:tc>
          <w:tcPr>
            <w:tcW w:w="4876" w:type="dxa"/>
            <w:tcBorders>
              <w:top w:val="nil"/>
              <w:left w:val="nil"/>
              <w:bottom w:val="nil"/>
              <w:right w:val="nil"/>
            </w:tcBorders>
          </w:tcPr>
          <w:p>
            <w:pPr>
              <w:pStyle w:val="Normal6a"/>
            </w:pPr>
            <w:r>
              <w:t>B.</w:t>
            </w:r>
            <w:r>
              <w:tab/>
            </w:r>
            <w:r>
              <w:t xml:space="preserve">Det är svårt att fastställa ett direkt orsakssamband mellan genomförandet av den förstärkta ungdomsgarantin och de resultat som har iakttagits i fråga om en minskad andel unga som varken arbetar eller studerar och minskad ungdomsarbetslöshet. </w:t>
            </w:r>
            <w:r>
              <w:rPr>
                <w:b/>
                <w:i/>
              </w:rPr>
              <w:t>Detta belyser behovet av ett starkare fokus på konkreta resultat för unga personer, bättre anpassning till de nationella arbetsmarknadsbehoven och närmare synergier med unionsprogram såsom Europeiska socialfonden+ (ESF +), Erasmus+ och Europeiska solidaritetskåren.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Det är svårt att fastställa ett direkt orsakssamband mellan genomförandet av den förstärkta ungdomsgarantin och de resultat som har iakttagits i fråga om en minskad andel unga som varken arbetar eller studerar och minskad ungdomsarbetslöshet.</w:t>
            </w:r>
          </w:p>
        </w:tc>
        <w:tc>
          <w:tcPr>
            <w:tcW w:w="4876" w:type="dxa"/>
            <w:tcBorders>
              <w:top w:val="nil"/>
              <w:left w:val="nil"/>
              <w:bottom w:val="nil"/>
              <w:right w:val="nil"/>
            </w:tcBorders>
          </w:tcPr>
          <w:p>
            <w:pPr>
              <w:pStyle w:val="Normal6a"/>
            </w:pPr>
            <w:r>
              <w:t>B.</w:t>
            </w:r>
            <w:r>
              <w:tab/>
            </w:r>
            <w:r>
              <w:t>Det är svårt att fastställa ett direkt orsakssamband mellan genomförandet av den förstärkta ungdomsgarantin och de resultat som har iakttagits i fråga om en minskad andel unga som varken arbetar eller studerar och minskad ungdomsarbetslöshet</w:t>
            </w:r>
            <w:r>
              <w:rPr>
                <w:b/>
                <w:i/>
              </w:rPr>
              <w:t>, särskilt för de system inom den förstärkta ungdomsgarantin som är inlemmade i bredare nationella politiska åtgärder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Europeiska uppgifter visar att vägar för grundläggande yrkesutbildning i vilka arbetsplatsförlagt lärande utgör en viktig komponent är det effektivaste verktyget för att förhindra att unga hamnar i en situation där de varken arbetar eller studerar, i det att sysselsättningsgraden för unga personer som fullbordar vägar till lärande på arbetsplatsen på minst sju månader ligger på 90,5 %, i motsats till 69,7 % för dem som inte hade tillgång till sådana utbildningsvägar.</w:t>
            </w:r>
            <w:r>
              <w:t xml:space="preserve"> </w:t>
            </w:r>
            <w:r>
              <w:rPr>
                <w:b/>
                <w:i/>
              </w:rPr>
              <w:t>I system för "varvad" yrkesutbildning växlar man på ett strukturerat sätt mellan skola och arbete för förvärv av praktiska färdigheter och en minskad strukturell obalans mellan efterfrågan på och utbudet av arbetskraft.</w:t>
            </w:r>
            <w:r>
              <w:t xml:space="preserve"> </w:t>
            </w:r>
            <w:r>
              <w:rPr>
                <w:b/>
                <w:i/>
              </w:rPr>
              <w:t>De medlemsstater som har starka system för varvad yrkesutbildning har den lägsta ungdomsarbetslösheten i Europeiska unionen.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För ett effektivt genomförande av den förstärkta ungdomsgarantin krävs det riktade, integrerade och familjevänliga åtgärder, särskilt för unga föräldrar, som kombinerar sysselsättningsstöd med tillgång till utbildning, barnomsorg, sociala tjänster och, när så är lämpligt, tillräckligt inkomststöd, för att säkerställa en varaktig integration på arbetsmarknaden, förhindra långvarig utestängning, främja jämställdhet och stödja en hållbar balans mellan arbete och privatliv.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Uppgifter från Europeiska revisionsrätten visar att välfinansierad, inkluderande och rättighetsbaserad ungdomspolitik – inbegripet den förstärkta ungdomsgarantin – på ett positivt sätt bidrar till att förbättra unga personers tillgång till sysselsättning och utbildning av god kvalitet.</w:t>
            </w:r>
            <w:r>
              <w:t xml:space="preserve"> </w:t>
            </w:r>
            <w:r>
              <w:rPr>
                <w:b/>
                <w:i/>
              </w:rPr>
              <w:t>Starkare övervakning, insamling av uppdelade uppgifter och konsekvensbedömning är avgörande för att till fullo få grepp om dess resultat, särskilt när det gäller utsatta och marginaliserade grupper.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Det finns nästan lika många genomförandemodeller för ungdomsgarantin som det finns medlemsstater.</w:t>
            </w:r>
            <w:r>
              <w:t xml:space="preserve"> </w:t>
            </w:r>
            <w:r>
              <w:rPr>
                <w:b/>
                <w:i/>
              </w:rPr>
              <w:t>De institutionella arrangemangen för genomförandet sträcker sig från att inlemma ungdomsgarantin i befintliga nationella system till att skapa en separat nationell modell.</w:t>
            </w:r>
            <w:r>
              <w:t xml:space="preserve"> </w:t>
            </w:r>
            <w:r>
              <w:rPr>
                <w:b/>
                <w:i/>
              </w:rPr>
              <w:t>Styrningsformerna varierar också mellan centraliserade modeller som samordnas på nationell nivå och helt decentraliserade modeller på lokal 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 rådets rekommendation av den 16 juni 2022 om en europeisk strategi för mikromeriter erkänns mikromeriter som ett viktigt verktyg för flexibla, inkluderande och målinriktade utbildningsvägar som gör det möjligt för enskilda att förvärva, uppdatera och certifiera sina färdigheter på grundval av moduler, som ett särskilt svar på arbetsmarknadens behov och den gröna och den digitala omställningen.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Investeringar i unga personer genom den förstärkta ungdomsgarantin utgör en investering i unionens framtid och stärker den sociala sammanhållningen samt rättvisan och solidariteten mellan generationerna, minskar fattigdomen och den sociala utestängningen, och bidrar till en motståndskraftig arbetskraft och en konkurrenskraftig ekonomi.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Den förstärkta ungdomsgarantins ändamålsenlighet är beroende av en transparent och effektiv användning av EU-medel och nationella medel samt av robusta övervaknings- och utvärderingssystem som kan mäta långsiktiga sysselsättningsresultat för unga stödmottagare.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Ungdomsarbetslöshet och otrygga anställningar är direkt kopplade till strukturella ojämlikheter, åtstramningar, avreglering av arbetsmarknaderna och underfinansiering av offentliga tjänster.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En klar majoritet av medlemsstaterna förlitar sig på en sysselsättning först-strategi, medan andra prioriterar ett utbildningsinriktat tillvägagångssätt.</w:t>
            </w:r>
            <w:r>
              <w:t xml:space="preserve"> </w:t>
            </w:r>
            <w:r>
              <w:rPr>
                <w:b/>
                <w:i/>
              </w:rPr>
              <w:t>Under 2024 ledde 35,2 % av de positiva utträdena i rätt tid från ungdomsgarantins förberedande fas till sysselsättning, 6,5 % till utbildning, 2,5 % till praktik och 1,6 % till lärlingsutbildning.</w:t>
            </w:r>
            <w:r>
              <w:rPr>
                <w:b/>
                <w:i/>
                <w:vertAlign w:val="superscript"/>
              </w:rPr>
              <w:t>17a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Europeiska kommissionen, generaldirektoratet för sysselsättning, socialpolitik och inkludering, tabell med indikatorer om ungdomsgarantin, februari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Eurofound uppskattar att ungas utanförskap och underlåtenheten att integrera unga som varken arbetar eller studerar på arbetsmarknaden kostar unionen nästan 100 miljarder euro per år</w:t>
            </w:r>
            <w:r>
              <w:rPr>
                <w:b/>
                <w:i/>
                <w:vertAlign w:val="superscript"/>
              </w:rPr>
              <w:t>1a</w:t>
            </w:r>
            <w:r>
              <w:rPr>
                <w:b/>
                <w:i/>
              </w:rPr>
              <w:t>, vilket belyser den brådskande ekonomiska och sociala nödvändigheten av att säkerställa att den förstärkta ungdomsgarantin verkligen förstärks.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ESF+ har varit det huvudsakliga instrumentet för finansiering av ungdomsgarantin för perioden 2021–2027.</w:t>
            </w:r>
            <w:r>
              <w:t xml:space="preserve"> </w:t>
            </w:r>
            <w:r>
              <w:rPr>
                <w:b/>
                <w:i/>
              </w:rPr>
              <w:t>De förvaltande myndigheterna måste förbättra sin absorptionsförmåga, särskilt i avlägsna områden.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En stor andel unga har tillfälliga, lågavlönade och otrygga arbeten och åtnjuter inte fullständiga arbetstagarrättigheter och sociala rättigheter.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Unga måste i allt högre grad visa prov på flexibilitet och vara geografiskt rörliga i sin utbildning och yrkeskarriär.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Ungdomsgarantisystem kan inte ersätta rätten till en stadig sysselsättning som ger fullständiga rättigheter och kan inte heller rättfärdiga utbredningen av obetalt eller underbetalt arbete genom praktik- och lärlingsprogram.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Inaktiva och utsatta unga som varken arbetar eller studerar lämnas oftast utanför initiativ inom ramen för ungdomsgarantin, eftersom den främst gynnar unga som befinner sig närmare arbetsmarknaden, dvs. de som redan har bäst förutsättningar , vilket gör att de faktiska effekterna av den förstärkta ungdomsgarantin på den totala gruppen unga som varken arbetar eller studerar överskattas.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Unionens konkurrenskraft är också beroende av arbetskraftens kompetens och unionens förmåga att få ut unga i arbetsför ålder på arbetsmarknaden för att avhjälpa bristen på arbetskraft och kompetens.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Tillgång till ekonomiskt överkomliga och lämpliga bostäder av god kvalitet är en förutsättning för framgångsrikt deltagande i utbildning, lärlingsutbildning, praktik och sysselsättning.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Institutionella och strukturella hinder kvarstår för genomförandet av ungdomsgarantin och dess praktiska genomförande i medlemsstaterna och på lokal nivå, såsom hinder för datadelning mellan tjänster, bristande överensstämmelse mellan utbildningsutbud och arbetsmarknad samt socioekonomiska nackdelar för utsatta grupper.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Ungdomsgarantins effektivitet bör inte bara mätas av ett omedelbart inträde på arbetsmarknaden för unga personer eller av deras deltagande i utbildning, utan även av dessa möjligheters kvalitet och varaktighet samt de långsiktiga karriärutsikter de 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Unga från etniska eller religiösa minoriteter löper större risk att hamna i en situation där deras kompetens inte stämmer överens med deras sysselsättning.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Ungdomspolitiken bör inte bara erkännas som en social prioritering, utan också som en strategisk investering i EU:s humankapital, konkurrenskraft och långsiktiga ekonomiska resiliens.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Unga som varken arbetar eller studerar, unga föräldrar, särskilt ensamstående föräldrar och unga utsatta personer, löper större risk för psykiskt lidande och långvarig utestängning från arbetsmarknaden.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Bg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Psykisk hälsa och välbefinnande är avgörande för deltagande på arbetsmarknaden och kan stärkas genom förebyggande, tidiga psykosociala åtgärder som en del av aktiveringen, och detta utan att påverka medlemsstaternas ansvar för hälso- och sjukvården.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Bh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Automatisering och AI omformar arbetsmarknaderna, och medför en risk för utestängning av unga som inte har grundläggande AI-kompetens.</w:t>
            </w:r>
            <w:r>
              <w:t xml:space="preserve"> </w:t>
            </w:r>
            <w:r>
              <w:rPr>
                <w:b/>
                <w:i/>
              </w:rPr>
              <w:t>Inom ungdomsgarantin måste detta hanteras på ett proaktivt sätt för att säkra deras anställbarhet.</w:t>
            </w:r>
            <w:r>
              <w:t xml:space="preserve"> </w:t>
            </w:r>
            <w:r>
              <w:rPr>
                <w:b/>
                <w:i/>
              </w:rPr>
              <w:t>AI kan bidra till att övervinna (inlärnings-) hinder (med hjälp av tekniska hjälpmedel) om unga tidigt får digital kompetens och grundläggande AI-kompetens.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Bi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Ungdomsgarantin bygger på en princip om ömsesidiga skyldigheter, enligt vilken unga personer inte bara har rätt till ett högkvalitativt erbjudande utan också är skydliga att delta aktivt och acceptera rimliga sysselsättnings- och utbildningsmöjligheter.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Bj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Medlemsstaterna måste därför, vid upprepade och omotiverade avslag på rimliga erbjudanden, säkerställa att lämpliga åtgärder kan vidtas i enlighet med nationell lagstiftning för att förhindra passivitet och främja ungas personliga ansvar.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AM\1342335SV.docx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AM\1342335SV.docx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AM\1342335SV.docx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6200</Words>
  <Characters>41232</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506137</vt:lpwstr>
  </property>
  <property fmtid="{D5CDD505-2E9C-101B-9397-08002B2CF9AE}" pid="7" name="dmxml.render.traceId">
    <vt:lpwstr>6a1077a89e0b635606959dc6a3aed389</vt:lpwstr>
  </property>
  <property fmtid="{D5CDD505-2E9C-101B-9397-08002B2CF9AE}" pid="8" name="FooterPath">
    <vt:lpwstr>AM\1342335SV.docx</vt:lpwstr>
  </property>
  <property fmtid="{D5CDD505-2E9C-101B-9397-08002B2CF9AE}" pid="9" name="PE Number">
    <vt:lpwstr>787.791</vt:lpwstr>
  </property>
  <property fmtid="{D5CDD505-2E9C-101B-9397-08002B2CF9AE}" pid="10" name="UID">
    <vt:lpwstr>eu.europa.europarl-DIN1-2026-0000110653_01.00-sv-01.00_text-xml</vt:lpwstr>
  </property>
</Properties>
</file>